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81D21C" w14:textId="77777777" w:rsidR="00C93C3A" w:rsidRPr="00812591" w:rsidRDefault="00175B5D" w:rsidP="00175B5D">
      <w:pPr>
        <w:pStyle w:val="BodyText"/>
        <w:spacing w:after="120"/>
        <w:mirrorIndents/>
        <w:jc w:val="center"/>
        <w:rPr>
          <w:rFonts w:cs="Arial"/>
          <w:sz w:val="20"/>
        </w:rPr>
      </w:pPr>
      <w:r>
        <w:rPr>
          <w:noProof/>
        </w:rPr>
        <w:drawing>
          <wp:inline distT="0" distB="0" distL="0" distR="0" wp14:anchorId="5FBB0351" wp14:editId="58BDB20B">
            <wp:extent cx="3363063" cy="962025"/>
            <wp:effectExtent l="0" t="0" r="889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88059" cy="969175"/>
                    </a:xfrm>
                    <a:prstGeom prst="rect">
                      <a:avLst/>
                    </a:prstGeom>
                  </pic:spPr>
                </pic:pic>
              </a:graphicData>
            </a:graphic>
          </wp:inline>
        </w:drawing>
      </w:r>
    </w:p>
    <w:p w14:paraId="5B665D21" w14:textId="77777777" w:rsidR="00C93C3A" w:rsidRDefault="00C93C3A" w:rsidP="00DA52F0">
      <w:pPr>
        <w:pStyle w:val="BodyText"/>
        <w:spacing w:after="120"/>
        <w:mirrorIndents/>
        <w:rPr>
          <w:rFonts w:cs="Arial"/>
          <w:sz w:val="20"/>
        </w:rPr>
      </w:pPr>
    </w:p>
    <w:p w14:paraId="010F967B" w14:textId="77777777" w:rsidR="00141A69" w:rsidRPr="00812591" w:rsidRDefault="00141A69" w:rsidP="00DA52F0">
      <w:pPr>
        <w:pStyle w:val="BodyText"/>
        <w:spacing w:after="120"/>
        <w:mirrorIndents/>
        <w:rPr>
          <w:rFonts w:cs="Arial"/>
          <w:sz w:val="20"/>
        </w:rPr>
      </w:pPr>
    </w:p>
    <w:p w14:paraId="4E0C97D7" w14:textId="77777777" w:rsidR="00141A69" w:rsidRPr="000549E9" w:rsidRDefault="00A01B59" w:rsidP="00450E50">
      <w:pPr>
        <w:pStyle w:val="Title"/>
        <w:spacing w:after="120"/>
        <w:jc w:val="center"/>
        <w:rPr>
          <w:rFonts w:ascii="Arial" w:hAnsi="Arial" w:cs="Arial"/>
          <w:b/>
          <w:bCs/>
          <w:color w:val="4F81BD" w:themeColor="accent1"/>
          <w:sz w:val="36"/>
          <w:szCs w:val="36"/>
        </w:rPr>
      </w:pPr>
      <w:r w:rsidRPr="000549E9">
        <w:rPr>
          <w:rFonts w:ascii="Arial" w:eastAsia="Arial" w:hAnsi="Arial" w:cs="Arial"/>
          <w:b/>
          <w:bCs/>
          <w:color w:val="4F81BD" w:themeColor="accent1"/>
          <w:sz w:val="36"/>
          <w:szCs w:val="36"/>
        </w:rPr>
        <w:t>Preventive Interventions in Social Work Practice for Vulnerable Adults in the United Kingdom: A Systematic Review</w:t>
      </w:r>
    </w:p>
    <w:p w14:paraId="542A04EC" w14:textId="77777777" w:rsidR="00141A69" w:rsidRPr="00141A69"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jc w:val="center"/>
        <w:rPr>
          <w:rFonts w:eastAsia="Arial Unicode MS" w:cs="Arial"/>
          <w:b/>
          <w:color w:val="0070C0"/>
          <w:sz w:val="80"/>
          <w:szCs w:val="80"/>
        </w:rPr>
      </w:pPr>
    </w:p>
    <w:p w14:paraId="6B0BB3AA" w14:textId="77777777" w:rsidR="00141A69" w:rsidRPr="003C1074" w:rsidRDefault="00ED1F6E" w:rsidP="00ED1F6E">
      <w:pPr>
        <w:spacing w:after="120"/>
        <w:jc w:val="center"/>
        <w:rPr>
          <w:rFonts w:cs="Arial"/>
          <w:sz w:val="32"/>
          <w:szCs w:val="32"/>
        </w:rPr>
      </w:pPr>
      <w:r w:rsidRPr="003C1074">
        <w:rPr>
          <w:rFonts w:cs="Arial"/>
          <w:sz w:val="32"/>
          <w:szCs w:val="32"/>
        </w:rPr>
        <w:t>Wahida Nagi</w:t>
      </w:r>
    </w:p>
    <w:p w14:paraId="3AF86A1C" w14:textId="77777777" w:rsidR="008825E0" w:rsidRPr="003C1074"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sz w:val="32"/>
          <w:szCs w:val="32"/>
        </w:rPr>
      </w:pPr>
    </w:p>
    <w:p w14:paraId="3DD3031D" w14:textId="71D24055" w:rsidR="00141A69" w:rsidRPr="003C1074"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sz w:val="32"/>
          <w:szCs w:val="32"/>
        </w:rPr>
      </w:pPr>
      <w:r w:rsidRPr="003C1074">
        <w:rPr>
          <w:sz w:val="32"/>
          <w:szCs w:val="32"/>
        </w:rPr>
        <w:t xml:space="preserve">Supervisor’s name: </w:t>
      </w:r>
      <w:r w:rsidR="00C20745">
        <w:rPr>
          <w:sz w:val="32"/>
          <w:szCs w:val="32"/>
        </w:rPr>
        <w:t>DR</w:t>
      </w:r>
      <w:r w:rsidR="006466BF">
        <w:rPr>
          <w:sz w:val="32"/>
          <w:szCs w:val="32"/>
        </w:rPr>
        <w:t xml:space="preserve"> </w:t>
      </w:r>
      <w:r w:rsidRPr="003C1074">
        <w:rPr>
          <w:sz w:val="32"/>
          <w:szCs w:val="32"/>
        </w:rPr>
        <w:t>Jolly Nwankwo (Module leader).</w:t>
      </w:r>
    </w:p>
    <w:p w14:paraId="632B3657"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sz w:val="40"/>
          <w:szCs w:val="40"/>
        </w:rPr>
      </w:pPr>
    </w:p>
    <w:p w14:paraId="0BD09A66" w14:textId="77777777" w:rsidR="00141A69" w:rsidRPr="000549E9"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jc w:val="center"/>
        <w:rPr>
          <w:rFonts w:eastAsia="Arial Unicode MS" w:cs="Arial"/>
          <w:b/>
          <w:bCs/>
          <w:color w:val="4F81BD" w:themeColor="accent1"/>
          <w:sz w:val="28"/>
          <w:szCs w:val="28"/>
        </w:rPr>
      </w:pPr>
      <w:r w:rsidRPr="000549E9">
        <w:rPr>
          <w:rFonts w:cs="Arial"/>
          <w:b/>
          <w:bCs/>
          <w:color w:val="4F81BD" w:themeColor="accent1"/>
          <w:sz w:val="28"/>
          <w:szCs w:val="28"/>
        </w:rPr>
        <w:t xml:space="preserve">Dissertation submitted as part of the requirements for the award BSc (Hons) Health and Social Care </w:t>
      </w:r>
    </w:p>
    <w:p w14:paraId="5CBFF905" w14:textId="77777777" w:rsidR="00141A69" w:rsidRPr="000346A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sz w:val="28"/>
          <w:szCs w:val="28"/>
        </w:rPr>
      </w:pPr>
    </w:p>
    <w:p w14:paraId="4BC116F9" w14:textId="77777777" w:rsidR="00141A69" w:rsidRPr="000346A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sz w:val="28"/>
          <w:szCs w:val="28"/>
        </w:rPr>
      </w:pPr>
    </w:p>
    <w:p w14:paraId="499B2659" w14:textId="1568D27C" w:rsidR="00766D97" w:rsidRPr="00812591" w:rsidRDefault="0071091C" w:rsidP="00C24E4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jc w:val="center"/>
        <w:rPr>
          <w:rFonts w:eastAsia="Arial Unicode MS" w:cs="Arial"/>
        </w:rPr>
      </w:pPr>
      <w:r w:rsidRPr="000346A1">
        <w:rPr>
          <w:rFonts w:cs="Arial"/>
          <w:sz w:val="28"/>
          <w:szCs w:val="28"/>
        </w:rPr>
        <w:t>August</w:t>
      </w:r>
      <w:r w:rsidR="00C24E48" w:rsidRPr="000346A1">
        <w:rPr>
          <w:rFonts w:cs="Arial"/>
          <w:sz w:val="28"/>
          <w:szCs w:val="28"/>
        </w:rPr>
        <w:t xml:space="preserve"> 2026</w:t>
      </w:r>
    </w:p>
    <w:p w14:paraId="601B00A4" w14:textId="77777777" w:rsidR="003F2B6D" w:rsidRDefault="003F2B6D" w:rsidP="00DA52F0">
      <w:pPr>
        <w:spacing w:after="120"/>
        <w:rPr>
          <w:rFonts w:eastAsia="Times New Roman" w:cs="Arial"/>
          <w:b/>
          <w:sz w:val="20"/>
          <w:szCs w:val="20"/>
        </w:rPr>
      </w:pPr>
      <w:r>
        <w:rPr>
          <w:rFonts w:cs="Arial"/>
          <w:b/>
          <w:szCs w:val="20"/>
        </w:rPr>
        <w:br w:type="page"/>
      </w:r>
    </w:p>
    <w:p w14:paraId="06F48B64" w14:textId="77777777" w:rsidR="005C2C7A" w:rsidRPr="00812591" w:rsidRDefault="005C2C7A" w:rsidP="00DA52F0">
      <w:pPr>
        <w:pStyle w:val="Heading1"/>
        <w:keepNext/>
        <w:ind w:left="0"/>
      </w:pPr>
      <w:bookmarkStart w:id="0" w:name="_Toc236665523"/>
      <w:r w:rsidRPr="00812591">
        <w:rPr>
          <w:sz w:val="22"/>
        </w:rPr>
        <w:lastRenderedPageBreak/>
        <w:t>DECLARATION</w:t>
      </w:r>
      <w:bookmarkEnd w:id="0"/>
    </w:p>
    <w:p w14:paraId="6E943FCF" w14:textId="77777777" w:rsidR="005C2C7A" w:rsidRPr="00812591" w:rsidRDefault="005C2C7A" w:rsidP="00DA52F0">
      <w:pPr>
        <w:spacing w:after="120"/>
        <w:mirrorIndents/>
        <w:rPr>
          <w:rFonts w:eastAsia="Times New Roman" w:cs="Arial"/>
          <w:sz w:val="20"/>
          <w:szCs w:val="20"/>
        </w:rPr>
      </w:pPr>
    </w:p>
    <w:p w14:paraId="4860E927" w14:textId="77777777" w:rsidR="005C2C7A" w:rsidRPr="002B4534" w:rsidRDefault="005C2C7A" w:rsidP="00DA52F0">
      <w:pPr>
        <w:spacing w:after="120"/>
        <w:mirrorIndents/>
        <w:rPr>
          <w:rFonts w:eastAsia="Times New Roman" w:cs="Arial"/>
          <w:sz w:val="24"/>
          <w:szCs w:val="24"/>
        </w:rPr>
      </w:pPr>
      <w:r w:rsidRPr="002B4534">
        <w:rPr>
          <w:rFonts w:cs="Arial"/>
          <w:szCs w:val="24"/>
        </w:rPr>
        <w:t>This work has not previously been accepted in substance for any degree and is not being concurrently submitted in candidature for any degree</w:t>
      </w:r>
      <w:r w:rsidR="002B4534" w:rsidRPr="002B4534">
        <w:rPr>
          <w:rFonts w:cs="Arial"/>
          <w:szCs w:val="24"/>
        </w:rPr>
        <w:t>.</w:t>
      </w:r>
    </w:p>
    <w:p w14:paraId="48DD47DF" w14:textId="77777777" w:rsidR="005C2C7A" w:rsidRPr="002B4534" w:rsidRDefault="005C2C7A" w:rsidP="00DA52F0">
      <w:pPr>
        <w:spacing w:after="120"/>
        <w:mirrorIndents/>
        <w:rPr>
          <w:rFonts w:eastAsia="Times New Roman" w:cs="Arial"/>
          <w:sz w:val="24"/>
          <w:szCs w:val="24"/>
        </w:rPr>
      </w:pPr>
    </w:p>
    <w:p w14:paraId="6C1B1385" w14:textId="77777777" w:rsidR="005C2C7A" w:rsidRPr="002B4534" w:rsidRDefault="005C2C7A" w:rsidP="00DA52F0">
      <w:pPr>
        <w:spacing w:after="120"/>
        <w:mirrorIndents/>
        <w:rPr>
          <w:rFonts w:eastAsia="Times New Roman" w:cs="Arial"/>
          <w:sz w:val="24"/>
          <w:szCs w:val="24"/>
        </w:rPr>
      </w:pPr>
    </w:p>
    <w:p w14:paraId="65C8C987" w14:textId="77777777" w:rsidR="005C2C7A" w:rsidRPr="002B4534" w:rsidRDefault="005C2C7A" w:rsidP="00DA52F0">
      <w:pPr>
        <w:spacing w:after="120"/>
        <w:mirrorIndents/>
        <w:rPr>
          <w:rFonts w:eastAsia="Times New Roman" w:cs="Arial"/>
          <w:sz w:val="24"/>
          <w:szCs w:val="24"/>
        </w:rPr>
      </w:pPr>
      <w:r w:rsidRPr="002B4534">
        <w:rPr>
          <w:rFonts w:cs="Arial"/>
          <w:szCs w:val="24"/>
        </w:rPr>
        <w:t>Signed…</w:t>
      </w:r>
      <w:proofErr w:type="spellStart"/>
      <w:r w:rsidR="00933B05">
        <w:rPr>
          <w:rFonts w:cs="Arial"/>
          <w:szCs w:val="24"/>
        </w:rPr>
        <w:t>wahidanagi</w:t>
      </w:r>
      <w:proofErr w:type="spellEnd"/>
      <w:r w:rsidRPr="002B4534">
        <w:rPr>
          <w:rFonts w:cs="Arial"/>
          <w:szCs w:val="24"/>
        </w:rPr>
        <w:t>…………………………………………</w:t>
      </w:r>
    </w:p>
    <w:p w14:paraId="62E835C1" w14:textId="77777777" w:rsidR="005C2C7A" w:rsidRPr="002B4534" w:rsidRDefault="005C2C7A" w:rsidP="00DA52F0">
      <w:pPr>
        <w:spacing w:after="120"/>
        <w:mirrorIndents/>
        <w:rPr>
          <w:rFonts w:eastAsia="Times New Roman" w:cs="Arial"/>
          <w:sz w:val="24"/>
          <w:szCs w:val="24"/>
        </w:rPr>
      </w:pPr>
    </w:p>
    <w:p w14:paraId="016314AB" w14:textId="77777777" w:rsidR="005C2C7A" w:rsidRPr="002B4534" w:rsidRDefault="005C2C7A" w:rsidP="00DA52F0">
      <w:pPr>
        <w:spacing w:after="120"/>
        <w:mirrorIndents/>
        <w:rPr>
          <w:rFonts w:eastAsia="Times New Roman" w:cs="Arial"/>
          <w:sz w:val="24"/>
          <w:szCs w:val="24"/>
        </w:rPr>
      </w:pPr>
    </w:p>
    <w:p w14:paraId="511C98A5" w14:textId="77777777" w:rsidR="005C2C7A" w:rsidRPr="002B4534" w:rsidRDefault="005C2C7A" w:rsidP="00DA52F0">
      <w:pPr>
        <w:spacing w:after="120"/>
        <w:mirrorIndents/>
        <w:rPr>
          <w:rFonts w:eastAsia="Times New Roman" w:cs="Arial"/>
          <w:sz w:val="24"/>
          <w:szCs w:val="24"/>
        </w:rPr>
      </w:pPr>
      <w:r w:rsidRPr="002B4534">
        <w:rPr>
          <w:rFonts w:cs="Arial"/>
          <w:szCs w:val="24"/>
        </w:rPr>
        <w:t>Date……</w:t>
      </w:r>
      <w:r w:rsidR="00FE6836">
        <w:rPr>
          <w:rFonts w:cs="Arial"/>
          <w:szCs w:val="24"/>
        </w:rPr>
        <w:t>27/07/2026</w:t>
      </w:r>
      <w:r w:rsidRPr="002B4534">
        <w:rPr>
          <w:rFonts w:cs="Arial"/>
          <w:szCs w:val="24"/>
        </w:rPr>
        <w:t>…………………………………………</w:t>
      </w:r>
    </w:p>
    <w:p w14:paraId="5118D872" w14:textId="77777777" w:rsidR="005C2C7A" w:rsidRPr="002B4534" w:rsidRDefault="005C2C7A" w:rsidP="002B4534">
      <w:pPr>
        <w:spacing w:after="120"/>
        <w:rPr>
          <w:sz w:val="24"/>
          <w:szCs w:val="24"/>
        </w:rPr>
      </w:pPr>
    </w:p>
    <w:p w14:paraId="41345EF0" w14:textId="77777777" w:rsidR="005C2C7A" w:rsidRPr="002B4534" w:rsidRDefault="005C2C7A" w:rsidP="002B4534">
      <w:pPr>
        <w:spacing w:after="120"/>
        <w:rPr>
          <w:sz w:val="24"/>
          <w:szCs w:val="24"/>
        </w:rPr>
      </w:pPr>
    </w:p>
    <w:p w14:paraId="112AE8A5" w14:textId="77777777" w:rsidR="005C2C7A" w:rsidRPr="002B4534" w:rsidRDefault="005C2C7A" w:rsidP="00DA52F0">
      <w:pPr>
        <w:spacing w:after="120"/>
        <w:mirrorIndents/>
        <w:rPr>
          <w:rFonts w:eastAsia="Times New Roman" w:cs="Arial"/>
          <w:bCs/>
          <w:kern w:val="32"/>
          <w:sz w:val="24"/>
          <w:szCs w:val="24"/>
        </w:rPr>
      </w:pPr>
      <w:r w:rsidRPr="002B4534">
        <w:rPr>
          <w:rFonts w:cs="Arial"/>
          <w:b/>
          <w:szCs w:val="24"/>
        </w:rPr>
        <w:t xml:space="preserve">STATEMENT 1 </w:t>
      </w:r>
    </w:p>
    <w:p w14:paraId="362BB20C" w14:textId="77777777" w:rsidR="005C2C7A" w:rsidRPr="002B4534" w:rsidRDefault="005C2C7A" w:rsidP="00DA52F0">
      <w:pPr>
        <w:spacing w:after="120"/>
        <w:mirrorIndents/>
        <w:rPr>
          <w:rFonts w:eastAsia="Times New Roman" w:cs="Arial"/>
          <w:sz w:val="24"/>
          <w:szCs w:val="24"/>
        </w:rPr>
      </w:pPr>
      <w:r w:rsidRPr="002B4534">
        <w:rPr>
          <w:rFonts w:cs="Arial"/>
          <w:szCs w:val="24"/>
        </w:rPr>
        <w:t>This dissertation is being submitted in partial fulfilment of the requirements for the degree of B</w:t>
      </w:r>
      <w:r w:rsidR="00B80583" w:rsidRPr="002B4534">
        <w:rPr>
          <w:rFonts w:cs="Arial"/>
          <w:szCs w:val="24"/>
        </w:rPr>
        <w:t>Sc</w:t>
      </w:r>
      <w:r w:rsidRPr="002B4534">
        <w:rPr>
          <w:rFonts w:cs="Arial"/>
          <w:szCs w:val="24"/>
        </w:rPr>
        <w:t>.</w:t>
      </w:r>
    </w:p>
    <w:p w14:paraId="455A415D" w14:textId="77777777" w:rsidR="005C2C7A" w:rsidRPr="002B4534" w:rsidRDefault="005C2C7A" w:rsidP="002B4534">
      <w:pPr>
        <w:spacing w:after="120"/>
        <w:rPr>
          <w:sz w:val="24"/>
          <w:szCs w:val="24"/>
        </w:rPr>
      </w:pPr>
    </w:p>
    <w:p w14:paraId="328A5FCF" w14:textId="77777777" w:rsidR="005C2C7A" w:rsidRPr="002B4534" w:rsidRDefault="005C2C7A" w:rsidP="00DA52F0">
      <w:pPr>
        <w:spacing w:after="120"/>
        <w:mirrorIndents/>
        <w:rPr>
          <w:rFonts w:eastAsia="Times New Roman" w:cs="Arial"/>
          <w:sz w:val="24"/>
          <w:szCs w:val="24"/>
        </w:rPr>
      </w:pPr>
      <w:r w:rsidRPr="002B4534">
        <w:rPr>
          <w:rFonts w:cs="Arial"/>
          <w:szCs w:val="24"/>
        </w:rPr>
        <w:t>Signed…</w:t>
      </w:r>
      <w:proofErr w:type="spellStart"/>
      <w:r w:rsidR="00FE6836">
        <w:rPr>
          <w:rFonts w:cs="Arial"/>
          <w:szCs w:val="24"/>
        </w:rPr>
        <w:t>wahidanagi</w:t>
      </w:r>
      <w:proofErr w:type="spellEnd"/>
      <w:r w:rsidRPr="002B4534">
        <w:rPr>
          <w:rFonts w:cs="Arial"/>
          <w:szCs w:val="24"/>
        </w:rPr>
        <w:t xml:space="preserve">…………………………………………. </w:t>
      </w:r>
    </w:p>
    <w:p w14:paraId="018A4592" w14:textId="77777777" w:rsidR="005C2C7A" w:rsidRPr="002B4534" w:rsidRDefault="005C2C7A" w:rsidP="00DA52F0">
      <w:pPr>
        <w:spacing w:after="120"/>
        <w:mirrorIndents/>
        <w:rPr>
          <w:rFonts w:eastAsia="Times New Roman" w:cs="Arial"/>
          <w:sz w:val="24"/>
          <w:szCs w:val="24"/>
        </w:rPr>
      </w:pPr>
    </w:p>
    <w:p w14:paraId="309B9C73" w14:textId="77777777" w:rsidR="005C2C7A" w:rsidRPr="002B4534" w:rsidRDefault="005C2C7A" w:rsidP="00DA52F0">
      <w:pPr>
        <w:spacing w:after="120"/>
        <w:mirrorIndents/>
        <w:rPr>
          <w:rFonts w:eastAsia="Times New Roman" w:cs="Arial"/>
          <w:sz w:val="24"/>
          <w:szCs w:val="24"/>
        </w:rPr>
      </w:pPr>
    </w:p>
    <w:p w14:paraId="5CCDBA46" w14:textId="77777777" w:rsidR="005C2C7A" w:rsidRPr="002B4534" w:rsidRDefault="005C2C7A" w:rsidP="00DA52F0">
      <w:pPr>
        <w:spacing w:after="120"/>
        <w:mirrorIndents/>
        <w:rPr>
          <w:rFonts w:eastAsia="Times New Roman" w:cs="Arial"/>
          <w:sz w:val="24"/>
          <w:szCs w:val="24"/>
        </w:rPr>
      </w:pPr>
      <w:r w:rsidRPr="002B4534">
        <w:rPr>
          <w:rFonts w:cs="Arial"/>
          <w:szCs w:val="24"/>
        </w:rPr>
        <w:t>Date……</w:t>
      </w:r>
      <w:r w:rsidR="00FE6836">
        <w:rPr>
          <w:rFonts w:cs="Arial"/>
          <w:szCs w:val="24"/>
        </w:rPr>
        <w:t>27/07/2026</w:t>
      </w:r>
      <w:r w:rsidRPr="002B4534">
        <w:rPr>
          <w:rFonts w:cs="Arial"/>
          <w:szCs w:val="24"/>
        </w:rPr>
        <w:t>…………………………………………</w:t>
      </w:r>
    </w:p>
    <w:p w14:paraId="5B6FF43F" w14:textId="77777777" w:rsidR="005C2C7A" w:rsidRPr="002B4534" w:rsidRDefault="005C2C7A" w:rsidP="00DA52F0">
      <w:pPr>
        <w:spacing w:after="120"/>
        <w:mirrorIndents/>
        <w:rPr>
          <w:rFonts w:eastAsia="Times New Roman" w:cs="Arial"/>
          <w:sz w:val="24"/>
          <w:szCs w:val="24"/>
        </w:rPr>
      </w:pPr>
    </w:p>
    <w:p w14:paraId="70F9EAC0" w14:textId="77777777" w:rsidR="005C2C7A" w:rsidRPr="002B4534" w:rsidRDefault="005C2C7A" w:rsidP="00DA52F0">
      <w:pPr>
        <w:spacing w:after="120"/>
        <w:mirrorIndents/>
        <w:rPr>
          <w:rFonts w:eastAsia="Times New Roman" w:cs="Arial"/>
          <w:sz w:val="24"/>
          <w:szCs w:val="24"/>
        </w:rPr>
      </w:pPr>
    </w:p>
    <w:p w14:paraId="3EAFCE19" w14:textId="77777777" w:rsidR="005C2C7A" w:rsidRPr="002B4534" w:rsidRDefault="005C2C7A" w:rsidP="00DA52F0">
      <w:pPr>
        <w:spacing w:after="120"/>
        <w:mirrorIndents/>
        <w:rPr>
          <w:rFonts w:eastAsia="Times New Roman" w:cs="Arial"/>
          <w:sz w:val="24"/>
          <w:szCs w:val="24"/>
        </w:rPr>
      </w:pPr>
      <w:r w:rsidRPr="002B4534">
        <w:rPr>
          <w:rFonts w:cs="Arial"/>
          <w:b/>
          <w:szCs w:val="24"/>
        </w:rPr>
        <w:t>STATEMENT 2</w:t>
      </w:r>
    </w:p>
    <w:p w14:paraId="798262C8" w14:textId="77777777" w:rsidR="005C2C7A" w:rsidRPr="002B4534" w:rsidRDefault="005C2C7A" w:rsidP="00DA52F0">
      <w:pPr>
        <w:spacing w:after="120"/>
        <w:mirrorIndents/>
        <w:rPr>
          <w:rFonts w:eastAsia="Times New Roman" w:cs="Arial"/>
          <w:sz w:val="24"/>
          <w:szCs w:val="24"/>
        </w:rPr>
      </w:pPr>
      <w:r w:rsidRPr="002B4534">
        <w:rPr>
          <w:rFonts w:cs="Arial"/>
          <w:szCs w:val="24"/>
        </w:rPr>
        <w:t>This dissertation is the result of my own independent work/investigation, except where otherwise stated.</w:t>
      </w:r>
    </w:p>
    <w:p w14:paraId="1A147A5C" w14:textId="77777777" w:rsidR="005C2C7A" w:rsidRPr="002B4534" w:rsidRDefault="005C2C7A" w:rsidP="00DA52F0">
      <w:pPr>
        <w:spacing w:after="120"/>
        <w:mirrorIndents/>
        <w:rPr>
          <w:rFonts w:eastAsia="Times New Roman" w:cs="Arial"/>
          <w:sz w:val="24"/>
          <w:szCs w:val="24"/>
        </w:rPr>
      </w:pPr>
    </w:p>
    <w:p w14:paraId="1EA6DDE3" w14:textId="77777777" w:rsidR="005C2C7A" w:rsidRPr="002B4534" w:rsidRDefault="005C2C7A" w:rsidP="00DA52F0">
      <w:pPr>
        <w:spacing w:after="120"/>
        <w:mirrorIndents/>
        <w:rPr>
          <w:rFonts w:eastAsia="Times New Roman" w:cs="Arial"/>
          <w:sz w:val="24"/>
          <w:szCs w:val="24"/>
        </w:rPr>
      </w:pPr>
      <w:r>
        <w:t>Other sources are acknowledged by footnotes giving explicit references. A bibliography is appended.</w:t>
      </w:r>
    </w:p>
    <w:p w14:paraId="029B055E" w14:textId="77777777" w:rsidR="005C2C7A" w:rsidRPr="002B4534" w:rsidRDefault="005C2C7A" w:rsidP="00DA52F0">
      <w:pPr>
        <w:spacing w:after="120"/>
        <w:mirrorIndents/>
        <w:rPr>
          <w:rFonts w:eastAsia="Times New Roman" w:cs="Arial"/>
          <w:sz w:val="24"/>
          <w:szCs w:val="24"/>
        </w:rPr>
      </w:pPr>
    </w:p>
    <w:p w14:paraId="10298798" w14:textId="77777777" w:rsidR="005C2C7A" w:rsidRPr="002B4534" w:rsidRDefault="005C2C7A" w:rsidP="00DA52F0">
      <w:pPr>
        <w:spacing w:after="120"/>
        <w:mirrorIndents/>
        <w:rPr>
          <w:rFonts w:eastAsia="Times New Roman" w:cs="Arial"/>
          <w:sz w:val="24"/>
          <w:szCs w:val="24"/>
        </w:rPr>
      </w:pPr>
    </w:p>
    <w:p w14:paraId="24439EA6" w14:textId="77777777" w:rsidR="005C2C7A" w:rsidRPr="002B4534" w:rsidRDefault="005C2C7A" w:rsidP="00DA52F0">
      <w:pPr>
        <w:spacing w:after="120"/>
        <w:mirrorIndents/>
        <w:rPr>
          <w:rFonts w:eastAsia="Times New Roman" w:cs="Arial"/>
          <w:sz w:val="24"/>
          <w:szCs w:val="24"/>
        </w:rPr>
      </w:pPr>
      <w:r w:rsidRPr="002B4534">
        <w:rPr>
          <w:rFonts w:cs="Arial"/>
          <w:szCs w:val="24"/>
        </w:rPr>
        <w:t>Signed………</w:t>
      </w:r>
      <w:proofErr w:type="spellStart"/>
      <w:r w:rsidR="00FE6836">
        <w:rPr>
          <w:rFonts w:cs="Arial"/>
          <w:szCs w:val="24"/>
        </w:rPr>
        <w:t>wahiadanagi</w:t>
      </w:r>
      <w:proofErr w:type="spellEnd"/>
      <w:r w:rsidRPr="002B4534">
        <w:rPr>
          <w:rFonts w:cs="Arial"/>
          <w:szCs w:val="24"/>
        </w:rPr>
        <w:t>……………………………………</w:t>
      </w:r>
    </w:p>
    <w:p w14:paraId="512A1B46" w14:textId="77777777" w:rsidR="005C2C7A" w:rsidRPr="002B4534" w:rsidRDefault="005C2C7A" w:rsidP="00DA52F0">
      <w:pPr>
        <w:spacing w:after="120"/>
        <w:mirrorIndents/>
        <w:rPr>
          <w:rFonts w:eastAsia="Times New Roman" w:cs="Arial"/>
          <w:sz w:val="24"/>
          <w:szCs w:val="24"/>
        </w:rPr>
      </w:pPr>
    </w:p>
    <w:p w14:paraId="57652585" w14:textId="77777777" w:rsidR="005C2C7A" w:rsidRPr="002B4534" w:rsidRDefault="005C2C7A" w:rsidP="00DA52F0">
      <w:pPr>
        <w:spacing w:after="120"/>
        <w:mirrorIndents/>
        <w:rPr>
          <w:rFonts w:eastAsia="Times New Roman" w:cs="Arial"/>
          <w:sz w:val="24"/>
          <w:szCs w:val="24"/>
        </w:rPr>
      </w:pPr>
    </w:p>
    <w:p w14:paraId="5E5D3808" w14:textId="77777777" w:rsidR="005C2C7A" w:rsidRPr="002B4534" w:rsidRDefault="005C2C7A" w:rsidP="00DA52F0">
      <w:pPr>
        <w:spacing w:after="120"/>
        <w:mirrorIndents/>
        <w:rPr>
          <w:rFonts w:eastAsia="Times New Roman" w:cs="Arial"/>
          <w:sz w:val="24"/>
          <w:szCs w:val="24"/>
        </w:rPr>
      </w:pPr>
      <w:r w:rsidRPr="002B4534">
        <w:rPr>
          <w:rFonts w:cs="Arial"/>
          <w:szCs w:val="24"/>
        </w:rPr>
        <w:t>Date……</w:t>
      </w:r>
      <w:r w:rsidR="00FE6836">
        <w:rPr>
          <w:rFonts w:cs="Arial"/>
          <w:szCs w:val="24"/>
        </w:rPr>
        <w:t>27/</w:t>
      </w:r>
      <w:r w:rsidR="00C91C02">
        <w:rPr>
          <w:rFonts w:cs="Arial"/>
          <w:szCs w:val="24"/>
        </w:rPr>
        <w:t>072026</w:t>
      </w:r>
      <w:r w:rsidRPr="002B4534">
        <w:rPr>
          <w:rFonts w:cs="Arial"/>
          <w:szCs w:val="24"/>
        </w:rPr>
        <w:t xml:space="preserve">………………………………………… </w:t>
      </w:r>
    </w:p>
    <w:p w14:paraId="393B6725" w14:textId="77777777" w:rsidR="00DC1687" w:rsidRPr="00812591" w:rsidRDefault="00DC1687" w:rsidP="00DA52F0">
      <w:pPr>
        <w:spacing w:after="120"/>
        <w:mirrorIndents/>
        <w:rPr>
          <w:rFonts w:eastAsia="Arial Unicode MS" w:cs="Arial"/>
          <w:b/>
          <w:sz w:val="28"/>
          <w:szCs w:val="28"/>
        </w:rPr>
      </w:pPr>
      <w:r w:rsidRPr="00812591">
        <w:rPr>
          <w:rFonts w:cs="Arial"/>
          <w:b/>
          <w:szCs w:val="28"/>
        </w:rPr>
        <w:br w:type="page"/>
      </w:r>
    </w:p>
    <w:p w14:paraId="36F0C0EC" w14:textId="77777777" w:rsidR="005C2C7A" w:rsidRPr="000346A1" w:rsidRDefault="005C2C7A" w:rsidP="000346A1">
      <w:pPr>
        <w:pStyle w:val="Heading1"/>
        <w:keepNext/>
      </w:pPr>
      <w:bookmarkStart w:id="1" w:name="_Toc236665524"/>
      <w:r w:rsidRPr="000346A1">
        <w:lastRenderedPageBreak/>
        <w:t>ACKNOWLEDGEMENTS</w:t>
      </w:r>
      <w:bookmarkEnd w:id="1"/>
    </w:p>
    <w:p w14:paraId="4D25E657" w14:textId="77777777" w:rsidR="005C2C7A" w:rsidRPr="002103C7"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bCs/>
          <w:iCs/>
        </w:rPr>
      </w:pPr>
    </w:p>
    <w:p w14:paraId="420271D2" w14:textId="379E1074" w:rsidR="00A2041D" w:rsidRDefault="00A2041D" w:rsidP="000C1326">
      <w:pPr>
        <w:spacing w:after="120"/>
        <w:rPr>
          <w:rFonts w:cs="Arial"/>
        </w:rPr>
      </w:pPr>
      <w:r w:rsidRPr="00A2041D">
        <w:rPr>
          <w:rFonts w:cs="Arial"/>
        </w:rPr>
        <w:t>I would like to express my sincere gratitude to my supervisor,</w:t>
      </w:r>
      <w:r w:rsidR="006466BF">
        <w:rPr>
          <w:rFonts w:cs="Arial"/>
        </w:rPr>
        <w:t xml:space="preserve"> DR</w:t>
      </w:r>
      <w:r w:rsidRPr="00A2041D">
        <w:rPr>
          <w:rFonts w:cs="Arial"/>
        </w:rPr>
        <w:t xml:space="preserve"> </w:t>
      </w:r>
      <w:r w:rsidR="006466BF">
        <w:rPr>
          <w:rFonts w:cs="Arial"/>
        </w:rPr>
        <w:t>J</w:t>
      </w:r>
      <w:r w:rsidRPr="00A2041D">
        <w:rPr>
          <w:rFonts w:cs="Arial"/>
        </w:rPr>
        <w:t>olly Nwankwo, for his guidance, encouragement and constructive feedback throughout this independent project. His support has been invaluable in developing my research knowledge, critical thinking and academic writing skills.</w:t>
      </w:r>
    </w:p>
    <w:p w14:paraId="09ED3999" w14:textId="77777777" w:rsidR="00B63721" w:rsidRDefault="00B63721" w:rsidP="00B63721">
      <w:pPr>
        <w:spacing w:after="120"/>
        <w:rPr>
          <w:rFonts w:cs="Arial"/>
        </w:rPr>
      </w:pPr>
      <w:r w:rsidRPr="00D45927">
        <w:rPr>
          <w:rFonts w:cs="Arial"/>
        </w:rPr>
        <w:t>I am also grateful to the lecturers and academic staff within the BSc (Hons) Health and Social Care programme at the University of Wales Trinity Saint David for their teaching, advice and encouragement throughout my studies. I would additionally like to acknowledge the university library staff and the resources they provided, which supported the completion of this systematic review.</w:t>
      </w:r>
    </w:p>
    <w:p w14:paraId="44BB0052" w14:textId="77777777" w:rsidR="00B63721" w:rsidRPr="00D45927" w:rsidRDefault="00B63721" w:rsidP="00B63721">
      <w:pPr>
        <w:spacing w:after="120"/>
        <w:rPr>
          <w:rFonts w:cs="Arial"/>
        </w:rPr>
      </w:pPr>
      <w:r w:rsidRPr="00D45927">
        <w:rPr>
          <w:rFonts w:cs="Arial"/>
        </w:rPr>
        <w:t>My heartfelt appreciation goes to my family and friends for their patience, understanding and continuous encouragement during this demanding academic journey. Their emotional support gave me the motivation and confidence to continue, particularly during challenging periods.</w:t>
      </w:r>
    </w:p>
    <w:p w14:paraId="55081E9B" w14:textId="77777777" w:rsidR="00B63721" w:rsidRPr="00D45927" w:rsidRDefault="00B63721" w:rsidP="00B63721">
      <w:pPr>
        <w:spacing w:after="120"/>
        <w:rPr>
          <w:rFonts w:cs="Arial"/>
        </w:rPr>
      </w:pPr>
      <w:r w:rsidRPr="00D45927">
        <w:rPr>
          <w:rFonts w:cs="Arial"/>
        </w:rPr>
        <w:t>Finally, I would like to acknowledge the researchers, practitioners and organisations whose published work contributed to this systematic review and strengthened my understanding of preventive interventions in adult social work practice.</w:t>
      </w:r>
    </w:p>
    <w:p w14:paraId="32DF89EC" w14:textId="77777777" w:rsidR="00B63721" w:rsidRPr="00D45927" w:rsidRDefault="00B63721" w:rsidP="00B63721">
      <w:pPr>
        <w:spacing w:after="120"/>
        <w:rPr>
          <w:rFonts w:cs="Arial"/>
        </w:rPr>
      </w:pPr>
    </w:p>
    <w:p w14:paraId="52CC7D3C" w14:textId="77777777" w:rsidR="00B63721" w:rsidRPr="00A2041D" w:rsidRDefault="00B63721" w:rsidP="000C1326">
      <w:pPr>
        <w:spacing w:after="120"/>
        <w:rPr>
          <w:rFonts w:cs="Arial"/>
        </w:rPr>
      </w:pPr>
    </w:p>
    <w:p w14:paraId="3861BF6E" w14:textId="77777777" w:rsidR="005C2C7A" w:rsidRPr="00A2041D" w:rsidRDefault="005C2C7A" w:rsidP="00A2041D">
      <w:pPr>
        <w:spacing w:after="120"/>
        <w:rPr>
          <w:rFonts w:cs="Arial"/>
        </w:rPr>
      </w:pPr>
    </w:p>
    <w:p w14:paraId="18F9B5CE" w14:textId="77777777" w:rsidR="005C2C7A" w:rsidRPr="003F2B6D"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b/>
          <w:sz w:val="24"/>
          <w:szCs w:val="24"/>
        </w:rPr>
      </w:pPr>
    </w:p>
    <w:p w14:paraId="3EC06751" w14:textId="77777777" w:rsidR="005C2C7A" w:rsidRPr="003F2B6D"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bCs/>
          <w:iCs/>
        </w:rPr>
      </w:pPr>
    </w:p>
    <w:p w14:paraId="76487334" w14:textId="77777777" w:rsidR="005C2C7A" w:rsidRPr="003F2B6D"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bCs/>
          <w:iCs/>
        </w:rPr>
      </w:pPr>
    </w:p>
    <w:p w14:paraId="5478777E" w14:textId="77777777" w:rsidR="005C2C7A" w:rsidRPr="003F2B6D"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bCs/>
          <w:iCs/>
        </w:rPr>
      </w:pPr>
    </w:p>
    <w:p w14:paraId="2C8D024E" w14:textId="77777777" w:rsidR="00B80583" w:rsidRDefault="00B80583" w:rsidP="00DA52F0">
      <w:pPr>
        <w:spacing w:after="120"/>
        <w:mirrorIndents/>
        <w:rPr>
          <w:rFonts w:eastAsia="Arial Unicode MS" w:cs="Arial"/>
          <w:b/>
          <w:sz w:val="28"/>
          <w:szCs w:val="28"/>
        </w:rPr>
      </w:pPr>
      <w:r>
        <w:rPr>
          <w:rFonts w:cs="Arial"/>
          <w:b/>
          <w:szCs w:val="28"/>
        </w:rPr>
        <w:br w:type="page"/>
      </w:r>
    </w:p>
    <w:p w14:paraId="389E2288" w14:textId="77777777" w:rsidR="003F3EB9" w:rsidRPr="000346A1" w:rsidRDefault="005C2C7A" w:rsidP="0050675C">
      <w:pPr>
        <w:pStyle w:val="Heading1"/>
        <w:keepNext/>
        <w:jc w:val="center"/>
        <w:rPr>
          <w:i/>
        </w:rPr>
      </w:pPr>
      <w:bookmarkStart w:id="2" w:name="_Toc236665525"/>
      <w:r w:rsidRPr="000346A1">
        <w:lastRenderedPageBreak/>
        <w:t>ABSTRACT</w:t>
      </w:r>
      <w:bookmarkEnd w:id="2"/>
    </w:p>
    <w:p w14:paraId="259F9E17" w14:textId="77777777" w:rsidR="00AA3F43" w:rsidRPr="00AA3F43" w:rsidRDefault="00AA3F43" w:rsidP="00102A87">
      <w:pPr>
        <w:spacing w:after="120"/>
        <w:rPr>
          <w:rFonts w:cs="Arial"/>
        </w:rPr>
      </w:pPr>
      <w:r w:rsidRPr="00AA3F43">
        <w:rPr>
          <w:rFonts w:cs="Arial"/>
        </w:rPr>
        <w:t>Preventive Interventions in Social Work Practice for Vulnerable Adults in the United Kingdom: A Systematic Review</w:t>
      </w:r>
    </w:p>
    <w:p w14:paraId="7780944C" w14:textId="77777777" w:rsidR="00AA3F43" w:rsidRPr="00AA3F43" w:rsidRDefault="00AA3F43" w:rsidP="00102A87">
      <w:pPr>
        <w:spacing w:after="120"/>
        <w:rPr>
          <w:rFonts w:cs="Arial"/>
        </w:rPr>
      </w:pPr>
      <w:r w:rsidRPr="00AA3F43">
        <w:rPr>
          <w:rFonts w:cs="Arial"/>
        </w:rPr>
        <w:t>Preventive interventions have become a central focus of adult social work in the United Kingdom because of increasing demand for health and social care services, population ageing, workforce shortages and financial pressures. National legislation, particularly the Care Act 2014, emphasises preventing, reducing or delaying the need for statutory care through strengths-based and person-centred approaches. However, uncertainty remains regarding the effectiveness of different preventive interventions and the factors influencing their successful implementation.</w:t>
      </w:r>
      <w:r>
        <w:rPr>
          <w:rFonts w:cs="Arial"/>
        </w:rPr>
        <w:t xml:space="preserve"> </w:t>
      </w:r>
      <w:r w:rsidRPr="00AA3F43">
        <w:rPr>
          <w:rFonts w:cs="Arial"/>
        </w:rPr>
        <w:t>This dissertation aimed to critically evaluate the effectiveness of preventive interventions in social work practice for vulnerable adults in the United Kingdom through a systematic review of contemporary literature.</w:t>
      </w:r>
      <w:r>
        <w:rPr>
          <w:rFonts w:cs="Arial"/>
        </w:rPr>
        <w:t xml:space="preserve"> </w:t>
      </w:r>
      <w:r w:rsidRPr="00AA3F43">
        <w:rPr>
          <w:rFonts w:cs="Arial"/>
        </w:rPr>
        <w:t>A qualitative systematic review methodology was adopted. Electronic searches were conducted using PubMed, PsycINFO, ProQuest, Google Scholar, the UWTSD Library and the British Education Index. Studies published between 2016 and 2026 were screened using predefined inclusion and exclusion criteria. Methodological quality was assessed using the Critical Appraisal Skills Programme (CASP), and findings were synthesised using thematic analysis.</w:t>
      </w:r>
    </w:p>
    <w:p w14:paraId="1AC60D71" w14:textId="77777777" w:rsidR="00AA3F43" w:rsidRPr="00AA3F43" w:rsidRDefault="00AA3F43" w:rsidP="00102A87">
      <w:pPr>
        <w:spacing w:after="120"/>
        <w:rPr>
          <w:rFonts w:cs="Arial"/>
        </w:rPr>
      </w:pPr>
      <w:r w:rsidRPr="00AA3F43">
        <w:rPr>
          <w:rFonts w:cs="Arial"/>
        </w:rPr>
        <w:t>Ten studies met the inclusion criteria. Six key themes emerged: strengths-based practice and empowerment; reablement and maintaining independence; community-based prevention and Local Area Coordination; social prescribing and reducing social isolation; safeguarding and early intervention; and barriers to implementing preventive interventions. Overall, the review found that preventive interventions improve wellbeing, promote independence and reduce reliance on crisis services. However, workforce shortages, financial pressures and inconsistent implementation continue to limit effectiveness.</w:t>
      </w:r>
      <w:r w:rsidR="000346A1">
        <w:rPr>
          <w:rFonts w:cs="Arial"/>
        </w:rPr>
        <w:t xml:space="preserve"> </w:t>
      </w:r>
      <w:r w:rsidRPr="00AA3F43">
        <w:rPr>
          <w:rFonts w:cs="Arial"/>
        </w:rPr>
        <w:t>The review concludes that preventive interventions are an essential component of contemporary UK adult social work. Greater investment, workforce development and integrated partnership working are required to maximise their effectiveness. Future research should focus on longitudinal evaluation and standardised outcome measures to strengthen the evidence base.</w:t>
      </w:r>
    </w:p>
    <w:p w14:paraId="3AFE55D5" w14:textId="77777777" w:rsidR="00AA3F43" w:rsidRPr="00AA3F43" w:rsidRDefault="00AA3F43" w:rsidP="00102A87">
      <w:pPr>
        <w:spacing w:after="120"/>
        <w:rPr>
          <w:rFonts w:cs="Arial"/>
        </w:rPr>
      </w:pPr>
      <w:r w:rsidRPr="00AA3F43">
        <w:rPr>
          <w:rFonts w:cs="Arial"/>
        </w:rPr>
        <w:t>Keywords: preventive interventions; adult social work; vulnerable adults; systematic review; strengths-based practice; reablement; social prescribing; safeguarding.</w:t>
      </w:r>
    </w:p>
    <w:p w14:paraId="4A2FA58B" w14:textId="77777777" w:rsidR="005C2C7A" w:rsidRPr="00AA3F43" w:rsidRDefault="005C2C7A" w:rsidP="00AA3F43">
      <w:pPr>
        <w:spacing w:after="120"/>
        <w:rPr>
          <w:rFonts w:cs="Arial"/>
        </w:rPr>
      </w:pPr>
    </w:p>
    <w:p w14:paraId="20EEA52F" w14:textId="77777777" w:rsidR="005C2C7A" w:rsidRPr="003F3EB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bCs/>
        </w:rPr>
      </w:pPr>
    </w:p>
    <w:p w14:paraId="7E43ADD3" w14:textId="77777777" w:rsidR="003F3EB9" w:rsidRPr="003F3EB9" w:rsidRDefault="003F3EB9"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bCs/>
        </w:rPr>
      </w:pPr>
    </w:p>
    <w:p w14:paraId="057068DF" w14:textId="77777777" w:rsidR="00981DB0" w:rsidRPr="001B48F9" w:rsidRDefault="00981DB0" w:rsidP="001B48F9">
      <w:pPr>
        <w:pStyle w:val="Heading1"/>
        <w:keepNext/>
        <w:rPr>
          <w:rFonts w:eastAsia="Times New Roman"/>
        </w:rPr>
      </w:pPr>
      <w:bookmarkStart w:id="3" w:name="_Toc536543204"/>
      <w:bookmarkStart w:id="4" w:name="_Toc536543433"/>
      <w:bookmarkStart w:id="5" w:name="_Toc15893759"/>
      <w:bookmarkStart w:id="6" w:name="_Toc299977276"/>
      <w:r w:rsidRPr="001B48F9">
        <w:lastRenderedPageBreak/>
        <w:t xml:space="preserve"> </w:t>
      </w:r>
      <w:bookmarkStart w:id="7" w:name="_Toc236665526"/>
      <w:r w:rsidR="007873F5">
        <w:t>Table of Contente</w:t>
      </w:r>
      <w:bookmarkEnd w:id="7"/>
    </w:p>
    <w:bookmarkEnd w:id="6" w:displacedByCustomXml="next"/>
    <w:bookmarkEnd w:id="5" w:displacedByCustomXml="next"/>
    <w:bookmarkEnd w:id="4" w:displacedByCustomXml="next"/>
    <w:bookmarkEnd w:id="3" w:displacedByCustomXml="next"/>
    <w:sdt>
      <w:sdtPr>
        <w:rPr>
          <w:rFonts w:ascii="Arial" w:eastAsia="Arial" w:hAnsi="Arial" w:cs="Calibri Light"/>
          <w:color w:val="auto"/>
          <w:sz w:val="22"/>
          <w:szCs w:val="22"/>
          <w:lang w:val="en-GB" w:eastAsia="en-GB" w:bidi="en-GB"/>
        </w:rPr>
        <w:id w:val="858471304"/>
        <w:docPartObj>
          <w:docPartGallery w:val="Table of Contents"/>
          <w:docPartUnique/>
        </w:docPartObj>
      </w:sdtPr>
      <w:sdtEndPr>
        <w:rPr>
          <w:b/>
          <w:bCs/>
          <w:noProof/>
        </w:rPr>
      </w:sdtEndPr>
      <w:sdtContent>
        <w:p w14:paraId="4473F82C" w14:textId="77777777" w:rsidR="00B25D7A" w:rsidRDefault="00B25D7A">
          <w:pPr>
            <w:pStyle w:val="TOCHeading"/>
          </w:pPr>
        </w:p>
        <w:p w14:paraId="291D3243" w14:textId="25C4AD31" w:rsidR="00D55106" w:rsidRDefault="00B25D7A">
          <w:pPr>
            <w:pStyle w:val="TOC1"/>
            <w:tabs>
              <w:tab w:val="right" w:leader="dot" w:pos="9016"/>
            </w:tabs>
            <w:rPr>
              <w:rFonts w:asciiTheme="minorHAnsi" w:eastAsiaTheme="minorEastAsia" w:hAnsiTheme="minorHAnsi" w:cstheme="minorBidi"/>
              <w:noProof/>
              <w:kern w:val="2"/>
              <w:sz w:val="24"/>
              <w:szCs w:val="24"/>
              <w:lang w:bidi="ar-SA"/>
              <w14:ligatures w14:val="standardContextual"/>
            </w:rPr>
          </w:pPr>
          <w:r>
            <w:fldChar w:fldCharType="begin"/>
          </w:r>
          <w:r>
            <w:instrText xml:space="preserve"> TOC \o "1-3" \h \z \u </w:instrText>
          </w:r>
          <w:r>
            <w:fldChar w:fldCharType="separate"/>
          </w:r>
          <w:hyperlink w:anchor="_Toc236665523" w:history="1">
            <w:r w:rsidR="00D55106" w:rsidRPr="00940014">
              <w:rPr>
                <w:rStyle w:val="Hyperlink"/>
                <w:noProof/>
              </w:rPr>
              <w:t>DECLARATION</w:t>
            </w:r>
            <w:r w:rsidR="00D55106">
              <w:rPr>
                <w:noProof/>
                <w:webHidden/>
              </w:rPr>
              <w:tab/>
            </w:r>
            <w:r w:rsidR="00D55106">
              <w:rPr>
                <w:noProof/>
                <w:webHidden/>
              </w:rPr>
              <w:fldChar w:fldCharType="begin"/>
            </w:r>
            <w:r w:rsidR="00D55106">
              <w:rPr>
                <w:noProof/>
                <w:webHidden/>
              </w:rPr>
              <w:instrText xml:space="preserve"> PAGEREF _Toc236665523 \h </w:instrText>
            </w:r>
            <w:r w:rsidR="00D55106">
              <w:rPr>
                <w:noProof/>
                <w:webHidden/>
              </w:rPr>
            </w:r>
            <w:r w:rsidR="00D55106">
              <w:rPr>
                <w:noProof/>
                <w:webHidden/>
              </w:rPr>
              <w:fldChar w:fldCharType="separate"/>
            </w:r>
            <w:r w:rsidR="00D55106">
              <w:rPr>
                <w:noProof/>
                <w:webHidden/>
              </w:rPr>
              <w:t>2</w:t>
            </w:r>
            <w:r w:rsidR="00D55106">
              <w:rPr>
                <w:noProof/>
                <w:webHidden/>
              </w:rPr>
              <w:fldChar w:fldCharType="end"/>
            </w:r>
          </w:hyperlink>
        </w:p>
        <w:p w14:paraId="601E0ACE" w14:textId="5934A8D1" w:rsidR="00D55106" w:rsidRDefault="00D55106">
          <w:pPr>
            <w:pStyle w:val="TOC1"/>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24" w:history="1">
            <w:r w:rsidRPr="00940014">
              <w:rPr>
                <w:rStyle w:val="Hyperlink"/>
                <w:noProof/>
              </w:rPr>
              <w:t>ACKNOWLEDGEMENTS</w:t>
            </w:r>
            <w:r>
              <w:rPr>
                <w:noProof/>
                <w:webHidden/>
              </w:rPr>
              <w:tab/>
            </w:r>
            <w:r>
              <w:rPr>
                <w:noProof/>
                <w:webHidden/>
              </w:rPr>
              <w:fldChar w:fldCharType="begin"/>
            </w:r>
            <w:r>
              <w:rPr>
                <w:noProof/>
                <w:webHidden/>
              </w:rPr>
              <w:instrText xml:space="preserve"> PAGEREF _Toc236665524 \h </w:instrText>
            </w:r>
            <w:r>
              <w:rPr>
                <w:noProof/>
                <w:webHidden/>
              </w:rPr>
            </w:r>
            <w:r>
              <w:rPr>
                <w:noProof/>
                <w:webHidden/>
              </w:rPr>
              <w:fldChar w:fldCharType="separate"/>
            </w:r>
            <w:r>
              <w:rPr>
                <w:noProof/>
                <w:webHidden/>
              </w:rPr>
              <w:t>4</w:t>
            </w:r>
            <w:r>
              <w:rPr>
                <w:noProof/>
                <w:webHidden/>
              </w:rPr>
              <w:fldChar w:fldCharType="end"/>
            </w:r>
          </w:hyperlink>
        </w:p>
        <w:p w14:paraId="7B917233" w14:textId="4D8FBA00" w:rsidR="00D55106" w:rsidRDefault="00D55106">
          <w:pPr>
            <w:pStyle w:val="TOC1"/>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25" w:history="1">
            <w:r w:rsidRPr="00940014">
              <w:rPr>
                <w:rStyle w:val="Hyperlink"/>
                <w:noProof/>
              </w:rPr>
              <w:t>ABSTRACT</w:t>
            </w:r>
            <w:r>
              <w:rPr>
                <w:noProof/>
                <w:webHidden/>
              </w:rPr>
              <w:tab/>
            </w:r>
            <w:r>
              <w:rPr>
                <w:noProof/>
                <w:webHidden/>
              </w:rPr>
              <w:fldChar w:fldCharType="begin"/>
            </w:r>
            <w:r>
              <w:rPr>
                <w:noProof/>
                <w:webHidden/>
              </w:rPr>
              <w:instrText xml:space="preserve"> PAGEREF _Toc236665525 \h </w:instrText>
            </w:r>
            <w:r>
              <w:rPr>
                <w:noProof/>
                <w:webHidden/>
              </w:rPr>
            </w:r>
            <w:r>
              <w:rPr>
                <w:noProof/>
                <w:webHidden/>
              </w:rPr>
              <w:fldChar w:fldCharType="separate"/>
            </w:r>
            <w:r>
              <w:rPr>
                <w:noProof/>
                <w:webHidden/>
              </w:rPr>
              <w:t>5</w:t>
            </w:r>
            <w:r>
              <w:rPr>
                <w:noProof/>
                <w:webHidden/>
              </w:rPr>
              <w:fldChar w:fldCharType="end"/>
            </w:r>
          </w:hyperlink>
        </w:p>
        <w:p w14:paraId="15D707EA" w14:textId="2038BD45" w:rsidR="00D55106" w:rsidRDefault="00D55106">
          <w:pPr>
            <w:pStyle w:val="TOC1"/>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26" w:history="1">
            <w:r w:rsidRPr="00940014">
              <w:rPr>
                <w:rStyle w:val="Hyperlink"/>
                <w:noProof/>
              </w:rPr>
              <w:t>Table of Contente</w:t>
            </w:r>
            <w:r>
              <w:rPr>
                <w:noProof/>
                <w:webHidden/>
              </w:rPr>
              <w:tab/>
            </w:r>
            <w:r>
              <w:rPr>
                <w:noProof/>
                <w:webHidden/>
              </w:rPr>
              <w:fldChar w:fldCharType="begin"/>
            </w:r>
            <w:r>
              <w:rPr>
                <w:noProof/>
                <w:webHidden/>
              </w:rPr>
              <w:instrText xml:space="preserve"> PAGEREF _Toc236665526 \h </w:instrText>
            </w:r>
            <w:r>
              <w:rPr>
                <w:noProof/>
                <w:webHidden/>
              </w:rPr>
            </w:r>
            <w:r>
              <w:rPr>
                <w:noProof/>
                <w:webHidden/>
              </w:rPr>
              <w:fldChar w:fldCharType="separate"/>
            </w:r>
            <w:r>
              <w:rPr>
                <w:noProof/>
                <w:webHidden/>
              </w:rPr>
              <w:t>6</w:t>
            </w:r>
            <w:r>
              <w:rPr>
                <w:noProof/>
                <w:webHidden/>
              </w:rPr>
              <w:fldChar w:fldCharType="end"/>
            </w:r>
          </w:hyperlink>
        </w:p>
        <w:p w14:paraId="7557595F" w14:textId="138730D9" w:rsidR="00D55106" w:rsidRDefault="00D55106">
          <w:pPr>
            <w:pStyle w:val="TOC1"/>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27" w:history="1">
            <w:r w:rsidRPr="00940014">
              <w:rPr>
                <w:rStyle w:val="Hyperlink"/>
                <w:noProof/>
              </w:rPr>
              <w:t>CHAPTER 1</w:t>
            </w:r>
            <w:r>
              <w:rPr>
                <w:noProof/>
                <w:webHidden/>
              </w:rPr>
              <w:tab/>
            </w:r>
            <w:r>
              <w:rPr>
                <w:noProof/>
                <w:webHidden/>
              </w:rPr>
              <w:fldChar w:fldCharType="begin"/>
            </w:r>
            <w:r>
              <w:rPr>
                <w:noProof/>
                <w:webHidden/>
              </w:rPr>
              <w:instrText xml:space="preserve"> PAGEREF _Toc236665527 \h </w:instrText>
            </w:r>
            <w:r>
              <w:rPr>
                <w:noProof/>
                <w:webHidden/>
              </w:rPr>
            </w:r>
            <w:r>
              <w:rPr>
                <w:noProof/>
                <w:webHidden/>
              </w:rPr>
              <w:fldChar w:fldCharType="separate"/>
            </w:r>
            <w:r>
              <w:rPr>
                <w:noProof/>
                <w:webHidden/>
              </w:rPr>
              <w:t>8</w:t>
            </w:r>
            <w:r>
              <w:rPr>
                <w:noProof/>
                <w:webHidden/>
              </w:rPr>
              <w:fldChar w:fldCharType="end"/>
            </w:r>
          </w:hyperlink>
        </w:p>
        <w:p w14:paraId="330C88A6" w14:textId="2713F1B9"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28" w:history="1">
            <w:r w:rsidRPr="00940014">
              <w:rPr>
                <w:rStyle w:val="Hyperlink"/>
                <w:noProof/>
              </w:rPr>
              <w:t>1.1 Introduction</w:t>
            </w:r>
            <w:r>
              <w:rPr>
                <w:noProof/>
                <w:webHidden/>
              </w:rPr>
              <w:tab/>
            </w:r>
            <w:r>
              <w:rPr>
                <w:noProof/>
                <w:webHidden/>
              </w:rPr>
              <w:fldChar w:fldCharType="begin"/>
            </w:r>
            <w:r>
              <w:rPr>
                <w:noProof/>
                <w:webHidden/>
              </w:rPr>
              <w:instrText xml:space="preserve"> PAGEREF _Toc236665528 \h </w:instrText>
            </w:r>
            <w:r>
              <w:rPr>
                <w:noProof/>
                <w:webHidden/>
              </w:rPr>
            </w:r>
            <w:r>
              <w:rPr>
                <w:noProof/>
                <w:webHidden/>
              </w:rPr>
              <w:fldChar w:fldCharType="separate"/>
            </w:r>
            <w:r>
              <w:rPr>
                <w:noProof/>
                <w:webHidden/>
              </w:rPr>
              <w:t>8</w:t>
            </w:r>
            <w:r>
              <w:rPr>
                <w:noProof/>
                <w:webHidden/>
              </w:rPr>
              <w:fldChar w:fldCharType="end"/>
            </w:r>
          </w:hyperlink>
        </w:p>
        <w:p w14:paraId="02E31AF4" w14:textId="327E7D33"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29" w:history="1">
            <w:r w:rsidRPr="00940014">
              <w:rPr>
                <w:rStyle w:val="Hyperlink"/>
                <w:noProof/>
              </w:rPr>
              <w:t>1.2 Definition of the Main Concepts of the Study</w:t>
            </w:r>
            <w:r>
              <w:rPr>
                <w:noProof/>
                <w:webHidden/>
              </w:rPr>
              <w:tab/>
            </w:r>
            <w:r>
              <w:rPr>
                <w:noProof/>
                <w:webHidden/>
              </w:rPr>
              <w:fldChar w:fldCharType="begin"/>
            </w:r>
            <w:r>
              <w:rPr>
                <w:noProof/>
                <w:webHidden/>
              </w:rPr>
              <w:instrText xml:space="preserve"> PAGEREF _Toc236665529 \h </w:instrText>
            </w:r>
            <w:r>
              <w:rPr>
                <w:noProof/>
                <w:webHidden/>
              </w:rPr>
            </w:r>
            <w:r>
              <w:rPr>
                <w:noProof/>
                <w:webHidden/>
              </w:rPr>
              <w:fldChar w:fldCharType="separate"/>
            </w:r>
            <w:r>
              <w:rPr>
                <w:noProof/>
                <w:webHidden/>
              </w:rPr>
              <w:t>9</w:t>
            </w:r>
            <w:r>
              <w:rPr>
                <w:noProof/>
                <w:webHidden/>
              </w:rPr>
              <w:fldChar w:fldCharType="end"/>
            </w:r>
          </w:hyperlink>
        </w:p>
        <w:p w14:paraId="5D8DC387" w14:textId="4624BAF8"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30" w:history="1">
            <w:r w:rsidRPr="00940014">
              <w:rPr>
                <w:rStyle w:val="Hyperlink"/>
                <w:rFonts w:cs="Arial"/>
                <w:bCs/>
                <w:noProof/>
              </w:rPr>
              <w:t>1.3 Rationale of the study</w:t>
            </w:r>
            <w:r>
              <w:rPr>
                <w:noProof/>
                <w:webHidden/>
              </w:rPr>
              <w:tab/>
            </w:r>
            <w:r>
              <w:rPr>
                <w:noProof/>
                <w:webHidden/>
              </w:rPr>
              <w:fldChar w:fldCharType="begin"/>
            </w:r>
            <w:r>
              <w:rPr>
                <w:noProof/>
                <w:webHidden/>
              </w:rPr>
              <w:instrText xml:space="preserve"> PAGEREF _Toc236665530 \h </w:instrText>
            </w:r>
            <w:r>
              <w:rPr>
                <w:noProof/>
                <w:webHidden/>
              </w:rPr>
            </w:r>
            <w:r>
              <w:rPr>
                <w:noProof/>
                <w:webHidden/>
              </w:rPr>
              <w:fldChar w:fldCharType="separate"/>
            </w:r>
            <w:r>
              <w:rPr>
                <w:noProof/>
                <w:webHidden/>
              </w:rPr>
              <w:t>10</w:t>
            </w:r>
            <w:r>
              <w:rPr>
                <w:noProof/>
                <w:webHidden/>
              </w:rPr>
              <w:fldChar w:fldCharType="end"/>
            </w:r>
          </w:hyperlink>
        </w:p>
        <w:p w14:paraId="2292F76D" w14:textId="5D8E73A9"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31" w:history="1">
            <w:r w:rsidRPr="00940014">
              <w:rPr>
                <w:rStyle w:val="Hyperlink"/>
                <w:rFonts w:cs="Arial"/>
                <w:bCs/>
                <w:noProof/>
              </w:rPr>
              <w:t>1.4 Aim of the Study</w:t>
            </w:r>
            <w:r>
              <w:rPr>
                <w:noProof/>
                <w:webHidden/>
              </w:rPr>
              <w:tab/>
            </w:r>
            <w:r>
              <w:rPr>
                <w:noProof/>
                <w:webHidden/>
              </w:rPr>
              <w:fldChar w:fldCharType="begin"/>
            </w:r>
            <w:r>
              <w:rPr>
                <w:noProof/>
                <w:webHidden/>
              </w:rPr>
              <w:instrText xml:space="preserve"> PAGEREF _Toc236665531 \h </w:instrText>
            </w:r>
            <w:r>
              <w:rPr>
                <w:noProof/>
                <w:webHidden/>
              </w:rPr>
            </w:r>
            <w:r>
              <w:rPr>
                <w:noProof/>
                <w:webHidden/>
              </w:rPr>
              <w:fldChar w:fldCharType="separate"/>
            </w:r>
            <w:r>
              <w:rPr>
                <w:noProof/>
                <w:webHidden/>
              </w:rPr>
              <w:t>11</w:t>
            </w:r>
            <w:r>
              <w:rPr>
                <w:noProof/>
                <w:webHidden/>
              </w:rPr>
              <w:fldChar w:fldCharType="end"/>
            </w:r>
          </w:hyperlink>
        </w:p>
        <w:p w14:paraId="7B2AD1DB" w14:textId="11C5B7ED"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32" w:history="1">
            <w:r w:rsidRPr="00940014">
              <w:rPr>
                <w:rStyle w:val="Hyperlink"/>
                <w:rFonts w:cs="Arial"/>
                <w:noProof/>
              </w:rPr>
              <w:t>Research Question</w:t>
            </w:r>
            <w:r>
              <w:rPr>
                <w:noProof/>
                <w:webHidden/>
              </w:rPr>
              <w:tab/>
            </w:r>
            <w:r>
              <w:rPr>
                <w:noProof/>
                <w:webHidden/>
              </w:rPr>
              <w:fldChar w:fldCharType="begin"/>
            </w:r>
            <w:r>
              <w:rPr>
                <w:noProof/>
                <w:webHidden/>
              </w:rPr>
              <w:instrText xml:space="preserve"> PAGEREF _Toc236665532 \h </w:instrText>
            </w:r>
            <w:r>
              <w:rPr>
                <w:noProof/>
                <w:webHidden/>
              </w:rPr>
            </w:r>
            <w:r>
              <w:rPr>
                <w:noProof/>
                <w:webHidden/>
              </w:rPr>
              <w:fldChar w:fldCharType="separate"/>
            </w:r>
            <w:r>
              <w:rPr>
                <w:noProof/>
                <w:webHidden/>
              </w:rPr>
              <w:t>11</w:t>
            </w:r>
            <w:r>
              <w:rPr>
                <w:noProof/>
                <w:webHidden/>
              </w:rPr>
              <w:fldChar w:fldCharType="end"/>
            </w:r>
          </w:hyperlink>
        </w:p>
        <w:p w14:paraId="34C1C6C7" w14:textId="19C69BF7"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33" w:history="1">
            <w:r w:rsidRPr="00940014">
              <w:rPr>
                <w:rStyle w:val="Hyperlink"/>
                <w:rFonts w:cs="Arial"/>
                <w:bCs/>
                <w:noProof/>
              </w:rPr>
              <w:t>1.5 Objectives of the Study</w:t>
            </w:r>
            <w:r>
              <w:rPr>
                <w:noProof/>
                <w:webHidden/>
              </w:rPr>
              <w:tab/>
            </w:r>
            <w:r>
              <w:rPr>
                <w:noProof/>
                <w:webHidden/>
              </w:rPr>
              <w:fldChar w:fldCharType="begin"/>
            </w:r>
            <w:r>
              <w:rPr>
                <w:noProof/>
                <w:webHidden/>
              </w:rPr>
              <w:instrText xml:space="preserve"> PAGEREF _Toc236665533 \h </w:instrText>
            </w:r>
            <w:r>
              <w:rPr>
                <w:noProof/>
                <w:webHidden/>
              </w:rPr>
            </w:r>
            <w:r>
              <w:rPr>
                <w:noProof/>
                <w:webHidden/>
              </w:rPr>
              <w:fldChar w:fldCharType="separate"/>
            </w:r>
            <w:r>
              <w:rPr>
                <w:noProof/>
                <w:webHidden/>
              </w:rPr>
              <w:t>11</w:t>
            </w:r>
            <w:r>
              <w:rPr>
                <w:noProof/>
                <w:webHidden/>
              </w:rPr>
              <w:fldChar w:fldCharType="end"/>
            </w:r>
          </w:hyperlink>
        </w:p>
        <w:p w14:paraId="08F3A2D4" w14:textId="6022CB9F"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34" w:history="1">
            <w:r w:rsidRPr="00940014">
              <w:rPr>
                <w:rStyle w:val="Hyperlink"/>
                <w:rFonts w:cs="Arial"/>
                <w:bCs/>
                <w:noProof/>
              </w:rPr>
              <w:t>1.6 Structure of the Dissertation</w:t>
            </w:r>
            <w:r>
              <w:rPr>
                <w:noProof/>
                <w:webHidden/>
              </w:rPr>
              <w:tab/>
            </w:r>
            <w:r>
              <w:rPr>
                <w:noProof/>
                <w:webHidden/>
              </w:rPr>
              <w:fldChar w:fldCharType="begin"/>
            </w:r>
            <w:r>
              <w:rPr>
                <w:noProof/>
                <w:webHidden/>
              </w:rPr>
              <w:instrText xml:space="preserve"> PAGEREF _Toc236665534 \h </w:instrText>
            </w:r>
            <w:r>
              <w:rPr>
                <w:noProof/>
                <w:webHidden/>
              </w:rPr>
            </w:r>
            <w:r>
              <w:rPr>
                <w:noProof/>
                <w:webHidden/>
              </w:rPr>
              <w:fldChar w:fldCharType="separate"/>
            </w:r>
            <w:r>
              <w:rPr>
                <w:noProof/>
                <w:webHidden/>
              </w:rPr>
              <w:t>12</w:t>
            </w:r>
            <w:r>
              <w:rPr>
                <w:noProof/>
                <w:webHidden/>
              </w:rPr>
              <w:fldChar w:fldCharType="end"/>
            </w:r>
          </w:hyperlink>
        </w:p>
        <w:p w14:paraId="05BA4D07" w14:textId="0CB37AD3" w:rsidR="00D55106" w:rsidRDefault="00D55106">
          <w:pPr>
            <w:pStyle w:val="TOC1"/>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35" w:history="1">
            <w:r w:rsidRPr="00940014">
              <w:rPr>
                <w:rStyle w:val="Hyperlink"/>
                <w:noProof/>
              </w:rPr>
              <w:t>CHAPTER 2: BACKGROUND</w:t>
            </w:r>
            <w:r>
              <w:rPr>
                <w:noProof/>
                <w:webHidden/>
              </w:rPr>
              <w:tab/>
            </w:r>
            <w:r>
              <w:rPr>
                <w:noProof/>
                <w:webHidden/>
              </w:rPr>
              <w:fldChar w:fldCharType="begin"/>
            </w:r>
            <w:r>
              <w:rPr>
                <w:noProof/>
                <w:webHidden/>
              </w:rPr>
              <w:instrText xml:space="preserve"> PAGEREF _Toc236665535 \h </w:instrText>
            </w:r>
            <w:r>
              <w:rPr>
                <w:noProof/>
                <w:webHidden/>
              </w:rPr>
            </w:r>
            <w:r>
              <w:rPr>
                <w:noProof/>
                <w:webHidden/>
              </w:rPr>
              <w:fldChar w:fldCharType="separate"/>
            </w:r>
            <w:r>
              <w:rPr>
                <w:noProof/>
                <w:webHidden/>
              </w:rPr>
              <w:t>13</w:t>
            </w:r>
            <w:r>
              <w:rPr>
                <w:noProof/>
                <w:webHidden/>
              </w:rPr>
              <w:fldChar w:fldCharType="end"/>
            </w:r>
          </w:hyperlink>
        </w:p>
        <w:p w14:paraId="5729A6E3" w14:textId="0CF5A771"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36" w:history="1">
            <w:r w:rsidRPr="00940014">
              <w:rPr>
                <w:rStyle w:val="Hyperlink"/>
                <w:rFonts w:cs="Arial"/>
                <w:bCs/>
                <w:noProof/>
              </w:rPr>
              <w:t>2.1 Introduction</w:t>
            </w:r>
            <w:r>
              <w:rPr>
                <w:noProof/>
                <w:webHidden/>
              </w:rPr>
              <w:tab/>
            </w:r>
            <w:r>
              <w:rPr>
                <w:noProof/>
                <w:webHidden/>
              </w:rPr>
              <w:fldChar w:fldCharType="begin"/>
            </w:r>
            <w:r>
              <w:rPr>
                <w:noProof/>
                <w:webHidden/>
              </w:rPr>
              <w:instrText xml:space="preserve"> PAGEREF _Toc236665536 \h </w:instrText>
            </w:r>
            <w:r>
              <w:rPr>
                <w:noProof/>
                <w:webHidden/>
              </w:rPr>
            </w:r>
            <w:r>
              <w:rPr>
                <w:noProof/>
                <w:webHidden/>
              </w:rPr>
              <w:fldChar w:fldCharType="separate"/>
            </w:r>
            <w:r>
              <w:rPr>
                <w:noProof/>
                <w:webHidden/>
              </w:rPr>
              <w:t>13</w:t>
            </w:r>
            <w:r>
              <w:rPr>
                <w:noProof/>
                <w:webHidden/>
              </w:rPr>
              <w:fldChar w:fldCharType="end"/>
            </w:r>
          </w:hyperlink>
        </w:p>
        <w:p w14:paraId="73F425C8" w14:textId="7DA5FF81"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37" w:history="1">
            <w:r w:rsidRPr="00940014">
              <w:rPr>
                <w:rStyle w:val="Hyperlink"/>
                <w:noProof/>
              </w:rPr>
              <w:t>2.2 Historical Background</w:t>
            </w:r>
            <w:r>
              <w:rPr>
                <w:noProof/>
                <w:webHidden/>
              </w:rPr>
              <w:tab/>
            </w:r>
            <w:r>
              <w:rPr>
                <w:noProof/>
                <w:webHidden/>
              </w:rPr>
              <w:fldChar w:fldCharType="begin"/>
            </w:r>
            <w:r>
              <w:rPr>
                <w:noProof/>
                <w:webHidden/>
              </w:rPr>
              <w:instrText xml:space="preserve"> PAGEREF _Toc236665537 \h </w:instrText>
            </w:r>
            <w:r>
              <w:rPr>
                <w:noProof/>
                <w:webHidden/>
              </w:rPr>
            </w:r>
            <w:r>
              <w:rPr>
                <w:noProof/>
                <w:webHidden/>
              </w:rPr>
              <w:fldChar w:fldCharType="separate"/>
            </w:r>
            <w:r>
              <w:rPr>
                <w:noProof/>
                <w:webHidden/>
              </w:rPr>
              <w:t>13</w:t>
            </w:r>
            <w:r>
              <w:rPr>
                <w:noProof/>
                <w:webHidden/>
              </w:rPr>
              <w:fldChar w:fldCharType="end"/>
            </w:r>
          </w:hyperlink>
        </w:p>
        <w:p w14:paraId="785A6942" w14:textId="370D410C"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38" w:history="1">
            <w:r w:rsidRPr="00940014">
              <w:rPr>
                <w:rStyle w:val="Hyperlink"/>
                <w:noProof/>
              </w:rPr>
              <w:t>2.3 Theoretical Background</w:t>
            </w:r>
            <w:r>
              <w:rPr>
                <w:noProof/>
                <w:webHidden/>
              </w:rPr>
              <w:tab/>
            </w:r>
            <w:r>
              <w:rPr>
                <w:noProof/>
                <w:webHidden/>
              </w:rPr>
              <w:fldChar w:fldCharType="begin"/>
            </w:r>
            <w:r>
              <w:rPr>
                <w:noProof/>
                <w:webHidden/>
              </w:rPr>
              <w:instrText xml:space="preserve"> PAGEREF _Toc236665538 \h </w:instrText>
            </w:r>
            <w:r>
              <w:rPr>
                <w:noProof/>
                <w:webHidden/>
              </w:rPr>
            </w:r>
            <w:r>
              <w:rPr>
                <w:noProof/>
                <w:webHidden/>
              </w:rPr>
              <w:fldChar w:fldCharType="separate"/>
            </w:r>
            <w:r>
              <w:rPr>
                <w:noProof/>
                <w:webHidden/>
              </w:rPr>
              <w:t>14</w:t>
            </w:r>
            <w:r>
              <w:rPr>
                <w:noProof/>
                <w:webHidden/>
              </w:rPr>
              <w:fldChar w:fldCharType="end"/>
            </w:r>
          </w:hyperlink>
        </w:p>
        <w:p w14:paraId="3F84EFB4" w14:textId="1A08D463"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39" w:history="1">
            <w:r w:rsidRPr="00940014">
              <w:rPr>
                <w:rStyle w:val="Hyperlink"/>
                <w:noProof/>
              </w:rPr>
              <w:t>2.4 International Context</w:t>
            </w:r>
            <w:r>
              <w:rPr>
                <w:noProof/>
                <w:webHidden/>
              </w:rPr>
              <w:tab/>
            </w:r>
            <w:r>
              <w:rPr>
                <w:noProof/>
                <w:webHidden/>
              </w:rPr>
              <w:fldChar w:fldCharType="begin"/>
            </w:r>
            <w:r>
              <w:rPr>
                <w:noProof/>
                <w:webHidden/>
              </w:rPr>
              <w:instrText xml:space="preserve"> PAGEREF _Toc236665539 \h </w:instrText>
            </w:r>
            <w:r>
              <w:rPr>
                <w:noProof/>
                <w:webHidden/>
              </w:rPr>
            </w:r>
            <w:r>
              <w:rPr>
                <w:noProof/>
                <w:webHidden/>
              </w:rPr>
              <w:fldChar w:fldCharType="separate"/>
            </w:r>
            <w:r>
              <w:rPr>
                <w:noProof/>
                <w:webHidden/>
              </w:rPr>
              <w:t>15</w:t>
            </w:r>
            <w:r>
              <w:rPr>
                <w:noProof/>
                <w:webHidden/>
              </w:rPr>
              <w:fldChar w:fldCharType="end"/>
            </w:r>
          </w:hyperlink>
        </w:p>
        <w:p w14:paraId="69ECA76D" w14:textId="2EFD7629"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40" w:history="1">
            <w:r w:rsidRPr="00940014">
              <w:rPr>
                <w:rStyle w:val="Hyperlink"/>
                <w:noProof/>
              </w:rPr>
              <w:t>2.5 National/Local Context</w:t>
            </w:r>
            <w:r>
              <w:rPr>
                <w:noProof/>
                <w:webHidden/>
              </w:rPr>
              <w:tab/>
            </w:r>
            <w:r>
              <w:rPr>
                <w:noProof/>
                <w:webHidden/>
              </w:rPr>
              <w:fldChar w:fldCharType="begin"/>
            </w:r>
            <w:r>
              <w:rPr>
                <w:noProof/>
                <w:webHidden/>
              </w:rPr>
              <w:instrText xml:space="preserve"> PAGEREF _Toc236665540 \h </w:instrText>
            </w:r>
            <w:r>
              <w:rPr>
                <w:noProof/>
                <w:webHidden/>
              </w:rPr>
            </w:r>
            <w:r>
              <w:rPr>
                <w:noProof/>
                <w:webHidden/>
              </w:rPr>
              <w:fldChar w:fldCharType="separate"/>
            </w:r>
            <w:r>
              <w:rPr>
                <w:noProof/>
                <w:webHidden/>
              </w:rPr>
              <w:t>16</w:t>
            </w:r>
            <w:r>
              <w:rPr>
                <w:noProof/>
                <w:webHidden/>
              </w:rPr>
              <w:fldChar w:fldCharType="end"/>
            </w:r>
          </w:hyperlink>
        </w:p>
        <w:p w14:paraId="36DFF509" w14:textId="4EB56E91"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41" w:history="1">
            <w:r w:rsidRPr="00940014">
              <w:rPr>
                <w:rStyle w:val="Hyperlink"/>
                <w:noProof/>
              </w:rPr>
              <w:t>2.6 Chapter Summary</w:t>
            </w:r>
            <w:r>
              <w:rPr>
                <w:noProof/>
                <w:webHidden/>
              </w:rPr>
              <w:tab/>
            </w:r>
            <w:r>
              <w:rPr>
                <w:noProof/>
                <w:webHidden/>
              </w:rPr>
              <w:fldChar w:fldCharType="begin"/>
            </w:r>
            <w:r>
              <w:rPr>
                <w:noProof/>
                <w:webHidden/>
              </w:rPr>
              <w:instrText xml:space="preserve"> PAGEREF _Toc236665541 \h </w:instrText>
            </w:r>
            <w:r>
              <w:rPr>
                <w:noProof/>
                <w:webHidden/>
              </w:rPr>
            </w:r>
            <w:r>
              <w:rPr>
                <w:noProof/>
                <w:webHidden/>
              </w:rPr>
              <w:fldChar w:fldCharType="separate"/>
            </w:r>
            <w:r>
              <w:rPr>
                <w:noProof/>
                <w:webHidden/>
              </w:rPr>
              <w:t>18</w:t>
            </w:r>
            <w:r>
              <w:rPr>
                <w:noProof/>
                <w:webHidden/>
              </w:rPr>
              <w:fldChar w:fldCharType="end"/>
            </w:r>
          </w:hyperlink>
        </w:p>
        <w:p w14:paraId="48C83E73" w14:textId="6B8DC1E3" w:rsidR="00D55106" w:rsidRDefault="00D55106">
          <w:pPr>
            <w:pStyle w:val="TOC1"/>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42" w:history="1">
            <w:r w:rsidRPr="00940014">
              <w:rPr>
                <w:rStyle w:val="Hyperlink"/>
                <w:noProof/>
              </w:rPr>
              <w:t>CHAPTER 3: METHODS</w:t>
            </w:r>
            <w:r>
              <w:rPr>
                <w:noProof/>
                <w:webHidden/>
              </w:rPr>
              <w:tab/>
            </w:r>
            <w:r>
              <w:rPr>
                <w:noProof/>
                <w:webHidden/>
              </w:rPr>
              <w:fldChar w:fldCharType="begin"/>
            </w:r>
            <w:r>
              <w:rPr>
                <w:noProof/>
                <w:webHidden/>
              </w:rPr>
              <w:instrText xml:space="preserve"> PAGEREF _Toc236665542 \h </w:instrText>
            </w:r>
            <w:r>
              <w:rPr>
                <w:noProof/>
                <w:webHidden/>
              </w:rPr>
            </w:r>
            <w:r>
              <w:rPr>
                <w:noProof/>
                <w:webHidden/>
              </w:rPr>
              <w:fldChar w:fldCharType="separate"/>
            </w:r>
            <w:r>
              <w:rPr>
                <w:noProof/>
                <w:webHidden/>
              </w:rPr>
              <w:t>19</w:t>
            </w:r>
            <w:r>
              <w:rPr>
                <w:noProof/>
                <w:webHidden/>
              </w:rPr>
              <w:fldChar w:fldCharType="end"/>
            </w:r>
          </w:hyperlink>
        </w:p>
        <w:p w14:paraId="451095FF" w14:textId="0C606888"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43" w:history="1">
            <w:r w:rsidRPr="00940014">
              <w:rPr>
                <w:rStyle w:val="Hyperlink"/>
                <w:rFonts w:cs="Arial"/>
                <w:bCs/>
                <w:noProof/>
              </w:rPr>
              <w:t>3.1 Introduction</w:t>
            </w:r>
            <w:r>
              <w:rPr>
                <w:noProof/>
                <w:webHidden/>
              </w:rPr>
              <w:tab/>
            </w:r>
            <w:r>
              <w:rPr>
                <w:noProof/>
                <w:webHidden/>
              </w:rPr>
              <w:fldChar w:fldCharType="begin"/>
            </w:r>
            <w:r>
              <w:rPr>
                <w:noProof/>
                <w:webHidden/>
              </w:rPr>
              <w:instrText xml:space="preserve"> PAGEREF _Toc236665543 \h </w:instrText>
            </w:r>
            <w:r>
              <w:rPr>
                <w:noProof/>
                <w:webHidden/>
              </w:rPr>
            </w:r>
            <w:r>
              <w:rPr>
                <w:noProof/>
                <w:webHidden/>
              </w:rPr>
              <w:fldChar w:fldCharType="separate"/>
            </w:r>
            <w:r>
              <w:rPr>
                <w:noProof/>
                <w:webHidden/>
              </w:rPr>
              <w:t>19</w:t>
            </w:r>
            <w:r>
              <w:rPr>
                <w:noProof/>
                <w:webHidden/>
              </w:rPr>
              <w:fldChar w:fldCharType="end"/>
            </w:r>
          </w:hyperlink>
        </w:p>
        <w:p w14:paraId="285737C6" w14:textId="5DBE2397"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44" w:history="1">
            <w:r w:rsidRPr="00940014">
              <w:rPr>
                <w:rStyle w:val="Hyperlink"/>
                <w:rFonts w:cs="Arial"/>
                <w:bCs/>
                <w:noProof/>
              </w:rPr>
              <w:t>3.2 Research Design</w:t>
            </w:r>
            <w:r>
              <w:rPr>
                <w:noProof/>
                <w:webHidden/>
              </w:rPr>
              <w:tab/>
            </w:r>
            <w:r>
              <w:rPr>
                <w:noProof/>
                <w:webHidden/>
              </w:rPr>
              <w:fldChar w:fldCharType="begin"/>
            </w:r>
            <w:r>
              <w:rPr>
                <w:noProof/>
                <w:webHidden/>
              </w:rPr>
              <w:instrText xml:space="preserve"> PAGEREF _Toc236665544 \h </w:instrText>
            </w:r>
            <w:r>
              <w:rPr>
                <w:noProof/>
                <w:webHidden/>
              </w:rPr>
            </w:r>
            <w:r>
              <w:rPr>
                <w:noProof/>
                <w:webHidden/>
              </w:rPr>
              <w:fldChar w:fldCharType="separate"/>
            </w:r>
            <w:r>
              <w:rPr>
                <w:noProof/>
                <w:webHidden/>
              </w:rPr>
              <w:t>19</w:t>
            </w:r>
            <w:r>
              <w:rPr>
                <w:noProof/>
                <w:webHidden/>
              </w:rPr>
              <w:fldChar w:fldCharType="end"/>
            </w:r>
          </w:hyperlink>
        </w:p>
        <w:p w14:paraId="35035C21" w14:textId="51B4B1EE"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45" w:history="1">
            <w:r w:rsidRPr="00940014">
              <w:rPr>
                <w:rStyle w:val="Hyperlink"/>
                <w:rFonts w:cs="Arial"/>
                <w:bCs/>
                <w:noProof/>
              </w:rPr>
              <w:t>3.3 Search Strategy</w:t>
            </w:r>
            <w:r>
              <w:rPr>
                <w:noProof/>
                <w:webHidden/>
              </w:rPr>
              <w:tab/>
            </w:r>
            <w:r>
              <w:rPr>
                <w:noProof/>
                <w:webHidden/>
              </w:rPr>
              <w:fldChar w:fldCharType="begin"/>
            </w:r>
            <w:r>
              <w:rPr>
                <w:noProof/>
                <w:webHidden/>
              </w:rPr>
              <w:instrText xml:space="preserve"> PAGEREF _Toc236665545 \h </w:instrText>
            </w:r>
            <w:r>
              <w:rPr>
                <w:noProof/>
                <w:webHidden/>
              </w:rPr>
            </w:r>
            <w:r>
              <w:rPr>
                <w:noProof/>
                <w:webHidden/>
              </w:rPr>
              <w:fldChar w:fldCharType="separate"/>
            </w:r>
            <w:r>
              <w:rPr>
                <w:noProof/>
                <w:webHidden/>
              </w:rPr>
              <w:t>20</w:t>
            </w:r>
            <w:r>
              <w:rPr>
                <w:noProof/>
                <w:webHidden/>
              </w:rPr>
              <w:fldChar w:fldCharType="end"/>
            </w:r>
          </w:hyperlink>
        </w:p>
        <w:p w14:paraId="5CF2367A" w14:textId="4E8B49BC"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46" w:history="1">
            <w:r w:rsidRPr="00940014">
              <w:rPr>
                <w:rStyle w:val="Hyperlink"/>
                <w:rFonts w:cs="Arial"/>
                <w:bCs/>
                <w:noProof/>
              </w:rPr>
              <w:t>3.4 Inclusion and Exclusion Criteria</w:t>
            </w:r>
            <w:r>
              <w:rPr>
                <w:noProof/>
                <w:webHidden/>
              </w:rPr>
              <w:tab/>
            </w:r>
            <w:r>
              <w:rPr>
                <w:noProof/>
                <w:webHidden/>
              </w:rPr>
              <w:fldChar w:fldCharType="begin"/>
            </w:r>
            <w:r>
              <w:rPr>
                <w:noProof/>
                <w:webHidden/>
              </w:rPr>
              <w:instrText xml:space="preserve"> PAGEREF _Toc236665546 \h </w:instrText>
            </w:r>
            <w:r>
              <w:rPr>
                <w:noProof/>
                <w:webHidden/>
              </w:rPr>
            </w:r>
            <w:r>
              <w:rPr>
                <w:noProof/>
                <w:webHidden/>
              </w:rPr>
              <w:fldChar w:fldCharType="separate"/>
            </w:r>
            <w:r>
              <w:rPr>
                <w:noProof/>
                <w:webHidden/>
              </w:rPr>
              <w:t>20</w:t>
            </w:r>
            <w:r>
              <w:rPr>
                <w:noProof/>
                <w:webHidden/>
              </w:rPr>
              <w:fldChar w:fldCharType="end"/>
            </w:r>
          </w:hyperlink>
        </w:p>
        <w:p w14:paraId="5320D404" w14:textId="08ED5A92"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47" w:history="1">
            <w:r w:rsidRPr="00940014">
              <w:rPr>
                <w:rStyle w:val="Hyperlink"/>
                <w:rFonts w:cs="Arial"/>
                <w:bCs/>
                <w:noProof/>
              </w:rPr>
              <w:t>Inclusion Criteria:</w:t>
            </w:r>
            <w:r>
              <w:rPr>
                <w:noProof/>
                <w:webHidden/>
              </w:rPr>
              <w:tab/>
            </w:r>
            <w:r>
              <w:rPr>
                <w:noProof/>
                <w:webHidden/>
              </w:rPr>
              <w:fldChar w:fldCharType="begin"/>
            </w:r>
            <w:r>
              <w:rPr>
                <w:noProof/>
                <w:webHidden/>
              </w:rPr>
              <w:instrText xml:space="preserve"> PAGEREF _Toc236665547 \h </w:instrText>
            </w:r>
            <w:r>
              <w:rPr>
                <w:noProof/>
                <w:webHidden/>
              </w:rPr>
            </w:r>
            <w:r>
              <w:rPr>
                <w:noProof/>
                <w:webHidden/>
              </w:rPr>
              <w:fldChar w:fldCharType="separate"/>
            </w:r>
            <w:r>
              <w:rPr>
                <w:noProof/>
                <w:webHidden/>
              </w:rPr>
              <w:t>20</w:t>
            </w:r>
            <w:r>
              <w:rPr>
                <w:noProof/>
                <w:webHidden/>
              </w:rPr>
              <w:fldChar w:fldCharType="end"/>
            </w:r>
          </w:hyperlink>
        </w:p>
        <w:p w14:paraId="2D72744C" w14:textId="7AB2BBED"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48" w:history="1">
            <w:r w:rsidRPr="00940014">
              <w:rPr>
                <w:rStyle w:val="Hyperlink"/>
                <w:rFonts w:cs="Arial"/>
                <w:bCs/>
                <w:noProof/>
              </w:rPr>
              <w:t>Exclusion Criteria</w:t>
            </w:r>
            <w:r>
              <w:rPr>
                <w:noProof/>
                <w:webHidden/>
              </w:rPr>
              <w:tab/>
            </w:r>
            <w:r>
              <w:rPr>
                <w:noProof/>
                <w:webHidden/>
              </w:rPr>
              <w:fldChar w:fldCharType="begin"/>
            </w:r>
            <w:r>
              <w:rPr>
                <w:noProof/>
                <w:webHidden/>
              </w:rPr>
              <w:instrText xml:space="preserve"> PAGEREF _Toc236665548 \h </w:instrText>
            </w:r>
            <w:r>
              <w:rPr>
                <w:noProof/>
                <w:webHidden/>
              </w:rPr>
            </w:r>
            <w:r>
              <w:rPr>
                <w:noProof/>
                <w:webHidden/>
              </w:rPr>
              <w:fldChar w:fldCharType="separate"/>
            </w:r>
            <w:r>
              <w:rPr>
                <w:noProof/>
                <w:webHidden/>
              </w:rPr>
              <w:t>20</w:t>
            </w:r>
            <w:r>
              <w:rPr>
                <w:noProof/>
                <w:webHidden/>
              </w:rPr>
              <w:fldChar w:fldCharType="end"/>
            </w:r>
          </w:hyperlink>
        </w:p>
        <w:p w14:paraId="1AE44F18" w14:textId="7DDC8C57"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49" w:history="1">
            <w:r w:rsidRPr="00940014">
              <w:rPr>
                <w:rStyle w:val="Hyperlink"/>
                <w:rFonts w:cs="Arial"/>
                <w:bCs/>
                <w:noProof/>
              </w:rPr>
              <w:t>3.5 Study Selection</w:t>
            </w:r>
            <w:r>
              <w:rPr>
                <w:noProof/>
                <w:webHidden/>
              </w:rPr>
              <w:tab/>
            </w:r>
            <w:r>
              <w:rPr>
                <w:noProof/>
                <w:webHidden/>
              </w:rPr>
              <w:fldChar w:fldCharType="begin"/>
            </w:r>
            <w:r>
              <w:rPr>
                <w:noProof/>
                <w:webHidden/>
              </w:rPr>
              <w:instrText xml:space="preserve"> PAGEREF _Toc236665549 \h </w:instrText>
            </w:r>
            <w:r>
              <w:rPr>
                <w:noProof/>
                <w:webHidden/>
              </w:rPr>
            </w:r>
            <w:r>
              <w:rPr>
                <w:noProof/>
                <w:webHidden/>
              </w:rPr>
              <w:fldChar w:fldCharType="separate"/>
            </w:r>
            <w:r>
              <w:rPr>
                <w:noProof/>
                <w:webHidden/>
              </w:rPr>
              <w:t>21</w:t>
            </w:r>
            <w:r>
              <w:rPr>
                <w:noProof/>
                <w:webHidden/>
              </w:rPr>
              <w:fldChar w:fldCharType="end"/>
            </w:r>
          </w:hyperlink>
        </w:p>
        <w:p w14:paraId="43BB0A22" w14:textId="6ABF250B" w:rsidR="00D55106" w:rsidRDefault="00D55106">
          <w:pPr>
            <w:pStyle w:val="TOC3"/>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50" w:history="1">
            <w:r w:rsidRPr="00940014">
              <w:rPr>
                <w:rStyle w:val="Hyperlink"/>
                <w:rFonts w:cs="Arial"/>
                <w:bCs/>
                <w:noProof/>
              </w:rPr>
              <w:t>Figure 3.1 PRISMA 2020 Flow Diagram of the Study Selection Process</w:t>
            </w:r>
            <w:r>
              <w:rPr>
                <w:noProof/>
                <w:webHidden/>
              </w:rPr>
              <w:tab/>
            </w:r>
            <w:r>
              <w:rPr>
                <w:noProof/>
                <w:webHidden/>
              </w:rPr>
              <w:fldChar w:fldCharType="begin"/>
            </w:r>
            <w:r>
              <w:rPr>
                <w:noProof/>
                <w:webHidden/>
              </w:rPr>
              <w:instrText xml:space="preserve"> PAGEREF _Toc236665550 \h </w:instrText>
            </w:r>
            <w:r>
              <w:rPr>
                <w:noProof/>
                <w:webHidden/>
              </w:rPr>
            </w:r>
            <w:r>
              <w:rPr>
                <w:noProof/>
                <w:webHidden/>
              </w:rPr>
              <w:fldChar w:fldCharType="separate"/>
            </w:r>
            <w:r>
              <w:rPr>
                <w:noProof/>
                <w:webHidden/>
              </w:rPr>
              <w:t>22</w:t>
            </w:r>
            <w:r>
              <w:rPr>
                <w:noProof/>
                <w:webHidden/>
              </w:rPr>
              <w:fldChar w:fldCharType="end"/>
            </w:r>
          </w:hyperlink>
        </w:p>
        <w:p w14:paraId="79809FF3" w14:textId="24C07917"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51" w:history="1">
            <w:r w:rsidRPr="00940014">
              <w:rPr>
                <w:rStyle w:val="Hyperlink"/>
                <w:noProof/>
              </w:rPr>
              <w:t>3.6 Quality Appraisal</w:t>
            </w:r>
            <w:r>
              <w:rPr>
                <w:noProof/>
                <w:webHidden/>
              </w:rPr>
              <w:tab/>
            </w:r>
            <w:r>
              <w:rPr>
                <w:noProof/>
                <w:webHidden/>
              </w:rPr>
              <w:fldChar w:fldCharType="begin"/>
            </w:r>
            <w:r>
              <w:rPr>
                <w:noProof/>
                <w:webHidden/>
              </w:rPr>
              <w:instrText xml:space="preserve"> PAGEREF _Toc236665551 \h </w:instrText>
            </w:r>
            <w:r>
              <w:rPr>
                <w:noProof/>
                <w:webHidden/>
              </w:rPr>
            </w:r>
            <w:r>
              <w:rPr>
                <w:noProof/>
                <w:webHidden/>
              </w:rPr>
              <w:fldChar w:fldCharType="separate"/>
            </w:r>
            <w:r>
              <w:rPr>
                <w:noProof/>
                <w:webHidden/>
              </w:rPr>
              <w:t>22</w:t>
            </w:r>
            <w:r>
              <w:rPr>
                <w:noProof/>
                <w:webHidden/>
              </w:rPr>
              <w:fldChar w:fldCharType="end"/>
            </w:r>
          </w:hyperlink>
        </w:p>
        <w:p w14:paraId="5685392B" w14:textId="14186B3B"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52" w:history="1">
            <w:r w:rsidRPr="00940014">
              <w:rPr>
                <w:rStyle w:val="Hyperlink"/>
                <w:rFonts w:cs="Arial"/>
                <w:bCs/>
                <w:noProof/>
              </w:rPr>
              <w:t>3.7 Data Analysis</w:t>
            </w:r>
            <w:r>
              <w:rPr>
                <w:noProof/>
                <w:webHidden/>
              </w:rPr>
              <w:tab/>
            </w:r>
            <w:r>
              <w:rPr>
                <w:noProof/>
                <w:webHidden/>
              </w:rPr>
              <w:fldChar w:fldCharType="begin"/>
            </w:r>
            <w:r>
              <w:rPr>
                <w:noProof/>
                <w:webHidden/>
              </w:rPr>
              <w:instrText xml:space="preserve"> PAGEREF _Toc236665552 \h </w:instrText>
            </w:r>
            <w:r>
              <w:rPr>
                <w:noProof/>
                <w:webHidden/>
              </w:rPr>
            </w:r>
            <w:r>
              <w:rPr>
                <w:noProof/>
                <w:webHidden/>
              </w:rPr>
              <w:fldChar w:fldCharType="separate"/>
            </w:r>
            <w:r>
              <w:rPr>
                <w:noProof/>
                <w:webHidden/>
              </w:rPr>
              <w:t>23</w:t>
            </w:r>
            <w:r>
              <w:rPr>
                <w:noProof/>
                <w:webHidden/>
              </w:rPr>
              <w:fldChar w:fldCharType="end"/>
            </w:r>
          </w:hyperlink>
        </w:p>
        <w:p w14:paraId="4FEF0541" w14:textId="48FFF1ED"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53" w:history="1">
            <w:r w:rsidRPr="00940014">
              <w:rPr>
                <w:rStyle w:val="Hyperlink"/>
                <w:rFonts w:cs="Arial"/>
                <w:bCs/>
                <w:noProof/>
              </w:rPr>
              <w:t>3.8 Ethical Considerations</w:t>
            </w:r>
            <w:r>
              <w:rPr>
                <w:noProof/>
                <w:webHidden/>
              </w:rPr>
              <w:tab/>
            </w:r>
            <w:r>
              <w:rPr>
                <w:noProof/>
                <w:webHidden/>
              </w:rPr>
              <w:fldChar w:fldCharType="begin"/>
            </w:r>
            <w:r>
              <w:rPr>
                <w:noProof/>
                <w:webHidden/>
              </w:rPr>
              <w:instrText xml:space="preserve"> PAGEREF _Toc236665553 \h </w:instrText>
            </w:r>
            <w:r>
              <w:rPr>
                <w:noProof/>
                <w:webHidden/>
              </w:rPr>
            </w:r>
            <w:r>
              <w:rPr>
                <w:noProof/>
                <w:webHidden/>
              </w:rPr>
              <w:fldChar w:fldCharType="separate"/>
            </w:r>
            <w:r>
              <w:rPr>
                <w:noProof/>
                <w:webHidden/>
              </w:rPr>
              <w:t>24</w:t>
            </w:r>
            <w:r>
              <w:rPr>
                <w:noProof/>
                <w:webHidden/>
              </w:rPr>
              <w:fldChar w:fldCharType="end"/>
            </w:r>
          </w:hyperlink>
        </w:p>
        <w:p w14:paraId="1FA97844" w14:textId="3F9F9D48"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54" w:history="1">
            <w:r w:rsidRPr="00940014">
              <w:rPr>
                <w:rStyle w:val="Hyperlink"/>
                <w:noProof/>
              </w:rPr>
              <w:t>3.9 Chapter Summary</w:t>
            </w:r>
            <w:r>
              <w:rPr>
                <w:noProof/>
                <w:webHidden/>
              </w:rPr>
              <w:tab/>
            </w:r>
            <w:r>
              <w:rPr>
                <w:noProof/>
                <w:webHidden/>
              </w:rPr>
              <w:fldChar w:fldCharType="begin"/>
            </w:r>
            <w:r>
              <w:rPr>
                <w:noProof/>
                <w:webHidden/>
              </w:rPr>
              <w:instrText xml:space="preserve"> PAGEREF _Toc236665554 \h </w:instrText>
            </w:r>
            <w:r>
              <w:rPr>
                <w:noProof/>
                <w:webHidden/>
              </w:rPr>
            </w:r>
            <w:r>
              <w:rPr>
                <w:noProof/>
                <w:webHidden/>
              </w:rPr>
              <w:fldChar w:fldCharType="separate"/>
            </w:r>
            <w:r>
              <w:rPr>
                <w:noProof/>
                <w:webHidden/>
              </w:rPr>
              <w:t>24</w:t>
            </w:r>
            <w:r>
              <w:rPr>
                <w:noProof/>
                <w:webHidden/>
              </w:rPr>
              <w:fldChar w:fldCharType="end"/>
            </w:r>
          </w:hyperlink>
        </w:p>
        <w:p w14:paraId="43778086" w14:textId="618A3794" w:rsidR="00D55106" w:rsidRDefault="00D55106">
          <w:pPr>
            <w:pStyle w:val="TOC1"/>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55" w:history="1">
            <w:r w:rsidRPr="00940014">
              <w:rPr>
                <w:rStyle w:val="Hyperlink"/>
                <w:noProof/>
              </w:rPr>
              <w:t>CHAPTER 4: RESULTS AND DISCUSSION</w:t>
            </w:r>
            <w:r>
              <w:rPr>
                <w:noProof/>
                <w:webHidden/>
              </w:rPr>
              <w:tab/>
            </w:r>
            <w:r>
              <w:rPr>
                <w:noProof/>
                <w:webHidden/>
              </w:rPr>
              <w:fldChar w:fldCharType="begin"/>
            </w:r>
            <w:r>
              <w:rPr>
                <w:noProof/>
                <w:webHidden/>
              </w:rPr>
              <w:instrText xml:space="preserve"> PAGEREF _Toc236665555 \h </w:instrText>
            </w:r>
            <w:r>
              <w:rPr>
                <w:noProof/>
                <w:webHidden/>
              </w:rPr>
            </w:r>
            <w:r>
              <w:rPr>
                <w:noProof/>
                <w:webHidden/>
              </w:rPr>
              <w:fldChar w:fldCharType="separate"/>
            </w:r>
            <w:r>
              <w:rPr>
                <w:noProof/>
                <w:webHidden/>
              </w:rPr>
              <w:t>25</w:t>
            </w:r>
            <w:r>
              <w:rPr>
                <w:noProof/>
                <w:webHidden/>
              </w:rPr>
              <w:fldChar w:fldCharType="end"/>
            </w:r>
          </w:hyperlink>
        </w:p>
        <w:p w14:paraId="5A8A7AE1" w14:textId="52FF265E"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56" w:history="1">
            <w:r w:rsidRPr="00940014">
              <w:rPr>
                <w:rStyle w:val="Hyperlink"/>
                <w:noProof/>
              </w:rPr>
              <w:t>4.1 Introduction</w:t>
            </w:r>
            <w:r>
              <w:rPr>
                <w:noProof/>
                <w:webHidden/>
              </w:rPr>
              <w:tab/>
            </w:r>
            <w:r>
              <w:rPr>
                <w:noProof/>
                <w:webHidden/>
              </w:rPr>
              <w:fldChar w:fldCharType="begin"/>
            </w:r>
            <w:r>
              <w:rPr>
                <w:noProof/>
                <w:webHidden/>
              </w:rPr>
              <w:instrText xml:space="preserve"> PAGEREF _Toc236665556 \h </w:instrText>
            </w:r>
            <w:r>
              <w:rPr>
                <w:noProof/>
                <w:webHidden/>
              </w:rPr>
            </w:r>
            <w:r>
              <w:rPr>
                <w:noProof/>
                <w:webHidden/>
              </w:rPr>
              <w:fldChar w:fldCharType="separate"/>
            </w:r>
            <w:r>
              <w:rPr>
                <w:noProof/>
                <w:webHidden/>
              </w:rPr>
              <w:t>25</w:t>
            </w:r>
            <w:r>
              <w:rPr>
                <w:noProof/>
                <w:webHidden/>
              </w:rPr>
              <w:fldChar w:fldCharType="end"/>
            </w:r>
          </w:hyperlink>
        </w:p>
        <w:p w14:paraId="0D9900A7" w14:textId="58A17005"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57" w:history="1">
            <w:r w:rsidRPr="00940014">
              <w:rPr>
                <w:rStyle w:val="Hyperlink"/>
                <w:rFonts w:cs="Arial"/>
                <w:bCs/>
                <w:noProof/>
              </w:rPr>
              <w:t>4.2 Results</w:t>
            </w:r>
            <w:r>
              <w:rPr>
                <w:noProof/>
                <w:webHidden/>
              </w:rPr>
              <w:tab/>
            </w:r>
            <w:r>
              <w:rPr>
                <w:noProof/>
                <w:webHidden/>
              </w:rPr>
              <w:fldChar w:fldCharType="begin"/>
            </w:r>
            <w:r>
              <w:rPr>
                <w:noProof/>
                <w:webHidden/>
              </w:rPr>
              <w:instrText xml:space="preserve"> PAGEREF _Toc236665557 \h </w:instrText>
            </w:r>
            <w:r>
              <w:rPr>
                <w:noProof/>
                <w:webHidden/>
              </w:rPr>
            </w:r>
            <w:r>
              <w:rPr>
                <w:noProof/>
                <w:webHidden/>
              </w:rPr>
              <w:fldChar w:fldCharType="separate"/>
            </w:r>
            <w:r>
              <w:rPr>
                <w:noProof/>
                <w:webHidden/>
              </w:rPr>
              <w:t>25</w:t>
            </w:r>
            <w:r>
              <w:rPr>
                <w:noProof/>
                <w:webHidden/>
              </w:rPr>
              <w:fldChar w:fldCharType="end"/>
            </w:r>
          </w:hyperlink>
        </w:p>
        <w:p w14:paraId="41BAC442" w14:textId="49B669C8"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58" w:history="1">
            <w:r w:rsidRPr="00940014">
              <w:rPr>
                <w:rStyle w:val="Hyperlink"/>
                <w:rFonts w:cs="Arial"/>
                <w:bCs/>
                <w:noProof/>
              </w:rPr>
              <w:t>4.2.1 Characteristics of the Literature Selected for Analysis</w:t>
            </w:r>
            <w:r>
              <w:rPr>
                <w:noProof/>
                <w:webHidden/>
              </w:rPr>
              <w:tab/>
            </w:r>
            <w:r>
              <w:rPr>
                <w:noProof/>
                <w:webHidden/>
              </w:rPr>
              <w:fldChar w:fldCharType="begin"/>
            </w:r>
            <w:r>
              <w:rPr>
                <w:noProof/>
                <w:webHidden/>
              </w:rPr>
              <w:instrText xml:space="preserve"> PAGEREF _Toc236665558 \h </w:instrText>
            </w:r>
            <w:r>
              <w:rPr>
                <w:noProof/>
                <w:webHidden/>
              </w:rPr>
            </w:r>
            <w:r>
              <w:rPr>
                <w:noProof/>
                <w:webHidden/>
              </w:rPr>
              <w:fldChar w:fldCharType="separate"/>
            </w:r>
            <w:r>
              <w:rPr>
                <w:noProof/>
                <w:webHidden/>
              </w:rPr>
              <w:t>25</w:t>
            </w:r>
            <w:r>
              <w:rPr>
                <w:noProof/>
                <w:webHidden/>
              </w:rPr>
              <w:fldChar w:fldCharType="end"/>
            </w:r>
          </w:hyperlink>
        </w:p>
        <w:p w14:paraId="3507FDA8" w14:textId="37CE325A"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59" w:history="1">
            <w:r w:rsidRPr="00940014">
              <w:rPr>
                <w:rStyle w:val="Hyperlink"/>
                <w:noProof/>
              </w:rPr>
              <w:t>Table 4.2: Characteristics and Findings of the Included Studies</w:t>
            </w:r>
            <w:r>
              <w:rPr>
                <w:noProof/>
                <w:webHidden/>
              </w:rPr>
              <w:tab/>
            </w:r>
            <w:r>
              <w:rPr>
                <w:noProof/>
                <w:webHidden/>
              </w:rPr>
              <w:fldChar w:fldCharType="begin"/>
            </w:r>
            <w:r>
              <w:rPr>
                <w:noProof/>
                <w:webHidden/>
              </w:rPr>
              <w:instrText xml:space="preserve"> PAGEREF _Toc236665559 \h </w:instrText>
            </w:r>
            <w:r>
              <w:rPr>
                <w:noProof/>
                <w:webHidden/>
              </w:rPr>
            </w:r>
            <w:r>
              <w:rPr>
                <w:noProof/>
                <w:webHidden/>
              </w:rPr>
              <w:fldChar w:fldCharType="separate"/>
            </w:r>
            <w:r>
              <w:rPr>
                <w:noProof/>
                <w:webHidden/>
              </w:rPr>
              <w:t>27</w:t>
            </w:r>
            <w:r>
              <w:rPr>
                <w:noProof/>
                <w:webHidden/>
              </w:rPr>
              <w:fldChar w:fldCharType="end"/>
            </w:r>
          </w:hyperlink>
        </w:p>
        <w:p w14:paraId="0E9ADC2B" w14:textId="35FB1CCE"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60" w:history="1">
            <w:r w:rsidRPr="00940014">
              <w:rPr>
                <w:rStyle w:val="Hyperlink"/>
                <w:rFonts w:cs="Arial"/>
                <w:bCs/>
                <w:noProof/>
              </w:rPr>
              <w:t>4.2.2 Analysis of the Results/Themes Found</w:t>
            </w:r>
            <w:r>
              <w:rPr>
                <w:noProof/>
                <w:webHidden/>
              </w:rPr>
              <w:tab/>
            </w:r>
            <w:r>
              <w:rPr>
                <w:noProof/>
                <w:webHidden/>
              </w:rPr>
              <w:fldChar w:fldCharType="begin"/>
            </w:r>
            <w:r>
              <w:rPr>
                <w:noProof/>
                <w:webHidden/>
              </w:rPr>
              <w:instrText xml:space="preserve"> PAGEREF _Toc236665560 \h </w:instrText>
            </w:r>
            <w:r>
              <w:rPr>
                <w:noProof/>
                <w:webHidden/>
              </w:rPr>
            </w:r>
            <w:r>
              <w:rPr>
                <w:noProof/>
                <w:webHidden/>
              </w:rPr>
              <w:fldChar w:fldCharType="separate"/>
            </w:r>
            <w:r>
              <w:rPr>
                <w:noProof/>
                <w:webHidden/>
              </w:rPr>
              <w:t>28</w:t>
            </w:r>
            <w:r>
              <w:rPr>
                <w:noProof/>
                <w:webHidden/>
              </w:rPr>
              <w:fldChar w:fldCharType="end"/>
            </w:r>
          </w:hyperlink>
        </w:p>
        <w:p w14:paraId="65FD11B2" w14:textId="1FEBA102" w:rsidR="00D55106" w:rsidRDefault="00D55106">
          <w:pPr>
            <w:pStyle w:val="TOC3"/>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61" w:history="1">
            <w:r w:rsidRPr="00940014">
              <w:rPr>
                <w:rStyle w:val="Hyperlink"/>
                <w:rFonts w:cs="Arial"/>
                <w:bCs/>
                <w:noProof/>
              </w:rPr>
              <w:t>Theme 1: Strengths-Based Practice and Empowerment</w:t>
            </w:r>
            <w:r>
              <w:rPr>
                <w:noProof/>
                <w:webHidden/>
              </w:rPr>
              <w:tab/>
            </w:r>
            <w:r>
              <w:rPr>
                <w:noProof/>
                <w:webHidden/>
              </w:rPr>
              <w:fldChar w:fldCharType="begin"/>
            </w:r>
            <w:r>
              <w:rPr>
                <w:noProof/>
                <w:webHidden/>
              </w:rPr>
              <w:instrText xml:space="preserve"> PAGEREF _Toc236665561 \h </w:instrText>
            </w:r>
            <w:r>
              <w:rPr>
                <w:noProof/>
                <w:webHidden/>
              </w:rPr>
            </w:r>
            <w:r>
              <w:rPr>
                <w:noProof/>
                <w:webHidden/>
              </w:rPr>
              <w:fldChar w:fldCharType="separate"/>
            </w:r>
            <w:r>
              <w:rPr>
                <w:noProof/>
                <w:webHidden/>
              </w:rPr>
              <w:t>28</w:t>
            </w:r>
            <w:r>
              <w:rPr>
                <w:noProof/>
                <w:webHidden/>
              </w:rPr>
              <w:fldChar w:fldCharType="end"/>
            </w:r>
          </w:hyperlink>
        </w:p>
        <w:p w14:paraId="389CBCB8" w14:textId="01CE8404" w:rsidR="00D55106" w:rsidRDefault="00D55106">
          <w:pPr>
            <w:pStyle w:val="TOC3"/>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62" w:history="1">
            <w:r w:rsidRPr="00940014">
              <w:rPr>
                <w:rStyle w:val="Hyperlink"/>
                <w:rFonts w:cs="Arial"/>
                <w:bCs/>
                <w:noProof/>
              </w:rPr>
              <w:t>Theme 2: Reablement and Maintaining Independence</w:t>
            </w:r>
            <w:r>
              <w:rPr>
                <w:noProof/>
                <w:webHidden/>
              </w:rPr>
              <w:tab/>
            </w:r>
            <w:r>
              <w:rPr>
                <w:noProof/>
                <w:webHidden/>
              </w:rPr>
              <w:fldChar w:fldCharType="begin"/>
            </w:r>
            <w:r>
              <w:rPr>
                <w:noProof/>
                <w:webHidden/>
              </w:rPr>
              <w:instrText xml:space="preserve"> PAGEREF _Toc236665562 \h </w:instrText>
            </w:r>
            <w:r>
              <w:rPr>
                <w:noProof/>
                <w:webHidden/>
              </w:rPr>
            </w:r>
            <w:r>
              <w:rPr>
                <w:noProof/>
                <w:webHidden/>
              </w:rPr>
              <w:fldChar w:fldCharType="separate"/>
            </w:r>
            <w:r>
              <w:rPr>
                <w:noProof/>
                <w:webHidden/>
              </w:rPr>
              <w:t>30</w:t>
            </w:r>
            <w:r>
              <w:rPr>
                <w:noProof/>
                <w:webHidden/>
              </w:rPr>
              <w:fldChar w:fldCharType="end"/>
            </w:r>
          </w:hyperlink>
        </w:p>
        <w:p w14:paraId="7000BDA0" w14:textId="452C100D" w:rsidR="00D55106" w:rsidRDefault="00D55106">
          <w:pPr>
            <w:pStyle w:val="TOC3"/>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63" w:history="1">
            <w:r w:rsidRPr="00940014">
              <w:rPr>
                <w:rStyle w:val="Hyperlink"/>
                <w:rFonts w:cs="Arial"/>
                <w:bCs/>
                <w:noProof/>
              </w:rPr>
              <w:t>Theme 3: Community-Based Prevention and Local Area Coordination</w:t>
            </w:r>
            <w:r>
              <w:rPr>
                <w:noProof/>
                <w:webHidden/>
              </w:rPr>
              <w:tab/>
            </w:r>
            <w:r>
              <w:rPr>
                <w:noProof/>
                <w:webHidden/>
              </w:rPr>
              <w:fldChar w:fldCharType="begin"/>
            </w:r>
            <w:r>
              <w:rPr>
                <w:noProof/>
                <w:webHidden/>
              </w:rPr>
              <w:instrText xml:space="preserve"> PAGEREF _Toc236665563 \h </w:instrText>
            </w:r>
            <w:r>
              <w:rPr>
                <w:noProof/>
                <w:webHidden/>
              </w:rPr>
            </w:r>
            <w:r>
              <w:rPr>
                <w:noProof/>
                <w:webHidden/>
              </w:rPr>
              <w:fldChar w:fldCharType="separate"/>
            </w:r>
            <w:r>
              <w:rPr>
                <w:noProof/>
                <w:webHidden/>
              </w:rPr>
              <w:t>31</w:t>
            </w:r>
            <w:r>
              <w:rPr>
                <w:noProof/>
                <w:webHidden/>
              </w:rPr>
              <w:fldChar w:fldCharType="end"/>
            </w:r>
          </w:hyperlink>
        </w:p>
        <w:p w14:paraId="67779AB5" w14:textId="69F3A951" w:rsidR="00D55106" w:rsidRDefault="00D55106">
          <w:pPr>
            <w:pStyle w:val="TOC3"/>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64" w:history="1">
            <w:r w:rsidRPr="00940014">
              <w:rPr>
                <w:rStyle w:val="Hyperlink"/>
                <w:rFonts w:cs="Arial"/>
                <w:bCs/>
                <w:noProof/>
              </w:rPr>
              <w:t>Theme 4: Social Prescribing and Reducing Social Isolation</w:t>
            </w:r>
            <w:r>
              <w:rPr>
                <w:noProof/>
                <w:webHidden/>
              </w:rPr>
              <w:tab/>
            </w:r>
            <w:r>
              <w:rPr>
                <w:noProof/>
                <w:webHidden/>
              </w:rPr>
              <w:fldChar w:fldCharType="begin"/>
            </w:r>
            <w:r>
              <w:rPr>
                <w:noProof/>
                <w:webHidden/>
              </w:rPr>
              <w:instrText xml:space="preserve"> PAGEREF _Toc236665564 \h </w:instrText>
            </w:r>
            <w:r>
              <w:rPr>
                <w:noProof/>
                <w:webHidden/>
              </w:rPr>
            </w:r>
            <w:r>
              <w:rPr>
                <w:noProof/>
                <w:webHidden/>
              </w:rPr>
              <w:fldChar w:fldCharType="separate"/>
            </w:r>
            <w:r>
              <w:rPr>
                <w:noProof/>
                <w:webHidden/>
              </w:rPr>
              <w:t>33</w:t>
            </w:r>
            <w:r>
              <w:rPr>
                <w:noProof/>
                <w:webHidden/>
              </w:rPr>
              <w:fldChar w:fldCharType="end"/>
            </w:r>
          </w:hyperlink>
        </w:p>
        <w:p w14:paraId="72770E0F" w14:textId="5859C7FF" w:rsidR="00D55106" w:rsidRDefault="00D55106">
          <w:pPr>
            <w:pStyle w:val="TOC3"/>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65" w:history="1">
            <w:r w:rsidRPr="00940014">
              <w:rPr>
                <w:rStyle w:val="Hyperlink"/>
                <w:rFonts w:cs="Arial"/>
                <w:bCs/>
                <w:noProof/>
              </w:rPr>
              <w:t>Theme 5: Safeguarding and Early Intervention</w:t>
            </w:r>
            <w:r>
              <w:rPr>
                <w:noProof/>
                <w:webHidden/>
              </w:rPr>
              <w:tab/>
            </w:r>
            <w:r>
              <w:rPr>
                <w:noProof/>
                <w:webHidden/>
              </w:rPr>
              <w:fldChar w:fldCharType="begin"/>
            </w:r>
            <w:r>
              <w:rPr>
                <w:noProof/>
                <w:webHidden/>
              </w:rPr>
              <w:instrText xml:space="preserve"> PAGEREF _Toc236665565 \h </w:instrText>
            </w:r>
            <w:r>
              <w:rPr>
                <w:noProof/>
                <w:webHidden/>
              </w:rPr>
            </w:r>
            <w:r>
              <w:rPr>
                <w:noProof/>
                <w:webHidden/>
              </w:rPr>
              <w:fldChar w:fldCharType="separate"/>
            </w:r>
            <w:r>
              <w:rPr>
                <w:noProof/>
                <w:webHidden/>
              </w:rPr>
              <w:t>34</w:t>
            </w:r>
            <w:r>
              <w:rPr>
                <w:noProof/>
                <w:webHidden/>
              </w:rPr>
              <w:fldChar w:fldCharType="end"/>
            </w:r>
          </w:hyperlink>
        </w:p>
        <w:p w14:paraId="5C633C66" w14:textId="333A290D" w:rsidR="00D55106" w:rsidRDefault="00D55106">
          <w:pPr>
            <w:pStyle w:val="TOC3"/>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66" w:history="1">
            <w:r w:rsidRPr="00940014">
              <w:rPr>
                <w:rStyle w:val="Hyperlink"/>
                <w:rFonts w:cs="Arial"/>
                <w:bCs/>
                <w:noProof/>
              </w:rPr>
              <w:t>Theme 6: Barriers to Effective Preventive Practice</w:t>
            </w:r>
            <w:r>
              <w:rPr>
                <w:noProof/>
                <w:webHidden/>
              </w:rPr>
              <w:tab/>
            </w:r>
            <w:r>
              <w:rPr>
                <w:noProof/>
                <w:webHidden/>
              </w:rPr>
              <w:fldChar w:fldCharType="begin"/>
            </w:r>
            <w:r>
              <w:rPr>
                <w:noProof/>
                <w:webHidden/>
              </w:rPr>
              <w:instrText xml:space="preserve"> PAGEREF _Toc236665566 \h </w:instrText>
            </w:r>
            <w:r>
              <w:rPr>
                <w:noProof/>
                <w:webHidden/>
              </w:rPr>
            </w:r>
            <w:r>
              <w:rPr>
                <w:noProof/>
                <w:webHidden/>
              </w:rPr>
              <w:fldChar w:fldCharType="separate"/>
            </w:r>
            <w:r>
              <w:rPr>
                <w:noProof/>
                <w:webHidden/>
              </w:rPr>
              <w:t>35</w:t>
            </w:r>
            <w:r>
              <w:rPr>
                <w:noProof/>
                <w:webHidden/>
              </w:rPr>
              <w:fldChar w:fldCharType="end"/>
            </w:r>
          </w:hyperlink>
        </w:p>
        <w:p w14:paraId="66110512" w14:textId="5E97B711"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67" w:history="1">
            <w:r w:rsidRPr="00940014">
              <w:rPr>
                <w:rStyle w:val="Hyperlink"/>
                <w:noProof/>
              </w:rPr>
              <w:t>4.3 Overall Discussion</w:t>
            </w:r>
            <w:r>
              <w:rPr>
                <w:noProof/>
                <w:webHidden/>
              </w:rPr>
              <w:tab/>
            </w:r>
            <w:r>
              <w:rPr>
                <w:noProof/>
                <w:webHidden/>
              </w:rPr>
              <w:fldChar w:fldCharType="begin"/>
            </w:r>
            <w:r>
              <w:rPr>
                <w:noProof/>
                <w:webHidden/>
              </w:rPr>
              <w:instrText xml:space="preserve"> PAGEREF _Toc236665567 \h </w:instrText>
            </w:r>
            <w:r>
              <w:rPr>
                <w:noProof/>
                <w:webHidden/>
              </w:rPr>
            </w:r>
            <w:r>
              <w:rPr>
                <w:noProof/>
                <w:webHidden/>
              </w:rPr>
              <w:fldChar w:fldCharType="separate"/>
            </w:r>
            <w:r>
              <w:rPr>
                <w:noProof/>
                <w:webHidden/>
              </w:rPr>
              <w:t>36</w:t>
            </w:r>
            <w:r>
              <w:rPr>
                <w:noProof/>
                <w:webHidden/>
              </w:rPr>
              <w:fldChar w:fldCharType="end"/>
            </w:r>
          </w:hyperlink>
        </w:p>
        <w:p w14:paraId="35FC7295" w14:textId="08C6CAD8"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68" w:history="1">
            <w:r w:rsidRPr="00940014">
              <w:rPr>
                <w:rStyle w:val="Hyperlink"/>
                <w:noProof/>
              </w:rPr>
              <w:t>4.4 Chapter Summary</w:t>
            </w:r>
            <w:r>
              <w:rPr>
                <w:noProof/>
                <w:webHidden/>
              </w:rPr>
              <w:tab/>
            </w:r>
            <w:r>
              <w:rPr>
                <w:noProof/>
                <w:webHidden/>
              </w:rPr>
              <w:fldChar w:fldCharType="begin"/>
            </w:r>
            <w:r>
              <w:rPr>
                <w:noProof/>
                <w:webHidden/>
              </w:rPr>
              <w:instrText xml:space="preserve"> PAGEREF _Toc236665568 \h </w:instrText>
            </w:r>
            <w:r>
              <w:rPr>
                <w:noProof/>
                <w:webHidden/>
              </w:rPr>
            </w:r>
            <w:r>
              <w:rPr>
                <w:noProof/>
                <w:webHidden/>
              </w:rPr>
              <w:fldChar w:fldCharType="separate"/>
            </w:r>
            <w:r>
              <w:rPr>
                <w:noProof/>
                <w:webHidden/>
              </w:rPr>
              <w:t>37</w:t>
            </w:r>
            <w:r>
              <w:rPr>
                <w:noProof/>
                <w:webHidden/>
              </w:rPr>
              <w:fldChar w:fldCharType="end"/>
            </w:r>
          </w:hyperlink>
        </w:p>
        <w:p w14:paraId="30C49F50" w14:textId="09B70C4B" w:rsidR="00D55106" w:rsidRDefault="00D55106">
          <w:pPr>
            <w:pStyle w:val="TOC1"/>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69" w:history="1">
            <w:r w:rsidRPr="00940014">
              <w:rPr>
                <w:rStyle w:val="Hyperlink"/>
                <w:noProof/>
              </w:rPr>
              <w:t>CHAPTER 5: RECOMMENDATIONS AND CONCLUSION</w:t>
            </w:r>
            <w:r>
              <w:rPr>
                <w:noProof/>
                <w:webHidden/>
              </w:rPr>
              <w:tab/>
            </w:r>
            <w:r>
              <w:rPr>
                <w:noProof/>
                <w:webHidden/>
              </w:rPr>
              <w:fldChar w:fldCharType="begin"/>
            </w:r>
            <w:r>
              <w:rPr>
                <w:noProof/>
                <w:webHidden/>
              </w:rPr>
              <w:instrText xml:space="preserve"> PAGEREF _Toc236665569 \h </w:instrText>
            </w:r>
            <w:r>
              <w:rPr>
                <w:noProof/>
                <w:webHidden/>
              </w:rPr>
            </w:r>
            <w:r>
              <w:rPr>
                <w:noProof/>
                <w:webHidden/>
              </w:rPr>
              <w:fldChar w:fldCharType="separate"/>
            </w:r>
            <w:r>
              <w:rPr>
                <w:noProof/>
                <w:webHidden/>
              </w:rPr>
              <w:t>38</w:t>
            </w:r>
            <w:r>
              <w:rPr>
                <w:noProof/>
                <w:webHidden/>
              </w:rPr>
              <w:fldChar w:fldCharType="end"/>
            </w:r>
          </w:hyperlink>
        </w:p>
        <w:p w14:paraId="02208A19" w14:textId="3BAA08E0"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70" w:history="1">
            <w:r w:rsidRPr="00940014">
              <w:rPr>
                <w:rStyle w:val="Hyperlink"/>
                <w:rFonts w:cs="Arial"/>
                <w:bCs/>
                <w:noProof/>
              </w:rPr>
              <w:t>5.1 Conclusion</w:t>
            </w:r>
            <w:r>
              <w:rPr>
                <w:noProof/>
                <w:webHidden/>
              </w:rPr>
              <w:tab/>
            </w:r>
            <w:r>
              <w:rPr>
                <w:noProof/>
                <w:webHidden/>
              </w:rPr>
              <w:fldChar w:fldCharType="begin"/>
            </w:r>
            <w:r>
              <w:rPr>
                <w:noProof/>
                <w:webHidden/>
              </w:rPr>
              <w:instrText xml:space="preserve"> PAGEREF _Toc236665570 \h </w:instrText>
            </w:r>
            <w:r>
              <w:rPr>
                <w:noProof/>
                <w:webHidden/>
              </w:rPr>
            </w:r>
            <w:r>
              <w:rPr>
                <w:noProof/>
                <w:webHidden/>
              </w:rPr>
              <w:fldChar w:fldCharType="separate"/>
            </w:r>
            <w:r>
              <w:rPr>
                <w:noProof/>
                <w:webHidden/>
              </w:rPr>
              <w:t>38</w:t>
            </w:r>
            <w:r>
              <w:rPr>
                <w:noProof/>
                <w:webHidden/>
              </w:rPr>
              <w:fldChar w:fldCharType="end"/>
            </w:r>
          </w:hyperlink>
        </w:p>
        <w:p w14:paraId="355E7FE1" w14:textId="379DF242" w:rsidR="00D55106" w:rsidRDefault="00D55106">
          <w:pPr>
            <w:pStyle w:val="TOC2"/>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71" w:history="1">
            <w:r w:rsidRPr="00940014">
              <w:rPr>
                <w:rStyle w:val="Hyperlink"/>
                <w:rFonts w:cs="Arial"/>
                <w:bCs/>
                <w:noProof/>
              </w:rPr>
              <w:t>5.2 Recommendations</w:t>
            </w:r>
            <w:r>
              <w:rPr>
                <w:noProof/>
                <w:webHidden/>
              </w:rPr>
              <w:tab/>
            </w:r>
            <w:r>
              <w:rPr>
                <w:noProof/>
                <w:webHidden/>
              </w:rPr>
              <w:fldChar w:fldCharType="begin"/>
            </w:r>
            <w:r>
              <w:rPr>
                <w:noProof/>
                <w:webHidden/>
              </w:rPr>
              <w:instrText xml:space="preserve"> PAGEREF _Toc236665571 \h </w:instrText>
            </w:r>
            <w:r>
              <w:rPr>
                <w:noProof/>
                <w:webHidden/>
              </w:rPr>
            </w:r>
            <w:r>
              <w:rPr>
                <w:noProof/>
                <w:webHidden/>
              </w:rPr>
              <w:fldChar w:fldCharType="separate"/>
            </w:r>
            <w:r>
              <w:rPr>
                <w:noProof/>
                <w:webHidden/>
              </w:rPr>
              <w:t>39</w:t>
            </w:r>
            <w:r>
              <w:rPr>
                <w:noProof/>
                <w:webHidden/>
              </w:rPr>
              <w:fldChar w:fldCharType="end"/>
            </w:r>
          </w:hyperlink>
        </w:p>
        <w:p w14:paraId="055CA752" w14:textId="23587A92" w:rsidR="00D55106" w:rsidRDefault="00D55106">
          <w:pPr>
            <w:pStyle w:val="TOC1"/>
            <w:tabs>
              <w:tab w:val="right" w:leader="dot" w:pos="9016"/>
            </w:tabs>
            <w:rPr>
              <w:rFonts w:asciiTheme="minorHAnsi" w:eastAsiaTheme="minorEastAsia" w:hAnsiTheme="minorHAnsi" w:cstheme="minorBidi"/>
              <w:noProof/>
              <w:kern w:val="2"/>
              <w:sz w:val="24"/>
              <w:szCs w:val="24"/>
              <w:lang w:bidi="ar-SA"/>
              <w14:ligatures w14:val="standardContextual"/>
            </w:rPr>
          </w:pPr>
          <w:hyperlink w:anchor="_Toc236665572" w:history="1">
            <w:r w:rsidRPr="00940014">
              <w:rPr>
                <w:rStyle w:val="Hyperlink"/>
                <w:noProof/>
              </w:rPr>
              <w:t>REFERENCE LIST</w:t>
            </w:r>
            <w:r>
              <w:rPr>
                <w:noProof/>
                <w:webHidden/>
              </w:rPr>
              <w:tab/>
            </w:r>
            <w:r>
              <w:rPr>
                <w:noProof/>
                <w:webHidden/>
              </w:rPr>
              <w:fldChar w:fldCharType="begin"/>
            </w:r>
            <w:r>
              <w:rPr>
                <w:noProof/>
                <w:webHidden/>
              </w:rPr>
              <w:instrText xml:space="preserve"> PAGEREF _Toc236665572 \h </w:instrText>
            </w:r>
            <w:r>
              <w:rPr>
                <w:noProof/>
                <w:webHidden/>
              </w:rPr>
            </w:r>
            <w:r>
              <w:rPr>
                <w:noProof/>
                <w:webHidden/>
              </w:rPr>
              <w:fldChar w:fldCharType="separate"/>
            </w:r>
            <w:r>
              <w:rPr>
                <w:noProof/>
                <w:webHidden/>
              </w:rPr>
              <w:t>41</w:t>
            </w:r>
            <w:r>
              <w:rPr>
                <w:noProof/>
                <w:webHidden/>
              </w:rPr>
              <w:fldChar w:fldCharType="end"/>
            </w:r>
          </w:hyperlink>
        </w:p>
        <w:p w14:paraId="5DDDFFEE" w14:textId="4E8BB155" w:rsidR="00B25D7A" w:rsidRDefault="00B25D7A">
          <w:r>
            <w:rPr>
              <w:b/>
              <w:bCs/>
              <w:noProof/>
            </w:rPr>
            <w:fldChar w:fldCharType="end"/>
          </w:r>
        </w:p>
      </w:sdtContent>
    </w:sdt>
    <w:p w14:paraId="28B03DEE" w14:textId="77777777" w:rsidR="00E00489" w:rsidRDefault="00733241">
      <w:pPr>
        <w:tabs>
          <w:tab w:val="right" w:leader="dot" w:pos="8712"/>
        </w:tabs>
        <w:spacing w:line="240" w:lineRule="auto"/>
        <w:jc w:val="left"/>
      </w:pPr>
      <w:r>
        <w:br w:type="page"/>
      </w:r>
    </w:p>
    <w:p w14:paraId="0C449F97" w14:textId="77777777" w:rsidR="001057BF" w:rsidRDefault="00E7050F" w:rsidP="00273178">
      <w:pPr>
        <w:pStyle w:val="Heading1"/>
        <w:keepNext/>
        <w:jc w:val="center"/>
      </w:pPr>
      <w:bookmarkStart w:id="8" w:name="_Toc236665527"/>
      <w:r>
        <w:lastRenderedPageBreak/>
        <w:t>CHAPTER</w:t>
      </w:r>
      <w:r w:rsidR="00CF64AA">
        <w:t xml:space="preserve"> </w:t>
      </w:r>
      <w:r w:rsidR="00561179">
        <w:t>1</w:t>
      </w:r>
      <w:bookmarkEnd w:id="8"/>
    </w:p>
    <w:p w14:paraId="3FAB2C50" w14:textId="77777777" w:rsidR="00273178" w:rsidRDefault="00CC508D" w:rsidP="00CC508D">
      <w:pPr>
        <w:pStyle w:val="Heading2"/>
        <w:keepNext/>
      </w:pPr>
      <w:bookmarkStart w:id="9" w:name="_Toc236665528"/>
      <w:r>
        <w:t>1.1 Introduction</w:t>
      </w:r>
      <w:bookmarkEnd w:id="9"/>
    </w:p>
    <w:p w14:paraId="24CFC557" w14:textId="77777777" w:rsidR="001E3E63" w:rsidRPr="001E3E63" w:rsidRDefault="00E34E4D" w:rsidP="00835517">
      <w:pPr>
        <w:rPr>
          <w:rFonts w:eastAsia="Times New Roman"/>
          <w:bCs/>
          <w:kern w:val="28"/>
        </w:rPr>
      </w:pPr>
      <w:r>
        <w:t>Adult social work plays a fundamental role in promoting the wellbeing, independence and human rights of vulnerable adults throughout the United Kingdom. Social workers support adults experiencing physical disabilities, learning disabilities, mental ill-health, frailty, homelessness, substance misuse, domestic abuse and other circumstances that increase vulnerability. Contemporary practice has moved beyond responding solely to crises and now places increasing emphasis on preventing problems before they escalate into situations requiring intensive statutory intervention. This preventative approach reflects the changing demographic, social and economic pressures facing health and social care services in the United Kingdom. The increasing demand for adult social care has been driven by population ageing, increasing life expectancy and the growing prevalence of long-term health conditions. At the same time, workforce shortages and financial pressures continue to challenge the sustainability of traditional reactive models of care. Consequently, UK policy has increasingly promoted prevention, early intervention and strengths-based practice as essential strategies for improving wellbeing while reducing long-term dependence on statutory services. The Care Act 2014 established prevention as a statutory duty for local authorities, requiring them to prevent, reduce or delay the development of care and support needs while promoting individual wellbeing and independence (Care Act 2014; Office for National Statistics, 2025; Skills for Care, 2025; Department of Health and Social Care, 2023b; Keemink et al., 2023). Recent UK evidence links population ageing, dementia, multimorbidity and rising dependency to increasing demand for adult care and support (Age UK, 2024; Age UK, 2025; Centre for Ageing Better, 2024; Kingston et al., 2018).</w:t>
      </w:r>
    </w:p>
    <w:p w14:paraId="51D270FF" w14:textId="77777777" w:rsidR="00E34E4D" w:rsidRPr="00DA14B3" w:rsidRDefault="00E34E4D" w:rsidP="001E3E63">
      <w:pPr>
        <w:spacing w:after="120"/>
        <w:mirrorIndents/>
        <w:rPr>
          <w:rFonts w:eastAsia="Arial Unicode MS" w:cs="Arial"/>
        </w:rPr>
      </w:pPr>
      <w:r>
        <w:t xml:space="preserve">Preventive interventions include a wide range of approaches such as strengths-based practice, reablement, Local Area Coordination, social prescribing, safeguarding and community-based support. Rather than focusing solely on existing problems, these interventions seek to identify risks at an early stage, strengthen resilience and empower vulnerable adults to maintain independence within their communities. Although prevention has become central to adult social work policy, uncertainty remains regarding the effectiveness of different preventive interventions and the organisational factors that influence their successful implementation (Department of Health and Social Care, 2021; Social Care Institute for Excellence, 2018; Fuller, 2022; Local Government Association, 2024b; Keemink et al., 2023). This dissertation therefore undertakes a systematic review of contemporary literature to critically evaluate preventive interventions in UK adult social work. Practice guidance additionally frames prevention through mental wellbeing, positive service experience, support </w:t>
      </w:r>
      <w:r>
        <w:lastRenderedPageBreak/>
        <w:t>for carers, advocacy, integrated responses to homelessness and professional accountability (NICE, 2016; NICE, 2018b; NICE, 2020; NICE, 2022a; NICE, 2022b).</w:t>
      </w:r>
    </w:p>
    <w:p w14:paraId="1145D10A" w14:textId="77777777" w:rsidR="00DA52F0" w:rsidRPr="0020447D" w:rsidRDefault="00DA52F0" w:rsidP="0020447D">
      <w:pPr>
        <w:pStyle w:val="Heading2"/>
        <w:keepNext/>
        <w:ind w:left="0"/>
        <w:jc w:val="both"/>
        <w:rPr>
          <w:rFonts w:cs="Arial"/>
          <w:bCs/>
        </w:rPr>
      </w:pPr>
      <w:bookmarkStart w:id="10" w:name="_Toc236665529"/>
      <w:r>
        <w:t>1.2 Definition of the Main Concepts of the Study</w:t>
      </w:r>
      <w:bookmarkEnd w:id="10"/>
    </w:p>
    <w:p w14:paraId="3E711D69" w14:textId="77777777" w:rsidR="00007589" w:rsidRPr="00007589" w:rsidRDefault="00007589" w:rsidP="00007589">
      <w:pPr>
        <w:spacing w:after="120"/>
        <w:mirrorIndents/>
        <w:rPr>
          <w:rFonts w:eastAsia="Arial Unicode MS" w:cs="Arial"/>
        </w:rPr>
      </w:pPr>
      <w:r w:rsidRPr="00007589">
        <w:rPr>
          <w:rFonts w:cs="Arial"/>
        </w:rPr>
        <w:t>Understanding the principal concepts underpinning this dissertation is essential for interpreting the research findings.</w:t>
      </w:r>
    </w:p>
    <w:p w14:paraId="14822881" w14:textId="77777777" w:rsidR="00007589" w:rsidRPr="0020447D" w:rsidRDefault="00007589" w:rsidP="00007589">
      <w:pPr>
        <w:spacing w:after="120"/>
        <w:mirrorIndents/>
        <w:rPr>
          <w:rFonts w:eastAsia="Arial Unicode MS" w:cs="Arial"/>
          <w:b/>
          <w:bCs/>
        </w:rPr>
      </w:pPr>
      <w:r>
        <w:t xml:space="preserve">Preventive Interventions: Preventive interventions refer to services, programmes and professional approaches designed to prevent, reduce or delay the development of health and social care needs before they become more severe. Within adult social work, prevention involves early intervention, strengths-based practice, reablement, safeguarding, community engagement and personalised support that enable individuals to remain independent for as long as possible (Care Act 2014; Department of Health and Social Care, 2023b; NICE, 2022c; Keemink et al., 2023). </w:t>
      </w:r>
    </w:p>
    <w:p w14:paraId="60588ACB" w14:textId="77777777" w:rsidR="00007589" w:rsidRPr="0020447D" w:rsidRDefault="00007589" w:rsidP="00007589">
      <w:pPr>
        <w:spacing w:after="120"/>
        <w:mirrorIndents/>
        <w:rPr>
          <w:rFonts w:eastAsia="Arial Unicode MS" w:cs="Arial"/>
          <w:b/>
          <w:bCs/>
        </w:rPr>
      </w:pPr>
      <w:r>
        <w:t xml:space="preserve">Adult Social Work: Adult social work is a professional discipline that supports adults with care and support needs arising from disability, illness, mental health difficulties, ageing or social disadvantage. Practitioners work collaboratively with individuals, families and communities to promote wellbeing, protect people from abuse and neglect, uphold human rights and support independent living (Social Care Institute for Excellence, 2018; Skills for Care, 2025). </w:t>
      </w:r>
    </w:p>
    <w:p w14:paraId="3FD174D9" w14:textId="77777777" w:rsidR="00E122EB" w:rsidRPr="00556645" w:rsidRDefault="00007589" w:rsidP="00007589">
      <w:pPr>
        <w:spacing w:after="120"/>
        <w:mirrorIndents/>
        <w:rPr>
          <w:rFonts w:eastAsia="Arial Unicode MS" w:cs="Arial"/>
        </w:rPr>
      </w:pPr>
      <w:r>
        <w:t>Vulnerable Adults: For this dissertation, vulnerable adults are adults who require care and support because of age, disability, illness, mental ill-health or other circumstances that may increase their risk of abuse, neglect or social exclusion. These individuals often require coordinated health and social care services to maintain their wellbeing and independence (Care Act 2014; Department of Health and Social Care, 2023b; Care Quality Commission, 2025). UK evidence on domestic abuse, learning disability and autism, mental ill-health, homelessness and self-neglect illustrates both the diversity and intersectionality of vulnerability (Carlisle et al., 2025; Harris et al., 2022; Social Care Institute for Excellence, 2025; World Health Organization, 2022).</w:t>
      </w:r>
    </w:p>
    <w:p w14:paraId="617C8046" w14:textId="77777777" w:rsidR="00007589" w:rsidRPr="00120E66" w:rsidRDefault="00007589" w:rsidP="00007589">
      <w:pPr>
        <w:spacing w:after="120"/>
        <w:mirrorIndents/>
        <w:rPr>
          <w:rFonts w:eastAsia="Arial Unicode MS" w:cs="Arial"/>
        </w:rPr>
      </w:pPr>
      <w:r>
        <w:t xml:space="preserve">Strengths-Based Practice: Strengths-based practice is a person-centred approach that focuses on individuals' abilities, resources and community assets rather than their deficits. The approach encourages collaboration between practitioners and service users, empowering individuals to participate actively in decisions affecting their lives and promoting resilience and independence (Caiels et al., 2024; Stevens et al., 2024; Social Care Institute for Excellence, 2018; Department of Health and Social Care, 2023b). Current research stresses that meaningful implementation requires organisational commitment, workforce capability and agreed outcome measures rather than a change in terminology alone (Mahesh, Bharatan and </w:t>
      </w:r>
      <w:r>
        <w:lastRenderedPageBreak/>
        <w:t>Miller, 2024; Miller and Mahesh, 2025; Silarova et al., 2025).</w:t>
      </w:r>
    </w:p>
    <w:p w14:paraId="0051D64D" w14:textId="4534568A" w:rsidR="00905081" w:rsidRPr="00873169" w:rsidRDefault="00007589" w:rsidP="00007589">
      <w:pPr>
        <w:spacing w:after="120"/>
        <w:mirrorIndents/>
      </w:pPr>
      <w:r>
        <w:t xml:space="preserve">Systematic Review: </w:t>
      </w:r>
      <w:r w:rsidR="00BB0834" w:rsidRPr="00BB0834">
        <w:t xml:space="preserve">A systematic review uses a rigorous and transparent process to locate, evaluate and integrate relevant research </w:t>
      </w:r>
      <w:r w:rsidR="002C71D0" w:rsidRPr="00BB0834">
        <w:t>evidence.</w:t>
      </w:r>
      <w:r w:rsidR="002C71D0">
        <w:t xml:space="preserve"> Using</w:t>
      </w:r>
      <w:r>
        <w:t xml:space="preserve"> explicit, transparent and reproducible procedures (Gough, Oliver and Thomas, 2017; Page et al., 2021). Unlike traditional narrative reviews, systematic reviews employ predefined protocols, systematic search strategies, eligibility criteria and quality-appraisal procedures to minimise bias and provide a comprehensive synthesis (Page et al., 2021; Rethlefsen et al., 2021). Established guidance also emphasises that searches should be documented and auditable, while study-selection, appraisal and synthesis decisions should be reported explicitly (Rethlefsen et al., 2021).</w:t>
      </w:r>
    </w:p>
    <w:p w14:paraId="5E96E56B" w14:textId="77777777" w:rsidR="00007589" w:rsidRPr="00141A69" w:rsidRDefault="00007589" w:rsidP="00DA52F0">
      <w:pPr>
        <w:spacing w:after="120"/>
        <w:mirrorIndents/>
        <w:rPr>
          <w:rFonts w:eastAsia="Arial Unicode MS" w:cs="Arial"/>
        </w:rPr>
      </w:pPr>
    </w:p>
    <w:p w14:paraId="5DEC2279" w14:textId="77777777" w:rsidR="00DA52F0" w:rsidRPr="009C022E" w:rsidRDefault="003439EC" w:rsidP="009C022E">
      <w:pPr>
        <w:pStyle w:val="Heading2"/>
        <w:keepNext/>
        <w:ind w:left="0"/>
        <w:rPr>
          <w:rFonts w:cs="Arial"/>
          <w:bCs/>
        </w:rPr>
      </w:pPr>
      <w:bookmarkStart w:id="11" w:name="_Toc236665530"/>
      <w:r>
        <w:rPr>
          <w:rFonts w:cs="Arial"/>
          <w:bCs/>
        </w:rPr>
        <w:t xml:space="preserve">1.3 </w:t>
      </w:r>
      <w:r w:rsidR="00DA52F0" w:rsidRPr="009C022E">
        <w:rPr>
          <w:rFonts w:cs="Arial"/>
          <w:bCs/>
        </w:rPr>
        <w:t>Rationale of the study</w:t>
      </w:r>
      <w:bookmarkEnd w:id="11"/>
    </w:p>
    <w:p w14:paraId="46F353B3" w14:textId="77777777" w:rsidR="009C022E" w:rsidRPr="0050317C" w:rsidRDefault="009C022E" w:rsidP="009C022E">
      <w:pPr>
        <w:spacing w:after="120"/>
        <w:mirrorIndents/>
      </w:pPr>
      <w:r>
        <w:t xml:space="preserve">Preventive interventions have become increasingly important within UK adult social work because they offer opportunities to improve wellbeing, promote independence and reduce the long-term demand for statutory health and social care services. Legislative developments, particularly the Care Act 2014 and subsequent statutory guidance, have established prevention as a central principle of adult social care. These policies require practitioners to adopt strengths-based, person-centred approaches that recognise individuals' capabilities and community resources while reducing unnecessary dependence on formal services (Care Act 2014; Department of Health and Social Care, 2021; NHS England, 2019; Bottery, 2024; Social Care Institute for Excellence, 2018). This rationale is reinforced by evidence on unmet need, unpaid care, funding pressures and councils' constrained capacity to protect preventive spending (National Audit Office, 2018; Department of Health and Social Care, 2021; Office for National Statistics, 2023; Association of Directors of Adult Social Services, 2024; Stevenson et al., 2026; Fernando, Tracey and Allen, 2026). Despite strong policy support, the implementation of preventive interventions remains inconsistent across local authorities. Financial pressures, workforce shortages and increasing service demand have limited the ability of organisations to invest in early intervention and community-based services. Consequently, many practitioners continue to operate within systems that prioritise crisis management rather than prevention. The existing evidence base also presents several limitations. Much of the literature evaluates individual preventive interventions in isolation, uses different outcome measures and varies considerably in methodological quality. These inconsistencies make it difficult to determine which interventions are most effective in improving outcomes for vulnerable adults. Furthermore, differences in service delivery and </w:t>
      </w:r>
      <w:r>
        <w:lastRenderedPageBreak/>
        <w:t>organisational capacity across England reduce the generalisability of individual studies (Local Government Association, 2024b; Marczak, Wistow and Fernandez, 2024; Care Quality Commission, 2025; Skills for Care, 2025). Sector reviews connect this implementation gap to workforce vacancies, fragile provider markets, reform delays and the pressure placed on unpaid carers (National Audit Office, 2018; House of Commons Health and Social Care Committee, 2020; National Audit Office, 2021; Department of Health and Social Care, 2022a; National Audit Office, 2023; Department of Health and Social Care, 2026; Care Quality Commission, 2025; Carers UK, 2025; Skills for Care, 2025; Stevenson et al., 2026).</w:t>
      </w:r>
    </w:p>
    <w:p w14:paraId="7FDEC866" w14:textId="77777777" w:rsidR="009C022E" w:rsidRPr="00793E6D" w:rsidRDefault="009C022E" w:rsidP="009C022E">
      <w:pPr>
        <w:spacing w:after="120"/>
        <w:mirrorIndents/>
        <w:rPr>
          <w:rFonts w:eastAsia="Arial Unicode MS" w:cs="Arial"/>
        </w:rPr>
      </w:pPr>
      <w:r>
        <w:t>A systematic review is therefore appropriate because it enables evidence from multiple studies to be critically evaluated and synthesised using transparent and rigorous methods. By identifying common findings, methodological limitations and implications for policy and practice, this dissertation aims to contribute to evidence-informed adult social work and support the continued development of preventive services in the United Kingdom (Page et al., 2021; Critical Appraisal Skills Programme, 2022; Gough, Oliver and Thomas, 2017).</w:t>
      </w:r>
    </w:p>
    <w:p w14:paraId="20BAF11C" w14:textId="77777777" w:rsidR="009C022E" w:rsidRPr="00141A69" w:rsidRDefault="009C022E" w:rsidP="00DA52F0">
      <w:pPr>
        <w:spacing w:after="120"/>
        <w:mirrorIndents/>
        <w:rPr>
          <w:rFonts w:eastAsia="Arial Unicode MS" w:cs="Arial"/>
        </w:rPr>
      </w:pPr>
    </w:p>
    <w:p w14:paraId="3EC082FB" w14:textId="77777777" w:rsidR="006C24E3" w:rsidRPr="006C24E3" w:rsidRDefault="006C24E3" w:rsidP="00442483">
      <w:pPr>
        <w:pStyle w:val="Heading2"/>
        <w:keepNext/>
        <w:ind w:left="0"/>
        <w:rPr>
          <w:rFonts w:cs="Arial"/>
          <w:bCs/>
        </w:rPr>
      </w:pPr>
      <w:bookmarkStart w:id="12" w:name="_Toc236665531"/>
      <w:r w:rsidRPr="006C24E3">
        <w:rPr>
          <w:rFonts w:cs="Arial"/>
          <w:bCs/>
        </w:rPr>
        <w:t>1.4 Aim of the Study</w:t>
      </w:r>
      <w:bookmarkEnd w:id="12"/>
    </w:p>
    <w:p w14:paraId="7A6DBFC8" w14:textId="77777777" w:rsidR="006C24E3" w:rsidRPr="006C24E3" w:rsidRDefault="006C24E3" w:rsidP="00442483">
      <w:pPr>
        <w:spacing w:after="120"/>
        <w:mirrorIndents/>
        <w:rPr>
          <w:rFonts w:eastAsia="Arial Unicode MS" w:cs="Arial"/>
        </w:rPr>
      </w:pPr>
      <w:r w:rsidRPr="006C24E3">
        <w:rPr>
          <w:rFonts w:cs="Arial"/>
        </w:rPr>
        <w:t>The aim of this dissertation is:</w:t>
      </w:r>
    </w:p>
    <w:p w14:paraId="5F634B5F" w14:textId="77777777" w:rsidR="006C24E3" w:rsidRPr="003439EC" w:rsidRDefault="006C24E3" w:rsidP="00442483">
      <w:pPr>
        <w:spacing w:after="120"/>
        <w:rPr>
          <w:rFonts w:cs="Arial"/>
        </w:rPr>
      </w:pPr>
      <w:r w:rsidRPr="003439EC">
        <w:rPr>
          <w:rFonts w:cs="Arial"/>
        </w:rPr>
        <w:t xml:space="preserve">To critically evaluate the effectiveness of preventive interventions in social work practice for vulnerable adults in the United Kingdom through a systematic review of contemporary literature. </w:t>
      </w:r>
    </w:p>
    <w:p w14:paraId="7F4F751E" w14:textId="77777777" w:rsidR="006C24E3" w:rsidRPr="003439EC" w:rsidRDefault="006C24E3" w:rsidP="00442483">
      <w:pPr>
        <w:pStyle w:val="Heading2"/>
        <w:keepNext/>
        <w:rPr>
          <w:rFonts w:cs="Arial"/>
        </w:rPr>
      </w:pPr>
      <w:bookmarkStart w:id="13" w:name="_Toc236665532"/>
      <w:r w:rsidRPr="003439EC">
        <w:rPr>
          <w:rFonts w:cs="Arial"/>
        </w:rPr>
        <w:t>Research Question</w:t>
      </w:r>
      <w:bookmarkEnd w:id="13"/>
    </w:p>
    <w:p w14:paraId="264CF889" w14:textId="77777777" w:rsidR="006C24E3" w:rsidRDefault="006C24E3" w:rsidP="00442483">
      <w:pPr>
        <w:spacing w:after="120"/>
        <w:rPr>
          <w:rFonts w:cs="Arial"/>
        </w:rPr>
      </w:pPr>
      <w:r w:rsidRPr="003439EC">
        <w:rPr>
          <w:rFonts w:cs="Arial"/>
        </w:rPr>
        <w:t xml:space="preserve">How effective are preventive interventions in social work practice for vulnerable adults in the United Kingdom? </w:t>
      </w:r>
    </w:p>
    <w:p w14:paraId="71E76454" w14:textId="77777777" w:rsidR="00442483" w:rsidRPr="00442483" w:rsidRDefault="00442483" w:rsidP="00442483">
      <w:pPr>
        <w:pStyle w:val="Heading2"/>
        <w:keepNext/>
        <w:ind w:left="0"/>
        <w:rPr>
          <w:rFonts w:cs="Arial"/>
          <w:bCs/>
        </w:rPr>
      </w:pPr>
      <w:bookmarkStart w:id="14" w:name="_Toc236665533"/>
      <w:r w:rsidRPr="00442483">
        <w:rPr>
          <w:rFonts w:cs="Arial"/>
          <w:bCs/>
        </w:rPr>
        <w:t>1.5 Objectives of the Study</w:t>
      </w:r>
      <w:bookmarkEnd w:id="14"/>
    </w:p>
    <w:p w14:paraId="5500CC12" w14:textId="77777777" w:rsidR="00442483" w:rsidRPr="00AD32AA" w:rsidRDefault="00442483" w:rsidP="00AD32AA">
      <w:pPr>
        <w:spacing w:after="120"/>
        <w:rPr>
          <w:rFonts w:cs="Arial"/>
        </w:rPr>
      </w:pPr>
      <w:r w:rsidRPr="00AD32AA">
        <w:rPr>
          <w:rFonts w:cs="Arial"/>
        </w:rPr>
        <w:t>The objectives of this dissertation are to:</w:t>
      </w:r>
    </w:p>
    <w:p w14:paraId="1AA1BB90" w14:textId="77777777" w:rsidR="00442483" w:rsidRPr="00AD32AA" w:rsidRDefault="00442483" w:rsidP="00AD32AA">
      <w:pPr>
        <w:pStyle w:val="ListParagraph"/>
        <w:numPr>
          <w:ilvl w:val="0"/>
          <w:numId w:val="13"/>
        </w:numPr>
        <w:spacing w:after="120"/>
        <w:rPr>
          <w:rFonts w:cs="Arial"/>
        </w:rPr>
      </w:pPr>
      <w:r w:rsidRPr="00AD32AA">
        <w:rPr>
          <w:rFonts w:cs="Arial"/>
        </w:rPr>
        <w:t xml:space="preserve">Examine the principles underpinning preventive social work practice for vulnerable adults in the United Kingdom. </w:t>
      </w:r>
    </w:p>
    <w:p w14:paraId="49A541CD" w14:textId="77777777" w:rsidR="00442483" w:rsidRPr="00AD32AA" w:rsidRDefault="00442483" w:rsidP="00AD32AA">
      <w:pPr>
        <w:pStyle w:val="ListParagraph"/>
        <w:numPr>
          <w:ilvl w:val="0"/>
          <w:numId w:val="13"/>
        </w:numPr>
        <w:spacing w:after="120"/>
        <w:rPr>
          <w:rFonts w:cs="Arial"/>
        </w:rPr>
      </w:pPr>
      <w:r w:rsidRPr="00AD32AA">
        <w:rPr>
          <w:rFonts w:cs="Arial"/>
        </w:rPr>
        <w:t xml:space="preserve">Identify the preventive interventions currently used within UK adult social work practice. </w:t>
      </w:r>
    </w:p>
    <w:p w14:paraId="63DA420B" w14:textId="77777777" w:rsidR="00442483" w:rsidRPr="00AD32AA" w:rsidRDefault="00442483" w:rsidP="00D87DBA">
      <w:pPr>
        <w:pStyle w:val="ListParagraph"/>
        <w:numPr>
          <w:ilvl w:val="0"/>
          <w:numId w:val="13"/>
        </w:numPr>
        <w:spacing w:after="120"/>
        <w:rPr>
          <w:rFonts w:cs="Arial"/>
        </w:rPr>
      </w:pPr>
      <w:r w:rsidRPr="00AD32AA">
        <w:rPr>
          <w:rFonts w:cs="Arial"/>
        </w:rPr>
        <w:t xml:space="preserve">Critically evaluate the evidence regarding the effectiveness of these interventions in improving outcomes for vulnerable adults. </w:t>
      </w:r>
    </w:p>
    <w:p w14:paraId="47248167" w14:textId="77777777" w:rsidR="00442483" w:rsidRPr="00AD32AA" w:rsidRDefault="00442483" w:rsidP="00D87DBA">
      <w:pPr>
        <w:pStyle w:val="ListParagraph"/>
        <w:numPr>
          <w:ilvl w:val="0"/>
          <w:numId w:val="13"/>
        </w:numPr>
        <w:spacing w:after="120"/>
        <w:rPr>
          <w:rFonts w:cs="Arial"/>
        </w:rPr>
      </w:pPr>
      <w:r w:rsidRPr="00AD32AA">
        <w:rPr>
          <w:rFonts w:cs="Arial"/>
        </w:rPr>
        <w:lastRenderedPageBreak/>
        <w:t xml:space="preserve">Examine the barriers and facilitators influencing the implementation of preventive interventions. </w:t>
      </w:r>
    </w:p>
    <w:p w14:paraId="5E852B5A" w14:textId="77777777" w:rsidR="00442483" w:rsidRPr="00AD32AA" w:rsidRDefault="00442483" w:rsidP="00D87DBA">
      <w:pPr>
        <w:pStyle w:val="ListParagraph"/>
        <w:numPr>
          <w:ilvl w:val="0"/>
          <w:numId w:val="13"/>
        </w:numPr>
        <w:spacing w:after="120"/>
        <w:rPr>
          <w:rFonts w:cs="Arial"/>
        </w:rPr>
      </w:pPr>
      <w:r w:rsidRPr="00AD32AA">
        <w:rPr>
          <w:rFonts w:cs="Arial"/>
        </w:rPr>
        <w:t>Identify implications for future policy, professional practice and research.</w:t>
      </w:r>
    </w:p>
    <w:p w14:paraId="35DCFADB" w14:textId="77777777" w:rsidR="00442483" w:rsidRPr="00AD32AA" w:rsidRDefault="00442483" w:rsidP="00D87DBA">
      <w:pPr>
        <w:spacing w:after="120"/>
        <w:rPr>
          <w:rFonts w:cs="Arial"/>
        </w:rPr>
      </w:pPr>
    </w:p>
    <w:p w14:paraId="79907142" w14:textId="77777777" w:rsidR="004A40F6" w:rsidRPr="004A40F6" w:rsidRDefault="004A40F6" w:rsidP="00D87DBA">
      <w:pPr>
        <w:pStyle w:val="Heading2"/>
        <w:keepNext/>
        <w:ind w:left="0"/>
        <w:rPr>
          <w:rFonts w:cs="Arial"/>
          <w:bCs/>
        </w:rPr>
      </w:pPr>
      <w:bookmarkStart w:id="15" w:name="_Toc236665534"/>
      <w:r w:rsidRPr="004A40F6">
        <w:rPr>
          <w:rFonts w:cs="Arial"/>
          <w:bCs/>
        </w:rPr>
        <w:t>1.6 Structure of the Dissertation</w:t>
      </w:r>
      <w:bookmarkEnd w:id="15"/>
    </w:p>
    <w:p w14:paraId="3555D8AE" w14:textId="5775FA75" w:rsidR="004A40F6" w:rsidRPr="004A40F6" w:rsidRDefault="004A40F6" w:rsidP="00D87DBA">
      <w:pPr>
        <w:spacing w:after="120"/>
        <w:rPr>
          <w:rFonts w:cs="Arial"/>
        </w:rPr>
      </w:pPr>
      <w:r w:rsidRPr="004A40F6">
        <w:rPr>
          <w:rFonts w:cs="Arial"/>
        </w:rPr>
        <w:t>This dissertation is organised into five chapters. Chapter One introduces the research topic, defines the principal concepts, presents the rationale for the study and outlines the research aim and objectives. Chapter Two critically reviews the literature relating to preventive interventions in adult social work, examining historical developments, theoretical perspectives, policy frameworks and the current evidence base. Chapter Three</w:t>
      </w:r>
      <w:r w:rsidR="00DF4354">
        <w:rPr>
          <w:rFonts w:cs="Arial"/>
        </w:rPr>
        <w:t xml:space="preserve"> </w:t>
      </w:r>
      <w:r w:rsidR="00DF4354" w:rsidRPr="00DF4354">
        <w:rPr>
          <w:rFonts w:cs="Arial"/>
        </w:rPr>
        <w:t>Explains the systematic review process, including literature searching, study selection criteria, critical quality assessment and thematic synthesis</w:t>
      </w:r>
      <w:r w:rsidRPr="004A40F6">
        <w:rPr>
          <w:rFonts w:cs="Arial"/>
        </w:rPr>
        <w:t xml:space="preserve">. Chapter Four presents and critically discusses the findings of the systematic review, synthesising evidence across the major themes identified during analysis. Finally, Chapter Five summarises the principal findings, considers their implications for policy and professional practice, acknowledges the study's limitations and offers recommendations for future research and service development. </w:t>
      </w:r>
    </w:p>
    <w:p w14:paraId="39664DAC" w14:textId="77777777" w:rsidR="00DA52F0" w:rsidRPr="00141A69" w:rsidRDefault="00DA52F0" w:rsidP="00DA52F0">
      <w:pPr>
        <w:spacing w:after="120"/>
        <w:mirrorIndents/>
        <w:rPr>
          <w:rFonts w:eastAsia="Arial Unicode MS" w:cs="Arial"/>
        </w:rPr>
      </w:pPr>
    </w:p>
    <w:p w14:paraId="24BE9DBF" w14:textId="77777777" w:rsidR="00DA52F0" w:rsidRPr="00141A69" w:rsidRDefault="00DA52F0" w:rsidP="00DA52F0">
      <w:pPr>
        <w:spacing w:after="120"/>
        <w:mirrorIndents/>
        <w:rPr>
          <w:rFonts w:eastAsia="Arial Unicode MS" w:cs="Arial"/>
        </w:rPr>
      </w:pPr>
    </w:p>
    <w:p w14:paraId="3FB66F32" w14:textId="77777777" w:rsidR="0078394E" w:rsidRDefault="0078394E" w:rsidP="00B56DF1">
      <w:pPr>
        <w:pStyle w:val="Heading1"/>
        <w:keepNext/>
      </w:pPr>
    </w:p>
    <w:p w14:paraId="54D49D97" w14:textId="77777777" w:rsidR="0078394E" w:rsidRDefault="0078394E" w:rsidP="00B56DF1">
      <w:pPr>
        <w:pStyle w:val="Heading1"/>
        <w:keepNext/>
      </w:pPr>
    </w:p>
    <w:p w14:paraId="7BAE8E2E" w14:textId="77777777" w:rsidR="00E527B2" w:rsidRDefault="00E527B2" w:rsidP="00E12B7E"/>
    <w:p w14:paraId="7291833A" w14:textId="77777777" w:rsidR="00E527B2" w:rsidRDefault="00E527B2" w:rsidP="00E12B7E"/>
    <w:p w14:paraId="53644679" w14:textId="77777777" w:rsidR="00E527B2" w:rsidRDefault="00E527B2" w:rsidP="00E12B7E"/>
    <w:p w14:paraId="48F07A48" w14:textId="77777777" w:rsidR="00E527B2" w:rsidRDefault="00E527B2" w:rsidP="00E527B2">
      <w:pPr>
        <w:jc w:val="center"/>
      </w:pPr>
    </w:p>
    <w:p w14:paraId="182C0D82" w14:textId="77777777" w:rsidR="0071091C" w:rsidRDefault="0071091C" w:rsidP="0071091C">
      <w:pPr>
        <w:pStyle w:val="Heading1"/>
        <w:keepNext/>
        <w:ind w:left="0"/>
        <w:jc w:val="center"/>
      </w:pPr>
    </w:p>
    <w:p w14:paraId="13A2C64B" w14:textId="6073B4E0" w:rsidR="0071091C" w:rsidRPr="009531E0" w:rsidRDefault="0071091C" w:rsidP="0071091C">
      <w:pPr>
        <w:pStyle w:val="Heading1"/>
        <w:keepNext/>
        <w:ind w:left="0"/>
        <w:jc w:val="center"/>
      </w:pPr>
    </w:p>
    <w:p w14:paraId="37123E75" w14:textId="2F82DBA6" w:rsidR="0071091C" w:rsidRDefault="0071091C" w:rsidP="0071091C">
      <w:pPr>
        <w:pStyle w:val="Heading2"/>
        <w:keepNext/>
        <w:ind w:left="0"/>
        <w:rPr>
          <w:rFonts w:cs="Arial"/>
          <w:bCs/>
        </w:rPr>
      </w:pPr>
    </w:p>
    <w:p w14:paraId="2E3F9932" w14:textId="2E873909" w:rsidR="00E527B2" w:rsidRDefault="00E527B2" w:rsidP="00E12B7E"/>
    <w:p w14:paraId="2C2E0AF7" w14:textId="77777777" w:rsidR="0071091C" w:rsidRPr="009531E0" w:rsidRDefault="0071091C" w:rsidP="0071091C">
      <w:pPr>
        <w:pStyle w:val="Heading1"/>
        <w:keepNext/>
        <w:ind w:left="0"/>
        <w:jc w:val="center"/>
      </w:pPr>
      <w:bookmarkStart w:id="16" w:name="_Toc236665535"/>
      <w:r w:rsidRPr="00141A69">
        <w:lastRenderedPageBreak/>
        <w:t>CHAPTER 2: BACKGROUND</w:t>
      </w:r>
      <w:bookmarkEnd w:id="16"/>
    </w:p>
    <w:p w14:paraId="7D675D40" w14:textId="77777777" w:rsidR="0071091C" w:rsidRDefault="0071091C" w:rsidP="0071091C">
      <w:pPr>
        <w:pStyle w:val="Heading2"/>
        <w:keepNext/>
        <w:ind w:left="0"/>
        <w:rPr>
          <w:rFonts w:cs="Arial"/>
          <w:bCs/>
        </w:rPr>
      </w:pPr>
      <w:bookmarkStart w:id="17" w:name="_Toc236665536"/>
      <w:r w:rsidRPr="003413E5">
        <w:rPr>
          <w:rFonts w:cs="Arial"/>
          <w:bCs/>
        </w:rPr>
        <w:t>2.1 Introduction</w:t>
      </w:r>
      <w:bookmarkEnd w:id="17"/>
    </w:p>
    <w:p w14:paraId="017150F2" w14:textId="77777777" w:rsidR="0071091C" w:rsidRDefault="0071091C" w:rsidP="0071091C">
      <w:r w:rsidRPr="00E12B7E">
        <w:t xml:space="preserve">This chapter critically reviews the literature on preventive interventions in social work practice </w:t>
      </w:r>
    </w:p>
    <w:p w14:paraId="58E4D76C" w14:textId="220B5DEE" w:rsidR="00E12B7E" w:rsidRPr="00E12B7E" w:rsidRDefault="00E12B7E" w:rsidP="00E12B7E">
      <w:r>
        <w:t>for vulnerable adults in the United Kingdom. It provides the theoretical and policy foundation for the systematic review by examining the historical development of prevention, key theoretical perspectives, international evidence and the UK policy context. Preventive social work has gained increasing importance due to population ageing, rising long-term health conditions and growing financial pressures on health and social care services. Rather than responding only after crises occur, preventive approaches aim to identify risks early, promote independence and improve wellbeing through person-centred and strengths-based practice (Care Act 2014; Department of Health and Social Care, 2021).</w:t>
      </w:r>
    </w:p>
    <w:p w14:paraId="5E293648" w14:textId="77777777" w:rsidR="00E12B7E" w:rsidRPr="00E12B7E" w:rsidRDefault="00E12B7E" w:rsidP="00E12B7E">
      <w:r w:rsidRPr="00E12B7E">
        <w:t xml:space="preserve">The chapter is organised into four sections. First, it examines the historical development of preventive adult social work. Second, it explores the theoretical perspectives underpinning preventive interventions. Third, it reviews international approaches to prevention before considering the UK national and local policy context. Together, these sections provide the conceptual framework for evaluating the effectiveness of preventive interventions in Chapter 4. </w:t>
      </w:r>
    </w:p>
    <w:p w14:paraId="6E143F25" w14:textId="77777777" w:rsidR="005B28C4" w:rsidRDefault="005B28C4" w:rsidP="005B28C4">
      <w:pPr>
        <w:pStyle w:val="Heading2"/>
        <w:keepNext/>
        <w:ind w:left="0"/>
        <w:rPr>
          <w:rFonts w:cs="Arial"/>
          <w:bCs/>
        </w:rPr>
      </w:pPr>
      <w:bookmarkStart w:id="18" w:name="_Toc236665537"/>
      <w:r>
        <w:t>2.2 Historical Background</w:t>
      </w:r>
      <w:bookmarkEnd w:id="18"/>
    </w:p>
    <w:p w14:paraId="19C76A3A" w14:textId="77777777" w:rsidR="00FE4EED" w:rsidRPr="00FE4EED" w:rsidRDefault="00FE4EED" w:rsidP="00FE4EED">
      <w:r>
        <w:t xml:space="preserve">This chapter has critically examined the literature relating to preventive interventions in adult social work practice for vulnerable adults in the United Kingdom. The review demonstrates that preventive practice has evolved from a predominantly reactive approach towards one that emphasises early intervention, person-centred care, empowerment and strengths-based support. Contemporary UK legislation, particularly the Care Act 2014, alongside national policies such as the NHS Long Term Plan, has established prevention as a fundamental principle of adult social care (Care Act 2014; NHS England, 2019). The theoretical perspectives explored in this chapter, including the Strengths-Based Approach, Empowerment Theory, Ecological Systems Theory and the Social Model of Disability, provide complementary frameworks for understanding how preventive interventions promote independence, resilience and social inclusion. Although each theory offers valuable insights, the literature suggests that no single theoretical perspective is sufficient to address the complex and interconnected needs of vulnerable adults. Consequently, effective preventive practice requires an integrated approach that combines person-centred care with collaborative, multi-agency working (Cox et al., 2020; Social Care Institute for Excellence, </w:t>
      </w:r>
      <w:r>
        <w:lastRenderedPageBreak/>
        <w:t>2018). The review also identified consistent evidence that preventive interventions, including reablement, social prescribing, safeguarding and community-based support, have the potential to improve wellbeing, delay the escalation of care needs and reduce reliance on intensive statutory services (NICE, 2022c; NHS England, 2019). However, the literature equally highlights significant barriers to implementation. Financial constraints, workforce shortages, regional inequalities and inconsistent access to community resources continue to limit the effectiveness of preventive services despite strong policy support (Bottery, 2024; Care Quality Commission, 2025). Furthermore, although international evidence supports the benefits of prevention, differences in healthcare systems, funding arrangements and legislative frameworks mean that findings cannot always be transferred directly to the UK context (World Health Organization, 2016). This reinforces the importance of evaluating evidence specifically within the United Kingdom, where the legal and organisational context of adult social work differs from many other countries.</w:t>
      </w:r>
    </w:p>
    <w:p w14:paraId="1242E93F" w14:textId="77777777" w:rsidR="00FE4EED" w:rsidRPr="00FE4EED" w:rsidRDefault="00FE4EED" w:rsidP="00FE4EED">
      <w:r w:rsidRPr="00FE4EED">
        <w:t>Overall, the literature demonstrates broad agreement regarding the value of preventive interventions while identifying important gaps concerning their long-term effectiveness, consistency of implementation and impact on outcomes for vulnerable adults. These gaps provide the rationale for the present systematic review, which seeks to synthesise current evidence on preventive interventions in UK adult social work and critically evaluate their effectiveness in improving outcomes for vulnerable adults. The following chapter explains the systematic review methodology adopted to identify, select, appraise and synthesise the evidence included in this dissertation.</w:t>
      </w:r>
    </w:p>
    <w:p w14:paraId="2BFAD5E1" w14:textId="77777777" w:rsidR="0038002E" w:rsidRDefault="0038002E" w:rsidP="000A2DBC"/>
    <w:p w14:paraId="50EBD0DC" w14:textId="77777777" w:rsidR="006E7233" w:rsidRDefault="006E7233" w:rsidP="00B5133D">
      <w:pPr>
        <w:pStyle w:val="Heading2"/>
        <w:keepNext/>
        <w:ind w:left="0"/>
        <w:rPr>
          <w:rFonts w:cs="Arial"/>
          <w:bCs/>
        </w:rPr>
      </w:pPr>
      <w:bookmarkStart w:id="19" w:name="_Toc236665538"/>
      <w:r>
        <w:t>2.3 Theoretical Background</w:t>
      </w:r>
      <w:bookmarkEnd w:id="19"/>
    </w:p>
    <w:p w14:paraId="54239D3F" w14:textId="0C4B89AE" w:rsidR="00E527B2" w:rsidRDefault="008532F0" w:rsidP="008532F0">
      <w:r w:rsidRPr="008532F0">
        <w:t>Theoretical frameworks provide an essential foundation for understanding how preventive interventions support vulnerable adults within social work practice. They guide practitioners in assessing individual needs, identifying protective factors, and developing interventions that promote independence, resilience, and wellbeing. Among the most influential theories informing preventive practice are the Strengths-Based Approach, Ecological Systems Theory, and Empowerment Theory.</w:t>
      </w:r>
      <w:r w:rsidR="0071091C">
        <w:t xml:space="preserve"> </w:t>
      </w:r>
      <w:r>
        <w:t xml:space="preserve">The Strengths-Based Approach focuses on individuals' abilities, capacities, and existing resources rather than their deficits or problems (Department of Health and Social Care, 2019). This approach encourages social workers to work collaboratively with vulnerable adults by recognising personal strengths, family support, and community assets that can enhance independence. Instead of fostering dependence on statutory services, strengths-based practice promotes resilience and self-determination. However, critics argue that its effectiveness may be limited when individuals experience severe mental illness, </w:t>
      </w:r>
      <w:r>
        <w:lastRenderedPageBreak/>
        <w:t>safeguarding concerns, or structural barriers such as poverty and inadequate housing, which cannot be overcome through personal strengths alone (Social Care Institute for Excellence, 2018). Therefore, while strengths-based practice is widely supported in UK social work, its success depends on the availability of appropriate services and wider social support.</w:t>
      </w:r>
      <w:r w:rsidR="0071091C">
        <w:t xml:space="preserve"> </w:t>
      </w:r>
      <w:r>
        <w:t>Ecological Systems Theory, as applied within social work theory (Cox et al., 2020), emphasises that individuals are influenced by multiple interacting environments, including family, community, organisations, and wider social policies. Within adult social work, this perspective highlights that vulnerability often arises from complex interactions between personal circumstances and social determinants such as unemployment, discrimination, social isolation, and poor housing. Consequently, preventive interventions extend beyond addressing individual needs to include community resources, partnership working, and integrated care. Although the theory provides a holistic understanding of vulnerability, some researchers argue that its broad focus can make practical implementation challenging because practitioners may have limited influence over wider structural factors (Marmot et al., 2020).</w:t>
      </w:r>
    </w:p>
    <w:p w14:paraId="7554687A" w14:textId="77777777" w:rsidR="008532F0" w:rsidRPr="008532F0" w:rsidRDefault="008532F0" w:rsidP="008532F0">
      <w:r>
        <w:t>Empowerment Theory further supports preventive social work by promoting participation, autonomy, and shared decision-making. It encourages vulnerable adults to exercise greater control over decisions affecting their lives, consistent with the person-centred principles embedded within the Care Act 2014 (Department of Health and Social Care, 2023b). Empowerment contributes to improved confidence, social inclusion, and long-term wellbeing by enabling individuals to actively participate in planning their care and support. Nevertheless, genuine empowerment may be constrained by organisational pressures, limited resources, and unequal access to services, which can restrict individuals' opportunities to exercise meaningful choice (Bottery, 2024). In practice, empowerment depends on accessible information, supported decision-making and genuine personalisation (NICE, 2018a; NICE, 2021b).</w:t>
      </w:r>
    </w:p>
    <w:p w14:paraId="4239146B" w14:textId="77777777" w:rsidR="008532F0" w:rsidRPr="008532F0" w:rsidRDefault="008532F0" w:rsidP="008532F0">
      <w:r w:rsidRPr="008532F0">
        <w:t>Collectively, these theoretical perspectives demonstrate that effective preventive interventions require a holistic and person-centred approach that addresses both individual strengths and the wider social factors contributing to vulnerability. Together, they provide the conceptual framework for evaluating the effectiveness of preventive interventions examined in this systematic review.</w:t>
      </w:r>
    </w:p>
    <w:p w14:paraId="22D12FB4" w14:textId="77777777" w:rsidR="00367A5A" w:rsidRDefault="00367A5A" w:rsidP="00367A5A"/>
    <w:p w14:paraId="4E1FD645" w14:textId="77777777" w:rsidR="006012F8" w:rsidRPr="006012F8" w:rsidRDefault="006012F8" w:rsidP="006012F8">
      <w:pPr>
        <w:pStyle w:val="Heading2"/>
        <w:keepNext/>
        <w:ind w:left="0"/>
        <w:rPr>
          <w:rFonts w:cs="Arial"/>
          <w:bCs/>
        </w:rPr>
      </w:pPr>
      <w:bookmarkStart w:id="20" w:name="_Toc236665539"/>
      <w:r>
        <w:t>2.4 International Context</w:t>
      </w:r>
      <w:bookmarkEnd w:id="20"/>
    </w:p>
    <w:p w14:paraId="366BF2A7" w14:textId="77777777" w:rsidR="003F0D23" w:rsidRPr="003F0D23" w:rsidRDefault="003F0D23" w:rsidP="003F0D23">
      <w:pPr>
        <w:spacing w:after="120"/>
        <w:mirrorIndents/>
        <w:rPr>
          <w:rFonts w:eastAsia="Arial Unicode MS" w:cs="Arial"/>
          <w:bCs/>
        </w:rPr>
      </w:pPr>
      <w:r>
        <w:t xml:space="preserve">Preventive interventions have become a central component of adult social care policy internationally, reflecting a shared recognition that early intervention can improve wellbeing </w:t>
      </w:r>
      <w:r>
        <w:lastRenderedPageBreak/>
        <w:t>while reducing the long-term demand for health and social care services. Organisations such as the World Health Organization (WHO) advocate prevention as a key strategy for promoting healthy ageing, reducing health inequalities and supporting individuals to remain independent within their communities (World Health Organization, 2016). Although many countries share similar objectives, differences in welfare systems, funding arrangements and service delivery influence how preventive interventions are implemented and their overall effectiveness. Evidence from Scandinavian countries demonstrates that investment in integrated health and social care, community-based services and early intervention contribute to improved quality of life and reduced reliance on institutional care (World Health Organization, 2016). These systems place considerable emphasis on multidisciplinary collaboration, preventive home visits and rehabilitation services, enabling vulnerable adults to maintain independence for longer periods. However, these approaches are supported by comparatively higher levels of public investment than those currently available within many UK local authorities, limiting the direct transferability of findings to the UK context (World Health Organization, 2016). International prevention policy also requires attention to ageism as a structural barrier to autonomy and participation (World Health Organization, 2021). International evidence also identifies multidisciplinary working as a critical factor in successful prevention. Collaboration between health professionals, social workers, housing providers and voluntary organisations enables more holistic responses to complex social and health needs (World Health Organization, 2016). Nevertheless, workforce shortages, fragmented services and rising demand are reported across different welfare systems, showing that implementation challenges are not unique to the United Kingdom (World Health Organization, 2016).</w:t>
      </w:r>
    </w:p>
    <w:p w14:paraId="6648C57C" w14:textId="77777777" w:rsidR="003F0D23" w:rsidRPr="003F0D23" w:rsidRDefault="003F0D23" w:rsidP="003F0D23">
      <w:pPr>
        <w:spacing w:after="120"/>
        <w:mirrorIndents/>
        <w:rPr>
          <w:rFonts w:eastAsia="Arial Unicode MS" w:cs="Arial"/>
          <w:bCs/>
        </w:rPr>
      </w:pPr>
      <w:r>
        <w:t>While international studies provide valuable evidence regarding effective preventive practice, caution is required when applying their findings directly to the UK. Legislative frameworks, funding mechanisms and social care structures vary considerably between countries, affecting both service delivery and outcomes. Consequently, UK policy and practice should be informed by international evidence while remaining responsive to the legal responsibilities established under the Care Act 2014 and the organisational realities of the NHS and local authority social care services (Department of Health and Social Care, 2021). This supports the rationale for focusing the present systematic review specifically on preventive interventions within the UK context.</w:t>
      </w:r>
    </w:p>
    <w:p w14:paraId="10CD1791" w14:textId="77777777" w:rsidR="006B7C10" w:rsidRPr="00141A69" w:rsidRDefault="006B7C10" w:rsidP="00DA52F0">
      <w:pPr>
        <w:spacing w:after="120"/>
        <w:mirrorIndents/>
        <w:rPr>
          <w:rFonts w:eastAsia="Arial Unicode MS" w:cs="Arial"/>
          <w:bCs/>
        </w:rPr>
      </w:pPr>
    </w:p>
    <w:p w14:paraId="270DD046" w14:textId="77777777" w:rsidR="00235BB8" w:rsidRDefault="00235BB8" w:rsidP="00235BB8">
      <w:pPr>
        <w:pStyle w:val="Heading2"/>
        <w:keepNext/>
        <w:ind w:left="0"/>
        <w:rPr>
          <w:rFonts w:cs="Arial"/>
          <w:bCs/>
        </w:rPr>
      </w:pPr>
      <w:bookmarkStart w:id="21" w:name="_Toc236665540"/>
      <w:r>
        <w:t>2.5 National/Local Context</w:t>
      </w:r>
      <w:bookmarkEnd w:id="21"/>
    </w:p>
    <w:p w14:paraId="57FBC28D" w14:textId="77777777" w:rsidR="00CC7F05" w:rsidRPr="00CC7F05" w:rsidRDefault="00CC7F05" w:rsidP="00CC7F05">
      <w:r>
        <w:t xml:space="preserve">The United Kingdom has increasingly positioned prevention at the centre of adult social care </w:t>
      </w:r>
      <w:r>
        <w:lastRenderedPageBreak/>
        <w:t>policy, recognising that early intervention can improve wellbeing, promote independence and reduce the need for more intensive statutory services. This shift is reflected in the Care Act 2014, which established a legal duty for local authorities to prevent, reduce or delay the development of care and support needs while promoting individual wellbeing and person-centred practice. The legislation also requires practitioners to adopt strengths-based assessments and to consider the role of families, carers and community resources when planning support (Care Act 2014; Social Care Institute for Excellence, 2018). The NHS Long Term Plan further reinforced the prevention agenda by promoting integrated care, reducing health inequalities and strengthening collaboration between health, social care and voluntary organisations. It emphasises that effective prevention requires coordinated, community-based services rather than isolated interventions delivered by individual agencies. Consequently, preventive social work increasingly involves multidisciplinary approaches such as social prescribing, reablement, community support and early safeguarding interventions that seek to maintain independence and improve quality of life (NHS England, 2019; Social Care Institute for Excellence, 2018). Subsequent reforms have promoted place-based integration, but national reviews continue to identify uneven delivery and incomplete reform (Health and Care Act 2022; GOV.UK, 2022; Department of Health and Social Care, 2022b; Fuller, 2022; National Audit Office, 2022; Department of Health and Social Care, 2023a; Local Government Association, 2024a; NHS England, 2024).</w:t>
      </w:r>
    </w:p>
    <w:p w14:paraId="7063931B" w14:textId="604EBC82" w:rsidR="00CC7F05" w:rsidRPr="00CC7F05" w:rsidRDefault="00A12E06" w:rsidP="00CC7F05">
      <w:r w:rsidRPr="00A12E06">
        <w:t>Strengths-based practice is now firmly embedded as a central approach within contemporary adult social work in England</w:t>
      </w:r>
      <w:r w:rsidR="00CC7F05">
        <w:t xml:space="preserve">. Rather than focusing primarily on deficits and risks, practitioners are encouraged to identify individuals' existing capabilities, personal networks and community assets to enhance resilience and reduce dependence on formal services. Evidence suggests that this approach improves engagement, promotes autonomy and supports personalised care when implemented effectively. However, successful strengths-based practice requires sufficient time, skilled practitioners and access to community resources, all of which may be constrained by organisational pressures and limited funding (Social Care Institute for Excellence, 2018). Despite strong policy support, the implementation of preventive interventions remains inconsistent across local authorities. Financial pressures, rising demand for services and workforce shortages continue to limit the capacity of many organisations to invest in early intervention. The King's Fund argues that adult social care has experienced prolonged underinvestment, resulting in unmet need, regional variation and increasing pressure on providers, while workforce vacancies and high staff turnover continue to undermine service delivery (Bottery, 2024). The Care Quality Commission (CQC) has similarly highlighted concerns regarding increasing demand, workforce shortages and inequalities in access to social care services. These challenges reduce the ability of local authorities to </w:t>
      </w:r>
      <w:r w:rsidR="00CC7F05">
        <w:lastRenderedPageBreak/>
        <w:t xml:space="preserve">deliver the preventive ambitions outlined in national policy, creating a gap between legislative expectations and everyday practice. Consequently, although prevention is widely recognised as a cost-effective and person-centred approach, its long-term success depends upon sustained investment, effective partnership working and a stable, well-supported workforce capable of delivering high-quality community-based services (Care Quality Commission, 2025; Social Care Institute for Excellence, 2018). </w:t>
      </w:r>
    </w:p>
    <w:p w14:paraId="370F64A0" w14:textId="77777777" w:rsidR="00CC7F05" w:rsidRPr="00CC7F05" w:rsidRDefault="00CC7F05" w:rsidP="00CC7F05">
      <w:r w:rsidRPr="00CC7F05">
        <w:t>Overall, the UK policy framework provides a strong foundation for preventive adult social work by promoting early intervention, empowerment and integrated care. Nevertheless, the literature consistently demonstrates that policy aspirations alone are insufficient. Without adequate funding, workforce development and effective inter-agency collaboration, preventive interventions may fail to achieve their intended outcomes. This tension between policy ambition and implementation provides an important context for interpreting the findings of this systematic review.</w:t>
      </w:r>
    </w:p>
    <w:p w14:paraId="649424AA" w14:textId="77777777" w:rsidR="00CC7F05" w:rsidRDefault="00CC7F05" w:rsidP="00CC7F05"/>
    <w:p w14:paraId="224F8618" w14:textId="77777777" w:rsidR="00E80A77" w:rsidRDefault="00E80A77" w:rsidP="00E80A77">
      <w:pPr>
        <w:pStyle w:val="Heading2"/>
        <w:keepNext/>
        <w:ind w:left="0"/>
        <w:rPr>
          <w:rFonts w:cs="Arial"/>
          <w:bCs/>
        </w:rPr>
      </w:pPr>
      <w:bookmarkStart w:id="22" w:name="_Toc236665541"/>
      <w:r>
        <w:t>2.6 Chapter Summary</w:t>
      </w:r>
      <w:bookmarkEnd w:id="22"/>
    </w:p>
    <w:p w14:paraId="5FD8159E" w14:textId="77777777" w:rsidR="00B07BBB" w:rsidRPr="00B07BBB" w:rsidRDefault="00B07BBB" w:rsidP="00B07BBB">
      <w:pPr>
        <w:rPr>
          <w:rFonts w:eastAsia="Arial Unicode MS"/>
        </w:rPr>
      </w:pPr>
      <w:r>
        <w:t>This chapter critically reviewed the literature relating to preventive interventions in social work practice for vulnerable adults. It explored the historical development of prevention, demonstrating the shift from reactive service provision towards proactive, person-centred approaches supported by the Care Act 2014 and wider UK social care policy. The discussion of theoretical perspectives highlighted the contribution of the Strengths-Based Approach, Ecological Systems Theory, and Empowerment Theory in promoting independence, resilience, and wellbeing while acknowledging the limitations of these approaches when wider structural inequalities are not addressed. The chapter also examined international evidence, identifying common principles such as early intervention, integrated care, and multidisciplinary collaboration that have informed UK policy. However, differences in welfare systems, funding arrangements, and legislation limit the direct transferability of international findings. The review of the UK national context demonstrated that although prevention is firmly embedded within legislation and policy, challenges including financial constraints, workforce shortages, and regional inequalities continue to affect implementation and service delivery (Department of Health and Social Care, 2023b; Bottery, 2024).</w:t>
      </w:r>
    </w:p>
    <w:p w14:paraId="7FC23280" w14:textId="77777777" w:rsidR="00B07BBB" w:rsidRPr="00B07BBB" w:rsidRDefault="00B07BBB" w:rsidP="00B07BBB">
      <w:pPr>
        <w:rPr>
          <w:rFonts w:eastAsia="Arial Unicode MS"/>
        </w:rPr>
      </w:pPr>
      <w:r>
        <w:t>Overall, preventive interventions can improve wellbeing, maintain independence and reduce long-term demand for health and social care. However, inconsistent implementation and evidence gaps require further evaluation. The following chapter explains the systematic review used to identify, appraise and synthesise UK evidence on preventive adult social work.</w:t>
      </w:r>
    </w:p>
    <w:p w14:paraId="58184C1D" w14:textId="77777777" w:rsidR="00E527B2" w:rsidRPr="00912434" w:rsidRDefault="00E527B2" w:rsidP="00E527B2">
      <w:pPr>
        <w:pStyle w:val="Heading1"/>
        <w:keepNext/>
        <w:ind w:left="0"/>
        <w:jc w:val="center"/>
        <w:rPr>
          <w:rFonts w:eastAsia="Arial Unicode MS" w:cs="Arial"/>
        </w:rPr>
      </w:pPr>
      <w:bookmarkStart w:id="23" w:name="_Toc236665542"/>
      <w:r w:rsidRPr="00141A69">
        <w:lastRenderedPageBreak/>
        <w:t>CHAPTER 3: METHODS</w:t>
      </w:r>
      <w:bookmarkEnd w:id="23"/>
    </w:p>
    <w:p w14:paraId="372CD8DD" w14:textId="77777777" w:rsidR="00E527B2" w:rsidRPr="00726991" w:rsidRDefault="00E527B2" w:rsidP="00E527B2">
      <w:pPr>
        <w:pStyle w:val="Heading2"/>
        <w:keepNext/>
        <w:ind w:left="0"/>
        <w:rPr>
          <w:rFonts w:cs="Arial"/>
          <w:bCs/>
        </w:rPr>
      </w:pPr>
      <w:bookmarkStart w:id="24" w:name="_Toc236665543"/>
      <w:r w:rsidRPr="00726991">
        <w:rPr>
          <w:rFonts w:cs="Arial"/>
          <w:bCs/>
        </w:rPr>
        <w:t>3.1 Introduction</w:t>
      </w:r>
      <w:bookmarkEnd w:id="24"/>
    </w:p>
    <w:p w14:paraId="4E887871" w14:textId="77777777" w:rsidR="00E527B2" w:rsidRDefault="00F4158E" w:rsidP="006407A8">
      <w:pPr>
        <w:spacing w:after="120"/>
      </w:pPr>
      <w:r>
        <w:t xml:space="preserve">This chapter outlines the methodology adopted to investigate the effectiveness of preventive </w:t>
      </w:r>
    </w:p>
    <w:p w14:paraId="64815EF1" w14:textId="77777777" w:rsidR="00E527B2" w:rsidRDefault="00F4158E" w:rsidP="006407A8">
      <w:pPr>
        <w:spacing w:after="120"/>
      </w:pPr>
      <w:r>
        <w:t xml:space="preserve">interventions in adult social work practice for vulnerable adults in the United Kingdom. A </w:t>
      </w:r>
    </w:p>
    <w:p w14:paraId="52241FDD" w14:textId="77777777" w:rsidR="00F4158E" w:rsidRPr="00726991" w:rsidRDefault="00F4158E" w:rsidP="006407A8">
      <w:pPr>
        <w:spacing w:after="120"/>
        <w:rPr>
          <w:rFonts w:cs="Arial"/>
        </w:rPr>
      </w:pPr>
      <w:r>
        <w:t>systematic review methodology was employed to identify, critically appraise and synthesise published evidence relating to preventive interventions in adult social work. A systematic review was considered appropriate because it provides a transparent and rigorous approach to locating, selecting and analysing existing evidence while minimising bias using predefined eligibility criteria and a structured search process (Page et al., 2021; Similä et al., 2026).</w:t>
      </w:r>
    </w:p>
    <w:p w14:paraId="4EE732BB" w14:textId="77777777" w:rsidR="00F4158E" w:rsidRPr="00726991" w:rsidRDefault="00F4158E" w:rsidP="00D87DBA">
      <w:pPr>
        <w:spacing w:after="120"/>
        <w:rPr>
          <w:rFonts w:cs="Arial"/>
        </w:rPr>
      </w:pPr>
      <w:r>
        <w:t>The review followed the Preferred Reporting Items for Systematic Reviews and Meta-Analyses (PRISMA 2020) guidelines to ensure transparency and methodological rigour throughout the review process. Data were extracted from peer-reviewed journal articles, government reports and recognised grey literature before being synthesised using thematic analysis. This approach enabled the identification of recurring patterns relating to the effectiveness of preventive interventions and their contribution to improving outcomes for vulnerable adults (Page et al., 2021; Gough, Oliver and Thomas, 2017).</w:t>
      </w:r>
    </w:p>
    <w:p w14:paraId="16921AC9" w14:textId="77777777" w:rsidR="00F4158E" w:rsidRPr="00726991" w:rsidRDefault="00F4158E" w:rsidP="00D87DBA">
      <w:pPr>
        <w:pStyle w:val="Heading2"/>
        <w:keepNext/>
        <w:ind w:left="0"/>
        <w:rPr>
          <w:rFonts w:cs="Arial"/>
          <w:bCs/>
        </w:rPr>
      </w:pPr>
      <w:bookmarkStart w:id="25" w:name="_Toc236665544"/>
      <w:r w:rsidRPr="00726991">
        <w:rPr>
          <w:rFonts w:cs="Arial"/>
          <w:bCs/>
        </w:rPr>
        <w:t>3.2 Research Design</w:t>
      </w:r>
      <w:bookmarkEnd w:id="25"/>
    </w:p>
    <w:p w14:paraId="7E1A453E" w14:textId="77777777" w:rsidR="00F4158E" w:rsidRPr="00726991" w:rsidRDefault="00F4158E" w:rsidP="00D87DBA">
      <w:pPr>
        <w:spacing w:after="120"/>
        <w:rPr>
          <w:rFonts w:cs="Arial"/>
        </w:rPr>
      </w:pPr>
      <w:r w:rsidRPr="00726991">
        <w:rPr>
          <w:rFonts w:cs="Arial"/>
        </w:rPr>
        <w:t>A systematic review was undertaken to answer the research question:</w:t>
      </w:r>
    </w:p>
    <w:p w14:paraId="21873A7F" w14:textId="16DA8B78" w:rsidR="00F4158E" w:rsidRPr="00726991" w:rsidRDefault="00F4158E" w:rsidP="00F4158E">
      <w:pPr>
        <w:spacing w:after="120"/>
        <w:rPr>
          <w:rFonts w:cs="Arial"/>
        </w:rPr>
      </w:pPr>
      <w:r>
        <w:t xml:space="preserve">What preventive interventions are used in adult social work practice to support vulnerable adults in the United Kingdom, and how effective are these interventions in improving wellbeing and reducing reliance on statutory services? Unlike primary research, a systematic review analyses existing published evidence rather than collecting new data directly from participants. This methodology was selected because it enables evidence from multiple studies to be synthesised into a comprehensive overview of current knowledge. </w:t>
      </w:r>
      <w:r w:rsidR="00CB7AD5" w:rsidRPr="00CB7AD5">
        <w:t xml:space="preserve">Systematic reviews are considered a robust source of evidence for professional practice because they use transparent and rigorous procedures to identify, select, appraise and synthesise relevant research. </w:t>
      </w:r>
      <w:r>
        <w:t>(Page et al., 2021).</w:t>
      </w:r>
      <w:r w:rsidR="00CB7AD5">
        <w:rPr>
          <w:rFonts w:cs="Arial"/>
        </w:rPr>
        <w:t xml:space="preserve"> </w:t>
      </w:r>
      <w:r>
        <w:t>The review followed the PRISMA 2020 framework, which provides internationally recognised guidance for conducting and reporting systematic reviews. The structured methodology enhanced the transparency, reliability and reproducibility of the review process (Page et al., 2021).</w:t>
      </w:r>
    </w:p>
    <w:p w14:paraId="5BDBEC1B" w14:textId="77777777" w:rsidR="00F4158E" w:rsidRPr="00726991" w:rsidRDefault="00F4158E" w:rsidP="00F4158E">
      <w:pPr>
        <w:pStyle w:val="Heading2"/>
        <w:keepNext/>
        <w:ind w:left="0"/>
        <w:rPr>
          <w:rFonts w:cs="Arial"/>
          <w:bCs/>
        </w:rPr>
      </w:pPr>
      <w:bookmarkStart w:id="26" w:name="_Toc236665545"/>
      <w:r w:rsidRPr="00726991">
        <w:rPr>
          <w:rFonts w:cs="Arial"/>
          <w:bCs/>
        </w:rPr>
        <w:lastRenderedPageBreak/>
        <w:t>3.3 Search Strategy</w:t>
      </w:r>
      <w:bookmarkEnd w:id="26"/>
    </w:p>
    <w:p w14:paraId="1EFDBD13" w14:textId="77777777" w:rsidR="00F4158E" w:rsidRPr="00726991" w:rsidRDefault="00F4158E" w:rsidP="00F4158E">
      <w:pPr>
        <w:spacing w:after="120"/>
        <w:rPr>
          <w:rFonts w:cs="Arial"/>
        </w:rPr>
      </w:pPr>
      <w:r>
        <w:t xml:space="preserve">A comprehensive electronic literature search was undertaken to identify relevant studies published between 2016 and 2026. The following electronic databases were searched: PubMed, PsycINFO, ProQuest, British Education Index, Google Scholar (grey literature), UWTSD Library Search. These databases were selected because they index literature relating to health, social work, social care and public policy. </w:t>
      </w:r>
    </w:p>
    <w:p w14:paraId="074B3FA6" w14:textId="77777777" w:rsidR="00F4158E" w:rsidRPr="00726991" w:rsidRDefault="00F4158E" w:rsidP="00F4158E">
      <w:pPr>
        <w:spacing w:after="120"/>
        <w:rPr>
          <w:rFonts w:cs="Arial"/>
        </w:rPr>
      </w:pPr>
      <w:r w:rsidRPr="00726991">
        <w:rPr>
          <w:rFonts w:cs="Arial"/>
        </w:rPr>
        <w:t>The search strategy combined keywords with Boolean operators (AND/OR).</w:t>
      </w:r>
      <w:r>
        <w:t xml:space="preserve"> </w:t>
      </w:r>
    </w:p>
    <w:p w14:paraId="6CD56A31" w14:textId="403183A7" w:rsidR="00F4158E" w:rsidRPr="00726991" w:rsidRDefault="00F4158E" w:rsidP="00AC58CD">
      <w:pPr>
        <w:spacing w:after="120"/>
        <w:rPr>
          <w:rFonts w:cs="Arial"/>
        </w:rPr>
      </w:pPr>
      <w:r>
        <w:t xml:space="preserve">Examples included: "preventive intervention*" AND "adult social work" "prevention" AND "vulnerable adults" "adult social care" AND "early intervention" "social prescribing" AND "United Kingdom" "reablement" AND "adult social care" "strengths-based practice" AND "England". Reference lists of eligible studies were also manually searched to identify additional relevant publications. </w:t>
      </w:r>
    </w:p>
    <w:p w14:paraId="5257BE0E" w14:textId="77777777" w:rsidR="00F4158E" w:rsidRPr="008E03E9" w:rsidRDefault="00F4158E" w:rsidP="00F4158E">
      <w:pPr>
        <w:pStyle w:val="Heading2"/>
        <w:keepNext/>
        <w:ind w:left="0"/>
        <w:rPr>
          <w:rFonts w:cs="Arial"/>
          <w:bCs/>
        </w:rPr>
      </w:pPr>
      <w:bookmarkStart w:id="27" w:name="_Toc236665546"/>
      <w:r w:rsidRPr="008E03E9">
        <w:rPr>
          <w:rFonts w:cs="Arial"/>
          <w:bCs/>
        </w:rPr>
        <w:t>3.4 Inclusion and Exclusion Criteria</w:t>
      </w:r>
      <w:bookmarkEnd w:id="27"/>
    </w:p>
    <w:p w14:paraId="0B22FA6D" w14:textId="77777777" w:rsidR="00F4158E" w:rsidRPr="000A7A2D" w:rsidRDefault="00F4158E" w:rsidP="00F4158E">
      <w:pPr>
        <w:spacing w:after="120"/>
        <w:rPr>
          <w:rFonts w:cs="Arial"/>
        </w:rPr>
      </w:pPr>
      <w:r w:rsidRPr="00726991">
        <w:rPr>
          <w:rFonts w:cs="Arial"/>
        </w:rPr>
        <w:t xml:space="preserve">Predefined eligibility criteria were established before the literature search to ensure </w:t>
      </w:r>
      <w:r w:rsidRPr="000A7A2D">
        <w:rPr>
          <w:rFonts w:cs="Arial"/>
        </w:rPr>
        <w:t>consistency throughout the review.</w:t>
      </w:r>
      <w:r>
        <w:t xml:space="preserve"> </w:t>
      </w:r>
    </w:p>
    <w:p w14:paraId="57EDEB2F" w14:textId="77777777" w:rsidR="007E2D10" w:rsidRDefault="00F4158E" w:rsidP="00F4158E">
      <w:pPr>
        <w:pStyle w:val="Heading2"/>
        <w:keepNext/>
        <w:rPr>
          <w:rFonts w:cs="Arial"/>
          <w:bCs/>
        </w:rPr>
      </w:pPr>
      <w:bookmarkStart w:id="28" w:name="_Toc236665547"/>
      <w:r w:rsidRPr="00AC58CD">
        <w:rPr>
          <w:rFonts w:cs="Arial"/>
          <w:bCs/>
        </w:rPr>
        <w:t>Inclusion Criteria</w:t>
      </w:r>
      <w:r w:rsidR="00AC58CD">
        <w:rPr>
          <w:rFonts w:cs="Arial"/>
          <w:bCs/>
        </w:rPr>
        <w:t>:</w:t>
      </w:r>
      <w:bookmarkEnd w:id="28"/>
    </w:p>
    <w:p w14:paraId="5D643DC5" w14:textId="77777777" w:rsidR="00F4158E" w:rsidRPr="007E2D10" w:rsidRDefault="00F4158E" w:rsidP="007E2D10">
      <w:pPr>
        <w:pStyle w:val="ListParagraph"/>
        <w:numPr>
          <w:ilvl w:val="0"/>
          <w:numId w:val="24"/>
        </w:numPr>
        <w:spacing w:after="120"/>
        <w:rPr>
          <w:rFonts w:cs="Arial"/>
          <w:b/>
          <w:bCs/>
        </w:rPr>
      </w:pPr>
      <w:r w:rsidRPr="007E2D10">
        <w:rPr>
          <w:rFonts w:cs="Arial"/>
        </w:rPr>
        <w:t>Published between 2016 and 2026</w:t>
      </w:r>
    </w:p>
    <w:p w14:paraId="69A28448" w14:textId="77777777" w:rsidR="00F4158E" w:rsidRPr="007E2D10" w:rsidRDefault="00F4158E" w:rsidP="007E2D10">
      <w:pPr>
        <w:pStyle w:val="ListParagraph"/>
        <w:numPr>
          <w:ilvl w:val="0"/>
          <w:numId w:val="24"/>
        </w:numPr>
        <w:spacing w:after="120"/>
        <w:rPr>
          <w:rFonts w:cs="Arial"/>
        </w:rPr>
      </w:pPr>
      <w:r w:rsidRPr="007E2D10">
        <w:rPr>
          <w:rFonts w:cs="Arial"/>
        </w:rPr>
        <w:t>Conducted within the United Kingdom</w:t>
      </w:r>
    </w:p>
    <w:p w14:paraId="1AB9B692" w14:textId="77777777" w:rsidR="00F4158E" w:rsidRPr="007E2D10" w:rsidRDefault="00F4158E" w:rsidP="007E2D10">
      <w:pPr>
        <w:pStyle w:val="ListParagraph"/>
        <w:numPr>
          <w:ilvl w:val="0"/>
          <w:numId w:val="24"/>
        </w:numPr>
        <w:spacing w:after="120"/>
        <w:rPr>
          <w:rFonts w:cs="Arial"/>
        </w:rPr>
      </w:pPr>
      <w:r w:rsidRPr="007E2D10">
        <w:rPr>
          <w:rFonts w:cs="Arial"/>
        </w:rPr>
        <w:t>Peer-reviewed journal articles</w:t>
      </w:r>
    </w:p>
    <w:p w14:paraId="619DAE8B" w14:textId="77777777" w:rsidR="00F4158E" w:rsidRPr="007E2D10" w:rsidRDefault="00F4158E" w:rsidP="007E2D10">
      <w:pPr>
        <w:pStyle w:val="ListParagraph"/>
        <w:numPr>
          <w:ilvl w:val="0"/>
          <w:numId w:val="24"/>
        </w:numPr>
        <w:spacing w:after="120"/>
        <w:rPr>
          <w:rFonts w:cs="Arial"/>
        </w:rPr>
      </w:pPr>
      <w:r w:rsidRPr="007E2D10">
        <w:rPr>
          <w:rFonts w:cs="Arial"/>
        </w:rPr>
        <w:t>Government reports and recognised grey literature</w:t>
      </w:r>
    </w:p>
    <w:p w14:paraId="793DEA7A" w14:textId="77777777" w:rsidR="00F4158E" w:rsidRPr="007E2D10" w:rsidRDefault="00F4158E" w:rsidP="007E2D10">
      <w:pPr>
        <w:pStyle w:val="ListParagraph"/>
        <w:numPr>
          <w:ilvl w:val="0"/>
          <w:numId w:val="24"/>
        </w:numPr>
        <w:spacing w:after="120"/>
        <w:rPr>
          <w:rFonts w:cs="Arial"/>
        </w:rPr>
      </w:pPr>
      <w:r w:rsidRPr="007E2D10">
        <w:rPr>
          <w:rFonts w:cs="Arial"/>
        </w:rPr>
        <w:t>Published in English</w:t>
      </w:r>
    </w:p>
    <w:p w14:paraId="57593E4F" w14:textId="77777777" w:rsidR="00F4158E" w:rsidRPr="007E2D10" w:rsidRDefault="00F4158E" w:rsidP="007E2D10">
      <w:pPr>
        <w:pStyle w:val="ListParagraph"/>
        <w:numPr>
          <w:ilvl w:val="0"/>
          <w:numId w:val="24"/>
        </w:numPr>
        <w:spacing w:after="120"/>
        <w:rPr>
          <w:rFonts w:cs="Arial"/>
        </w:rPr>
      </w:pPr>
      <w:r w:rsidRPr="007E2D10">
        <w:rPr>
          <w:rFonts w:cs="Arial"/>
        </w:rPr>
        <w:t>Focused on preventive interventions within adult social work or adult social care</w:t>
      </w:r>
    </w:p>
    <w:p w14:paraId="15B83D6F" w14:textId="77777777" w:rsidR="00F4158E" w:rsidRPr="007E2D10" w:rsidRDefault="00F4158E" w:rsidP="007E2D10">
      <w:pPr>
        <w:pStyle w:val="ListParagraph"/>
        <w:numPr>
          <w:ilvl w:val="0"/>
          <w:numId w:val="24"/>
        </w:numPr>
        <w:spacing w:after="120"/>
        <w:rPr>
          <w:rFonts w:cs="Arial"/>
        </w:rPr>
      </w:pPr>
      <w:r w:rsidRPr="007E2D10">
        <w:rPr>
          <w:rFonts w:cs="Arial"/>
        </w:rPr>
        <w:t>Reported findings relating to effectiveness or outcomes</w:t>
      </w:r>
    </w:p>
    <w:p w14:paraId="581991E8" w14:textId="77777777" w:rsidR="00F4158E" w:rsidRPr="007E2D10" w:rsidRDefault="00F4158E" w:rsidP="007E2D10">
      <w:pPr>
        <w:pStyle w:val="Heading2"/>
        <w:keepNext/>
        <w:rPr>
          <w:rFonts w:cs="Arial"/>
          <w:bCs/>
        </w:rPr>
      </w:pPr>
      <w:bookmarkStart w:id="29" w:name="_Toc236665548"/>
      <w:r w:rsidRPr="007E2D10">
        <w:rPr>
          <w:rFonts w:cs="Arial"/>
          <w:bCs/>
        </w:rPr>
        <w:t>Exclusion Criteria</w:t>
      </w:r>
      <w:bookmarkEnd w:id="29"/>
    </w:p>
    <w:p w14:paraId="67FF4F2A" w14:textId="77777777" w:rsidR="00F4158E" w:rsidRPr="007E2D10" w:rsidRDefault="00F4158E" w:rsidP="007E2D10">
      <w:pPr>
        <w:pStyle w:val="ListParagraph"/>
        <w:numPr>
          <w:ilvl w:val="0"/>
          <w:numId w:val="24"/>
        </w:numPr>
        <w:spacing w:after="120"/>
        <w:rPr>
          <w:rFonts w:cs="Arial"/>
        </w:rPr>
      </w:pPr>
      <w:r w:rsidRPr="007E2D10">
        <w:rPr>
          <w:rFonts w:cs="Arial"/>
        </w:rPr>
        <w:t>Studies conducted outside the UK</w:t>
      </w:r>
    </w:p>
    <w:p w14:paraId="488CEEF3" w14:textId="77777777" w:rsidR="00F4158E" w:rsidRPr="007E2D10" w:rsidRDefault="00F4158E" w:rsidP="007E2D10">
      <w:pPr>
        <w:pStyle w:val="ListParagraph"/>
        <w:numPr>
          <w:ilvl w:val="0"/>
          <w:numId w:val="24"/>
        </w:numPr>
        <w:spacing w:after="120"/>
        <w:rPr>
          <w:rFonts w:cs="Arial"/>
        </w:rPr>
      </w:pPr>
      <w:r w:rsidRPr="007E2D10">
        <w:rPr>
          <w:rFonts w:cs="Arial"/>
        </w:rPr>
        <w:t>Publications before 2016</w:t>
      </w:r>
    </w:p>
    <w:p w14:paraId="61B7C14F" w14:textId="77777777" w:rsidR="00F4158E" w:rsidRPr="007E2D10" w:rsidRDefault="00F4158E" w:rsidP="007E2D10">
      <w:pPr>
        <w:pStyle w:val="ListParagraph"/>
        <w:numPr>
          <w:ilvl w:val="0"/>
          <w:numId w:val="24"/>
        </w:numPr>
        <w:spacing w:after="120"/>
        <w:rPr>
          <w:rFonts w:cs="Arial"/>
        </w:rPr>
      </w:pPr>
      <w:r w:rsidRPr="007E2D10">
        <w:rPr>
          <w:rFonts w:cs="Arial"/>
        </w:rPr>
        <w:t>Research focusing exclusively on children or families</w:t>
      </w:r>
    </w:p>
    <w:p w14:paraId="617FD627" w14:textId="77777777" w:rsidR="00F4158E" w:rsidRPr="007E2D10" w:rsidRDefault="00F4158E" w:rsidP="007E2D10">
      <w:pPr>
        <w:pStyle w:val="ListParagraph"/>
        <w:numPr>
          <w:ilvl w:val="0"/>
          <w:numId w:val="24"/>
        </w:numPr>
        <w:spacing w:after="120"/>
        <w:rPr>
          <w:rFonts w:cs="Arial"/>
        </w:rPr>
      </w:pPr>
      <w:r w:rsidRPr="007E2D10">
        <w:rPr>
          <w:rFonts w:cs="Arial"/>
        </w:rPr>
        <w:t>Studies unrelated to prevention</w:t>
      </w:r>
    </w:p>
    <w:p w14:paraId="004789F0" w14:textId="77777777" w:rsidR="00F4158E" w:rsidRPr="007E2D10" w:rsidRDefault="00F4158E" w:rsidP="007E2D10">
      <w:pPr>
        <w:pStyle w:val="ListParagraph"/>
        <w:numPr>
          <w:ilvl w:val="0"/>
          <w:numId w:val="24"/>
        </w:numPr>
        <w:spacing w:after="120"/>
        <w:rPr>
          <w:rFonts w:cs="Arial"/>
        </w:rPr>
      </w:pPr>
      <w:r w:rsidRPr="007E2D10">
        <w:rPr>
          <w:rFonts w:cs="Arial"/>
        </w:rPr>
        <w:lastRenderedPageBreak/>
        <w:t>Editorials, opinion papers or commentaries without empirical evidence</w:t>
      </w:r>
    </w:p>
    <w:p w14:paraId="538361A7" w14:textId="77777777" w:rsidR="00F4158E" w:rsidRPr="007E2D10" w:rsidRDefault="00F4158E" w:rsidP="007E2D10">
      <w:pPr>
        <w:pStyle w:val="ListParagraph"/>
        <w:numPr>
          <w:ilvl w:val="0"/>
          <w:numId w:val="24"/>
        </w:numPr>
        <w:spacing w:after="120"/>
        <w:rPr>
          <w:rFonts w:cs="Arial"/>
        </w:rPr>
      </w:pPr>
      <w:r w:rsidRPr="007E2D10">
        <w:rPr>
          <w:rFonts w:cs="Arial"/>
        </w:rPr>
        <w:t>Non-English publications</w:t>
      </w:r>
    </w:p>
    <w:p w14:paraId="7246169D" w14:textId="77777777" w:rsidR="00F4158E" w:rsidRPr="00726991" w:rsidRDefault="00F4158E" w:rsidP="00F4158E">
      <w:pPr>
        <w:spacing w:after="120"/>
        <w:rPr>
          <w:rFonts w:cs="Arial"/>
        </w:rPr>
      </w:pPr>
      <w:r w:rsidRPr="00726991">
        <w:rPr>
          <w:rFonts w:cs="Arial"/>
        </w:rPr>
        <w:t>Applying these criteria ensured that only relevant and contemporary evidence was included within the review.</w:t>
      </w:r>
      <w:r>
        <w:t xml:space="preserve"> </w:t>
      </w:r>
    </w:p>
    <w:p w14:paraId="05DE7030" w14:textId="77777777" w:rsidR="00F4158E" w:rsidRPr="000A7A2D" w:rsidRDefault="00F4158E" w:rsidP="00F4158E">
      <w:pPr>
        <w:pStyle w:val="Heading2"/>
        <w:keepNext/>
        <w:ind w:left="0"/>
        <w:rPr>
          <w:rFonts w:cs="Arial"/>
          <w:bCs/>
        </w:rPr>
      </w:pPr>
      <w:bookmarkStart w:id="30" w:name="_Toc236665549"/>
      <w:r w:rsidRPr="000A7A2D">
        <w:rPr>
          <w:rFonts w:cs="Arial"/>
          <w:bCs/>
        </w:rPr>
        <w:t>3.5 Study Selection</w:t>
      </w:r>
      <w:bookmarkEnd w:id="30"/>
    </w:p>
    <w:p w14:paraId="41828B53" w14:textId="77777777" w:rsidR="00F4158E" w:rsidRPr="00726991" w:rsidRDefault="00F4158E" w:rsidP="00F4158E">
      <w:pPr>
        <w:spacing w:after="120"/>
        <w:rPr>
          <w:rFonts w:cs="Arial"/>
        </w:rPr>
      </w:pPr>
      <w:r>
        <w:t>The study selection process followed the PRISMA 2020 framework (Page et al., 2021).</w:t>
      </w:r>
    </w:p>
    <w:p w14:paraId="4827B73C" w14:textId="77777777" w:rsidR="00F4158E" w:rsidRPr="00726991" w:rsidRDefault="00F4158E" w:rsidP="007E2D10">
      <w:pPr>
        <w:spacing w:after="120"/>
        <w:rPr>
          <w:rFonts w:cs="Arial"/>
        </w:rPr>
      </w:pPr>
      <w:r w:rsidRPr="00726991">
        <w:rPr>
          <w:rFonts w:cs="Arial"/>
        </w:rPr>
        <w:t>The search results were imported into a reference management system, where duplicate publications were removed.</w:t>
      </w:r>
      <w:r w:rsidR="007E2D10">
        <w:rPr>
          <w:rFonts w:cs="Arial"/>
        </w:rPr>
        <w:t xml:space="preserve"> </w:t>
      </w:r>
      <w:r w:rsidRPr="00726991">
        <w:rPr>
          <w:rFonts w:cs="Arial"/>
        </w:rPr>
        <w:t>Screening was undertaken in two stages.</w:t>
      </w:r>
      <w:r w:rsidR="007E2D10">
        <w:rPr>
          <w:rFonts w:cs="Arial"/>
        </w:rPr>
        <w:t xml:space="preserve"> </w:t>
      </w:r>
      <w:r w:rsidRPr="00726991">
        <w:rPr>
          <w:rFonts w:cs="Arial"/>
        </w:rPr>
        <w:t>The first stage involved reviewing titles and abstracts against the inclusion and exclusion criteria. Studies that appeared relevant progressed to full-text screening.</w:t>
      </w:r>
      <w:r w:rsidR="007E2D10">
        <w:rPr>
          <w:rFonts w:cs="Arial"/>
        </w:rPr>
        <w:t xml:space="preserve"> </w:t>
      </w:r>
      <w:r w:rsidRPr="00726991">
        <w:rPr>
          <w:rFonts w:cs="Arial"/>
        </w:rPr>
        <w:t>During the second stage, full-text articles were assessed in detail to determine their suitability for inclusion. Publications that did not meet the eligibility criteria were excluded, and reasons for exclusion were documented to improve transparency.</w:t>
      </w:r>
      <w:r>
        <w:t xml:space="preserve"> </w:t>
      </w:r>
    </w:p>
    <w:p w14:paraId="36AD4899" w14:textId="77777777" w:rsidR="00F4158E" w:rsidRDefault="00F4158E" w:rsidP="007E2D10">
      <w:pPr>
        <w:spacing w:after="120"/>
        <w:rPr>
          <w:rFonts w:cs="Arial"/>
        </w:rPr>
      </w:pPr>
      <w:r w:rsidRPr="00726991">
        <w:rPr>
          <w:rFonts w:cs="Arial"/>
        </w:rPr>
        <w:t xml:space="preserve">The final review </w:t>
      </w:r>
      <w:r w:rsidRPr="000A7A2D">
        <w:rPr>
          <w:rFonts w:cs="Arial"/>
        </w:rPr>
        <w:t>included ten studies, which formed</w:t>
      </w:r>
      <w:r w:rsidRPr="00726991">
        <w:rPr>
          <w:rFonts w:cs="Arial"/>
        </w:rPr>
        <w:t xml:space="preserve"> the basis of the thematic synthesis presented in Chapter Four.</w:t>
      </w:r>
    </w:p>
    <w:p w14:paraId="30C6DA38" w14:textId="77777777" w:rsidR="00C95C9F" w:rsidRDefault="00C95C9F" w:rsidP="007E2D10">
      <w:pPr>
        <w:spacing w:after="120"/>
        <w:rPr>
          <w:rFonts w:cs="Arial"/>
        </w:rPr>
      </w:pPr>
    </w:p>
    <w:p w14:paraId="57AE5881" w14:textId="77777777" w:rsidR="00C95C9F" w:rsidRDefault="00C95C9F" w:rsidP="00C95C9F">
      <w:pPr>
        <w:pStyle w:val="Heading3"/>
        <w:rPr>
          <w:rFonts w:cs="Arial"/>
          <w:bCs/>
        </w:rPr>
      </w:pPr>
    </w:p>
    <w:p w14:paraId="5686359D" w14:textId="77777777" w:rsidR="00C95C9F" w:rsidRDefault="00C95C9F" w:rsidP="00C95C9F">
      <w:pPr>
        <w:pStyle w:val="Heading3"/>
        <w:rPr>
          <w:rFonts w:cs="Arial"/>
          <w:bCs/>
        </w:rPr>
      </w:pPr>
    </w:p>
    <w:p w14:paraId="75C39F53" w14:textId="77777777" w:rsidR="00C95C9F" w:rsidRDefault="00C95C9F" w:rsidP="00C95C9F">
      <w:pPr>
        <w:pStyle w:val="Heading3"/>
        <w:rPr>
          <w:rFonts w:cs="Arial"/>
          <w:bCs/>
        </w:rPr>
      </w:pPr>
    </w:p>
    <w:p w14:paraId="6CC42471" w14:textId="77777777" w:rsidR="00C95C9F" w:rsidRDefault="00C95C9F" w:rsidP="00C95C9F">
      <w:pPr>
        <w:pStyle w:val="Heading3"/>
        <w:rPr>
          <w:rFonts w:cs="Arial"/>
          <w:bCs/>
        </w:rPr>
      </w:pPr>
    </w:p>
    <w:p w14:paraId="3BB6F578" w14:textId="77777777" w:rsidR="00C95C9F" w:rsidRDefault="00C95C9F" w:rsidP="00C95C9F">
      <w:pPr>
        <w:pStyle w:val="Heading3"/>
        <w:rPr>
          <w:rFonts w:cs="Arial"/>
          <w:bCs/>
        </w:rPr>
      </w:pPr>
    </w:p>
    <w:p w14:paraId="74F3BE27" w14:textId="77777777" w:rsidR="00C95C9F" w:rsidRDefault="00C95C9F" w:rsidP="00C95C9F">
      <w:pPr>
        <w:pStyle w:val="Heading3"/>
        <w:rPr>
          <w:rFonts w:cs="Arial"/>
          <w:bCs/>
        </w:rPr>
      </w:pPr>
    </w:p>
    <w:p w14:paraId="45D2DBE6" w14:textId="77777777" w:rsidR="00C95C9F" w:rsidRDefault="00C95C9F" w:rsidP="00C95C9F">
      <w:pPr>
        <w:pStyle w:val="Heading3"/>
        <w:rPr>
          <w:rFonts w:cs="Arial"/>
          <w:bCs/>
        </w:rPr>
      </w:pPr>
    </w:p>
    <w:p w14:paraId="454AD89A" w14:textId="77777777" w:rsidR="00C95C9F" w:rsidRDefault="00C95C9F" w:rsidP="00C95C9F">
      <w:pPr>
        <w:pStyle w:val="Heading3"/>
        <w:rPr>
          <w:rFonts w:cs="Arial"/>
          <w:bCs/>
        </w:rPr>
      </w:pPr>
    </w:p>
    <w:p w14:paraId="636461D0" w14:textId="77777777" w:rsidR="00C95C9F" w:rsidRDefault="00C95C9F" w:rsidP="00C95C9F">
      <w:pPr>
        <w:pStyle w:val="Heading3"/>
        <w:rPr>
          <w:rFonts w:cs="Arial"/>
          <w:bCs/>
        </w:rPr>
      </w:pPr>
    </w:p>
    <w:p w14:paraId="1D09488C" w14:textId="77777777" w:rsidR="00FB53DF" w:rsidRPr="00C115AC" w:rsidRDefault="00FB53DF" w:rsidP="00FB53DF">
      <w:pPr>
        <w:pStyle w:val="Heading3"/>
        <w:rPr>
          <w:rFonts w:cs="Arial"/>
          <w:bCs/>
          <w:sz w:val="22"/>
          <w:szCs w:val="22"/>
        </w:rPr>
      </w:pPr>
      <w:bookmarkStart w:id="31" w:name="_Toc236665550"/>
      <w:r w:rsidRPr="00C115AC">
        <w:rPr>
          <w:rFonts w:cs="Arial"/>
          <w:bCs/>
        </w:rPr>
        <w:lastRenderedPageBreak/>
        <w:t>Figure 3.1 PRISMA 2020 Flow Diagram of the Study Selection Process</w:t>
      </w:r>
      <w:bookmarkEnd w:id="31"/>
    </w:p>
    <w:p w14:paraId="0830F07D" w14:textId="77777777" w:rsidR="00FB53DF" w:rsidRDefault="00FB53DF" w:rsidP="00FB53DF">
      <w:pPr>
        <w:spacing w:after="120"/>
      </w:pPr>
    </w:p>
    <w:p w14:paraId="5886A5C7" w14:textId="77777777" w:rsidR="00FB53DF" w:rsidRDefault="00FB53DF" w:rsidP="00FB53DF">
      <w:pPr>
        <w:spacing w:after="120"/>
      </w:pPr>
      <w:r>
        <w:rPr>
          <w:noProof/>
        </w:rPr>
        <mc:AlternateContent>
          <mc:Choice Requires="wps">
            <w:drawing>
              <wp:anchor distT="0" distB="0" distL="114300" distR="114300" simplePos="0" relativeHeight="251660288" behindDoc="0" locked="0" layoutInCell="1" allowOverlap="1" wp14:anchorId="09F23F1E" wp14:editId="2D6C1693">
                <wp:simplePos x="0" y="0"/>
                <wp:positionH relativeFrom="column">
                  <wp:posOffset>3039466</wp:posOffset>
                </wp:positionH>
                <wp:positionV relativeFrom="paragraph">
                  <wp:posOffset>77064</wp:posOffset>
                </wp:positionV>
                <wp:extent cx="1887220" cy="1242999"/>
                <wp:effectExtent l="0" t="0" r="17780" b="14605"/>
                <wp:wrapNone/>
                <wp:docPr id="2095311882" name="Rectangle 2095311882"/>
                <wp:cNvGraphicFramePr/>
                <a:graphic xmlns:a="http://schemas.openxmlformats.org/drawingml/2006/main">
                  <a:graphicData uri="http://schemas.microsoft.com/office/word/2010/wordprocessingShape">
                    <wps:wsp>
                      <wps:cNvSpPr/>
                      <wps:spPr>
                        <a:xfrm>
                          <a:off x="0" y="0"/>
                          <a:ext cx="1887220" cy="1242999"/>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6B2CB60" w14:textId="77777777" w:rsidR="00FB53DF" w:rsidRDefault="00FB53DF" w:rsidP="00FB53DF">
                            <w:pPr>
                              <w:ind w:left="284"/>
                              <w:rPr>
                                <w:rFonts w:cs="Arial"/>
                                <w:color w:val="000000" w:themeColor="text1"/>
                                <w:sz w:val="18"/>
                                <w:szCs w:val="20"/>
                              </w:rPr>
                            </w:pPr>
                            <w:r>
                              <w:rPr>
                                <w:rFonts w:cs="Arial"/>
                                <w:color w:val="000000" w:themeColor="text1"/>
                                <w:sz w:val="18"/>
                                <w:szCs w:val="20"/>
                              </w:rPr>
                              <w:t xml:space="preserve">Duplicate records </w:t>
                            </w:r>
                            <w:r w:rsidR="00CF2866">
                              <w:rPr>
                                <w:rFonts w:cs="Arial"/>
                                <w:color w:val="000000" w:themeColor="text1"/>
                                <w:sz w:val="18"/>
                                <w:szCs w:val="20"/>
                              </w:rPr>
                              <w:t>removed (</w:t>
                            </w:r>
                            <w:r>
                              <w:rPr>
                                <w:rFonts w:cs="Arial"/>
                                <w:color w:val="000000" w:themeColor="text1"/>
                                <w:sz w:val="18"/>
                                <w:szCs w:val="20"/>
                              </w:rPr>
                              <w:t>n = 28)</w:t>
                            </w:r>
                          </w:p>
                          <w:p w14:paraId="6430E7C8" w14:textId="77777777" w:rsidR="00FB53DF" w:rsidRDefault="00FB53DF" w:rsidP="00FB53DF">
                            <w:pPr>
                              <w:ind w:left="284"/>
                              <w:rPr>
                                <w:rFonts w:cs="Arial"/>
                                <w:color w:val="000000" w:themeColor="text1"/>
                                <w:sz w:val="18"/>
                                <w:szCs w:val="20"/>
                              </w:rPr>
                            </w:pPr>
                            <w:r>
                              <w:rPr>
                                <w:rFonts w:cs="Arial"/>
                                <w:color w:val="000000" w:themeColor="text1"/>
                                <w:sz w:val="18"/>
                                <w:szCs w:val="20"/>
                              </w:rPr>
                              <w:t>Records marked as ineligible by automation tools (n =</w:t>
                            </w:r>
                            <w:r w:rsidR="00CF2866">
                              <w:rPr>
                                <w:rFonts w:cs="Arial"/>
                                <w:color w:val="000000" w:themeColor="text1"/>
                                <w:sz w:val="18"/>
                                <w:szCs w:val="20"/>
                              </w:rPr>
                              <w:t>0)</w:t>
                            </w:r>
                          </w:p>
                          <w:p w14:paraId="4338CF8E" w14:textId="77777777" w:rsidR="00FB53DF" w:rsidRPr="00560609" w:rsidRDefault="00FB53DF" w:rsidP="00FB53DF">
                            <w:pPr>
                              <w:ind w:left="284"/>
                              <w:rPr>
                                <w:rFonts w:cs="Arial"/>
                                <w:color w:val="000000" w:themeColor="text1"/>
                                <w:sz w:val="18"/>
                                <w:szCs w:val="20"/>
                              </w:rPr>
                            </w:pPr>
                            <w:r>
                              <w:rPr>
                                <w:rFonts w:cs="Arial"/>
                                <w:color w:val="000000" w:themeColor="text1"/>
                                <w:sz w:val="18"/>
                                <w:szCs w:val="20"/>
                              </w:rPr>
                              <w:t>Records removed for other reasons (n =</w:t>
                            </w:r>
                            <w:r w:rsidR="00CF2866">
                              <w:rPr>
                                <w:rFonts w:cs="Arial"/>
                                <w:color w:val="000000" w:themeColor="text1"/>
                                <w:sz w:val="18"/>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9F23F1E" id="Rectangle 2095311882" o:spid="_x0000_s1026" style="position:absolute;left:0;text-align:left;margin-left:239.35pt;margin-top:6.05pt;width:148.6pt;height:9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" filled="f" strokecolor="black [3213]" strokeweight="2pt">
                <v:textbox>
                  <w:txbxContent>
                    <w:p w14:paraId="16B2CB60" w14:textId="77777777" w:rsidR="00FB53DF" w:rsidRDefault="00FB53DF" w:rsidP="00FB53DF">
                      <w:pPr>
                        <w:ind w:left="284"/>
                        <w:rPr>
                          <w:rFonts w:cs="Arial"/>
                          <w:color w:val="000000" w:themeColor="text1"/>
                          <w:sz w:val="18"/>
                          <w:szCs w:val="20"/>
                        </w:rPr>
                      </w:pPr>
                      <w:r>
                        <w:rPr>
                          <w:rFonts w:cs="Arial"/>
                          <w:color w:val="000000" w:themeColor="text1"/>
                          <w:sz w:val="18"/>
                          <w:szCs w:val="20"/>
                        </w:rPr>
                        <w:t xml:space="preserve">Duplicate records </w:t>
                      </w:r>
                      <w:r w:rsidR="00CF2866">
                        <w:rPr>
                          <w:rFonts w:cs="Arial"/>
                          <w:color w:val="000000" w:themeColor="text1"/>
                          <w:sz w:val="18"/>
                          <w:szCs w:val="20"/>
                        </w:rPr>
                        <w:t>removed (</w:t>
                      </w:r>
                      <w:r>
                        <w:rPr>
                          <w:rFonts w:cs="Arial"/>
                          <w:color w:val="000000" w:themeColor="text1"/>
                          <w:sz w:val="18"/>
                          <w:szCs w:val="20"/>
                        </w:rPr>
                        <w:t>n = 28)</w:t>
                      </w:r>
                    </w:p>
                    <w:p w14:paraId="6430E7C8" w14:textId="77777777" w:rsidR="00FB53DF" w:rsidRDefault="00FB53DF" w:rsidP="00FB53DF">
                      <w:pPr>
                        <w:ind w:left="284"/>
                        <w:rPr>
                          <w:rFonts w:cs="Arial"/>
                          <w:color w:val="000000" w:themeColor="text1"/>
                          <w:sz w:val="18"/>
                          <w:szCs w:val="20"/>
                        </w:rPr>
                      </w:pPr>
                      <w:r>
                        <w:rPr>
                          <w:rFonts w:cs="Arial"/>
                          <w:color w:val="000000" w:themeColor="text1"/>
                          <w:sz w:val="18"/>
                          <w:szCs w:val="20"/>
                        </w:rPr>
                        <w:t>Records marked as ineligible by automation tools (n =</w:t>
                      </w:r>
                      <w:r w:rsidR="00CF2866">
                        <w:rPr>
                          <w:rFonts w:cs="Arial"/>
                          <w:color w:val="000000" w:themeColor="text1"/>
                          <w:sz w:val="18"/>
                          <w:szCs w:val="20"/>
                        </w:rPr>
                        <w:t>0)</w:t>
                      </w:r>
                    </w:p>
                    <w:p w14:paraId="4338CF8E" w14:textId="77777777" w:rsidR="00FB53DF" w:rsidRPr="00560609" w:rsidRDefault="00FB53DF" w:rsidP="00FB53DF">
                      <w:pPr>
                        <w:ind w:left="284"/>
                        <w:rPr>
                          <w:rFonts w:cs="Arial"/>
                          <w:color w:val="000000" w:themeColor="text1"/>
                          <w:sz w:val="18"/>
                          <w:szCs w:val="20"/>
                        </w:rPr>
                      </w:pPr>
                      <w:r>
                        <w:rPr>
                          <w:rFonts w:cs="Arial"/>
                          <w:color w:val="000000" w:themeColor="text1"/>
                          <w:sz w:val="18"/>
                          <w:szCs w:val="20"/>
                        </w:rPr>
                        <w:t>Records removed for other reasons (n =</w:t>
                      </w:r>
                      <w:r w:rsidR="00CF2866">
                        <w:rPr>
                          <w:rFonts w:cs="Arial"/>
                          <w:color w:val="000000" w:themeColor="text1"/>
                          <w:sz w:val="18"/>
                          <w:szCs w:val="20"/>
                        </w:rPr>
                        <w:t>0)</w:t>
                      </w:r>
                    </w:p>
                  </w:txbxContent>
                </v:textbox>
              </v:rect>
            </w:pict>
          </mc:Fallback>
        </mc:AlternateContent>
      </w:r>
      <w:r>
        <w:rPr>
          <w:noProof/>
        </w:rPr>
        <mc:AlternateContent>
          <mc:Choice Requires="wps">
            <w:drawing>
              <wp:anchor distT="0" distB="0" distL="114300" distR="114300" simplePos="0" relativeHeight="251659264" behindDoc="0" locked="0" layoutInCell="1" allowOverlap="1" wp14:anchorId="26AAD37B" wp14:editId="027FD381">
                <wp:simplePos x="0" y="0"/>
                <wp:positionH relativeFrom="column">
                  <wp:posOffset>559613</wp:posOffset>
                </wp:positionH>
                <wp:positionV relativeFrom="paragraph">
                  <wp:posOffset>77064</wp:posOffset>
                </wp:positionV>
                <wp:extent cx="1887220" cy="1243584"/>
                <wp:effectExtent l="0" t="0" r="17780" b="13970"/>
                <wp:wrapNone/>
                <wp:docPr id="892135378" name="Rectangle 892135378"/>
                <wp:cNvGraphicFramePr/>
                <a:graphic xmlns:a="http://schemas.openxmlformats.org/drawingml/2006/main">
                  <a:graphicData uri="http://schemas.microsoft.com/office/word/2010/wordprocessingShape">
                    <wps:wsp>
                      <wps:cNvSpPr/>
                      <wps:spPr>
                        <a:xfrm>
                          <a:off x="0" y="0"/>
                          <a:ext cx="1887220" cy="1243584"/>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52C83D" w14:textId="77777777" w:rsidR="00FB53DF" w:rsidRDefault="00FB53DF" w:rsidP="00FB53DF">
                            <w:pPr>
                              <w:rPr>
                                <w:rFonts w:cs="Arial"/>
                                <w:color w:val="000000" w:themeColor="text1"/>
                                <w:sz w:val="18"/>
                                <w:szCs w:val="20"/>
                              </w:rPr>
                            </w:pPr>
                            <w:r w:rsidRPr="00560609">
                              <w:rPr>
                                <w:rFonts w:cs="Arial"/>
                                <w:color w:val="000000" w:themeColor="text1"/>
                                <w:sz w:val="18"/>
                                <w:szCs w:val="20"/>
                              </w:rPr>
                              <w:t>Records</w:t>
                            </w:r>
                            <w:r>
                              <w:rPr>
                                <w:rFonts w:cs="Arial"/>
                                <w:color w:val="000000" w:themeColor="text1"/>
                                <w:sz w:val="18"/>
                                <w:szCs w:val="20"/>
                              </w:rPr>
                              <w:t xml:space="preserve"> identified from*:</w:t>
                            </w:r>
                          </w:p>
                          <w:p w14:paraId="38D8A819" w14:textId="77777777" w:rsidR="00FB53DF" w:rsidRDefault="00FB53DF" w:rsidP="00FB53DF">
                            <w:pPr>
                              <w:ind w:left="284"/>
                              <w:rPr>
                                <w:rFonts w:cs="Arial"/>
                                <w:color w:val="000000" w:themeColor="text1"/>
                                <w:sz w:val="18"/>
                                <w:szCs w:val="20"/>
                              </w:rPr>
                            </w:pPr>
                            <w:r>
                              <w:rPr>
                                <w:rFonts w:cs="Arial"/>
                                <w:color w:val="000000" w:themeColor="text1"/>
                                <w:sz w:val="18"/>
                                <w:szCs w:val="20"/>
                              </w:rPr>
                              <w:t>Databases (n = 212)</w:t>
                            </w:r>
                          </w:p>
                          <w:p w14:paraId="6AB59C0C" w14:textId="77777777" w:rsidR="00FB53DF" w:rsidRDefault="00FB53DF" w:rsidP="00FB53DF">
                            <w:pPr>
                              <w:ind w:left="284"/>
                              <w:rPr>
                                <w:rFonts w:cs="Arial"/>
                                <w:color w:val="000000" w:themeColor="text1"/>
                                <w:sz w:val="18"/>
                                <w:szCs w:val="20"/>
                              </w:rPr>
                            </w:pPr>
                            <w:r>
                              <w:rPr>
                                <w:rFonts w:cs="Arial"/>
                                <w:color w:val="000000" w:themeColor="text1"/>
                                <w:sz w:val="18"/>
                                <w:szCs w:val="20"/>
                              </w:rPr>
                              <w:t>PubMed (n =</w:t>
                            </w:r>
                            <w:r w:rsidR="00CF2866">
                              <w:rPr>
                                <w:rFonts w:cs="Arial"/>
                                <w:color w:val="000000" w:themeColor="text1"/>
                                <w:sz w:val="18"/>
                                <w:szCs w:val="20"/>
                              </w:rPr>
                              <w:t>70)</w:t>
                            </w:r>
                          </w:p>
                          <w:p w14:paraId="543077D0" w14:textId="77777777" w:rsidR="00FB53DF" w:rsidRDefault="00FB53DF" w:rsidP="00FB53DF">
                            <w:pPr>
                              <w:ind w:left="284"/>
                              <w:rPr>
                                <w:rFonts w:cs="Arial"/>
                                <w:color w:val="000000" w:themeColor="text1"/>
                                <w:sz w:val="18"/>
                                <w:szCs w:val="20"/>
                              </w:rPr>
                            </w:pPr>
                            <w:r>
                              <w:rPr>
                                <w:rFonts w:cs="Arial"/>
                                <w:color w:val="000000" w:themeColor="text1"/>
                                <w:sz w:val="18"/>
                                <w:szCs w:val="20"/>
                              </w:rPr>
                              <w:t>PsycINFO (n=39)</w:t>
                            </w:r>
                          </w:p>
                          <w:p w14:paraId="62713F47" w14:textId="77777777" w:rsidR="00FB53DF" w:rsidRDefault="00FB53DF" w:rsidP="00FB53DF">
                            <w:pPr>
                              <w:ind w:left="284"/>
                              <w:rPr>
                                <w:rFonts w:cs="Arial"/>
                                <w:color w:val="000000" w:themeColor="text1"/>
                                <w:sz w:val="18"/>
                                <w:szCs w:val="20"/>
                              </w:rPr>
                            </w:pPr>
                            <w:r>
                              <w:rPr>
                                <w:rFonts w:cs="Arial"/>
                                <w:color w:val="000000" w:themeColor="text1"/>
                                <w:sz w:val="18"/>
                                <w:szCs w:val="20"/>
                              </w:rPr>
                              <w:t>Google Schooler (n=53)</w:t>
                            </w:r>
                          </w:p>
                          <w:p w14:paraId="2D956308" w14:textId="77777777" w:rsidR="00FB53DF" w:rsidRDefault="00FB53DF" w:rsidP="00FB53DF">
                            <w:pPr>
                              <w:ind w:left="284"/>
                              <w:rPr>
                                <w:rFonts w:cs="Arial"/>
                                <w:color w:val="000000" w:themeColor="text1"/>
                                <w:sz w:val="18"/>
                                <w:szCs w:val="20"/>
                              </w:rPr>
                            </w:pPr>
                            <w:r>
                              <w:rPr>
                                <w:rFonts w:cs="Arial"/>
                                <w:color w:val="000000" w:themeColor="text1"/>
                                <w:sz w:val="18"/>
                                <w:szCs w:val="20"/>
                              </w:rPr>
                              <w:t>British Education Index (n=32)</w:t>
                            </w:r>
                          </w:p>
                          <w:p w14:paraId="5704F462" w14:textId="77777777" w:rsidR="00FB53DF" w:rsidRPr="00560609" w:rsidRDefault="00FB53DF" w:rsidP="00FB53DF">
                            <w:pPr>
                              <w:ind w:left="284"/>
                              <w:rPr>
                                <w:rFonts w:cs="Arial"/>
                                <w:color w:val="000000" w:themeColor="text1"/>
                                <w:sz w:val="18"/>
                                <w:szCs w:val="20"/>
                              </w:rPr>
                            </w:pPr>
                            <w:r>
                              <w:rPr>
                                <w:rFonts w:cs="Arial"/>
                                <w:color w:val="000000" w:themeColor="text1"/>
                                <w:sz w:val="18"/>
                                <w:szCs w:val="20"/>
                              </w:rPr>
                              <w:t xml:space="preserve">UWTSD </w:t>
                            </w:r>
                            <w:r>
                              <w:rPr>
                                <w:rFonts w:cs="Arial"/>
                                <w:color w:val="000000" w:themeColor="text1"/>
                                <w:sz w:val="18"/>
                                <w:szCs w:val="20"/>
                              </w:rPr>
                              <w:t>Liberary (n=18)</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AAD37B" id="Rectangle 892135378" o:spid="_x0000_s1027" style="position:absolute;left:0;text-align:left;margin-left:44.05pt;margin-top:6.05pt;width:148.6pt;height: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" filled="f" strokecolor="black [3213]" strokeweight="2pt">
                <v:textbox>
                  <w:txbxContent>
                    <w:p w14:paraId="2E52C83D" w14:textId="77777777" w:rsidR="00FB53DF" w:rsidRDefault="00FB53DF" w:rsidP="00FB53DF">
                      <w:pPr>
                        <w:rPr>
                          <w:rFonts w:cs="Arial"/>
                          <w:color w:val="000000" w:themeColor="text1"/>
                          <w:sz w:val="18"/>
                          <w:szCs w:val="20"/>
                        </w:rPr>
                      </w:pPr>
                      <w:r w:rsidRPr="00560609">
                        <w:rPr>
                          <w:rFonts w:cs="Arial"/>
                          <w:color w:val="000000" w:themeColor="text1"/>
                          <w:sz w:val="18"/>
                          <w:szCs w:val="20"/>
                        </w:rPr>
                        <w:t>Records</w:t>
                      </w:r>
                      <w:r>
                        <w:rPr>
                          <w:rFonts w:cs="Arial"/>
                          <w:color w:val="000000" w:themeColor="text1"/>
                          <w:sz w:val="18"/>
                          <w:szCs w:val="20"/>
                        </w:rPr>
                        <w:t xml:space="preserve"> identified from*:</w:t>
                      </w:r>
                    </w:p>
                    <w:p w14:paraId="38D8A819" w14:textId="77777777" w:rsidR="00FB53DF" w:rsidRDefault="00FB53DF" w:rsidP="00FB53DF">
                      <w:pPr>
                        <w:ind w:left="284"/>
                        <w:rPr>
                          <w:rFonts w:cs="Arial"/>
                          <w:color w:val="000000" w:themeColor="text1"/>
                          <w:sz w:val="18"/>
                          <w:szCs w:val="20"/>
                        </w:rPr>
                      </w:pPr>
                      <w:r>
                        <w:rPr>
                          <w:rFonts w:cs="Arial"/>
                          <w:color w:val="000000" w:themeColor="text1"/>
                          <w:sz w:val="18"/>
                          <w:szCs w:val="20"/>
                        </w:rPr>
                        <w:t>Databases (n = 212)</w:t>
                      </w:r>
                    </w:p>
                    <w:p w14:paraId="6AB59C0C" w14:textId="77777777" w:rsidR="00FB53DF" w:rsidRDefault="00FB53DF" w:rsidP="00FB53DF">
                      <w:pPr>
                        <w:ind w:left="284"/>
                        <w:rPr>
                          <w:rFonts w:cs="Arial"/>
                          <w:color w:val="000000" w:themeColor="text1"/>
                          <w:sz w:val="18"/>
                          <w:szCs w:val="20"/>
                        </w:rPr>
                      </w:pPr>
                      <w:r>
                        <w:rPr>
                          <w:rFonts w:cs="Arial"/>
                          <w:color w:val="000000" w:themeColor="text1"/>
                          <w:sz w:val="18"/>
                          <w:szCs w:val="20"/>
                        </w:rPr>
                        <w:t>PubMed (n =</w:t>
                      </w:r>
                      <w:r w:rsidR="00CF2866">
                        <w:rPr>
                          <w:rFonts w:cs="Arial"/>
                          <w:color w:val="000000" w:themeColor="text1"/>
                          <w:sz w:val="18"/>
                          <w:szCs w:val="20"/>
                        </w:rPr>
                        <w:t>70)</w:t>
                      </w:r>
                    </w:p>
                    <w:p w14:paraId="543077D0" w14:textId="77777777" w:rsidR="00FB53DF" w:rsidRDefault="00FB53DF" w:rsidP="00FB53DF">
                      <w:pPr>
                        <w:ind w:left="284"/>
                        <w:rPr>
                          <w:rFonts w:cs="Arial"/>
                          <w:color w:val="000000" w:themeColor="text1"/>
                          <w:sz w:val="18"/>
                          <w:szCs w:val="20"/>
                        </w:rPr>
                      </w:pPr>
                      <w:r>
                        <w:rPr>
                          <w:rFonts w:cs="Arial"/>
                          <w:color w:val="000000" w:themeColor="text1"/>
                          <w:sz w:val="18"/>
                          <w:szCs w:val="20"/>
                        </w:rPr>
                        <w:t>PsycINFO (n=39)</w:t>
                      </w:r>
                    </w:p>
                    <w:p w14:paraId="62713F47" w14:textId="77777777" w:rsidR="00FB53DF" w:rsidRDefault="00FB53DF" w:rsidP="00FB53DF">
                      <w:pPr>
                        <w:ind w:left="284"/>
                        <w:rPr>
                          <w:rFonts w:cs="Arial"/>
                          <w:color w:val="000000" w:themeColor="text1"/>
                          <w:sz w:val="18"/>
                          <w:szCs w:val="20"/>
                        </w:rPr>
                      </w:pPr>
                      <w:r>
                        <w:rPr>
                          <w:rFonts w:cs="Arial"/>
                          <w:color w:val="000000" w:themeColor="text1"/>
                          <w:sz w:val="18"/>
                          <w:szCs w:val="20"/>
                        </w:rPr>
                        <w:t>Google Schooler (n=53)</w:t>
                      </w:r>
                    </w:p>
                    <w:p w14:paraId="2D956308" w14:textId="77777777" w:rsidR="00FB53DF" w:rsidRDefault="00FB53DF" w:rsidP="00FB53DF">
                      <w:pPr>
                        <w:ind w:left="284"/>
                        <w:rPr>
                          <w:rFonts w:cs="Arial"/>
                          <w:color w:val="000000" w:themeColor="text1"/>
                          <w:sz w:val="18"/>
                          <w:szCs w:val="20"/>
                        </w:rPr>
                      </w:pPr>
                      <w:r>
                        <w:rPr>
                          <w:rFonts w:cs="Arial"/>
                          <w:color w:val="000000" w:themeColor="text1"/>
                          <w:sz w:val="18"/>
                          <w:szCs w:val="20"/>
                        </w:rPr>
                        <w:t>British Education Index (n=32)</w:t>
                      </w:r>
                    </w:p>
                    <w:p w14:paraId="5704F462" w14:textId="77777777" w:rsidR="00FB53DF" w:rsidRPr="00560609" w:rsidRDefault="00FB53DF" w:rsidP="00FB53DF">
                      <w:pPr>
                        <w:ind w:left="284"/>
                        <w:rPr>
                          <w:rFonts w:cs="Arial"/>
                          <w:color w:val="000000" w:themeColor="text1"/>
                          <w:sz w:val="18"/>
                          <w:szCs w:val="20"/>
                        </w:rPr>
                      </w:pPr>
                      <w:r>
                        <w:rPr>
                          <w:rFonts w:cs="Arial"/>
                          <w:color w:val="000000" w:themeColor="text1"/>
                          <w:sz w:val="18"/>
                          <w:szCs w:val="20"/>
                        </w:rPr>
                        <w:t xml:space="preserve">UWTSD </w:t>
                      </w:r>
                      <w:proofErr w:type="spellStart"/>
                      <w:r>
                        <w:rPr>
                          <w:rFonts w:cs="Arial"/>
                          <w:color w:val="000000" w:themeColor="text1"/>
                          <w:sz w:val="18"/>
                          <w:szCs w:val="20"/>
                        </w:rPr>
                        <w:t>Liberary</w:t>
                      </w:r>
                      <w:proofErr w:type="spellEnd"/>
                      <w:r>
                        <w:rPr>
                          <w:rFonts w:cs="Arial"/>
                          <w:color w:val="000000" w:themeColor="text1"/>
                          <w:sz w:val="18"/>
                          <w:szCs w:val="20"/>
                        </w:rPr>
                        <w:t xml:space="preserve"> (n=18)</w:t>
                      </w:r>
                    </w:p>
                  </w:txbxContent>
                </v:textbox>
              </v:rect>
            </w:pict>
          </mc:Fallback>
        </mc:AlternateContent>
      </w:r>
    </w:p>
    <w:p w14:paraId="4092B03D" w14:textId="77777777" w:rsidR="00FB53DF" w:rsidRDefault="00FB53DF" w:rsidP="00FB53DF">
      <w:pPr>
        <w:spacing w:after="120"/>
      </w:pPr>
    </w:p>
    <w:p w14:paraId="567FF20B" w14:textId="77777777" w:rsidR="00FB53DF" w:rsidRDefault="00154E0F" w:rsidP="00FB53DF">
      <w:pPr>
        <w:spacing w:after="120"/>
      </w:pPr>
      <w:r>
        <w:rPr>
          <w:noProof/>
        </w:rPr>
        <mc:AlternateContent>
          <mc:Choice Requires="wps">
            <w:drawing>
              <wp:anchor distT="0" distB="0" distL="114300" distR="114300" simplePos="0" relativeHeight="251668480" behindDoc="0" locked="0" layoutInCell="1" allowOverlap="1" wp14:anchorId="37C28463" wp14:editId="405A6048">
                <wp:simplePos x="0" y="0"/>
                <wp:positionH relativeFrom="column">
                  <wp:posOffset>2409190</wp:posOffset>
                </wp:positionH>
                <wp:positionV relativeFrom="paragraph">
                  <wp:posOffset>180340</wp:posOffset>
                </wp:positionV>
                <wp:extent cx="563245" cy="0"/>
                <wp:effectExtent l="0" t="76200" r="27305" b="95250"/>
                <wp:wrapNone/>
                <wp:docPr id="1884637477" name="Straight Arrow Connector 1884637477"/>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FB69ED9" id="_x0000_t32" coordsize="21600,21600" o:spt="32" o:oned="t" path="m,l21600,21600e" filled="f">
                <v:path arrowok="t" fillok="f" o:connecttype="none"/>
                <o:lock v:ext="edit" shapetype="t"/>
              </v:shapetype>
              <v:shape id="Straight Arrow Connector 1884637477" o:spid="_x0000_s1026" type="#_x0000_t32" style="position:absolute;margin-left:189.7pt;margin-top:14.2pt;width:44.35pt;height:0;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" strokecolor="black [3213]">
                <v:stroke endarrow="block"/>
              </v:shape>
            </w:pict>
          </mc:Fallback>
        </mc:AlternateContent>
      </w:r>
      <w:r w:rsidR="00FB53DF">
        <w:rPr>
          <w:noProof/>
        </w:rPr>
        <mc:AlternateContent>
          <mc:Choice Requires="wps">
            <w:drawing>
              <wp:anchor distT="0" distB="0" distL="114300" distR="114300" simplePos="0" relativeHeight="251672576" behindDoc="0" locked="0" layoutInCell="1" allowOverlap="1" wp14:anchorId="7CE1A9B7" wp14:editId="7838D7FA">
                <wp:simplePos x="0" y="0"/>
                <wp:positionH relativeFrom="column">
                  <wp:posOffset>-403543</wp:posOffset>
                </wp:positionH>
                <wp:positionV relativeFrom="paragraph">
                  <wp:posOffset>222567</wp:posOffset>
                </wp:positionV>
                <wp:extent cx="1276985" cy="262890"/>
                <wp:effectExtent l="0" t="7302" r="11112" b="11113"/>
                <wp:wrapNone/>
                <wp:docPr id="1739030691" name="Flowchart: Alternate Process 1739030691"/>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14A6B541" w14:textId="77777777" w:rsidR="00FB53DF" w:rsidRPr="001502CF" w:rsidRDefault="00FB53DF" w:rsidP="00FB53DF">
                            <w:pPr>
                              <w:jc w:val="center"/>
                              <w:rPr>
                                <w:rFonts w:cs="Arial"/>
                                <w:b/>
                                <w:color w:val="000000" w:themeColor="text1"/>
                                <w:sz w:val="18"/>
                                <w:szCs w:val="18"/>
                              </w:rPr>
                            </w:pPr>
                            <w:r w:rsidRPr="001502CF">
                              <w:rPr>
                                <w:rFonts w:cs="Arial"/>
                                <w:b/>
                                <w:color w:val="000000" w:themeColor="text1"/>
                                <w:sz w:val="18"/>
                                <w:szCs w:val="18"/>
                              </w:rPr>
                              <w:t>Identification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CE1A9B7"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1739030691" o:spid="_x0000_s1028" type="#_x0000_t176" style="position:absolute;left:0;text-align:left;margin-left:-31.8pt;margin-top:17.5pt;width:100.55pt;height:20.7pt;rotation:-9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" fillcolor="#92cddc [1944]" strokecolor="black [3213]" strokeweight="2pt">
                <v:textbox>
                  <w:txbxContent>
                    <w:p w14:paraId="14A6B541" w14:textId="77777777" w:rsidR="00FB53DF" w:rsidRPr="001502CF" w:rsidRDefault="00FB53DF" w:rsidP="00FB53DF">
                      <w:pPr>
                        <w:jc w:val="center"/>
                        <w:rPr>
                          <w:rFonts w:cs="Arial"/>
                          <w:b/>
                          <w:color w:val="000000" w:themeColor="text1"/>
                          <w:sz w:val="18"/>
                          <w:szCs w:val="18"/>
                        </w:rPr>
                      </w:pPr>
                      <w:r w:rsidRPr="001502CF">
                        <w:rPr>
                          <w:rFonts w:cs="Arial"/>
                          <w:b/>
                          <w:color w:val="000000" w:themeColor="text1"/>
                          <w:sz w:val="18"/>
                          <w:szCs w:val="18"/>
                        </w:rPr>
                        <w:t>Identification</w:t>
                      </w:r>
                    </w:p>
                  </w:txbxContent>
                </v:textbox>
              </v:shape>
            </w:pict>
          </mc:Fallback>
        </mc:AlternateContent>
      </w:r>
    </w:p>
    <w:p w14:paraId="057580B1" w14:textId="77777777" w:rsidR="00FB53DF" w:rsidRDefault="00FB53DF" w:rsidP="00FB53DF">
      <w:pPr>
        <w:spacing w:after="120"/>
      </w:pPr>
    </w:p>
    <w:p w14:paraId="07D6C0F9" w14:textId="77777777" w:rsidR="00FB53DF" w:rsidRDefault="00BE2F7E" w:rsidP="00FB53DF">
      <w:pPr>
        <w:spacing w:after="120"/>
      </w:pPr>
      <w:r>
        <w:rPr>
          <w:noProof/>
        </w:rPr>
        <mc:AlternateContent>
          <mc:Choice Requires="wps">
            <w:drawing>
              <wp:anchor distT="0" distB="0" distL="114300" distR="114300" simplePos="0" relativeHeight="251675648" behindDoc="0" locked="0" layoutInCell="1" allowOverlap="1" wp14:anchorId="6DD5395A" wp14:editId="263B3B93">
                <wp:simplePos x="0" y="0"/>
                <wp:positionH relativeFrom="column">
                  <wp:posOffset>1400175</wp:posOffset>
                </wp:positionH>
                <wp:positionV relativeFrom="paragraph">
                  <wp:posOffset>50800</wp:posOffset>
                </wp:positionV>
                <wp:extent cx="0" cy="281305"/>
                <wp:effectExtent l="76200" t="0" r="57150" b="61595"/>
                <wp:wrapNone/>
                <wp:docPr id="1731349407" name="Straight Arrow Connector 173134940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CC97244" id="Straight Arrow Connector 1731349407" o:spid="_x0000_s1026" type="#_x0000_t32" style="position:absolute;margin-left:110.25pt;margin-top:4pt;width:0;height:22.1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" strokecolor="black [3213]">
                <v:stroke endarrow="block"/>
              </v:shape>
            </w:pict>
          </mc:Fallback>
        </mc:AlternateContent>
      </w:r>
    </w:p>
    <w:p w14:paraId="54B5CC8C" w14:textId="77777777" w:rsidR="00FB53DF" w:rsidRDefault="00E723DD" w:rsidP="00FB53DF">
      <w:pPr>
        <w:spacing w:after="120"/>
      </w:pPr>
      <w:r w:rsidRPr="00560609">
        <w:rPr>
          <w:noProof/>
        </w:rPr>
        <mc:AlternateContent>
          <mc:Choice Requires="wps">
            <w:drawing>
              <wp:anchor distT="0" distB="0" distL="114300" distR="114300" simplePos="0" relativeHeight="251664384" behindDoc="0" locked="0" layoutInCell="1" allowOverlap="1" wp14:anchorId="2A0C26D0" wp14:editId="5D68F4E4">
                <wp:simplePos x="0" y="0"/>
                <wp:positionH relativeFrom="column">
                  <wp:posOffset>3048000</wp:posOffset>
                </wp:positionH>
                <wp:positionV relativeFrom="paragraph">
                  <wp:posOffset>142240</wp:posOffset>
                </wp:positionV>
                <wp:extent cx="1887220" cy="685800"/>
                <wp:effectExtent l="0" t="0" r="17780" b="19050"/>
                <wp:wrapNone/>
                <wp:docPr id="197786516" name="Rectangle 197786516"/>
                <wp:cNvGraphicFramePr/>
                <a:graphic xmlns:a="http://schemas.openxmlformats.org/drawingml/2006/main">
                  <a:graphicData uri="http://schemas.microsoft.com/office/word/2010/wordprocessingShape">
                    <wps:wsp>
                      <wps:cNvSpPr/>
                      <wps:spPr>
                        <a:xfrm>
                          <a:off x="0" y="0"/>
                          <a:ext cx="1887220" cy="6858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081BFFD" w14:textId="77777777" w:rsidR="00FB53DF" w:rsidRDefault="00FB53DF" w:rsidP="00FB53DF">
                            <w:pPr>
                              <w:rPr>
                                <w:rFonts w:cs="Arial"/>
                                <w:color w:val="000000" w:themeColor="text1"/>
                                <w:sz w:val="18"/>
                                <w:szCs w:val="20"/>
                              </w:rPr>
                            </w:pPr>
                            <w:r w:rsidRPr="00560609">
                              <w:rPr>
                                <w:rFonts w:cs="Arial"/>
                                <w:color w:val="000000" w:themeColor="text1"/>
                                <w:sz w:val="18"/>
                                <w:szCs w:val="20"/>
                              </w:rPr>
                              <w:t>Re</w:t>
                            </w:r>
                            <w:r>
                              <w:rPr>
                                <w:rFonts w:cs="Arial"/>
                                <w:color w:val="000000" w:themeColor="text1"/>
                                <w:sz w:val="18"/>
                                <w:szCs w:val="20"/>
                              </w:rPr>
                              <w:t>p</w:t>
                            </w:r>
                            <w:r w:rsidRPr="00560609">
                              <w:rPr>
                                <w:rFonts w:cs="Arial"/>
                                <w:color w:val="000000" w:themeColor="text1"/>
                                <w:sz w:val="18"/>
                                <w:szCs w:val="20"/>
                              </w:rPr>
                              <w:t>or</w:t>
                            </w:r>
                            <w:r>
                              <w:rPr>
                                <w:rFonts w:cs="Arial"/>
                                <w:color w:val="000000" w:themeColor="text1"/>
                                <w:sz w:val="18"/>
                                <w:szCs w:val="20"/>
                              </w:rPr>
                              <w:t>t</w:t>
                            </w:r>
                            <w:r w:rsidRPr="00560609">
                              <w:rPr>
                                <w:rFonts w:cs="Arial"/>
                                <w:color w:val="000000" w:themeColor="text1"/>
                                <w:sz w:val="18"/>
                                <w:szCs w:val="20"/>
                              </w:rPr>
                              <w:t>s</w:t>
                            </w:r>
                            <w:r>
                              <w:rPr>
                                <w:rFonts w:cs="Arial"/>
                                <w:color w:val="000000" w:themeColor="text1"/>
                                <w:sz w:val="18"/>
                                <w:szCs w:val="20"/>
                              </w:rPr>
                              <w:t xml:space="preserve"> not retrieved</w:t>
                            </w:r>
                          </w:p>
                          <w:p w14:paraId="2CAF1D03" w14:textId="77777777" w:rsidR="00FB53DF" w:rsidRPr="00560609" w:rsidRDefault="00FB53DF" w:rsidP="00FB53DF">
                            <w:pPr>
                              <w:rPr>
                                <w:rFonts w:cs="Arial"/>
                                <w:color w:val="000000" w:themeColor="text1"/>
                                <w:sz w:val="18"/>
                                <w:szCs w:val="20"/>
                              </w:rPr>
                            </w:pPr>
                            <w:r>
                              <w:rPr>
                                <w:rFonts w:cs="Arial"/>
                                <w:color w:val="000000" w:themeColor="text1"/>
                                <w:sz w:val="18"/>
                                <w:szCs w:val="20"/>
                              </w:rPr>
                              <w:t>(n =</w:t>
                            </w:r>
                            <w:r w:rsidR="00CF2866">
                              <w:rPr>
                                <w:rFonts w:cs="Arial"/>
                                <w:color w:val="000000" w:themeColor="text1"/>
                                <w:sz w:val="18"/>
                                <w:szCs w:val="20"/>
                              </w:rPr>
                              <w:t>0)</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0C26D0" id="Rectangle 197786516" o:spid="_x0000_s1029" style="position:absolute;left:0;text-align:left;margin-left:240pt;margin-top:11.2pt;width:148.6pt;height:54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" filled="f" strokecolor="black [3213]" strokeweight="2pt">
                <v:textbox>
                  <w:txbxContent>
                    <w:p w14:paraId="2081BFFD" w14:textId="77777777" w:rsidR="00FB53DF" w:rsidRDefault="00FB53DF" w:rsidP="00FB53DF">
                      <w:pPr>
                        <w:rPr>
                          <w:rFonts w:cs="Arial"/>
                          <w:color w:val="000000" w:themeColor="text1"/>
                          <w:sz w:val="18"/>
                          <w:szCs w:val="20"/>
                        </w:rPr>
                      </w:pPr>
                      <w:r w:rsidRPr="00560609">
                        <w:rPr>
                          <w:rFonts w:cs="Arial"/>
                          <w:color w:val="000000" w:themeColor="text1"/>
                          <w:sz w:val="18"/>
                          <w:szCs w:val="20"/>
                        </w:rPr>
                        <w:t>Re</w:t>
                      </w:r>
                      <w:r>
                        <w:rPr>
                          <w:rFonts w:cs="Arial"/>
                          <w:color w:val="000000" w:themeColor="text1"/>
                          <w:sz w:val="18"/>
                          <w:szCs w:val="20"/>
                        </w:rPr>
                        <w:t>p</w:t>
                      </w:r>
                      <w:r w:rsidRPr="00560609">
                        <w:rPr>
                          <w:rFonts w:cs="Arial"/>
                          <w:color w:val="000000" w:themeColor="text1"/>
                          <w:sz w:val="18"/>
                          <w:szCs w:val="20"/>
                        </w:rPr>
                        <w:t>or</w:t>
                      </w:r>
                      <w:r>
                        <w:rPr>
                          <w:rFonts w:cs="Arial"/>
                          <w:color w:val="000000" w:themeColor="text1"/>
                          <w:sz w:val="18"/>
                          <w:szCs w:val="20"/>
                        </w:rPr>
                        <w:t>t</w:t>
                      </w:r>
                      <w:r w:rsidRPr="00560609">
                        <w:rPr>
                          <w:rFonts w:cs="Arial"/>
                          <w:color w:val="000000" w:themeColor="text1"/>
                          <w:sz w:val="18"/>
                          <w:szCs w:val="20"/>
                        </w:rPr>
                        <w:t>s</w:t>
                      </w:r>
                      <w:r>
                        <w:rPr>
                          <w:rFonts w:cs="Arial"/>
                          <w:color w:val="000000" w:themeColor="text1"/>
                          <w:sz w:val="18"/>
                          <w:szCs w:val="20"/>
                        </w:rPr>
                        <w:t xml:space="preserve"> not retrieved</w:t>
                      </w:r>
                    </w:p>
                    <w:p w14:paraId="2CAF1D03" w14:textId="77777777" w:rsidR="00FB53DF" w:rsidRPr="00560609" w:rsidRDefault="00FB53DF" w:rsidP="00FB53DF">
                      <w:pPr>
                        <w:rPr>
                          <w:rFonts w:cs="Arial"/>
                          <w:color w:val="000000" w:themeColor="text1"/>
                          <w:sz w:val="18"/>
                          <w:szCs w:val="20"/>
                        </w:rPr>
                      </w:pPr>
                      <w:r>
                        <w:rPr>
                          <w:rFonts w:cs="Arial"/>
                          <w:color w:val="000000" w:themeColor="text1"/>
                          <w:sz w:val="18"/>
                          <w:szCs w:val="20"/>
                        </w:rPr>
                        <w:t>(n =</w:t>
                      </w:r>
                      <w:r w:rsidR="00CF2866">
                        <w:rPr>
                          <w:rFonts w:cs="Arial"/>
                          <w:color w:val="000000" w:themeColor="text1"/>
                          <w:sz w:val="18"/>
                          <w:szCs w:val="20"/>
                        </w:rPr>
                        <w:t>0)</w:t>
                      </w:r>
                    </w:p>
                  </w:txbxContent>
                </v:textbox>
              </v:rect>
            </w:pict>
          </mc:Fallback>
        </mc:AlternateContent>
      </w:r>
      <w:r w:rsidR="00BE2F7E" w:rsidRPr="00560609">
        <w:rPr>
          <w:noProof/>
        </w:rPr>
        <mc:AlternateContent>
          <mc:Choice Requires="wps">
            <w:drawing>
              <wp:anchor distT="0" distB="0" distL="114300" distR="114300" simplePos="0" relativeHeight="251663360" behindDoc="0" locked="0" layoutInCell="1" allowOverlap="1" wp14:anchorId="541A5A02" wp14:editId="77B25C2E">
                <wp:simplePos x="0" y="0"/>
                <wp:positionH relativeFrom="column">
                  <wp:posOffset>558800</wp:posOffset>
                </wp:positionH>
                <wp:positionV relativeFrom="paragraph">
                  <wp:posOffset>212090</wp:posOffset>
                </wp:positionV>
                <wp:extent cx="1887220" cy="615950"/>
                <wp:effectExtent l="0" t="0" r="17780" b="12700"/>
                <wp:wrapNone/>
                <wp:docPr id="1888676205" name="Rectangle 1888676205"/>
                <wp:cNvGraphicFramePr/>
                <a:graphic xmlns:a="http://schemas.openxmlformats.org/drawingml/2006/main">
                  <a:graphicData uri="http://schemas.microsoft.com/office/word/2010/wordprocessingShape">
                    <wps:wsp>
                      <wps:cNvSpPr/>
                      <wps:spPr>
                        <a:xfrm>
                          <a:off x="0" y="0"/>
                          <a:ext cx="1887220" cy="6159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473F3D6" w14:textId="77777777" w:rsidR="00FB53DF" w:rsidRDefault="00FB53DF" w:rsidP="00FB53DF">
                            <w:pPr>
                              <w:rPr>
                                <w:rFonts w:cs="Arial"/>
                                <w:color w:val="000000" w:themeColor="text1"/>
                                <w:sz w:val="18"/>
                                <w:szCs w:val="20"/>
                              </w:rPr>
                            </w:pPr>
                            <w:r>
                              <w:rPr>
                                <w:rFonts w:cs="Arial"/>
                                <w:color w:val="000000" w:themeColor="text1"/>
                                <w:sz w:val="18"/>
                                <w:szCs w:val="20"/>
                              </w:rPr>
                              <w:t xml:space="preserve">Full text </w:t>
                            </w:r>
                            <w:r w:rsidRPr="00560609">
                              <w:rPr>
                                <w:rFonts w:cs="Arial"/>
                                <w:color w:val="000000" w:themeColor="text1"/>
                                <w:sz w:val="18"/>
                                <w:szCs w:val="20"/>
                              </w:rPr>
                              <w:t>Re</w:t>
                            </w:r>
                            <w:r>
                              <w:rPr>
                                <w:rFonts w:cs="Arial"/>
                                <w:color w:val="000000" w:themeColor="text1"/>
                                <w:sz w:val="18"/>
                                <w:szCs w:val="20"/>
                              </w:rPr>
                              <w:t>p</w:t>
                            </w:r>
                            <w:r w:rsidRPr="00560609">
                              <w:rPr>
                                <w:rFonts w:cs="Arial"/>
                                <w:color w:val="000000" w:themeColor="text1"/>
                                <w:sz w:val="18"/>
                                <w:szCs w:val="20"/>
                              </w:rPr>
                              <w:t>or</w:t>
                            </w:r>
                            <w:r>
                              <w:rPr>
                                <w:rFonts w:cs="Arial"/>
                                <w:color w:val="000000" w:themeColor="text1"/>
                                <w:sz w:val="18"/>
                                <w:szCs w:val="20"/>
                              </w:rPr>
                              <w:t>t</w:t>
                            </w:r>
                            <w:r w:rsidRPr="00560609">
                              <w:rPr>
                                <w:rFonts w:cs="Arial"/>
                                <w:color w:val="000000" w:themeColor="text1"/>
                                <w:sz w:val="18"/>
                                <w:szCs w:val="20"/>
                              </w:rPr>
                              <w:t>s</w:t>
                            </w:r>
                            <w:r>
                              <w:rPr>
                                <w:rFonts w:cs="Arial"/>
                                <w:color w:val="000000" w:themeColor="text1"/>
                                <w:sz w:val="18"/>
                                <w:szCs w:val="20"/>
                              </w:rPr>
                              <w:t xml:space="preserve"> sought for retrieval</w:t>
                            </w:r>
                          </w:p>
                          <w:p w14:paraId="4F5E42FD" w14:textId="77777777" w:rsidR="00FB53DF" w:rsidRPr="00560609" w:rsidRDefault="00FB53DF" w:rsidP="00FB53DF">
                            <w:pPr>
                              <w:rPr>
                                <w:rFonts w:cs="Arial"/>
                                <w:color w:val="000000" w:themeColor="text1"/>
                                <w:sz w:val="18"/>
                                <w:szCs w:val="20"/>
                              </w:rPr>
                            </w:pPr>
                            <w:r>
                              <w:rPr>
                                <w:rFonts w:cs="Arial"/>
                                <w:color w:val="000000" w:themeColor="text1"/>
                                <w:sz w:val="18"/>
                                <w:szCs w:val="20"/>
                              </w:rPr>
                              <w:t>(n =</w:t>
                            </w:r>
                            <w:r>
                              <w:rPr>
                                <w:rFonts w:cs="Arial"/>
                                <w:color w:val="000000" w:themeColor="text1"/>
                                <w:sz w:val="18"/>
                                <w:szCs w:val="20"/>
                              </w:rPr>
                              <w:t>33 )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41A5A02" id="Rectangle 1888676205" o:spid="_x0000_s1030" style="position:absolute;left:0;text-align:left;margin-left:44pt;margin-top:16.7pt;width:148.6pt;height: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" filled="f" strokecolor="black [3213]" strokeweight="2pt">
                <v:textbox>
                  <w:txbxContent>
                    <w:p w14:paraId="6473F3D6" w14:textId="77777777" w:rsidR="00FB53DF" w:rsidRDefault="00FB53DF" w:rsidP="00FB53DF">
                      <w:pPr>
                        <w:rPr>
                          <w:rFonts w:cs="Arial"/>
                          <w:color w:val="000000" w:themeColor="text1"/>
                          <w:sz w:val="18"/>
                          <w:szCs w:val="20"/>
                        </w:rPr>
                      </w:pPr>
                      <w:r>
                        <w:rPr>
                          <w:rFonts w:cs="Arial"/>
                          <w:color w:val="000000" w:themeColor="text1"/>
                          <w:sz w:val="18"/>
                          <w:szCs w:val="20"/>
                        </w:rPr>
                        <w:t xml:space="preserve">Full text </w:t>
                      </w:r>
                      <w:r w:rsidRPr="00560609">
                        <w:rPr>
                          <w:rFonts w:cs="Arial"/>
                          <w:color w:val="000000" w:themeColor="text1"/>
                          <w:sz w:val="18"/>
                          <w:szCs w:val="20"/>
                        </w:rPr>
                        <w:t>Re</w:t>
                      </w:r>
                      <w:r>
                        <w:rPr>
                          <w:rFonts w:cs="Arial"/>
                          <w:color w:val="000000" w:themeColor="text1"/>
                          <w:sz w:val="18"/>
                          <w:szCs w:val="20"/>
                        </w:rPr>
                        <w:t>p</w:t>
                      </w:r>
                      <w:r w:rsidRPr="00560609">
                        <w:rPr>
                          <w:rFonts w:cs="Arial"/>
                          <w:color w:val="000000" w:themeColor="text1"/>
                          <w:sz w:val="18"/>
                          <w:szCs w:val="20"/>
                        </w:rPr>
                        <w:t>or</w:t>
                      </w:r>
                      <w:r>
                        <w:rPr>
                          <w:rFonts w:cs="Arial"/>
                          <w:color w:val="000000" w:themeColor="text1"/>
                          <w:sz w:val="18"/>
                          <w:szCs w:val="20"/>
                        </w:rPr>
                        <w:t>t</w:t>
                      </w:r>
                      <w:r w:rsidRPr="00560609">
                        <w:rPr>
                          <w:rFonts w:cs="Arial"/>
                          <w:color w:val="000000" w:themeColor="text1"/>
                          <w:sz w:val="18"/>
                          <w:szCs w:val="20"/>
                        </w:rPr>
                        <w:t>s</w:t>
                      </w:r>
                      <w:r>
                        <w:rPr>
                          <w:rFonts w:cs="Arial"/>
                          <w:color w:val="000000" w:themeColor="text1"/>
                          <w:sz w:val="18"/>
                          <w:szCs w:val="20"/>
                        </w:rPr>
                        <w:t xml:space="preserve"> sought for retrieval</w:t>
                      </w:r>
                    </w:p>
                    <w:p w14:paraId="4F5E42FD" w14:textId="77777777" w:rsidR="00FB53DF" w:rsidRPr="00560609" w:rsidRDefault="00FB53DF" w:rsidP="00FB53DF">
                      <w:pPr>
                        <w:rPr>
                          <w:rFonts w:cs="Arial"/>
                          <w:color w:val="000000" w:themeColor="text1"/>
                          <w:sz w:val="18"/>
                          <w:szCs w:val="20"/>
                        </w:rPr>
                      </w:pPr>
                      <w:r>
                        <w:rPr>
                          <w:rFonts w:cs="Arial"/>
                          <w:color w:val="000000" w:themeColor="text1"/>
                          <w:sz w:val="18"/>
                          <w:szCs w:val="20"/>
                        </w:rPr>
                        <w:t>(n =</w:t>
                      </w:r>
                      <w:proofErr w:type="gramStart"/>
                      <w:r>
                        <w:rPr>
                          <w:rFonts w:cs="Arial"/>
                          <w:color w:val="000000" w:themeColor="text1"/>
                          <w:sz w:val="18"/>
                          <w:szCs w:val="20"/>
                        </w:rPr>
                        <w:t>33 )</w:t>
                      </w:r>
                      <w:proofErr w:type="gramEnd"/>
                    </w:p>
                  </w:txbxContent>
                </v:textbox>
              </v:rect>
            </w:pict>
          </mc:Fallback>
        </mc:AlternateContent>
      </w:r>
    </w:p>
    <w:p w14:paraId="5D750A9F" w14:textId="77777777" w:rsidR="00154E0F" w:rsidRDefault="00FB53DF" w:rsidP="00FB53DF">
      <w:pPr>
        <w:spacing w:after="120"/>
      </w:pPr>
      <w:r>
        <w:rPr>
          <w:noProof/>
        </w:rPr>
        <mc:AlternateContent>
          <mc:Choice Requires="wps">
            <w:drawing>
              <wp:anchor distT="0" distB="0" distL="114300" distR="114300" simplePos="0" relativeHeight="251669504" behindDoc="0" locked="0" layoutInCell="1" allowOverlap="1" wp14:anchorId="0FA122B8" wp14:editId="42A6BEF1">
                <wp:simplePos x="0" y="0"/>
                <wp:positionH relativeFrom="column">
                  <wp:posOffset>2440940</wp:posOffset>
                </wp:positionH>
                <wp:positionV relativeFrom="paragraph">
                  <wp:posOffset>67945</wp:posOffset>
                </wp:positionV>
                <wp:extent cx="563245" cy="0"/>
                <wp:effectExtent l="0" t="76200" r="27305" b="95250"/>
                <wp:wrapNone/>
                <wp:docPr id="312713175" name="Straight Arrow Connector 312713175"/>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71B9FE8" id="Straight Arrow Connector 312713175" o:spid="_x0000_s1026" type="#_x0000_t32" style="position:absolute;margin-left:192.2pt;margin-top:5.35pt;width:44.35pt;height:0;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" strokecolor="black [3213]">
                <v:stroke endarrow="block"/>
              </v:shape>
            </w:pict>
          </mc:Fallback>
        </mc:AlternateContent>
      </w:r>
    </w:p>
    <w:p w14:paraId="6E2567F3" w14:textId="77777777" w:rsidR="00FB53DF" w:rsidRDefault="00BE2F7E" w:rsidP="00FB53DF">
      <w:pPr>
        <w:spacing w:after="120"/>
      </w:pPr>
      <w:r>
        <w:rPr>
          <w:noProof/>
        </w:rPr>
        <mc:AlternateContent>
          <mc:Choice Requires="wps">
            <w:drawing>
              <wp:anchor distT="0" distB="0" distL="114300" distR="114300" simplePos="0" relativeHeight="251676672" behindDoc="0" locked="0" layoutInCell="1" allowOverlap="1" wp14:anchorId="084AE659" wp14:editId="00152E07">
                <wp:simplePos x="0" y="0"/>
                <wp:positionH relativeFrom="column">
                  <wp:posOffset>1533525</wp:posOffset>
                </wp:positionH>
                <wp:positionV relativeFrom="paragraph">
                  <wp:posOffset>276860</wp:posOffset>
                </wp:positionV>
                <wp:extent cx="0" cy="281305"/>
                <wp:effectExtent l="76200" t="0" r="57150" b="61595"/>
                <wp:wrapNone/>
                <wp:docPr id="589246237" name="Straight Arrow Connector 589246237"/>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3507207" id="Straight Arrow Connector 589246237" o:spid="_x0000_s1026" type="#_x0000_t32" style="position:absolute;margin-left:120.75pt;margin-top:21.8pt;width:0;height:22.1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" strokecolor="black [3213]">
                <v:stroke endarrow="block"/>
              </v:shape>
            </w:pict>
          </mc:Fallback>
        </mc:AlternateContent>
      </w:r>
    </w:p>
    <w:p w14:paraId="2C11CE96" w14:textId="77777777" w:rsidR="00FB53DF" w:rsidRDefault="00BE2F7E" w:rsidP="00FB53DF">
      <w:pPr>
        <w:spacing w:after="120"/>
      </w:pPr>
      <w:r>
        <w:rPr>
          <w:noProof/>
        </w:rPr>
        <mc:AlternateContent>
          <mc:Choice Requires="wps">
            <w:drawing>
              <wp:anchor distT="0" distB="0" distL="114300" distR="114300" simplePos="0" relativeHeight="251661312" behindDoc="0" locked="0" layoutInCell="1" allowOverlap="1" wp14:anchorId="0F823B85" wp14:editId="14ABCD73">
                <wp:simplePos x="0" y="0"/>
                <wp:positionH relativeFrom="column">
                  <wp:posOffset>501650</wp:posOffset>
                </wp:positionH>
                <wp:positionV relativeFrom="paragraph">
                  <wp:posOffset>314325</wp:posOffset>
                </wp:positionV>
                <wp:extent cx="1944370" cy="495300"/>
                <wp:effectExtent l="0" t="0" r="17780" b="19050"/>
                <wp:wrapNone/>
                <wp:docPr id="1739558102" name="Rectangle 1739558102"/>
                <wp:cNvGraphicFramePr/>
                <a:graphic xmlns:a="http://schemas.openxmlformats.org/drawingml/2006/main">
                  <a:graphicData uri="http://schemas.microsoft.com/office/word/2010/wordprocessingShape">
                    <wps:wsp>
                      <wps:cNvSpPr/>
                      <wps:spPr>
                        <a:xfrm>
                          <a:off x="0" y="0"/>
                          <a:ext cx="1944370" cy="4953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E89DAEB" w14:textId="77777777" w:rsidR="00FB53DF" w:rsidRDefault="00FB53DF" w:rsidP="00FB53DF">
                            <w:pPr>
                              <w:rPr>
                                <w:rFonts w:cs="Arial"/>
                                <w:color w:val="000000" w:themeColor="text1"/>
                                <w:sz w:val="18"/>
                                <w:szCs w:val="20"/>
                              </w:rPr>
                            </w:pPr>
                            <w:r w:rsidRPr="00560609">
                              <w:rPr>
                                <w:rFonts w:cs="Arial"/>
                                <w:color w:val="000000" w:themeColor="text1"/>
                                <w:sz w:val="18"/>
                                <w:szCs w:val="20"/>
                              </w:rPr>
                              <w:t>Records</w:t>
                            </w:r>
                            <w:r>
                              <w:rPr>
                                <w:rFonts w:cs="Arial"/>
                                <w:color w:val="000000" w:themeColor="text1"/>
                                <w:sz w:val="18"/>
                                <w:szCs w:val="20"/>
                              </w:rPr>
                              <w:t xml:space="preserve"> screened by title and </w:t>
                            </w:r>
                            <w:r w:rsidR="00CF2866">
                              <w:rPr>
                                <w:rFonts w:cs="Arial"/>
                                <w:color w:val="000000" w:themeColor="text1"/>
                                <w:sz w:val="18"/>
                                <w:szCs w:val="20"/>
                              </w:rPr>
                              <w:t>abstract</w:t>
                            </w:r>
                            <w:r>
                              <w:rPr>
                                <w:rFonts w:cs="Arial"/>
                                <w:color w:val="000000" w:themeColor="text1"/>
                                <w:sz w:val="18"/>
                                <w:szCs w:val="20"/>
                              </w:rPr>
                              <w:t xml:space="preserve"> (n=184)</w:t>
                            </w:r>
                          </w:p>
                          <w:p w14:paraId="79A03CEA" w14:textId="77777777" w:rsidR="00FB53DF" w:rsidRPr="00560609" w:rsidRDefault="00FB53DF" w:rsidP="00FB53DF">
                            <w:pPr>
                              <w:rPr>
                                <w:rFonts w:cs="Arial"/>
                                <w:color w:val="000000" w:themeColor="text1"/>
                                <w:sz w:val="18"/>
                                <w:szCs w:val="20"/>
                              </w:rPr>
                            </w:pPr>
                            <w:r>
                              <w:rPr>
                                <w:rFonts w:cs="Arial"/>
                                <w:color w:val="000000" w:themeColor="text1"/>
                                <w:sz w:val="18"/>
                                <w:szCs w:val="20"/>
                              </w:rPr>
                              <w:t>(n =184 )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F823B85" id="Rectangle 1739558102" o:spid="_x0000_s1031" style="position:absolute;left:0;text-align:left;margin-left:39.5pt;margin-top:24.75pt;width:153.1pt;height:39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" filled="f" strokecolor="black [3213]" strokeweight="2pt">
                <v:textbox>
                  <w:txbxContent>
                    <w:p w14:paraId="2E89DAEB" w14:textId="77777777" w:rsidR="00FB53DF" w:rsidRDefault="00FB53DF" w:rsidP="00FB53DF">
                      <w:pPr>
                        <w:rPr>
                          <w:rFonts w:cs="Arial"/>
                          <w:color w:val="000000" w:themeColor="text1"/>
                          <w:sz w:val="18"/>
                          <w:szCs w:val="20"/>
                        </w:rPr>
                      </w:pPr>
                      <w:r w:rsidRPr="00560609">
                        <w:rPr>
                          <w:rFonts w:cs="Arial"/>
                          <w:color w:val="000000" w:themeColor="text1"/>
                          <w:sz w:val="18"/>
                          <w:szCs w:val="20"/>
                        </w:rPr>
                        <w:t>Records</w:t>
                      </w:r>
                      <w:r>
                        <w:rPr>
                          <w:rFonts w:cs="Arial"/>
                          <w:color w:val="000000" w:themeColor="text1"/>
                          <w:sz w:val="18"/>
                          <w:szCs w:val="20"/>
                        </w:rPr>
                        <w:t xml:space="preserve"> screened by title and </w:t>
                      </w:r>
                      <w:r w:rsidR="00CF2866">
                        <w:rPr>
                          <w:rFonts w:cs="Arial"/>
                          <w:color w:val="000000" w:themeColor="text1"/>
                          <w:sz w:val="18"/>
                          <w:szCs w:val="20"/>
                        </w:rPr>
                        <w:t>abstract</w:t>
                      </w:r>
                      <w:r>
                        <w:rPr>
                          <w:rFonts w:cs="Arial"/>
                          <w:color w:val="000000" w:themeColor="text1"/>
                          <w:sz w:val="18"/>
                          <w:szCs w:val="20"/>
                        </w:rPr>
                        <w:t xml:space="preserve"> (n=184)</w:t>
                      </w:r>
                    </w:p>
                    <w:p w14:paraId="79A03CEA" w14:textId="77777777" w:rsidR="00FB53DF" w:rsidRPr="00560609" w:rsidRDefault="00FB53DF" w:rsidP="00FB53DF">
                      <w:pPr>
                        <w:rPr>
                          <w:rFonts w:cs="Arial"/>
                          <w:color w:val="000000" w:themeColor="text1"/>
                          <w:sz w:val="18"/>
                          <w:szCs w:val="20"/>
                        </w:rPr>
                      </w:pPr>
                      <w:r>
                        <w:rPr>
                          <w:rFonts w:cs="Arial"/>
                          <w:color w:val="000000" w:themeColor="text1"/>
                          <w:sz w:val="18"/>
                          <w:szCs w:val="20"/>
                        </w:rPr>
                        <w:t>(n =184 )</w:t>
                      </w:r>
                    </w:p>
                  </w:txbxContent>
                </v:textbox>
              </v:rect>
            </w:pict>
          </mc:Fallback>
        </mc:AlternateContent>
      </w:r>
    </w:p>
    <w:p w14:paraId="422F2D54" w14:textId="77777777" w:rsidR="00FB53DF" w:rsidRDefault="00E723DD" w:rsidP="00FB53DF">
      <w:pPr>
        <w:spacing w:after="120"/>
      </w:pPr>
      <w:r>
        <w:rPr>
          <w:noProof/>
        </w:rPr>
        <mc:AlternateContent>
          <mc:Choice Requires="wps">
            <w:drawing>
              <wp:anchor distT="0" distB="0" distL="114300" distR="114300" simplePos="0" relativeHeight="251662336" behindDoc="0" locked="0" layoutInCell="1" allowOverlap="1" wp14:anchorId="2858CF49" wp14:editId="0F9506B1">
                <wp:simplePos x="0" y="0"/>
                <wp:positionH relativeFrom="column">
                  <wp:posOffset>3048000</wp:posOffset>
                </wp:positionH>
                <wp:positionV relativeFrom="paragraph">
                  <wp:posOffset>41910</wp:posOffset>
                </wp:positionV>
                <wp:extent cx="1887220" cy="527050"/>
                <wp:effectExtent l="0" t="0" r="17780" b="25400"/>
                <wp:wrapNone/>
                <wp:docPr id="1320736526" name="Rectangle 1320736526"/>
                <wp:cNvGraphicFramePr/>
                <a:graphic xmlns:a="http://schemas.openxmlformats.org/drawingml/2006/main">
                  <a:graphicData uri="http://schemas.microsoft.com/office/word/2010/wordprocessingShape">
                    <wps:wsp>
                      <wps:cNvSpPr/>
                      <wps:spPr>
                        <a:xfrm>
                          <a:off x="0" y="0"/>
                          <a:ext cx="1887220" cy="5270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A77719C" w14:textId="77777777" w:rsidR="00FB53DF" w:rsidRDefault="00FB53DF" w:rsidP="00FB53DF">
                            <w:pPr>
                              <w:rPr>
                                <w:rFonts w:cs="Arial"/>
                                <w:color w:val="000000" w:themeColor="text1"/>
                                <w:sz w:val="18"/>
                                <w:szCs w:val="20"/>
                              </w:rPr>
                            </w:pPr>
                            <w:r w:rsidRPr="00560609">
                              <w:rPr>
                                <w:rFonts w:cs="Arial"/>
                                <w:color w:val="000000" w:themeColor="text1"/>
                                <w:sz w:val="18"/>
                                <w:szCs w:val="20"/>
                              </w:rPr>
                              <w:t>Records</w:t>
                            </w:r>
                            <w:r>
                              <w:rPr>
                                <w:rFonts w:cs="Arial"/>
                                <w:color w:val="000000" w:themeColor="text1"/>
                                <w:sz w:val="18"/>
                                <w:szCs w:val="20"/>
                              </w:rPr>
                              <w:t xml:space="preserve"> excluded**</w:t>
                            </w:r>
                          </w:p>
                          <w:p w14:paraId="434E2A5D" w14:textId="77777777" w:rsidR="00FB53DF" w:rsidRPr="00560609" w:rsidRDefault="00FB53DF" w:rsidP="00FB53DF">
                            <w:pPr>
                              <w:rPr>
                                <w:rFonts w:cs="Arial"/>
                                <w:color w:val="000000" w:themeColor="text1"/>
                                <w:sz w:val="18"/>
                                <w:szCs w:val="20"/>
                              </w:rPr>
                            </w:pPr>
                            <w:r>
                              <w:rPr>
                                <w:rFonts w:cs="Arial"/>
                                <w:color w:val="000000" w:themeColor="text1"/>
                                <w:sz w:val="18"/>
                                <w:szCs w:val="20"/>
                              </w:rPr>
                              <w:t>(n = 151)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58CF49" id="Rectangle 1320736526" o:spid="_x0000_s1032" style="position:absolute;left:0;text-align:left;margin-left:240pt;margin-top:3.3pt;width:148.6pt;height:41.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" filled="f" strokecolor="black [3213]" strokeweight="2pt">
                <v:textbox>
                  <w:txbxContent>
                    <w:p w14:paraId="2A77719C" w14:textId="77777777" w:rsidR="00FB53DF" w:rsidRDefault="00FB53DF" w:rsidP="00FB53DF">
                      <w:pPr>
                        <w:rPr>
                          <w:rFonts w:cs="Arial"/>
                          <w:color w:val="000000" w:themeColor="text1"/>
                          <w:sz w:val="18"/>
                          <w:szCs w:val="20"/>
                        </w:rPr>
                      </w:pPr>
                      <w:r w:rsidRPr="00560609">
                        <w:rPr>
                          <w:rFonts w:cs="Arial"/>
                          <w:color w:val="000000" w:themeColor="text1"/>
                          <w:sz w:val="18"/>
                          <w:szCs w:val="20"/>
                        </w:rPr>
                        <w:t>Records</w:t>
                      </w:r>
                      <w:r>
                        <w:rPr>
                          <w:rFonts w:cs="Arial"/>
                          <w:color w:val="000000" w:themeColor="text1"/>
                          <w:sz w:val="18"/>
                          <w:szCs w:val="20"/>
                        </w:rPr>
                        <w:t xml:space="preserve"> excluded**</w:t>
                      </w:r>
                    </w:p>
                    <w:p w14:paraId="434E2A5D" w14:textId="77777777" w:rsidR="00FB53DF" w:rsidRPr="00560609" w:rsidRDefault="00FB53DF" w:rsidP="00FB53DF">
                      <w:pPr>
                        <w:rPr>
                          <w:rFonts w:cs="Arial"/>
                          <w:color w:val="000000" w:themeColor="text1"/>
                          <w:sz w:val="18"/>
                          <w:szCs w:val="20"/>
                        </w:rPr>
                      </w:pPr>
                      <w:r>
                        <w:rPr>
                          <w:rFonts w:cs="Arial"/>
                          <w:color w:val="000000" w:themeColor="text1"/>
                          <w:sz w:val="18"/>
                          <w:szCs w:val="20"/>
                        </w:rPr>
                        <w:t>(n = 151)</w:t>
                      </w:r>
                    </w:p>
                  </w:txbxContent>
                </v:textbox>
              </v:rect>
            </w:pict>
          </mc:Fallback>
        </mc:AlternateContent>
      </w:r>
    </w:p>
    <w:p w14:paraId="26EACB61" w14:textId="77777777" w:rsidR="00FB53DF" w:rsidRDefault="002C6D80" w:rsidP="00FB53DF">
      <w:pPr>
        <w:spacing w:after="120"/>
      </w:pPr>
      <w:r>
        <w:rPr>
          <w:noProof/>
        </w:rPr>
        <mc:AlternateContent>
          <mc:Choice Requires="wps">
            <w:drawing>
              <wp:anchor distT="0" distB="0" distL="114300" distR="114300" simplePos="0" relativeHeight="251670528" behindDoc="0" locked="0" layoutInCell="1" allowOverlap="1" wp14:anchorId="39F56D7A" wp14:editId="44E86B10">
                <wp:simplePos x="0" y="0"/>
                <wp:positionH relativeFrom="column">
                  <wp:posOffset>2451735</wp:posOffset>
                </wp:positionH>
                <wp:positionV relativeFrom="paragraph">
                  <wp:posOffset>15875</wp:posOffset>
                </wp:positionV>
                <wp:extent cx="563245" cy="0"/>
                <wp:effectExtent l="0" t="76200" r="27305" b="95250"/>
                <wp:wrapNone/>
                <wp:docPr id="5527931" name="Straight Arrow Connector 5527931"/>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9BFBD7E" id="Straight Arrow Connector 5527931" o:spid="_x0000_s1026" type="#_x0000_t32" style="position:absolute;margin-left:193.05pt;margin-top:1.25pt;width:44.35pt;height:0;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" strokecolor="black [3213]">
                <v:stroke endarrow="block"/>
              </v:shape>
            </w:pict>
          </mc:Fallback>
        </mc:AlternateContent>
      </w:r>
      <w:r w:rsidR="00FB53DF">
        <w:rPr>
          <w:noProof/>
        </w:rPr>
        <mc:AlternateContent>
          <mc:Choice Requires="wps">
            <w:drawing>
              <wp:anchor distT="0" distB="0" distL="114300" distR="114300" simplePos="0" relativeHeight="251673600" behindDoc="0" locked="0" layoutInCell="1" allowOverlap="1" wp14:anchorId="16C8918A" wp14:editId="61950C83">
                <wp:simplePos x="0" y="0"/>
                <wp:positionH relativeFrom="column">
                  <wp:posOffset>-1160940</wp:posOffset>
                </wp:positionH>
                <wp:positionV relativeFrom="paragraph">
                  <wp:posOffset>140495</wp:posOffset>
                </wp:positionV>
                <wp:extent cx="2787335" cy="262890"/>
                <wp:effectExtent l="4763" t="0" r="18097" b="18098"/>
                <wp:wrapNone/>
                <wp:docPr id="1519320624" name="Flowchart: Alternate Process 1519320624"/>
                <wp:cNvGraphicFramePr/>
                <a:graphic xmlns:a="http://schemas.openxmlformats.org/drawingml/2006/main">
                  <a:graphicData uri="http://schemas.microsoft.com/office/word/2010/wordprocessingShape">
                    <wps:wsp>
                      <wps:cNvSpPr/>
                      <wps:spPr>
                        <a:xfrm rot="16200000">
                          <a:off x="0" y="0"/>
                          <a:ext cx="2787335"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51D48243" w14:textId="77777777" w:rsidR="00FB53DF" w:rsidRDefault="00FB53DF" w:rsidP="00FB53DF">
                            <w:pPr>
                              <w:jc w:val="center"/>
                              <w:rPr>
                                <w:rFonts w:cs="Arial"/>
                                <w:b/>
                                <w:color w:val="000000" w:themeColor="text1"/>
                                <w:sz w:val="18"/>
                                <w:szCs w:val="18"/>
                              </w:rPr>
                            </w:pPr>
                            <w:r>
                              <w:rPr>
                                <w:rFonts w:cs="Arial"/>
                                <w:b/>
                                <w:color w:val="000000" w:themeColor="text1"/>
                                <w:sz w:val="18"/>
                                <w:szCs w:val="18"/>
                              </w:rPr>
                              <w:t>Screening</w:t>
                            </w:r>
                          </w:p>
                          <w:p w14:paraId="60961A48" w14:textId="77777777" w:rsidR="00FB53DF" w:rsidRPr="001502CF" w:rsidRDefault="00FB53DF" w:rsidP="00FB53DF">
                            <w:pPr>
                              <w:rPr>
                                <w:rFonts w:cs="Arial"/>
                                <w:b/>
                                <w:color w:val="000000" w:themeColor="text1"/>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C8918A" id="Flowchart: Alternate Process 1519320624" o:spid="_x0000_s1033" type="#_x0000_t176" style="position:absolute;left:0;text-align:left;margin-left:-91.4pt;margin-top:11.05pt;width:219.5pt;height:20.7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" fillcolor="#92cddc [1944]" strokecolor="black [3213]" strokeweight="2pt">
                <v:textbox>
                  <w:txbxContent>
                    <w:p w14:paraId="51D48243" w14:textId="77777777" w:rsidR="00FB53DF" w:rsidRDefault="00FB53DF" w:rsidP="00FB53DF">
                      <w:pPr>
                        <w:jc w:val="center"/>
                        <w:rPr>
                          <w:rFonts w:cs="Arial"/>
                          <w:b/>
                          <w:color w:val="000000" w:themeColor="text1"/>
                          <w:sz w:val="18"/>
                          <w:szCs w:val="18"/>
                        </w:rPr>
                      </w:pPr>
                      <w:r>
                        <w:rPr>
                          <w:rFonts w:cs="Arial"/>
                          <w:b/>
                          <w:color w:val="000000" w:themeColor="text1"/>
                          <w:sz w:val="18"/>
                          <w:szCs w:val="18"/>
                        </w:rPr>
                        <w:t>Screening</w:t>
                      </w:r>
                    </w:p>
                    <w:p w14:paraId="60961A48" w14:textId="77777777" w:rsidR="00FB53DF" w:rsidRPr="001502CF" w:rsidRDefault="00FB53DF" w:rsidP="00FB53DF">
                      <w:pPr>
                        <w:rPr>
                          <w:rFonts w:cs="Arial"/>
                          <w:b/>
                          <w:color w:val="000000" w:themeColor="text1"/>
                          <w:sz w:val="18"/>
                          <w:szCs w:val="18"/>
                        </w:rPr>
                      </w:pPr>
                    </w:p>
                  </w:txbxContent>
                </v:textbox>
              </v:shape>
            </w:pict>
          </mc:Fallback>
        </mc:AlternateContent>
      </w:r>
    </w:p>
    <w:p w14:paraId="1889163E" w14:textId="77777777" w:rsidR="00FB53DF" w:rsidRDefault="00BE2F7E" w:rsidP="00FB53DF">
      <w:pPr>
        <w:spacing w:after="120"/>
      </w:pPr>
      <w:r>
        <w:rPr>
          <w:noProof/>
        </w:rPr>
        <mc:AlternateContent>
          <mc:Choice Requires="wps">
            <w:drawing>
              <wp:anchor distT="0" distB="0" distL="114300" distR="114300" simplePos="0" relativeHeight="251677696" behindDoc="0" locked="0" layoutInCell="1" allowOverlap="1" wp14:anchorId="13226677" wp14:editId="601C2EB5">
                <wp:simplePos x="0" y="0"/>
                <wp:positionH relativeFrom="column">
                  <wp:posOffset>1454150</wp:posOffset>
                </wp:positionH>
                <wp:positionV relativeFrom="paragraph">
                  <wp:posOffset>6350</wp:posOffset>
                </wp:positionV>
                <wp:extent cx="0" cy="281305"/>
                <wp:effectExtent l="76200" t="0" r="57150" b="61595"/>
                <wp:wrapNone/>
                <wp:docPr id="1121956011" name="Straight Arrow Connector 1121956011"/>
                <wp:cNvGraphicFramePr/>
                <a:graphic xmlns:a="http://schemas.openxmlformats.org/drawingml/2006/main">
                  <a:graphicData uri="http://schemas.microsoft.com/office/word/2010/wordprocessingShape">
                    <wps:wsp>
                      <wps:cNvCnPr/>
                      <wps:spPr>
                        <a:xfrm>
                          <a:off x="0" y="0"/>
                          <a:ext cx="0" cy="28130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D4652E3" id="Straight Arrow Connector 1121956011" o:spid="_x0000_s1026" type="#_x0000_t32" style="position:absolute;margin-left:114.5pt;margin-top:.5pt;width:0;height:22.15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" strokecolor="black [3213]">
                <v:stroke endarrow="block"/>
              </v:shape>
            </w:pict>
          </mc:Fallback>
        </mc:AlternateContent>
      </w:r>
    </w:p>
    <w:p w14:paraId="5E26FF5F" w14:textId="77777777" w:rsidR="00FB53DF" w:rsidRDefault="002C6D80" w:rsidP="00FB53DF">
      <w:pPr>
        <w:spacing w:after="120"/>
      </w:pPr>
      <w:r w:rsidRPr="00560609">
        <w:rPr>
          <w:noProof/>
        </w:rPr>
        <mc:AlternateContent>
          <mc:Choice Requires="wps">
            <w:drawing>
              <wp:anchor distT="0" distB="0" distL="114300" distR="114300" simplePos="0" relativeHeight="251666432" behindDoc="0" locked="0" layoutInCell="1" allowOverlap="1" wp14:anchorId="01D979C7" wp14:editId="30D87540">
                <wp:simplePos x="0" y="0"/>
                <wp:positionH relativeFrom="column">
                  <wp:posOffset>3054350</wp:posOffset>
                </wp:positionH>
                <wp:positionV relativeFrom="paragraph">
                  <wp:posOffset>4445</wp:posOffset>
                </wp:positionV>
                <wp:extent cx="2573655" cy="1428750"/>
                <wp:effectExtent l="0" t="0" r="17145" b="19050"/>
                <wp:wrapNone/>
                <wp:docPr id="1831356019" name="Rectangle 1831356019"/>
                <wp:cNvGraphicFramePr/>
                <a:graphic xmlns:a="http://schemas.openxmlformats.org/drawingml/2006/main">
                  <a:graphicData uri="http://schemas.microsoft.com/office/word/2010/wordprocessingShape">
                    <wps:wsp>
                      <wps:cNvSpPr/>
                      <wps:spPr>
                        <a:xfrm>
                          <a:off x="0" y="0"/>
                          <a:ext cx="2573655" cy="14287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FEB2AE" w14:textId="77777777" w:rsidR="00FB53DF" w:rsidRDefault="00FB53DF" w:rsidP="00FB53DF">
                            <w:pPr>
                              <w:rPr>
                                <w:rFonts w:cs="Arial"/>
                                <w:color w:val="000000" w:themeColor="text1"/>
                                <w:sz w:val="18"/>
                                <w:szCs w:val="20"/>
                              </w:rPr>
                            </w:pPr>
                            <w:r w:rsidRPr="00560609">
                              <w:rPr>
                                <w:rFonts w:cs="Arial"/>
                                <w:color w:val="000000" w:themeColor="text1"/>
                                <w:sz w:val="18"/>
                                <w:szCs w:val="20"/>
                              </w:rPr>
                              <w:t>Re</w:t>
                            </w:r>
                            <w:r>
                              <w:rPr>
                                <w:rFonts w:cs="Arial"/>
                                <w:color w:val="000000" w:themeColor="text1"/>
                                <w:sz w:val="18"/>
                                <w:szCs w:val="20"/>
                              </w:rPr>
                              <w:t>p</w:t>
                            </w:r>
                            <w:r w:rsidRPr="00560609">
                              <w:rPr>
                                <w:rFonts w:cs="Arial"/>
                                <w:color w:val="000000" w:themeColor="text1"/>
                                <w:sz w:val="18"/>
                                <w:szCs w:val="20"/>
                              </w:rPr>
                              <w:t>or</w:t>
                            </w:r>
                            <w:r>
                              <w:rPr>
                                <w:rFonts w:cs="Arial"/>
                                <w:color w:val="000000" w:themeColor="text1"/>
                                <w:sz w:val="18"/>
                                <w:szCs w:val="20"/>
                              </w:rPr>
                              <w:t>t</w:t>
                            </w:r>
                            <w:r w:rsidRPr="00560609">
                              <w:rPr>
                                <w:rFonts w:cs="Arial"/>
                                <w:color w:val="000000" w:themeColor="text1"/>
                                <w:sz w:val="18"/>
                                <w:szCs w:val="20"/>
                              </w:rPr>
                              <w:t>s</w:t>
                            </w:r>
                            <w:r>
                              <w:rPr>
                                <w:rFonts w:cs="Arial"/>
                                <w:color w:val="000000" w:themeColor="text1"/>
                                <w:sz w:val="18"/>
                                <w:szCs w:val="20"/>
                              </w:rPr>
                              <w:t xml:space="preserve"> excluded:</w:t>
                            </w:r>
                          </w:p>
                          <w:p w14:paraId="5D197807" w14:textId="77777777" w:rsidR="00FB53DF" w:rsidRDefault="00FB53DF" w:rsidP="00FB53DF">
                            <w:pPr>
                              <w:ind w:left="284"/>
                              <w:rPr>
                                <w:rFonts w:cs="Arial"/>
                                <w:color w:val="000000" w:themeColor="text1"/>
                                <w:sz w:val="18"/>
                                <w:szCs w:val="20"/>
                              </w:rPr>
                            </w:pPr>
                            <w:r>
                              <w:rPr>
                                <w:rFonts w:cs="Arial"/>
                                <w:color w:val="000000" w:themeColor="text1"/>
                                <w:sz w:val="18"/>
                                <w:szCs w:val="20"/>
                              </w:rPr>
                              <w:t>Reason 1 (n =</w:t>
                            </w:r>
                            <w:r w:rsidR="00CF2866">
                              <w:rPr>
                                <w:rFonts w:cs="Arial"/>
                                <w:color w:val="000000" w:themeColor="text1"/>
                                <w:sz w:val="18"/>
                                <w:szCs w:val="20"/>
                              </w:rPr>
                              <w:t>8)</w:t>
                            </w:r>
                            <w:r>
                              <w:rPr>
                                <w:rFonts w:cs="Arial"/>
                                <w:color w:val="000000" w:themeColor="text1"/>
                                <w:sz w:val="18"/>
                                <w:szCs w:val="20"/>
                              </w:rPr>
                              <w:t xml:space="preserve"> not UK based</w:t>
                            </w:r>
                          </w:p>
                          <w:p w14:paraId="351E94F0" w14:textId="77777777" w:rsidR="00FB53DF" w:rsidRDefault="00FB53DF" w:rsidP="00FB53DF">
                            <w:pPr>
                              <w:ind w:left="284"/>
                              <w:rPr>
                                <w:rFonts w:cs="Arial"/>
                                <w:color w:val="000000" w:themeColor="text1"/>
                                <w:sz w:val="18"/>
                                <w:szCs w:val="20"/>
                              </w:rPr>
                            </w:pPr>
                            <w:r>
                              <w:rPr>
                                <w:rFonts w:cs="Arial"/>
                                <w:color w:val="000000" w:themeColor="text1"/>
                                <w:sz w:val="18"/>
                                <w:szCs w:val="20"/>
                              </w:rPr>
                              <w:t>Reason 2 (n =</w:t>
                            </w:r>
                            <w:r w:rsidR="00CF2866">
                              <w:rPr>
                                <w:rFonts w:cs="Arial"/>
                                <w:color w:val="000000" w:themeColor="text1"/>
                                <w:sz w:val="18"/>
                                <w:szCs w:val="20"/>
                              </w:rPr>
                              <w:t>6)</w:t>
                            </w:r>
                            <w:r w:rsidRPr="00EC1E32">
                              <w:t xml:space="preserve"> </w:t>
                            </w:r>
                            <w:r w:rsidRPr="00EC1E32">
                              <w:rPr>
                                <w:rFonts w:cs="Arial"/>
                                <w:color w:val="000000" w:themeColor="text1"/>
                                <w:sz w:val="18"/>
                                <w:szCs w:val="20"/>
                              </w:rPr>
                              <w:t xml:space="preserve">Not focused on preventive interventions </w:t>
                            </w:r>
                          </w:p>
                          <w:p w14:paraId="71448058" w14:textId="77777777" w:rsidR="00FB53DF" w:rsidRDefault="00FB53DF" w:rsidP="00FB53DF">
                            <w:pPr>
                              <w:ind w:left="284"/>
                              <w:rPr>
                                <w:rFonts w:cs="Arial"/>
                                <w:color w:val="000000" w:themeColor="text1"/>
                                <w:sz w:val="18"/>
                                <w:szCs w:val="20"/>
                              </w:rPr>
                            </w:pPr>
                            <w:r>
                              <w:rPr>
                                <w:rFonts w:cs="Arial"/>
                                <w:color w:val="000000" w:themeColor="text1"/>
                                <w:sz w:val="18"/>
                                <w:szCs w:val="20"/>
                              </w:rPr>
                              <w:t>Reason 3 (n = 2)</w:t>
                            </w:r>
                            <w:r w:rsidRPr="001B6329">
                              <w:t xml:space="preserve"> </w:t>
                            </w:r>
                            <w:r w:rsidRPr="001B6329">
                              <w:rPr>
                                <w:rFonts w:cs="Arial"/>
                                <w:color w:val="000000" w:themeColor="text1"/>
                                <w:sz w:val="18"/>
                                <w:szCs w:val="20"/>
                              </w:rPr>
                              <w:t>Insufficient outcome data</w:t>
                            </w:r>
                          </w:p>
                          <w:p w14:paraId="6BFCA2E8" w14:textId="77777777" w:rsidR="00FB53DF" w:rsidRDefault="00FB53DF" w:rsidP="00FB53DF">
                            <w:pPr>
                              <w:ind w:left="284"/>
                              <w:rPr>
                                <w:rFonts w:cs="Arial"/>
                                <w:color w:val="000000" w:themeColor="text1"/>
                                <w:sz w:val="18"/>
                                <w:szCs w:val="20"/>
                              </w:rPr>
                            </w:pPr>
                            <w:r>
                              <w:rPr>
                                <w:rFonts w:cs="Arial"/>
                                <w:color w:val="000000" w:themeColor="text1"/>
                                <w:sz w:val="18"/>
                                <w:szCs w:val="20"/>
                              </w:rPr>
                              <w:t xml:space="preserve">Reason 4 (n=3) </w:t>
                            </w:r>
                            <w:r w:rsidRPr="002C7483">
                              <w:rPr>
                                <w:rFonts w:cs="Arial"/>
                                <w:color w:val="000000" w:themeColor="text1"/>
                                <w:sz w:val="18"/>
                                <w:szCs w:val="20"/>
                              </w:rPr>
                              <w:t xml:space="preserve">Editorials/commentaries </w:t>
                            </w:r>
                          </w:p>
                          <w:p w14:paraId="560290B2" w14:textId="77777777" w:rsidR="00FB53DF" w:rsidRPr="00560609" w:rsidRDefault="00FB53DF" w:rsidP="00FB53DF">
                            <w:pPr>
                              <w:ind w:left="284"/>
                              <w:rPr>
                                <w:rFonts w:cs="Arial"/>
                                <w:color w:val="000000" w:themeColor="text1"/>
                                <w:sz w:val="18"/>
                                <w:szCs w:val="20"/>
                              </w:rPr>
                            </w:pPr>
                            <w:r>
                              <w:rPr>
                                <w:rFonts w:cs="Arial"/>
                                <w:color w:val="000000" w:themeColor="text1"/>
                                <w:sz w:val="18"/>
                                <w:szCs w:val="20"/>
                              </w:rPr>
                              <w:t>Reason 5 (n=4)</w:t>
                            </w:r>
                            <w:r w:rsidRPr="00A22564">
                              <w:t xml:space="preserve"> </w:t>
                            </w:r>
                            <w:r w:rsidRPr="00A22564">
                              <w:rPr>
                                <w:rFonts w:cs="Arial"/>
                                <w:color w:val="000000" w:themeColor="text1"/>
                                <w:sz w:val="18"/>
                                <w:szCs w:val="20"/>
                              </w:rPr>
                              <w:t xml:space="preserve">Wrong population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D979C7" id="Rectangle 1831356019" o:spid="_x0000_s1034" style="position:absolute;left:0;text-align:left;margin-left:240.5pt;margin-top:.35pt;width:202.65pt;height:11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" filled="f" strokecolor="black [3213]" strokeweight="2pt">
                <v:textbox>
                  <w:txbxContent>
                    <w:p w14:paraId="03FEB2AE" w14:textId="77777777" w:rsidR="00FB53DF" w:rsidRDefault="00FB53DF" w:rsidP="00FB53DF">
                      <w:pPr>
                        <w:rPr>
                          <w:rFonts w:cs="Arial"/>
                          <w:color w:val="000000" w:themeColor="text1"/>
                          <w:sz w:val="18"/>
                          <w:szCs w:val="20"/>
                        </w:rPr>
                      </w:pPr>
                      <w:r w:rsidRPr="00560609">
                        <w:rPr>
                          <w:rFonts w:cs="Arial"/>
                          <w:color w:val="000000" w:themeColor="text1"/>
                          <w:sz w:val="18"/>
                          <w:szCs w:val="20"/>
                        </w:rPr>
                        <w:t>Re</w:t>
                      </w:r>
                      <w:r>
                        <w:rPr>
                          <w:rFonts w:cs="Arial"/>
                          <w:color w:val="000000" w:themeColor="text1"/>
                          <w:sz w:val="18"/>
                          <w:szCs w:val="20"/>
                        </w:rPr>
                        <w:t>p</w:t>
                      </w:r>
                      <w:r w:rsidRPr="00560609">
                        <w:rPr>
                          <w:rFonts w:cs="Arial"/>
                          <w:color w:val="000000" w:themeColor="text1"/>
                          <w:sz w:val="18"/>
                          <w:szCs w:val="20"/>
                        </w:rPr>
                        <w:t>or</w:t>
                      </w:r>
                      <w:r>
                        <w:rPr>
                          <w:rFonts w:cs="Arial"/>
                          <w:color w:val="000000" w:themeColor="text1"/>
                          <w:sz w:val="18"/>
                          <w:szCs w:val="20"/>
                        </w:rPr>
                        <w:t>t</w:t>
                      </w:r>
                      <w:r w:rsidRPr="00560609">
                        <w:rPr>
                          <w:rFonts w:cs="Arial"/>
                          <w:color w:val="000000" w:themeColor="text1"/>
                          <w:sz w:val="18"/>
                          <w:szCs w:val="20"/>
                        </w:rPr>
                        <w:t>s</w:t>
                      </w:r>
                      <w:r>
                        <w:rPr>
                          <w:rFonts w:cs="Arial"/>
                          <w:color w:val="000000" w:themeColor="text1"/>
                          <w:sz w:val="18"/>
                          <w:szCs w:val="20"/>
                        </w:rPr>
                        <w:t xml:space="preserve"> excluded:</w:t>
                      </w:r>
                    </w:p>
                    <w:p w14:paraId="5D197807" w14:textId="77777777" w:rsidR="00FB53DF" w:rsidRDefault="00FB53DF" w:rsidP="00FB53DF">
                      <w:pPr>
                        <w:ind w:left="284"/>
                        <w:rPr>
                          <w:rFonts w:cs="Arial"/>
                          <w:color w:val="000000" w:themeColor="text1"/>
                          <w:sz w:val="18"/>
                          <w:szCs w:val="20"/>
                        </w:rPr>
                      </w:pPr>
                      <w:r>
                        <w:rPr>
                          <w:rFonts w:cs="Arial"/>
                          <w:color w:val="000000" w:themeColor="text1"/>
                          <w:sz w:val="18"/>
                          <w:szCs w:val="20"/>
                        </w:rPr>
                        <w:t>Reason 1 (n =</w:t>
                      </w:r>
                      <w:r w:rsidR="00CF2866">
                        <w:rPr>
                          <w:rFonts w:cs="Arial"/>
                          <w:color w:val="000000" w:themeColor="text1"/>
                          <w:sz w:val="18"/>
                          <w:szCs w:val="20"/>
                        </w:rPr>
                        <w:t>8)</w:t>
                      </w:r>
                      <w:r>
                        <w:rPr>
                          <w:rFonts w:cs="Arial"/>
                          <w:color w:val="000000" w:themeColor="text1"/>
                          <w:sz w:val="18"/>
                          <w:szCs w:val="20"/>
                        </w:rPr>
                        <w:t xml:space="preserve"> not UK based</w:t>
                      </w:r>
                    </w:p>
                    <w:p w14:paraId="351E94F0" w14:textId="77777777" w:rsidR="00FB53DF" w:rsidRDefault="00FB53DF" w:rsidP="00FB53DF">
                      <w:pPr>
                        <w:ind w:left="284"/>
                        <w:rPr>
                          <w:rFonts w:cs="Arial"/>
                          <w:color w:val="000000" w:themeColor="text1"/>
                          <w:sz w:val="18"/>
                          <w:szCs w:val="20"/>
                        </w:rPr>
                      </w:pPr>
                      <w:r>
                        <w:rPr>
                          <w:rFonts w:cs="Arial"/>
                          <w:color w:val="000000" w:themeColor="text1"/>
                          <w:sz w:val="18"/>
                          <w:szCs w:val="20"/>
                        </w:rPr>
                        <w:t>Reason 2 (n =</w:t>
                      </w:r>
                      <w:r w:rsidR="00CF2866">
                        <w:rPr>
                          <w:rFonts w:cs="Arial"/>
                          <w:color w:val="000000" w:themeColor="text1"/>
                          <w:sz w:val="18"/>
                          <w:szCs w:val="20"/>
                        </w:rPr>
                        <w:t>6)</w:t>
                      </w:r>
                      <w:r w:rsidRPr="00EC1E32">
                        <w:t xml:space="preserve"> </w:t>
                      </w:r>
                      <w:r w:rsidRPr="00EC1E32">
                        <w:rPr>
                          <w:rFonts w:cs="Arial"/>
                          <w:color w:val="000000" w:themeColor="text1"/>
                          <w:sz w:val="18"/>
                          <w:szCs w:val="20"/>
                        </w:rPr>
                        <w:t xml:space="preserve">Not focused on preventive interventions </w:t>
                      </w:r>
                    </w:p>
                    <w:p w14:paraId="71448058" w14:textId="77777777" w:rsidR="00FB53DF" w:rsidRDefault="00FB53DF" w:rsidP="00FB53DF">
                      <w:pPr>
                        <w:ind w:left="284"/>
                        <w:rPr>
                          <w:rFonts w:cs="Arial"/>
                          <w:color w:val="000000" w:themeColor="text1"/>
                          <w:sz w:val="18"/>
                          <w:szCs w:val="20"/>
                        </w:rPr>
                      </w:pPr>
                      <w:r>
                        <w:rPr>
                          <w:rFonts w:cs="Arial"/>
                          <w:color w:val="000000" w:themeColor="text1"/>
                          <w:sz w:val="18"/>
                          <w:szCs w:val="20"/>
                        </w:rPr>
                        <w:t>Reason 3 (n = 2)</w:t>
                      </w:r>
                      <w:r w:rsidRPr="001B6329">
                        <w:t xml:space="preserve"> </w:t>
                      </w:r>
                      <w:r w:rsidRPr="001B6329">
                        <w:rPr>
                          <w:rFonts w:cs="Arial"/>
                          <w:color w:val="000000" w:themeColor="text1"/>
                          <w:sz w:val="18"/>
                          <w:szCs w:val="20"/>
                        </w:rPr>
                        <w:t>Insufficient outcome data</w:t>
                      </w:r>
                    </w:p>
                    <w:p w14:paraId="6BFCA2E8" w14:textId="77777777" w:rsidR="00FB53DF" w:rsidRDefault="00FB53DF" w:rsidP="00FB53DF">
                      <w:pPr>
                        <w:ind w:left="284"/>
                        <w:rPr>
                          <w:rFonts w:cs="Arial"/>
                          <w:color w:val="000000" w:themeColor="text1"/>
                          <w:sz w:val="18"/>
                          <w:szCs w:val="20"/>
                        </w:rPr>
                      </w:pPr>
                      <w:r>
                        <w:rPr>
                          <w:rFonts w:cs="Arial"/>
                          <w:color w:val="000000" w:themeColor="text1"/>
                          <w:sz w:val="18"/>
                          <w:szCs w:val="20"/>
                        </w:rPr>
                        <w:t xml:space="preserve">Reason 4 (n=3) </w:t>
                      </w:r>
                      <w:r w:rsidRPr="002C7483">
                        <w:rPr>
                          <w:rFonts w:cs="Arial"/>
                          <w:color w:val="000000" w:themeColor="text1"/>
                          <w:sz w:val="18"/>
                          <w:szCs w:val="20"/>
                        </w:rPr>
                        <w:t xml:space="preserve">Editorials/commentaries </w:t>
                      </w:r>
                    </w:p>
                    <w:p w14:paraId="560290B2" w14:textId="77777777" w:rsidR="00FB53DF" w:rsidRPr="00560609" w:rsidRDefault="00FB53DF" w:rsidP="00FB53DF">
                      <w:pPr>
                        <w:ind w:left="284"/>
                        <w:rPr>
                          <w:rFonts w:cs="Arial"/>
                          <w:color w:val="000000" w:themeColor="text1"/>
                          <w:sz w:val="18"/>
                          <w:szCs w:val="20"/>
                        </w:rPr>
                      </w:pPr>
                      <w:r>
                        <w:rPr>
                          <w:rFonts w:cs="Arial"/>
                          <w:color w:val="000000" w:themeColor="text1"/>
                          <w:sz w:val="18"/>
                          <w:szCs w:val="20"/>
                        </w:rPr>
                        <w:t>Reason 5 (n=4)</w:t>
                      </w:r>
                      <w:r w:rsidRPr="00A22564">
                        <w:t xml:space="preserve"> </w:t>
                      </w:r>
                      <w:r w:rsidRPr="00A22564">
                        <w:rPr>
                          <w:rFonts w:cs="Arial"/>
                          <w:color w:val="000000" w:themeColor="text1"/>
                          <w:sz w:val="18"/>
                          <w:szCs w:val="20"/>
                        </w:rPr>
                        <w:t xml:space="preserve">Wrong population </w:t>
                      </w:r>
                    </w:p>
                  </w:txbxContent>
                </v:textbox>
              </v:rect>
            </w:pict>
          </mc:Fallback>
        </mc:AlternateContent>
      </w:r>
      <w:r w:rsidR="00BE2F7E" w:rsidRPr="00560609">
        <w:rPr>
          <w:noProof/>
        </w:rPr>
        <mc:AlternateContent>
          <mc:Choice Requires="wps">
            <w:drawing>
              <wp:anchor distT="0" distB="0" distL="114300" distR="114300" simplePos="0" relativeHeight="251665408" behindDoc="0" locked="0" layoutInCell="1" allowOverlap="1" wp14:anchorId="77C4F65A" wp14:editId="3CCA4572">
                <wp:simplePos x="0" y="0"/>
                <wp:positionH relativeFrom="column">
                  <wp:posOffset>565150</wp:posOffset>
                </wp:positionH>
                <wp:positionV relativeFrom="paragraph">
                  <wp:posOffset>55245</wp:posOffset>
                </wp:positionV>
                <wp:extent cx="1887220" cy="736600"/>
                <wp:effectExtent l="0" t="0" r="17780" b="25400"/>
                <wp:wrapNone/>
                <wp:docPr id="1170351473" name="Rectangle 1170351473"/>
                <wp:cNvGraphicFramePr/>
                <a:graphic xmlns:a="http://schemas.openxmlformats.org/drawingml/2006/main">
                  <a:graphicData uri="http://schemas.microsoft.com/office/word/2010/wordprocessingShape">
                    <wps:wsp>
                      <wps:cNvSpPr/>
                      <wps:spPr>
                        <a:xfrm>
                          <a:off x="0" y="0"/>
                          <a:ext cx="1887220" cy="7366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4CF4C39" w14:textId="77777777" w:rsidR="00FB53DF" w:rsidRDefault="00FB53DF" w:rsidP="00FB53DF">
                            <w:pPr>
                              <w:rPr>
                                <w:rFonts w:cs="Arial"/>
                                <w:color w:val="000000" w:themeColor="text1"/>
                                <w:sz w:val="18"/>
                                <w:szCs w:val="20"/>
                              </w:rPr>
                            </w:pPr>
                            <w:r w:rsidRPr="00560609">
                              <w:rPr>
                                <w:rFonts w:cs="Arial"/>
                                <w:color w:val="000000" w:themeColor="text1"/>
                                <w:sz w:val="18"/>
                                <w:szCs w:val="20"/>
                              </w:rPr>
                              <w:t>Re</w:t>
                            </w:r>
                            <w:r>
                              <w:rPr>
                                <w:rFonts w:cs="Arial"/>
                                <w:color w:val="000000" w:themeColor="text1"/>
                                <w:sz w:val="18"/>
                                <w:szCs w:val="20"/>
                              </w:rPr>
                              <w:t>p</w:t>
                            </w:r>
                            <w:r w:rsidRPr="00560609">
                              <w:rPr>
                                <w:rFonts w:cs="Arial"/>
                                <w:color w:val="000000" w:themeColor="text1"/>
                                <w:sz w:val="18"/>
                                <w:szCs w:val="20"/>
                              </w:rPr>
                              <w:t>or</w:t>
                            </w:r>
                            <w:r>
                              <w:rPr>
                                <w:rFonts w:cs="Arial"/>
                                <w:color w:val="000000" w:themeColor="text1"/>
                                <w:sz w:val="18"/>
                                <w:szCs w:val="20"/>
                              </w:rPr>
                              <w:t>t</w:t>
                            </w:r>
                            <w:r w:rsidRPr="00560609">
                              <w:rPr>
                                <w:rFonts w:cs="Arial"/>
                                <w:color w:val="000000" w:themeColor="text1"/>
                                <w:sz w:val="18"/>
                                <w:szCs w:val="20"/>
                              </w:rPr>
                              <w:t>s</w:t>
                            </w:r>
                            <w:r>
                              <w:rPr>
                                <w:rFonts w:cs="Arial"/>
                                <w:color w:val="000000" w:themeColor="text1"/>
                                <w:sz w:val="18"/>
                                <w:szCs w:val="20"/>
                              </w:rPr>
                              <w:t xml:space="preserve"> assessed for eligibility</w:t>
                            </w:r>
                          </w:p>
                          <w:p w14:paraId="0FABF89B" w14:textId="77777777" w:rsidR="00FB53DF" w:rsidRPr="00560609" w:rsidRDefault="00FB53DF" w:rsidP="00FB53DF">
                            <w:pPr>
                              <w:rPr>
                                <w:rFonts w:cs="Arial"/>
                                <w:color w:val="000000" w:themeColor="text1"/>
                                <w:sz w:val="18"/>
                                <w:szCs w:val="20"/>
                              </w:rPr>
                            </w:pPr>
                            <w:r>
                              <w:rPr>
                                <w:rFonts w:cs="Arial"/>
                                <w:color w:val="000000" w:themeColor="text1"/>
                                <w:sz w:val="18"/>
                                <w:szCs w:val="20"/>
                              </w:rPr>
                              <w:t>(n =</w:t>
                            </w:r>
                            <w:r w:rsidR="00CF2866">
                              <w:rPr>
                                <w:rFonts w:cs="Arial"/>
                                <w:color w:val="000000" w:themeColor="text1"/>
                                <w:sz w:val="18"/>
                                <w:szCs w:val="20"/>
                              </w:rPr>
                              <w:t>33)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C4F65A" id="Rectangle 1170351473" o:spid="_x0000_s1035" style="position:absolute;left:0;text-align:left;margin-left:44.5pt;margin-top:4.35pt;width:148.6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" filled="f" strokecolor="black [3213]" strokeweight="2pt">
                <v:textbox>
                  <w:txbxContent>
                    <w:p w14:paraId="34CF4C39" w14:textId="77777777" w:rsidR="00FB53DF" w:rsidRDefault="00FB53DF" w:rsidP="00FB53DF">
                      <w:pPr>
                        <w:rPr>
                          <w:rFonts w:cs="Arial"/>
                          <w:color w:val="000000" w:themeColor="text1"/>
                          <w:sz w:val="18"/>
                          <w:szCs w:val="20"/>
                        </w:rPr>
                      </w:pPr>
                      <w:r w:rsidRPr="00560609">
                        <w:rPr>
                          <w:rFonts w:cs="Arial"/>
                          <w:color w:val="000000" w:themeColor="text1"/>
                          <w:sz w:val="18"/>
                          <w:szCs w:val="20"/>
                        </w:rPr>
                        <w:t>Re</w:t>
                      </w:r>
                      <w:r>
                        <w:rPr>
                          <w:rFonts w:cs="Arial"/>
                          <w:color w:val="000000" w:themeColor="text1"/>
                          <w:sz w:val="18"/>
                          <w:szCs w:val="20"/>
                        </w:rPr>
                        <w:t>p</w:t>
                      </w:r>
                      <w:r w:rsidRPr="00560609">
                        <w:rPr>
                          <w:rFonts w:cs="Arial"/>
                          <w:color w:val="000000" w:themeColor="text1"/>
                          <w:sz w:val="18"/>
                          <w:szCs w:val="20"/>
                        </w:rPr>
                        <w:t>or</w:t>
                      </w:r>
                      <w:r>
                        <w:rPr>
                          <w:rFonts w:cs="Arial"/>
                          <w:color w:val="000000" w:themeColor="text1"/>
                          <w:sz w:val="18"/>
                          <w:szCs w:val="20"/>
                        </w:rPr>
                        <w:t>t</w:t>
                      </w:r>
                      <w:r w:rsidRPr="00560609">
                        <w:rPr>
                          <w:rFonts w:cs="Arial"/>
                          <w:color w:val="000000" w:themeColor="text1"/>
                          <w:sz w:val="18"/>
                          <w:szCs w:val="20"/>
                        </w:rPr>
                        <w:t>s</w:t>
                      </w:r>
                      <w:r>
                        <w:rPr>
                          <w:rFonts w:cs="Arial"/>
                          <w:color w:val="000000" w:themeColor="text1"/>
                          <w:sz w:val="18"/>
                          <w:szCs w:val="20"/>
                        </w:rPr>
                        <w:t xml:space="preserve"> assessed for eligibility</w:t>
                      </w:r>
                    </w:p>
                    <w:p w14:paraId="0FABF89B" w14:textId="77777777" w:rsidR="00FB53DF" w:rsidRPr="00560609" w:rsidRDefault="00FB53DF" w:rsidP="00FB53DF">
                      <w:pPr>
                        <w:rPr>
                          <w:rFonts w:cs="Arial"/>
                          <w:color w:val="000000" w:themeColor="text1"/>
                          <w:sz w:val="18"/>
                          <w:szCs w:val="20"/>
                        </w:rPr>
                      </w:pPr>
                      <w:r>
                        <w:rPr>
                          <w:rFonts w:cs="Arial"/>
                          <w:color w:val="000000" w:themeColor="text1"/>
                          <w:sz w:val="18"/>
                          <w:szCs w:val="20"/>
                        </w:rPr>
                        <w:t>(n =</w:t>
                      </w:r>
                      <w:r w:rsidR="00CF2866">
                        <w:rPr>
                          <w:rFonts w:cs="Arial"/>
                          <w:color w:val="000000" w:themeColor="text1"/>
                          <w:sz w:val="18"/>
                          <w:szCs w:val="20"/>
                        </w:rPr>
                        <w:t>33)</w:t>
                      </w:r>
                    </w:p>
                  </w:txbxContent>
                </v:textbox>
              </v:rect>
            </w:pict>
          </mc:Fallback>
        </mc:AlternateContent>
      </w:r>
    </w:p>
    <w:p w14:paraId="191FB7DB" w14:textId="77777777" w:rsidR="00FB53DF" w:rsidRDefault="002C6D80" w:rsidP="00FB53DF">
      <w:pPr>
        <w:spacing w:after="120"/>
      </w:pPr>
      <w:r>
        <w:rPr>
          <w:noProof/>
        </w:rPr>
        <mc:AlternateContent>
          <mc:Choice Requires="wps">
            <w:drawing>
              <wp:anchor distT="0" distB="0" distL="114300" distR="114300" simplePos="0" relativeHeight="251671552" behindDoc="0" locked="0" layoutInCell="1" allowOverlap="1" wp14:anchorId="100884EB" wp14:editId="3620F56B">
                <wp:simplePos x="0" y="0"/>
                <wp:positionH relativeFrom="column">
                  <wp:posOffset>2452370</wp:posOffset>
                </wp:positionH>
                <wp:positionV relativeFrom="paragraph">
                  <wp:posOffset>79375</wp:posOffset>
                </wp:positionV>
                <wp:extent cx="563245" cy="0"/>
                <wp:effectExtent l="0" t="76200" r="27305" b="95250"/>
                <wp:wrapNone/>
                <wp:docPr id="1449236526" name="Straight Arrow Connector 1449236526"/>
                <wp:cNvGraphicFramePr/>
                <a:graphic xmlns:a="http://schemas.openxmlformats.org/drawingml/2006/main">
                  <a:graphicData uri="http://schemas.microsoft.com/office/word/2010/wordprocessingShape">
                    <wps:wsp>
                      <wps:cNvCnPr/>
                      <wps:spPr>
                        <a:xfrm>
                          <a:off x="0" y="0"/>
                          <a:ext cx="563245"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1E65111" id="Straight Arrow Connector 1449236526" o:spid="_x0000_s1026" type="#_x0000_t32" style="position:absolute;margin-left:193.1pt;margin-top:6.25pt;width:44.3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" strokecolor="black [3213]">
                <v:stroke endarrow="block"/>
              </v:shape>
            </w:pict>
          </mc:Fallback>
        </mc:AlternateContent>
      </w:r>
    </w:p>
    <w:p w14:paraId="70DD05F3" w14:textId="77777777" w:rsidR="00FB53DF" w:rsidRDefault="00BE2F7E" w:rsidP="00FB53DF">
      <w:pPr>
        <w:spacing w:after="120"/>
      </w:pPr>
      <w:r>
        <w:rPr>
          <w:noProof/>
        </w:rPr>
        <mc:AlternateContent>
          <mc:Choice Requires="wps">
            <w:drawing>
              <wp:anchor distT="0" distB="0" distL="114300" distR="114300" simplePos="0" relativeHeight="251678720" behindDoc="0" locked="0" layoutInCell="1" allowOverlap="1" wp14:anchorId="5B7189A7" wp14:editId="78115ABA">
                <wp:simplePos x="0" y="0"/>
                <wp:positionH relativeFrom="column">
                  <wp:posOffset>1438910</wp:posOffset>
                </wp:positionH>
                <wp:positionV relativeFrom="paragraph">
                  <wp:posOffset>209550</wp:posOffset>
                </wp:positionV>
                <wp:extent cx="0" cy="746125"/>
                <wp:effectExtent l="76200" t="0" r="57150" b="53975"/>
                <wp:wrapNone/>
                <wp:docPr id="1049494527" name="Straight Arrow Connector 1049494527"/>
                <wp:cNvGraphicFramePr/>
                <a:graphic xmlns:a="http://schemas.openxmlformats.org/drawingml/2006/main">
                  <a:graphicData uri="http://schemas.microsoft.com/office/word/2010/wordprocessingShape">
                    <wps:wsp>
                      <wps:cNvCnPr/>
                      <wps:spPr>
                        <a:xfrm>
                          <a:off x="0" y="0"/>
                          <a:ext cx="0" cy="746125"/>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AA56742" id="Straight Arrow Connector 1049494527" o:spid="_x0000_s1026" type="#_x0000_t32" style="position:absolute;margin-left:113.3pt;margin-top:16.5pt;width:0;height:58.75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" strokecolor="black [3213]">
                <v:stroke endarrow="block"/>
              </v:shape>
            </w:pict>
          </mc:Fallback>
        </mc:AlternateContent>
      </w:r>
    </w:p>
    <w:p w14:paraId="6A3A40B9" w14:textId="77777777" w:rsidR="00E2587C" w:rsidRDefault="00E2587C" w:rsidP="00FB53DF">
      <w:pPr>
        <w:spacing w:after="120"/>
      </w:pPr>
    </w:p>
    <w:p w14:paraId="57D1E660" w14:textId="77777777" w:rsidR="00FB53DF" w:rsidRDefault="00FB53DF" w:rsidP="00FB53DF">
      <w:pPr>
        <w:spacing w:after="120"/>
      </w:pPr>
    </w:p>
    <w:p w14:paraId="2A7FE3AB" w14:textId="77777777" w:rsidR="00FB53DF" w:rsidRDefault="00FB53DF" w:rsidP="00FB53DF">
      <w:pPr>
        <w:spacing w:after="120"/>
      </w:pPr>
      <w:r w:rsidRPr="00560609">
        <w:rPr>
          <w:noProof/>
        </w:rPr>
        <mc:AlternateContent>
          <mc:Choice Requires="wps">
            <w:drawing>
              <wp:anchor distT="0" distB="0" distL="114300" distR="114300" simplePos="0" relativeHeight="251667456" behindDoc="0" locked="0" layoutInCell="1" allowOverlap="1" wp14:anchorId="6F99B94C" wp14:editId="63766B1E">
                <wp:simplePos x="0" y="0"/>
                <wp:positionH relativeFrom="column">
                  <wp:posOffset>492815</wp:posOffset>
                </wp:positionH>
                <wp:positionV relativeFrom="paragraph">
                  <wp:posOffset>3736</wp:posOffset>
                </wp:positionV>
                <wp:extent cx="1887220" cy="723900"/>
                <wp:effectExtent l="0" t="0" r="17780" b="19050"/>
                <wp:wrapNone/>
                <wp:docPr id="2128621381" name="Rectangle 2128621381"/>
                <wp:cNvGraphicFramePr/>
                <a:graphic xmlns:a="http://schemas.openxmlformats.org/drawingml/2006/main">
                  <a:graphicData uri="http://schemas.microsoft.com/office/word/2010/wordprocessingShape">
                    <wps:wsp>
                      <wps:cNvSpPr/>
                      <wps:spPr>
                        <a:xfrm>
                          <a:off x="0" y="0"/>
                          <a:ext cx="1887220" cy="7239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B947E63" w14:textId="77777777" w:rsidR="00FB53DF" w:rsidRDefault="00FB53DF" w:rsidP="00FB53DF">
                            <w:pPr>
                              <w:rPr>
                                <w:rFonts w:cs="Arial"/>
                                <w:color w:val="000000" w:themeColor="text1"/>
                                <w:sz w:val="18"/>
                                <w:szCs w:val="20"/>
                              </w:rPr>
                            </w:pPr>
                            <w:r>
                              <w:rPr>
                                <w:rFonts w:cs="Arial"/>
                                <w:color w:val="000000" w:themeColor="text1"/>
                                <w:sz w:val="18"/>
                                <w:szCs w:val="20"/>
                              </w:rPr>
                              <w:t>Studies included in review</w:t>
                            </w:r>
                          </w:p>
                          <w:p w14:paraId="2AC168D8" w14:textId="77777777" w:rsidR="00FB53DF" w:rsidRDefault="00FB53DF" w:rsidP="00FB53DF">
                            <w:pPr>
                              <w:rPr>
                                <w:rFonts w:cs="Arial"/>
                                <w:color w:val="000000" w:themeColor="text1"/>
                                <w:sz w:val="18"/>
                                <w:szCs w:val="20"/>
                              </w:rPr>
                            </w:pPr>
                            <w:r>
                              <w:rPr>
                                <w:rFonts w:cs="Arial"/>
                                <w:color w:val="000000" w:themeColor="text1"/>
                                <w:sz w:val="18"/>
                                <w:szCs w:val="20"/>
                              </w:rPr>
                              <w:t>(n =</w:t>
                            </w:r>
                            <w:r w:rsidR="00CF2866">
                              <w:rPr>
                                <w:rFonts w:cs="Arial"/>
                                <w:color w:val="000000" w:themeColor="text1"/>
                                <w:sz w:val="18"/>
                                <w:szCs w:val="20"/>
                              </w:rPr>
                              <w:t>10)</w:t>
                            </w:r>
                          </w:p>
                          <w:p w14:paraId="58DFE7E1" w14:textId="77777777" w:rsidR="00FB53DF" w:rsidRDefault="00FB53DF" w:rsidP="00FB53DF">
                            <w:pPr>
                              <w:rPr>
                                <w:rFonts w:cs="Arial"/>
                                <w:color w:val="000000" w:themeColor="text1"/>
                                <w:sz w:val="18"/>
                                <w:szCs w:val="20"/>
                              </w:rPr>
                            </w:pPr>
                            <w:r>
                              <w:rPr>
                                <w:rFonts w:cs="Arial"/>
                                <w:color w:val="000000" w:themeColor="text1"/>
                                <w:sz w:val="18"/>
                                <w:szCs w:val="20"/>
                              </w:rPr>
                              <w:t>Reports of included studies</w:t>
                            </w:r>
                          </w:p>
                          <w:p w14:paraId="20CF9289" w14:textId="77777777" w:rsidR="00FB53DF" w:rsidRPr="00560609" w:rsidRDefault="00FB53DF" w:rsidP="00FB53DF">
                            <w:pPr>
                              <w:rPr>
                                <w:rFonts w:cs="Arial"/>
                                <w:color w:val="000000" w:themeColor="text1"/>
                                <w:sz w:val="18"/>
                                <w:szCs w:val="20"/>
                              </w:rPr>
                            </w:pPr>
                            <w:r>
                              <w:rPr>
                                <w:rFonts w:cs="Arial"/>
                                <w:color w:val="000000" w:themeColor="text1"/>
                                <w:sz w:val="18"/>
                                <w:szCs w:val="20"/>
                              </w:rPr>
                              <w:t>(n =10 )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99B94C" id="Rectangle 2128621381" o:spid="_x0000_s1036" style="position:absolute;left:0;text-align:left;margin-left:38.8pt;margin-top:.3pt;width:148.6pt;height: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" filled="f" strokecolor="black [3213]" strokeweight="2pt">
                <v:textbox>
                  <w:txbxContent>
                    <w:p w14:paraId="1B947E63" w14:textId="77777777" w:rsidR="00FB53DF" w:rsidRDefault="00FB53DF" w:rsidP="00FB53DF">
                      <w:pPr>
                        <w:rPr>
                          <w:rFonts w:cs="Arial"/>
                          <w:color w:val="000000" w:themeColor="text1"/>
                          <w:sz w:val="18"/>
                          <w:szCs w:val="20"/>
                        </w:rPr>
                      </w:pPr>
                      <w:r>
                        <w:rPr>
                          <w:rFonts w:cs="Arial"/>
                          <w:color w:val="000000" w:themeColor="text1"/>
                          <w:sz w:val="18"/>
                          <w:szCs w:val="20"/>
                        </w:rPr>
                        <w:t>Studies included in review</w:t>
                      </w:r>
                    </w:p>
                    <w:p w14:paraId="2AC168D8" w14:textId="77777777" w:rsidR="00FB53DF" w:rsidRDefault="00FB53DF" w:rsidP="00FB53DF">
                      <w:pPr>
                        <w:rPr>
                          <w:rFonts w:cs="Arial"/>
                          <w:color w:val="000000" w:themeColor="text1"/>
                          <w:sz w:val="18"/>
                          <w:szCs w:val="20"/>
                        </w:rPr>
                      </w:pPr>
                      <w:r>
                        <w:rPr>
                          <w:rFonts w:cs="Arial"/>
                          <w:color w:val="000000" w:themeColor="text1"/>
                          <w:sz w:val="18"/>
                          <w:szCs w:val="20"/>
                        </w:rPr>
                        <w:t>(n =</w:t>
                      </w:r>
                      <w:r w:rsidR="00CF2866">
                        <w:rPr>
                          <w:rFonts w:cs="Arial"/>
                          <w:color w:val="000000" w:themeColor="text1"/>
                          <w:sz w:val="18"/>
                          <w:szCs w:val="20"/>
                        </w:rPr>
                        <w:t>10)</w:t>
                      </w:r>
                    </w:p>
                    <w:p w14:paraId="58DFE7E1" w14:textId="77777777" w:rsidR="00FB53DF" w:rsidRDefault="00FB53DF" w:rsidP="00FB53DF">
                      <w:pPr>
                        <w:rPr>
                          <w:rFonts w:cs="Arial"/>
                          <w:color w:val="000000" w:themeColor="text1"/>
                          <w:sz w:val="18"/>
                          <w:szCs w:val="20"/>
                        </w:rPr>
                      </w:pPr>
                      <w:r>
                        <w:rPr>
                          <w:rFonts w:cs="Arial"/>
                          <w:color w:val="000000" w:themeColor="text1"/>
                          <w:sz w:val="18"/>
                          <w:szCs w:val="20"/>
                        </w:rPr>
                        <w:t>Reports of included studies</w:t>
                      </w:r>
                    </w:p>
                    <w:p w14:paraId="20CF9289" w14:textId="77777777" w:rsidR="00FB53DF" w:rsidRPr="00560609" w:rsidRDefault="00FB53DF" w:rsidP="00FB53DF">
                      <w:pPr>
                        <w:rPr>
                          <w:rFonts w:cs="Arial"/>
                          <w:color w:val="000000" w:themeColor="text1"/>
                          <w:sz w:val="18"/>
                          <w:szCs w:val="20"/>
                        </w:rPr>
                      </w:pPr>
                      <w:r>
                        <w:rPr>
                          <w:rFonts w:cs="Arial"/>
                          <w:color w:val="000000" w:themeColor="text1"/>
                          <w:sz w:val="18"/>
                          <w:szCs w:val="20"/>
                        </w:rPr>
                        <w:t>(n =10 )</w:t>
                      </w:r>
                    </w:p>
                  </w:txbxContent>
                </v:textbox>
              </v:rect>
            </w:pict>
          </mc:Fallback>
        </mc:AlternateContent>
      </w:r>
      <w:r>
        <w:rPr>
          <w:noProof/>
        </w:rPr>
        <mc:AlternateContent>
          <mc:Choice Requires="wps">
            <w:drawing>
              <wp:anchor distT="0" distB="0" distL="114300" distR="114300" simplePos="0" relativeHeight="251674624" behindDoc="0" locked="0" layoutInCell="1" allowOverlap="1" wp14:anchorId="33A2B086" wp14:editId="035AD156">
                <wp:simplePos x="0" y="0"/>
                <wp:positionH relativeFrom="column">
                  <wp:posOffset>-133509</wp:posOffset>
                </wp:positionH>
                <wp:positionV relativeFrom="paragraph">
                  <wp:posOffset>170656</wp:posOffset>
                </wp:positionV>
                <wp:extent cx="764223" cy="262890"/>
                <wp:effectExtent l="2858" t="0" r="20002" b="20003"/>
                <wp:wrapNone/>
                <wp:docPr id="1166947232" name="Flowchart: Alternate Process 1166947232"/>
                <wp:cNvGraphicFramePr/>
                <a:graphic xmlns:a="http://schemas.openxmlformats.org/drawingml/2006/main">
                  <a:graphicData uri="http://schemas.microsoft.com/office/word/2010/wordprocessingShape">
                    <wps:wsp>
                      <wps:cNvSpPr/>
                      <wps:spPr>
                        <a:xfrm rot="16200000">
                          <a:off x="0" y="0"/>
                          <a:ext cx="764223" cy="262890"/>
                        </a:xfrm>
                        <a:prstGeom prst="flowChartAlternateProcess">
                          <a:avLst/>
                        </a:prstGeom>
                        <a:solidFill>
                          <a:schemeClr val="accent5">
                            <a:lumMod val="60000"/>
                            <a:lumOff val="40000"/>
                          </a:schemeClr>
                        </a:solidFill>
                        <a:ln>
                          <a:solidFill>
                            <a:schemeClr val="tx1"/>
                          </a:solidFill>
                        </a:ln>
                      </wps:spPr>
                      <wps:style>
                        <a:lnRef idx="2">
                          <a:schemeClr val="accent4">
                            <a:shade val="50000"/>
                          </a:schemeClr>
                        </a:lnRef>
                        <a:fillRef idx="1">
                          <a:schemeClr val="accent4"/>
                        </a:fillRef>
                        <a:effectRef idx="0">
                          <a:schemeClr val="accent4"/>
                        </a:effectRef>
                        <a:fontRef idx="minor">
                          <a:schemeClr val="lt1"/>
                        </a:fontRef>
                      </wps:style>
                      <wps:txbx>
                        <w:txbxContent>
                          <w:p w14:paraId="54B9D30A" w14:textId="77777777" w:rsidR="00FB53DF" w:rsidRPr="001502CF" w:rsidRDefault="00FB53DF" w:rsidP="00FB53DF">
                            <w:pPr>
                              <w:jc w:val="center"/>
                              <w:rPr>
                                <w:rFonts w:cs="Arial"/>
                                <w:b/>
                                <w:color w:val="000000" w:themeColor="text1"/>
                                <w:sz w:val="18"/>
                                <w:szCs w:val="18"/>
                              </w:rPr>
                            </w:pPr>
                            <w:r>
                              <w:rPr>
                                <w:rFonts w:cs="Arial"/>
                                <w:b/>
                                <w:color w:val="000000" w:themeColor="text1"/>
                                <w:sz w:val="18"/>
                                <w:szCs w:val="18"/>
                              </w:rPr>
                              <w:t>Included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A2B086" id="Flowchart: Alternate Process 1166947232" o:spid="_x0000_s1037" type="#_x0000_t176" style="position:absolute;left:0;text-align:left;margin-left:-10.5pt;margin-top:13.45pt;width:60.2pt;height:20.7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" fillcolor="#92cddc [1944]" strokecolor="black [3213]" strokeweight="2pt">
                <v:textbox>
                  <w:txbxContent>
                    <w:p w14:paraId="54B9D30A" w14:textId="77777777" w:rsidR="00FB53DF" w:rsidRPr="001502CF" w:rsidRDefault="00FB53DF" w:rsidP="00FB53DF">
                      <w:pPr>
                        <w:jc w:val="center"/>
                        <w:rPr>
                          <w:rFonts w:cs="Arial"/>
                          <w:b/>
                          <w:color w:val="000000" w:themeColor="text1"/>
                          <w:sz w:val="18"/>
                          <w:szCs w:val="18"/>
                        </w:rPr>
                      </w:pPr>
                      <w:r>
                        <w:rPr>
                          <w:rFonts w:cs="Arial"/>
                          <w:b/>
                          <w:color w:val="000000" w:themeColor="text1"/>
                          <w:sz w:val="18"/>
                          <w:szCs w:val="18"/>
                        </w:rPr>
                        <w:t>Included</w:t>
                      </w:r>
                    </w:p>
                  </w:txbxContent>
                </v:textbox>
              </v:shape>
            </w:pict>
          </mc:Fallback>
        </mc:AlternateContent>
      </w:r>
    </w:p>
    <w:p w14:paraId="074DD517" w14:textId="77777777" w:rsidR="00FB53DF" w:rsidRDefault="00FB53DF" w:rsidP="00FB53DF">
      <w:pPr>
        <w:spacing w:after="120"/>
      </w:pPr>
    </w:p>
    <w:p w14:paraId="4FF48F26" w14:textId="77777777" w:rsidR="00FB53DF" w:rsidRPr="00812591" w:rsidRDefault="00FB53DF" w:rsidP="00FB53DF">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after="120"/>
        <w:mirrorIndents/>
        <w:rPr>
          <w:rFonts w:cs="Arial"/>
        </w:rPr>
      </w:pPr>
    </w:p>
    <w:p w14:paraId="74247CB1" w14:textId="77777777" w:rsidR="00FB53DF" w:rsidRPr="00726991" w:rsidRDefault="00FB53DF" w:rsidP="00FB53DF">
      <w:pPr>
        <w:spacing w:after="120"/>
        <w:rPr>
          <w:rFonts w:cs="Arial"/>
        </w:rPr>
      </w:pPr>
    </w:p>
    <w:p w14:paraId="36D094FA" w14:textId="77777777" w:rsidR="00C95C9F" w:rsidRDefault="00C95C9F" w:rsidP="007E2D10">
      <w:pPr>
        <w:spacing w:after="120"/>
        <w:rPr>
          <w:rFonts w:cs="Arial"/>
        </w:rPr>
      </w:pPr>
    </w:p>
    <w:p w14:paraId="7AF00C44" w14:textId="77777777" w:rsidR="00F4158E" w:rsidRPr="00C95C9F" w:rsidRDefault="00F4158E" w:rsidP="00AB2B8F">
      <w:pPr>
        <w:pStyle w:val="Heading2"/>
      </w:pPr>
      <w:bookmarkStart w:id="32" w:name="_Toc236665551"/>
      <w:r w:rsidRPr="000A7A2D">
        <w:t>3.6 Quality Appraisal</w:t>
      </w:r>
      <w:bookmarkEnd w:id="32"/>
    </w:p>
    <w:p w14:paraId="6613778D" w14:textId="77777777" w:rsidR="00F4158E" w:rsidRPr="009D3B56" w:rsidRDefault="00F4158E" w:rsidP="00F4158E">
      <w:pPr>
        <w:spacing w:after="120"/>
        <w:rPr>
          <w:rFonts w:cs="Arial"/>
        </w:rPr>
      </w:pPr>
      <w:r>
        <w:t xml:space="preserve">The methodological quality of each included study was assessed using the Critical Appraisal </w:t>
      </w:r>
      <w:r>
        <w:lastRenderedPageBreak/>
        <w:t>Skills Programme (CASP) checklists (Critical Appraisal Skills Programme, 2022).</w:t>
      </w:r>
    </w:p>
    <w:p w14:paraId="13DE36F7" w14:textId="77777777" w:rsidR="00F4158E" w:rsidRPr="00726991" w:rsidRDefault="00F4158E" w:rsidP="00F4158E">
      <w:pPr>
        <w:spacing w:after="120"/>
        <w:rPr>
          <w:rFonts w:cs="Arial"/>
        </w:rPr>
      </w:pPr>
      <w:r>
        <w:t>The CASP framework evaluates several aspects of methodological quality (Critical Appraisal Skills Programme, 2022), including:</w:t>
      </w:r>
    </w:p>
    <w:p w14:paraId="4EEF53EF" w14:textId="77777777" w:rsidR="00F4158E" w:rsidRPr="00726991" w:rsidRDefault="00F4158E" w:rsidP="00F4158E">
      <w:pPr>
        <w:spacing w:after="120"/>
        <w:ind w:left="432" w:hanging="432"/>
        <w:rPr>
          <w:rFonts w:cs="Arial"/>
        </w:rPr>
      </w:pPr>
      <w:r>
        <w:t>• clarity of research aims</w:t>
      </w:r>
    </w:p>
    <w:p w14:paraId="4E73C620" w14:textId="77777777" w:rsidR="00F4158E" w:rsidRPr="00726991" w:rsidRDefault="00F4158E" w:rsidP="00F4158E">
      <w:pPr>
        <w:spacing w:after="120"/>
        <w:ind w:left="432" w:hanging="432"/>
        <w:rPr>
          <w:rFonts w:cs="Arial"/>
        </w:rPr>
      </w:pPr>
      <w:r>
        <w:t>• appropriateness of study design</w:t>
      </w:r>
    </w:p>
    <w:p w14:paraId="4A848C58" w14:textId="77777777" w:rsidR="00F4158E" w:rsidRPr="00726991" w:rsidRDefault="00F4158E" w:rsidP="00F4158E">
      <w:pPr>
        <w:spacing w:after="120"/>
        <w:ind w:left="432" w:hanging="432"/>
        <w:rPr>
          <w:rFonts w:cs="Arial"/>
        </w:rPr>
      </w:pPr>
      <w:r>
        <w:t>• sampling strategy</w:t>
      </w:r>
    </w:p>
    <w:p w14:paraId="5A08FA30" w14:textId="77777777" w:rsidR="00F4158E" w:rsidRPr="00726991" w:rsidRDefault="00F4158E" w:rsidP="00F4158E">
      <w:pPr>
        <w:spacing w:after="120"/>
        <w:ind w:left="432" w:hanging="432"/>
        <w:rPr>
          <w:rFonts w:cs="Arial"/>
        </w:rPr>
      </w:pPr>
      <w:r>
        <w:t>• data collection methods</w:t>
      </w:r>
    </w:p>
    <w:p w14:paraId="2572E4B2" w14:textId="77777777" w:rsidR="00F4158E" w:rsidRPr="00726991" w:rsidRDefault="00F4158E" w:rsidP="00F4158E">
      <w:pPr>
        <w:spacing w:after="120"/>
        <w:ind w:left="432" w:hanging="432"/>
        <w:rPr>
          <w:rFonts w:cs="Arial"/>
        </w:rPr>
      </w:pPr>
      <w:r>
        <w:t>• ethical considerations</w:t>
      </w:r>
    </w:p>
    <w:p w14:paraId="43BC51A9" w14:textId="77777777" w:rsidR="00F4158E" w:rsidRPr="00726991" w:rsidRDefault="00F4158E" w:rsidP="00D87DBA">
      <w:pPr>
        <w:spacing w:after="120"/>
        <w:ind w:left="432" w:hanging="432"/>
        <w:rPr>
          <w:rFonts w:cs="Arial"/>
        </w:rPr>
      </w:pPr>
      <w:r>
        <w:t>• rigour of analysis</w:t>
      </w:r>
    </w:p>
    <w:p w14:paraId="2A95A7CC" w14:textId="77777777" w:rsidR="00F4158E" w:rsidRPr="00726991" w:rsidRDefault="00F4158E" w:rsidP="00D87DBA">
      <w:pPr>
        <w:spacing w:after="120"/>
        <w:ind w:left="432" w:hanging="432"/>
        <w:rPr>
          <w:rFonts w:cs="Arial"/>
        </w:rPr>
      </w:pPr>
      <w:r>
        <w:t>• credibility of findings</w:t>
      </w:r>
    </w:p>
    <w:p w14:paraId="4A530A0F" w14:textId="77777777" w:rsidR="00F4158E" w:rsidRPr="00726991" w:rsidRDefault="00F4158E" w:rsidP="00D87DBA">
      <w:pPr>
        <w:spacing w:after="120"/>
        <w:rPr>
          <w:rFonts w:cs="Arial"/>
        </w:rPr>
      </w:pPr>
      <w:r w:rsidRPr="00726991">
        <w:rPr>
          <w:rFonts w:cs="Arial"/>
        </w:rPr>
        <w:t>Quality appraisal enabled methodological strengths and limitations to be considered during interpretation of the findings while ensuring that only robust evidence informed the review.</w:t>
      </w:r>
    </w:p>
    <w:p w14:paraId="6EB5D031" w14:textId="77777777" w:rsidR="00F4158E" w:rsidRPr="00382D23" w:rsidRDefault="00F4158E" w:rsidP="00D87DBA">
      <w:pPr>
        <w:pStyle w:val="Heading2"/>
        <w:keepNext/>
        <w:ind w:left="0"/>
        <w:rPr>
          <w:rFonts w:cs="Arial"/>
          <w:bCs/>
        </w:rPr>
      </w:pPr>
      <w:bookmarkStart w:id="33" w:name="_Toc236665552"/>
      <w:r w:rsidRPr="00382D23">
        <w:rPr>
          <w:rFonts w:cs="Arial"/>
          <w:bCs/>
        </w:rPr>
        <w:t>3.</w:t>
      </w:r>
      <w:r w:rsidR="0066356A">
        <w:rPr>
          <w:rFonts w:cs="Arial"/>
          <w:bCs/>
        </w:rPr>
        <w:t>7</w:t>
      </w:r>
      <w:r w:rsidRPr="00382D23">
        <w:rPr>
          <w:rFonts w:cs="Arial"/>
          <w:bCs/>
        </w:rPr>
        <w:t xml:space="preserve"> Data Analysis</w:t>
      </w:r>
      <w:bookmarkEnd w:id="33"/>
    </w:p>
    <w:p w14:paraId="5000D379" w14:textId="77777777" w:rsidR="00F4158E" w:rsidRPr="00726991" w:rsidRDefault="00F4158E" w:rsidP="00D87DBA">
      <w:pPr>
        <w:spacing w:after="120"/>
        <w:rPr>
          <w:rFonts w:cs="Arial"/>
        </w:rPr>
      </w:pPr>
      <w:r>
        <w:t>A thematic synthesis approach, informed by Gough, Oliver and Thomas (2017), was used to analyse the findings. The analysis followed six stages:</w:t>
      </w:r>
    </w:p>
    <w:p w14:paraId="4ABDA38C" w14:textId="77777777" w:rsidR="00F4158E" w:rsidRPr="00447D48" w:rsidRDefault="00F4158E" w:rsidP="00D87DBA">
      <w:pPr>
        <w:pStyle w:val="ListParagraph"/>
        <w:numPr>
          <w:ilvl w:val="0"/>
          <w:numId w:val="25"/>
        </w:numPr>
        <w:spacing w:after="120"/>
        <w:rPr>
          <w:rFonts w:cs="Arial"/>
        </w:rPr>
      </w:pPr>
      <w:r w:rsidRPr="00447D48">
        <w:rPr>
          <w:rFonts w:cs="Arial"/>
        </w:rPr>
        <w:t>Reading all included studies repeatedly.</w:t>
      </w:r>
    </w:p>
    <w:p w14:paraId="6837FC7C" w14:textId="77777777" w:rsidR="00F4158E" w:rsidRPr="00447D48" w:rsidRDefault="00F4158E" w:rsidP="00D87DBA">
      <w:pPr>
        <w:pStyle w:val="ListParagraph"/>
        <w:numPr>
          <w:ilvl w:val="0"/>
          <w:numId w:val="25"/>
        </w:numPr>
        <w:spacing w:after="120"/>
        <w:rPr>
          <w:rFonts w:cs="Arial"/>
        </w:rPr>
      </w:pPr>
      <w:r w:rsidRPr="00447D48">
        <w:rPr>
          <w:rFonts w:cs="Arial"/>
        </w:rPr>
        <w:t>Coding important findings.</w:t>
      </w:r>
    </w:p>
    <w:p w14:paraId="46DE1DF4" w14:textId="77777777" w:rsidR="00F4158E" w:rsidRPr="00447D48" w:rsidRDefault="00F4158E" w:rsidP="00D87DBA">
      <w:pPr>
        <w:pStyle w:val="ListParagraph"/>
        <w:numPr>
          <w:ilvl w:val="0"/>
          <w:numId w:val="25"/>
        </w:numPr>
        <w:spacing w:after="120"/>
        <w:rPr>
          <w:rFonts w:cs="Arial"/>
        </w:rPr>
      </w:pPr>
      <w:r w:rsidRPr="00447D48">
        <w:rPr>
          <w:rFonts w:cs="Arial"/>
        </w:rPr>
        <w:t>Grouping similar codes.</w:t>
      </w:r>
    </w:p>
    <w:p w14:paraId="522FEB9D" w14:textId="77777777" w:rsidR="00F4158E" w:rsidRPr="00447D48" w:rsidRDefault="00F4158E" w:rsidP="00447D48">
      <w:pPr>
        <w:pStyle w:val="ListParagraph"/>
        <w:numPr>
          <w:ilvl w:val="0"/>
          <w:numId w:val="25"/>
        </w:numPr>
        <w:spacing w:after="120"/>
        <w:rPr>
          <w:rFonts w:cs="Arial"/>
        </w:rPr>
      </w:pPr>
      <w:r w:rsidRPr="00447D48">
        <w:rPr>
          <w:rFonts w:cs="Arial"/>
        </w:rPr>
        <w:t>Developing preliminary themes.</w:t>
      </w:r>
    </w:p>
    <w:p w14:paraId="136EB4F0" w14:textId="77777777" w:rsidR="00F4158E" w:rsidRPr="00447D48" w:rsidRDefault="00F4158E" w:rsidP="00447D48">
      <w:pPr>
        <w:pStyle w:val="ListParagraph"/>
        <w:numPr>
          <w:ilvl w:val="0"/>
          <w:numId w:val="25"/>
        </w:numPr>
        <w:spacing w:after="120"/>
        <w:rPr>
          <w:rFonts w:cs="Arial"/>
        </w:rPr>
      </w:pPr>
      <w:r w:rsidRPr="00447D48">
        <w:rPr>
          <w:rFonts w:cs="Arial"/>
        </w:rPr>
        <w:t>Reviewing and refining themes.</w:t>
      </w:r>
    </w:p>
    <w:p w14:paraId="192018EE" w14:textId="77777777" w:rsidR="00F4158E" w:rsidRPr="00447D48" w:rsidRDefault="00F4158E" w:rsidP="00447D48">
      <w:pPr>
        <w:pStyle w:val="ListParagraph"/>
        <w:numPr>
          <w:ilvl w:val="0"/>
          <w:numId w:val="25"/>
        </w:numPr>
        <w:spacing w:after="120"/>
        <w:rPr>
          <w:rFonts w:cs="Arial"/>
        </w:rPr>
      </w:pPr>
      <w:r w:rsidRPr="00447D48">
        <w:rPr>
          <w:rFonts w:cs="Arial"/>
        </w:rPr>
        <w:t>Producing the final thematic framework.</w:t>
      </w:r>
    </w:p>
    <w:p w14:paraId="7F692FB5" w14:textId="77777777" w:rsidR="00F4158E" w:rsidRPr="00447D48" w:rsidRDefault="00F4158E" w:rsidP="00447D48">
      <w:pPr>
        <w:spacing w:after="120"/>
        <w:rPr>
          <w:rFonts w:cs="Arial"/>
        </w:rPr>
      </w:pPr>
      <w:r w:rsidRPr="00447D48">
        <w:rPr>
          <w:rFonts w:cs="Arial"/>
        </w:rPr>
        <w:t>Six themes emerged from the synthesis:</w:t>
      </w:r>
    </w:p>
    <w:p w14:paraId="01583D60" w14:textId="77777777" w:rsidR="00F4158E" w:rsidRPr="00447D48" w:rsidRDefault="00F4158E" w:rsidP="00447D48">
      <w:pPr>
        <w:spacing w:after="120"/>
        <w:ind w:left="432" w:hanging="432"/>
        <w:rPr>
          <w:rFonts w:cs="Arial"/>
        </w:rPr>
      </w:pPr>
      <w:r>
        <w:t>• Strengths-Based Practice and Empowerment</w:t>
      </w:r>
    </w:p>
    <w:p w14:paraId="313740DA" w14:textId="77777777" w:rsidR="00F4158E" w:rsidRPr="00447D48" w:rsidRDefault="00F4158E" w:rsidP="00447D48">
      <w:pPr>
        <w:spacing w:after="120"/>
        <w:ind w:left="432" w:hanging="432"/>
        <w:rPr>
          <w:rFonts w:cs="Arial"/>
        </w:rPr>
      </w:pPr>
      <w:r>
        <w:t>• Reablement and Maintaining Independence</w:t>
      </w:r>
    </w:p>
    <w:p w14:paraId="2FBFAEC8" w14:textId="77777777" w:rsidR="00F4158E" w:rsidRPr="00447D48" w:rsidRDefault="00F4158E" w:rsidP="00447D48">
      <w:pPr>
        <w:spacing w:after="120"/>
        <w:ind w:left="432" w:hanging="432"/>
        <w:rPr>
          <w:rFonts w:cs="Arial"/>
        </w:rPr>
      </w:pPr>
      <w:r>
        <w:t>• Community-Based Prevention and Local Area Coordination</w:t>
      </w:r>
    </w:p>
    <w:p w14:paraId="67A10DDA" w14:textId="77777777" w:rsidR="00F4158E" w:rsidRPr="00447D48" w:rsidRDefault="00F4158E" w:rsidP="00447D48">
      <w:pPr>
        <w:spacing w:after="120"/>
        <w:ind w:left="432" w:hanging="432"/>
        <w:rPr>
          <w:rFonts w:cs="Arial"/>
        </w:rPr>
      </w:pPr>
      <w:r>
        <w:t>• Social Prescribing and Reducing Social Isolation</w:t>
      </w:r>
    </w:p>
    <w:p w14:paraId="289D4890" w14:textId="77777777" w:rsidR="00F4158E" w:rsidRPr="00447D48" w:rsidRDefault="00F4158E" w:rsidP="00447D48">
      <w:pPr>
        <w:spacing w:after="120"/>
        <w:ind w:left="432" w:hanging="432"/>
        <w:rPr>
          <w:rFonts w:cs="Arial"/>
        </w:rPr>
      </w:pPr>
      <w:r>
        <w:t>• Safeguarding and Early Intervention</w:t>
      </w:r>
    </w:p>
    <w:p w14:paraId="34F58EBC" w14:textId="77777777" w:rsidR="00F4158E" w:rsidRPr="00447D48" w:rsidRDefault="00F4158E" w:rsidP="00447D48">
      <w:pPr>
        <w:spacing w:after="120"/>
        <w:ind w:left="432" w:hanging="432"/>
        <w:rPr>
          <w:rFonts w:cs="Arial"/>
        </w:rPr>
      </w:pPr>
      <w:r>
        <w:t>• Barriers to Effective Preventive Practice</w:t>
      </w:r>
    </w:p>
    <w:p w14:paraId="4B7194A5" w14:textId="77777777" w:rsidR="00F4158E" w:rsidRPr="00726991" w:rsidRDefault="00F4158E" w:rsidP="00F4158E">
      <w:pPr>
        <w:spacing w:after="120"/>
        <w:rPr>
          <w:rFonts w:cs="Arial"/>
        </w:rPr>
      </w:pPr>
      <w:r w:rsidRPr="00726991">
        <w:rPr>
          <w:rFonts w:cs="Arial"/>
        </w:rPr>
        <w:lastRenderedPageBreak/>
        <w:t>These themes formed the structure of the findings presented in Chapter Four.</w:t>
      </w:r>
    </w:p>
    <w:p w14:paraId="5F604951" w14:textId="77777777" w:rsidR="00F4158E" w:rsidRPr="00DC6E33" w:rsidRDefault="00F4158E" w:rsidP="00F4158E">
      <w:pPr>
        <w:pStyle w:val="Heading2"/>
        <w:keepNext/>
        <w:ind w:left="0"/>
        <w:rPr>
          <w:rFonts w:cs="Arial"/>
          <w:bCs/>
        </w:rPr>
      </w:pPr>
      <w:bookmarkStart w:id="34" w:name="_Toc236665553"/>
      <w:r w:rsidRPr="00DC6E33">
        <w:rPr>
          <w:rFonts w:cs="Arial"/>
          <w:bCs/>
        </w:rPr>
        <w:t>3.</w:t>
      </w:r>
      <w:r w:rsidR="00301BAA">
        <w:rPr>
          <w:rFonts w:cs="Arial"/>
          <w:bCs/>
        </w:rPr>
        <w:t>8</w:t>
      </w:r>
      <w:r w:rsidRPr="00DC6E33">
        <w:rPr>
          <w:rFonts w:cs="Arial"/>
          <w:bCs/>
        </w:rPr>
        <w:t xml:space="preserve"> Ethical Considerations</w:t>
      </w:r>
      <w:bookmarkEnd w:id="34"/>
    </w:p>
    <w:p w14:paraId="0BE99E4B" w14:textId="77777777" w:rsidR="00F4158E" w:rsidRPr="00726991" w:rsidRDefault="00F4158E" w:rsidP="00F4158E">
      <w:pPr>
        <w:spacing w:after="120"/>
        <w:rPr>
          <w:rFonts w:cs="Arial"/>
        </w:rPr>
      </w:pPr>
      <w:r>
        <w:t>As this systematic review used published literature and involved no primary data collection or direct contact with participants, approval from an NHS Research Ethics Committee was not required. The university's ethical review documentation was nevertheless completed. The UWTSD Application for Ethical Approval, completed by the student and countersigned by the supervisor on 16 March 2026, is reproduced in Appendix A. Ethical principles were maintained throughout the study:</w:t>
      </w:r>
    </w:p>
    <w:p w14:paraId="1C6A4C02" w14:textId="77777777" w:rsidR="00F4158E" w:rsidRPr="00783419" w:rsidRDefault="00F4158E" w:rsidP="00F4158E">
      <w:pPr>
        <w:pStyle w:val="ListParagraph"/>
        <w:numPr>
          <w:ilvl w:val="0"/>
          <w:numId w:val="23"/>
        </w:numPr>
        <w:spacing w:after="120"/>
        <w:rPr>
          <w:rFonts w:cs="Arial"/>
        </w:rPr>
      </w:pPr>
      <w:r w:rsidRPr="00783419">
        <w:rPr>
          <w:rFonts w:cs="Arial"/>
        </w:rPr>
        <w:t>accurately representing the findings of included studies</w:t>
      </w:r>
    </w:p>
    <w:p w14:paraId="34F2BB60" w14:textId="77777777" w:rsidR="00F4158E" w:rsidRPr="00783419" w:rsidRDefault="00F4158E" w:rsidP="00F4158E">
      <w:pPr>
        <w:pStyle w:val="ListParagraph"/>
        <w:numPr>
          <w:ilvl w:val="0"/>
          <w:numId w:val="23"/>
        </w:numPr>
        <w:spacing w:after="120"/>
        <w:rPr>
          <w:rFonts w:cs="Arial"/>
        </w:rPr>
      </w:pPr>
      <w:r w:rsidRPr="00783419">
        <w:rPr>
          <w:rFonts w:cs="Arial"/>
        </w:rPr>
        <w:t>avoiding plagiarism through correct Harvard referencing</w:t>
      </w:r>
    </w:p>
    <w:p w14:paraId="5F0B12C3" w14:textId="77777777" w:rsidR="00F4158E" w:rsidRPr="00783419" w:rsidRDefault="00F4158E" w:rsidP="00F4158E">
      <w:pPr>
        <w:pStyle w:val="ListParagraph"/>
        <w:numPr>
          <w:ilvl w:val="0"/>
          <w:numId w:val="23"/>
        </w:numPr>
        <w:spacing w:after="120"/>
        <w:rPr>
          <w:rFonts w:cs="Arial"/>
        </w:rPr>
      </w:pPr>
      <w:r w:rsidRPr="00783419">
        <w:rPr>
          <w:rFonts w:cs="Arial"/>
        </w:rPr>
        <w:t>critically evaluating evidence objectively</w:t>
      </w:r>
    </w:p>
    <w:p w14:paraId="46DBA838" w14:textId="77777777" w:rsidR="00F4158E" w:rsidRPr="00783419" w:rsidRDefault="00F4158E" w:rsidP="00F4158E">
      <w:pPr>
        <w:pStyle w:val="ListParagraph"/>
        <w:numPr>
          <w:ilvl w:val="0"/>
          <w:numId w:val="23"/>
        </w:numPr>
        <w:spacing w:after="120"/>
        <w:rPr>
          <w:rFonts w:cs="Arial"/>
        </w:rPr>
      </w:pPr>
      <w:r w:rsidRPr="00783419">
        <w:rPr>
          <w:rFonts w:cs="Arial"/>
        </w:rPr>
        <w:t>ensuring transparency throughout the review process</w:t>
      </w:r>
    </w:p>
    <w:p w14:paraId="73D13CF7" w14:textId="77777777" w:rsidR="00F4158E" w:rsidRPr="00726991" w:rsidRDefault="00F4158E" w:rsidP="00F4158E">
      <w:pPr>
        <w:spacing w:after="120"/>
        <w:rPr>
          <w:rFonts w:cs="Arial"/>
        </w:rPr>
      </w:pPr>
      <w:r>
        <w:t>Maintaining academic integrity was fundamental throughout the research and reflects the ethical responsibilities expected of social work researchers.</w:t>
      </w:r>
    </w:p>
    <w:p w14:paraId="3D1CBAA7" w14:textId="77777777" w:rsidR="00F4158E" w:rsidRPr="00DC6E33" w:rsidRDefault="00F4158E" w:rsidP="00F4158E">
      <w:pPr>
        <w:pStyle w:val="Heading2"/>
        <w:keepNext/>
        <w:ind w:left="0"/>
        <w:rPr>
          <w:rFonts w:cs="Arial"/>
          <w:bCs/>
        </w:rPr>
      </w:pPr>
      <w:bookmarkStart w:id="35" w:name="_Toc236665554"/>
      <w:r>
        <w:t>3.9 Chapter Summary</w:t>
      </w:r>
      <w:bookmarkEnd w:id="35"/>
    </w:p>
    <w:p w14:paraId="12317A4D" w14:textId="77777777" w:rsidR="00F4158E" w:rsidRDefault="00F4158E" w:rsidP="00F4158E">
      <w:pPr>
        <w:spacing w:after="120"/>
        <w:rPr>
          <w:rFonts w:cs="Arial"/>
        </w:rPr>
      </w:pPr>
      <w:r>
        <w:t>This chapter has described the methodology adopted to investigate preventive interventions in adult social work practice for vulnerable adults in the United Kingdom. A systematic review, guided by the PRISMA 2020 framework, was undertaken to identify, appraise and synthesise relevant evidence. The chapter outlined the research design, search strategy, eligibility criteria, study selection process, quality appraisal, data extraction and thematic analysis. These methods provided a transparent and rigorous framework for examining the effectiveness of preventive interventions. The findings of the review are presented and critically discussed in Chapter Four (Page et al., 2021; Gough, Oliver and Thomas, 2017).</w:t>
      </w:r>
    </w:p>
    <w:p w14:paraId="0F2DA974" w14:textId="77777777" w:rsidR="002F1BFA" w:rsidRDefault="002F1BFA" w:rsidP="00F4158E">
      <w:pPr>
        <w:spacing w:after="120"/>
        <w:rPr>
          <w:rFonts w:cs="Arial"/>
        </w:rPr>
      </w:pPr>
    </w:p>
    <w:p w14:paraId="65CA7392" w14:textId="77777777" w:rsidR="00B14D2C" w:rsidRDefault="00B14D2C" w:rsidP="005B14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rPr>
      </w:pPr>
    </w:p>
    <w:p w14:paraId="22C09D3B" w14:textId="77777777" w:rsidR="00B14D2C" w:rsidRDefault="00B14D2C" w:rsidP="005B14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rPr>
      </w:pPr>
    </w:p>
    <w:p w14:paraId="525C9735" w14:textId="77777777" w:rsidR="00B14D2C" w:rsidRDefault="00B14D2C" w:rsidP="005B14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rPr>
      </w:pPr>
    </w:p>
    <w:p w14:paraId="6B3AF7D0" w14:textId="77777777" w:rsidR="0071091C" w:rsidRDefault="0071091C" w:rsidP="00B14D2C">
      <w:pPr>
        <w:pStyle w:val="Heading1"/>
        <w:keepNext/>
        <w:ind w:left="0"/>
        <w:jc w:val="center"/>
      </w:pPr>
    </w:p>
    <w:p w14:paraId="45219DA0" w14:textId="14A3CEA3" w:rsidR="00B14D2C" w:rsidRDefault="00B14D2C" w:rsidP="00B14D2C">
      <w:pPr>
        <w:pStyle w:val="Heading1"/>
        <w:keepNext/>
        <w:ind w:left="0"/>
        <w:jc w:val="center"/>
      </w:pPr>
      <w:bookmarkStart w:id="36" w:name="_Toc236665555"/>
      <w:r w:rsidRPr="00812591">
        <w:t xml:space="preserve">CHAPTER </w:t>
      </w:r>
      <w:r>
        <w:t>4</w:t>
      </w:r>
      <w:r w:rsidRPr="00812591">
        <w:t xml:space="preserve">: </w:t>
      </w:r>
      <w:r>
        <w:t>RESULTS AND DISCUSSION</w:t>
      </w:r>
      <w:bookmarkEnd w:id="36"/>
    </w:p>
    <w:p w14:paraId="35A8E701" w14:textId="77777777" w:rsidR="00B14D2C" w:rsidRDefault="00B14D2C" w:rsidP="00B14D2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jc w:val="center"/>
        <w:rPr>
          <w:rFonts w:eastAsia="Arial Unicode MS" w:cs="Arial"/>
        </w:rPr>
      </w:pPr>
    </w:p>
    <w:p w14:paraId="2BB2F013" w14:textId="77777777" w:rsidR="00B14D2C" w:rsidRDefault="00B14D2C" w:rsidP="00B14D2C">
      <w:pPr>
        <w:pStyle w:val="Heading2"/>
        <w:ind w:left="0"/>
        <w:rPr>
          <w:rFonts w:eastAsia="Arial Unicode MS"/>
        </w:rPr>
      </w:pPr>
      <w:bookmarkStart w:id="37" w:name="_Toc236665556"/>
      <w:r w:rsidRPr="002C7256">
        <w:t>4.1 Introduction</w:t>
      </w:r>
      <w:bookmarkEnd w:id="37"/>
    </w:p>
    <w:p w14:paraId="0AB0D329" w14:textId="77777777" w:rsidR="00F0386D" w:rsidRPr="00F0386D" w:rsidRDefault="00F0386D" w:rsidP="005B14B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rPr>
      </w:pPr>
      <w:r w:rsidRPr="00F0386D">
        <w:rPr>
          <w:rFonts w:eastAsia="Arial Unicode MS" w:cs="Arial"/>
        </w:rPr>
        <w:t xml:space="preserve">This chapter presents and critically discusses the findings of the systematic review to evaluate the effectiveness of preventive interventions in adult social work practice for vulnerable adults in the United Kingdom. The review aimed to address the research question by synthesising evidence from ten studies selected using the PRISMA 2020 framework. The studies examined a range of preventive interventions, including strengths-based practice, reablement, Local Area Coordination, social prescribing, safeguarding and integrated community support. </w:t>
      </w:r>
    </w:p>
    <w:p w14:paraId="3CA17F98" w14:textId="77777777" w:rsidR="00F0386D" w:rsidRPr="00F0386D" w:rsidRDefault="00F0386D" w:rsidP="00F038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rPr>
      </w:pPr>
      <w:r>
        <w:t>The findings indicate that preventive interventions generally improve independence, wellbeing and community participation while reducing reliance on statutory services (Keemink et al., 2023; Local Government Association, 2024b). However, the review also identified significant barriers to implementation, including workforce shortages, financial pressures and regional variation in service provision (Marczak, Wistow and Fernandez, 2024).</w:t>
      </w:r>
    </w:p>
    <w:p w14:paraId="1AA8D0CC" w14:textId="77777777" w:rsidR="00F0386D" w:rsidRPr="00F0386D" w:rsidRDefault="00F0386D" w:rsidP="00F0386D">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rPr>
      </w:pPr>
      <w:r w:rsidRPr="00F0386D">
        <w:rPr>
          <w:rFonts w:eastAsia="Arial Unicode MS" w:cs="Arial"/>
        </w:rPr>
        <w:t xml:space="preserve">This chapter first summarises the characteristics of the included studies before presenting a thematic analysis based on six key themes. Each theme is critically discussed in relation to the literature reviewed in Chapter 2, relevant theoretical perspectives and current UK policy to evaluate the contribution of preventive interventions to adult social work practice. </w:t>
      </w:r>
    </w:p>
    <w:p w14:paraId="595EEF22" w14:textId="77777777" w:rsidR="00F4158E" w:rsidRPr="00BA09B1" w:rsidRDefault="00F4158E" w:rsidP="00F4158E">
      <w:pPr>
        <w:pStyle w:val="Heading2"/>
        <w:keepNext/>
        <w:ind w:left="0"/>
        <w:rPr>
          <w:rFonts w:cs="Arial"/>
          <w:bCs/>
        </w:rPr>
      </w:pPr>
      <w:bookmarkStart w:id="38" w:name="_Toc236665557"/>
      <w:r w:rsidRPr="00BA09B1">
        <w:rPr>
          <w:rFonts w:cs="Arial"/>
          <w:bCs/>
        </w:rPr>
        <w:t>4.2 Results</w:t>
      </w:r>
      <w:bookmarkEnd w:id="38"/>
    </w:p>
    <w:p w14:paraId="2A08E111" w14:textId="77777777" w:rsidR="00F4158E" w:rsidRDefault="00F4158E" w:rsidP="00F4158E">
      <w:pPr>
        <w:pStyle w:val="Heading2"/>
        <w:keepNext/>
        <w:rPr>
          <w:rFonts w:cs="Arial"/>
          <w:bCs/>
        </w:rPr>
      </w:pPr>
      <w:bookmarkStart w:id="39" w:name="_Toc236665558"/>
      <w:r w:rsidRPr="005B56DB">
        <w:rPr>
          <w:rFonts w:cs="Arial"/>
          <w:bCs/>
        </w:rPr>
        <w:t>4.2.1 Characteristics of the Literature Selected for Analysis</w:t>
      </w:r>
      <w:bookmarkEnd w:id="39"/>
    </w:p>
    <w:p w14:paraId="31AF0A5D" w14:textId="77777777" w:rsidR="00551728" w:rsidRPr="00551728" w:rsidRDefault="00551728" w:rsidP="00551728">
      <w:pPr>
        <w:rPr>
          <w:rFonts w:cs="Arial"/>
        </w:rPr>
      </w:pPr>
      <w:r>
        <w:t xml:space="preserve">The systematic review identified 10 studies that met the predefined inclusion criteria following the PRISMA 2020 screening process. Initially, 212 records were retrieved from six electronic databases. After duplicate removal and title and abstract screening, 33 full-text articles were assessed for eligibility. Following detailed appraisal, 10 studies were included in the final review. Studies were excluded because they were conducted outside the United Kingdom, focused on populations outside the scope of this review, did not evaluate preventive interventions, or lacked sufficient outcome data. This structured selection process enhanced the transparency and methodological rigour of the review while reducing the potential for selection bias (Page et al., 2021). The included studies were published between 2021 and </w:t>
      </w:r>
      <w:r>
        <w:lastRenderedPageBreak/>
        <w:t xml:space="preserve">2026, providing contemporary evidence on preventive interventions implemented within UK adult social work following the introduction of the Care Act 2014. A range of research designs was represented, including qualitative studies, mixed-methods research, systematic and scoping reviews, longitudinal quantitative studies, comparative policy analyses and government reports (Hong et al., 2018). This methodological diversity enabled the review to capture evidence from different perspectives and organisational contexts. However, differences in study design, outcome measures and intervention models limited direct comparison across studies and made statistical meta-analysis inappropriate. Consequently, a thematic synthesis was adopted to identify recurring patterns within the evidence (Gough, Oliver and Thomas, 2017). </w:t>
      </w:r>
    </w:p>
    <w:p w14:paraId="232D6CAD" w14:textId="77777777" w:rsidR="00551728" w:rsidRPr="00551728" w:rsidRDefault="00551728" w:rsidP="00551728">
      <w:pPr>
        <w:rPr>
          <w:rFonts w:cs="Arial"/>
        </w:rPr>
      </w:pPr>
      <w:r>
        <w:t xml:space="preserve">Most studies examined preventive interventions delivered through collaboration between local authorities, NHS organisations and voluntary sector partners. Aujla et al. (2023) similarly found that policy in both England and Scotland prioritised prevention, integration and person-centred care, although evidence about policy effectiveness remained limited. Despite variation in delivery, all interventions shared the common objective of preventing or delaying escalating care needs by promoting independence, wellbeing and community participation. The principal interventions investigated included strengths-based practice, reablement, Local Area Coordination, social prescribing, safeguarding and multidisciplinary working, reflecting the preventive priorities established within contemporary UK social care policy (Local Government Association, 2024b; Willis et al., 2022). Strengths-based practice was the most frequently examined intervention. Studies by Caiels et al. (2024) and Stevens et al. (2024) found that successful implementation depended on practitioner skills, organisational leadership, supervision and adequate workforce capacity. Evidence relating to reablement suggested that short-term, goal-oriented interventions supported individuals to regain functional independence and delayed the need for long-term care, although outcomes varied across settings (Keemink et al., 2023). Similarly, Bainbridge and Lunt (2021) demonstrated that Local Area Coordination strengthened community participation, increased confidence and reduced social isolation by connecting vulnerable adults with local support networks. Evidence for social prescribing was also encouraging, with Bu et al. (2026) reporting improvements in wellbeing and life satisfaction, although the long-term sustainability of these outcomes remains uncertain. Government evidence similarly suggested that preventive services may reduce future demand for statutory care but highlighted the need for more robust long-term evaluation (Local Government Association, 2024b). </w:t>
      </w:r>
    </w:p>
    <w:p w14:paraId="20AEE8FD" w14:textId="77777777" w:rsidR="00551728" w:rsidRPr="00551728" w:rsidRDefault="00551728" w:rsidP="00551728">
      <w:pPr>
        <w:rPr>
          <w:rFonts w:cs="Arial"/>
        </w:rPr>
      </w:pPr>
      <w:r>
        <w:t xml:space="preserve">Methodological quality was assessed using the Critical Appraisal Skills Programme (CASP) framework (Long, French and Brooks, 2020; Critical Appraisal Skills Programme, 2022). Overall, the included studies demonstrated clear research aims, appropriate methodologies </w:t>
      </w:r>
      <w:r>
        <w:lastRenderedPageBreak/>
        <w:t>and transparent reporting. Nevertheless, several limitations were identified, including small sample sizes, localised study settings and variation in outcome measures, which reduced the generalisability of findings. Despite these limitations, the consistency of evidence across different research designs strengthened confidence in the conclusion that preventive interventions contribute positively to independence, wellbeing and early support for vulnerable adults in the United Kingdom.</w:t>
      </w:r>
    </w:p>
    <w:p w14:paraId="712CF7F7" w14:textId="77777777" w:rsidR="00925E6C" w:rsidRPr="005B1407" w:rsidRDefault="00925E6C" w:rsidP="00925E6C">
      <w:pPr>
        <w:pStyle w:val="Heading2"/>
        <w:keepNext/>
        <w:ind w:left="0"/>
        <w:rPr>
          <w:rFonts w:cs="Arial"/>
          <w:b w:val="0"/>
          <w:bCs/>
        </w:rPr>
      </w:pPr>
      <w:bookmarkStart w:id="40" w:name="_Toc236665559"/>
      <w:r>
        <w:t>Table 4.2: Characteristics and Findings of the Included Studies</w:t>
      </w:r>
      <w:bookmarkEnd w:id="40"/>
    </w:p>
    <w:tbl>
      <w:tblPr>
        <w:tblStyle w:val="TableGrid"/>
        <w:tblW w:w="0" w:type="auto"/>
        <w:tblLook w:val="04A0" w:firstRow="1" w:lastRow="0" w:firstColumn="1" w:lastColumn="0" w:noHBand="0" w:noVBand="1"/>
      </w:tblPr>
      <w:tblGrid>
        <w:gridCol w:w="2254"/>
        <w:gridCol w:w="2254"/>
        <w:gridCol w:w="2254"/>
        <w:gridCol w:w="2254"/>
      </w:tblGrid>
      <w:tr w:rsidR="00925E6C" w:rsidRPr="005C2723" w14:paraId="525476DC" w14:textId="77777777" w:rsidTr="00186C4B">
        <w:trPr>
          <w:cantSplit/>
          <w:tblHeader/>
        </w:trPr>
        <w:tc>
          <w:tcPr>
            <w:tcW w:w="2254" w:type="dxa"/>
            <w:tcBorders>
              <w:top w:val="single" w:sz="4" w:space="0" w:color="auto"/>
              <w:left w:val="single" w:sz="4" w:space="0" w:color="auto"/>
              <w:bottom w:val="single" w:sz="4" w:space="0" w:color="auto"/>
              <w:right w:val="single" w:sz="4" w:space="0" w:color="auto"/>
            </w:tcBorders>
            <w:hideMark/>
          </w:tcPr>
          <w:p w14:paraId="6531B890"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b/>
                <w:bCs/>
              </w:rPr>
            </w:pPr>
            <w:r w:rsidRPr="005C2723">
              <w:rPr>
                <w:rFonts w:eastAsia="Arial Unicode MS" w:cs="Arial"/>
                <w:b/>
                <w:bCs/>
                <w:sz w:val="19"/>
              </w:rPr>
              <w:t xml:space="preserve">Author/s and publication year </w:t>
            </w:r>
          </w:p>
        </w:tc>
        <w:tc>
          <w:tcPr>
            <w:tcW w:w="2254" w:type="dxa"/>
            <w:tcBorders>
              <w:top w:val="single" w:sz="4" w:space="0" w:color="auto"/>
              <w:left w:val="single" w:sz="4" w:space="0" w:color="auto"/>
              <w:bottom w:val="single" w:sz="4" w:space="0" w:color="auto"/>
              <w:right w:val="single" w:sz="4" w:space="0" w:color="auto"/>
            </w:tcBorders>
            <w:hideMark/>
          </w:tcPr>
          <w:p w14:paraId="3F8253A4"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b/>
                <w:bCs/>
              </w:rPr>
            </w:pPr>
            <w:r w:rsidRPr="005C2723">
              <w:rPr>
                <w:rFonts w:eastAsia="Arial Unicode MS" w:cs="Arial"/>
                <w:b/>
                <w:bCs/>
                <w:sz w:val="19"/>
              </w:rPr>
              <w:t>Aim</w:t>
            </w:r>
          </w:p>
        </w:tc>
        <w:tc>
          <w:tcPr>
            <w:tcW w:w="2254" w:type="dxa"/>
            <w:tcBorders>
              <w:top w:val="single" w:sz="4" w:space="0" w:color="auto"/>
              <w:left w:val="single" w:sz="4" w:space="0" w:color="auto"/>
              <w:bottom w:val="single" w:sz="4" w:space="0" w:color="auto"/>
              <w:right w:val="single" w:sz="4" w:space="0" w:color="auto"/>
            </w:tcBorders>
            <w:hideMark/>
          </w:tcPr>
          <w:p w14:paraId="05CF8091"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b/>
                <w:bCs/>
              </w:rPr>
            </w:pPr>
            <w:r w:rsidRPr="005C2723">
              <w:rPr>
                <w:rFonts w:eastAsia="Arial Unicode MS" w:cs="Arial"/>
                <w:b/>
                <w:bCs/>
                <w:sz w:val="19"/>
              </w:rPr>
              <w:t xml:space="preserve">Methodology and sample size </w:t>
            </w:r>
          </w:p>
        </w:tc>
        <w:tc>
          <w:tcPr>
            <w:tcW w:w="2254" w:type="dxa"/>
            <w:tcBorders>
              <w:top w:val="single" w:sz="4" w:space="0" w:color="auto"/>
              <w:left w:val="single" w:sz="4" w:space="0" w:color="auto"/>
              <w:bottom w:val="single" w:sz="4" w:space="0" w:color="auto"/>
              <w:right w:val="single" w:sz="4" w:space="0" w:color="auto"/>
            </w:tcBorders>
            <w:hideMark/>
          </w:tcPr>
          <w:p w14:paraId="0483E0D1"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b/>
                <w:bCs/>
              </w:rPr>
            </w:pPr>
            <w:r w:rsidRPr="005C2723">
              <w:rPr>
                <w:rFonts w:eastAsia="Arial Unicode MS" w:cs="Arial"/>
                <w:b/>
                <w:bCs/>
                <w:sz w:val="19"/>
              </w:rPr>
              <w:t xml:space="preserve">Key findings </w:t>
            </w:r>
          </w:p>
        </w:tc>
      </w:tr>
      <w:tr w:rsidR="00925E6C" w:rsidRPr="005C2723" w14:paraId="10DA834C" w14:textId="77777777" w:rsidTr="00186C4B">
        <w:trPr>
          <w:cantSplit/>
        </w:trPr>
        <w:tc>
          <w:tcPr>
            <w:tcW w:w="2254" w:type="dxa"/>
            <w:tcBorders>
              <w:top w:val="single" w:sz="4" w:space="0" w:color="auto"/>
              <w:left w:val="single" w:sz="4" w:space="0" w:color="auto"/>
              <w:bottom w:val="single" w:sz="4" w:space="0" w:color="auto"/>
              <w:right w:val="single" w:sz="4" w:space="0" w:color="auto"/>
            </w:tcBorders>
          </w:tcPr>
          <w:p w14:paraId="0D60B3F6" w14:textId="77777777" w:rsidR="00925E6C" w:rsidRPr="005C2723" w:rsidRDefault="00117AD0"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Pr>
                <w:rFonts w:eastAsia="Arial Unicode MS" w:cs="Arial"/>
                <w:sz w:val="19"/>
              </w:rPr>
              <w:t xml:space="preserve">1 </w:t>
            </w:r>
            <w:r w:rsidRPr="00117AD0">
              <w:rPr>
                <w:rFonts w:eastAsia="Arial Unicode MS" w:cs="Arial"/>
                <w:sz w:val="19"/>
              </w:rPr>
              <w:t>Ahuja et al. (2022)</w:t>
            </w:r>
          </w:p>
        </w:tc>
        <w:tc>
          <w:tcPr>
            <w:tcW w:w="2254" w:type="dxa"/>
            <w:tcBorders>
              <w:top w:val="single" w:sz="4" w:space="0" w:color="auto"/>
              <w:left w:val="single" w:sz="4" w:space="0" w:color="auto"/>
              <w:bottom w:val="single" w:sz="4" w:space="0" w:color="auto"/>
              <w:right w:val="single" w:sz="4" w:space="0" w:color="auto"/>
            </w:tcBorders>
          </w:tcPr>
          <w:p w14:paraId="51E49645" w14:textId="77777777" w:rsidR="00925E6C" w:rsidRPr="00910B42" w:rsidRDefault="00925E6C" w:rsidP="00186C4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240" w:lineRule="auto"/>
              <w:mirrorIndents/>
              <w:rPr>
                <w:rFonts w:eastAsia="Arial Unicode MS" w:cs="Arial"/>
              </w:rPr>
            </w:pPr>
            <w:r w:rsidRPr="00910B42">
              <w:rPr>
                <w:rFonts w:eastAsia="Arial Unicode MS" w:cs="Arial"/>
                <w:sz w:val="19"/>
              </w:rPr>
              <w:t>To examine the implementation of Making Safeguarding Personal in adult safeguarding.</w:t>
            </w:r>
          </w:p>
          <w:p w14:paraId="4965ADDB"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p>
        </w:tc>
        <w:tc>
          <w:tcPr>
            <w:tcW w:w="2254" w:type="dxa"/>
            <w:tcBorders>
              <w:top w:val="single" w:sz="4" w:space="0" w:color="auto"/>
              <w:left w:val="single" w:sz="4" w:space="0" w:color="auto"/>
              <w:bottom w:val="single" w:sz="4" w:space="0" w:color="auto"/>
              <w:right w:val="single" w:sz="4" w:space="0" w:color="auto"/>
            </w:tcBorders>
          </w:tcPr>
          <w:p w14:paraId="5CCB8DC3"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sidRPr="00910B42">
              <w:rPr>
                <w:rFonts w:eastAsia="Arial Unicode MS" w:cs="Arial"/>
                <w:sz w:val="19"/>
              </w:rPr>
              <w:t xml:space="preserve">Systematic review of </w:t>
            </w:r>
            <w:r w:rsidRPr="00432463">
              <w:rPr>
                <w:rFonts w:eastAsia="Arial Unicode MS" w:cs="Arial"/>
                <w:sz w:val="19"/>
              </w:rPr>
              <w:t>7 qualitative UK studies.</w:t>
            </w:r>
          </w:p>
        </w:tc>
        <w:tc>
          <w:tcPr>
            <w:tcW w:w="2254" w:type="dxa"/>
            <w:tcBorders>
              <w:top w:val="single" w:sz="4" w:space="0" w:color="auto"/>
              <w:left w:val="single" w:sz="4" w:space="0" w:color="auto"/>
              <w:bottom w:val="single" w:sz="4" w:space="0" w:color="auto"/>
              <w:right w:val="single" w:sz="4" w:space="0" w:color="auto"/>
            </w:tcBorders>
          </w:tcPr>
          <w:p w14:paraId="080A5E91"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sidRPr="00910B42">
              <w:rPr>
                <w:rFonts w:eastAsia="Arial Unicode MS" w:cs="Arial"/>
                <w:sz w:val="19"/>
              </w:rPr>
              <w:t>Strengths-based safeguarding improved person-centred practice. Successful implementation required leadership, practitioner training and organisational support.</w:t>
            </w:r>
          </w:p>
        </w:tc>
      </w:tr>
      <w:tr w:rsidR="00925E6C" w:rsidRPr="005C2723" w14:paraId="7424F34F" w14:textId="77777777" w:rsidTr="00186C4B">
        <w:trPr>
          <w:cantSplit/>
        </w:trPr>
        <w:tc>
          <w:tcPr>
            <w:tcW w:w="2254" w:type="dxa"/>
            <w:tcBorders>
              <w:top w:val="single" w:sz="4" w:space="0" w:color="auto"/>
              <w:left w:val="single" w:sz="4" w:space="0" w:color="auto"/>
              <w:bottom w:val="single" w:sz="4" w:space="0" w:color="auto"/>
              <w:right w:val="single" w:sz="4" w:space="0" w:color="auto"/>
            </w:tcBorders>
            <w:hideMark/>
          </w:tcPr>
          <w:p w14:paraId="29EBAAF1"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sidRPr="005C2723">
              <w:rPr>
                <w:rFonts w:eastAsia="Arial Unicode MS" w:cs="Arial"/>
                <w:sz w:val="19"/>
              </w:rPr>
              <w:t>2</w:t>
            </w:r>
            <w:r>
              <w:rPr>
                <w:rFonts w:eastAsia="Arial Unicode MS" w:cs="Arial"/>
                <w:sz w:val="19"/>
              </w:rPr>
              <w:t xml:space="preserve"> </w:t>
            </w:r>
            <w:r w:rsidRPr="00FF4A08">
              <w:rPr>
                <w:rFonts w:eastAsia="Arial Unicode MS" w:cs="Arial"/>
                <w:sz w:val="19"/>
              </w:rPr>
              <w:t>Aujla et al. (2023)</w:t>
            </w:r>
          </w:p>
        </w:tc>
        <w:tc>
          <w:tcPr>
            <w:tcW w:w="2254" w:type="dxa"/>
            <w:tcBorders>
              <w:top w:val="single" w:sz="4" w:space="0" w:color="auto"/>
              <w:left w:val="single" w:sz="4" w:space="0" w:color="auto"/>
              <w:bottom w:val="single" w:sz="4" w:space="0" w:color="auto"/>
              <w:right w:val="single" w:sz="4" w:space="0" w:color="auto"/>
            </w:tcBorders>
          </w:tcPr>
          <w:p w14:paraId="51099918"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sidRPr="003658E6">
              <w:rPr>
                <w:rFonts w:eastAsia="Arial Unicode MS" w:cs="Arial"/>
                <w:sz w:val="19"/>
              </w:rPr>
              <w:t>To compare prevention policies for older people in England and Scotland.</w:t>
            </w:r>
          </w:p>
        </w:tc>
        <w:tc>
          <w:tcPr>
            <w:tcW w:w="2254" w:type="dxa"/>
            <w:tcBorders>
              <w:top w:val="single" w:sz="4" w:space="0" w:color="auto"/>
              <w:left w:val="single" w:sz="4" w:space="0" w:color="auto"/>
              <w:bottom w:val="single" w:sz="4" w:space="0" w:color="auto"/>
              <w:right w:val="single" w:sz="4" w:space="0" w:color="auto"/>
            </w:tcBorders>
          </w:tcPr>
          <w:p w14:paraId="78431ABC" w14:textId="77777777" w:rsidR="00925E6C" w:rsidRPr="003658E6"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sidRPr="003658E6">
              <w:rPr>
                <w:rFonts w:eastAsia="Arial Unicode MS" w:cs="Arial"/>
                <w:sz w:val="19"/>
              </w:rPr>
              <w:t>Comparative policy review of 55 policy documents (27 England, 28 Scotland).</w:t>
            </w:r>
          </w:p>
        </w:tc>
        <w:tc>
          <w:tcPr>
            <w:tcW w:w="2254" w:type="dxa"/>
            <w:tcBorders>
              <w:top w:val="single" w:sz="4" w:space="0" w:color="auto"/>
              <w:left w:val="single" w:sz="4" w:space="0" w:color="auto"/>
              <w:bottom w:val="single" w:sz="4" w:space="0" w:color="auto"/>
              <w:right w:val="single" w:sz="4" w:space="0" w:color="auto"/>
            </w:tcBorders>
          </w:tcPr>
          <w:p w14:paraId="4165A984"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sidRPr="00FE6DB9">
              <w:rPr>
                <w:rFonts w:eastAsia="Arial Unicode MS" w:cs="Arial"/>
                <w:sz w:val="19"/>
              </w:rPr>
              <w:t>Both nations prioritised prevention, integrated care and person-centred services, but evidence of effectiveness</w:t>
            </w:r>
            <w:r>
              <w:rPr>
                <w:rFonts w:eastAsia="Arial Unicode MS" w:cs="Arial"/>
                <w:sz w:val="19"/>
              </w:rPr>
              <w:t xml:space="preserve"> </w:t>
            </w:r>
            <w:r w:rsidRPr="003E5CF0">
              <w:rPr>
                <w:rFonts w:eastAsia="Arial Unicode MS" w:cs="Arial"/>
                <w:sz w:val="19"/>
              </w:rPr>
              <w:t>remained limited.</w:t>
            </w:r>
          </w:p>
        </w:tc>
      </w:tr>
      <w:tr w:rsidR="00925E6C" w:rsidRPr="005C2723" w14:paraId="3C56FFAB" w14:textId="77777777" w:rsidTr="00186C4B">
        <w:trPr>
          <w:cantSplit/>
        </w:trPr>
        <w:tc>
          <w:tcPr>
            <w:tcW w:w="2254" w:type="dxa"/>
            <w:tcBorders>
              <w:top w:val="single" w:sz="4" w:space="0" w:color="auto"/>
              <w:left w:val="single" w:sz="4" w:space="0" w:color="auto"/>
              <w:bottom w:val="single" w:sz="4" w:space="0" w:color="auto"/>
              <w:right w:val="single" w:sz="4" w:space="0" w:color="auto"/>
            </w:tcBorders>
            <w:hideMark/>
          </w:tcPr>
          <w:p w14:paraId="48970D0B" w14:textId="77777777" w:rsidR="00E00489" w:rsidRDefault="00733241">
            <w:pPr>
              <w:spacing w:line="240" w:lineRule="auto"/>
            </w:pPr>
            <w:r>
              <w:rPr>
                <w:sz w:val="19"/>
              </w:rPr>
              <w:t>3 Bainbridge and Lunt (2021)</w:t>
            </w:r>
          </w:p>
        </w:tc>
        <w:tc>
          <w:tcPr>
            <w:tcW w:w="2254" w:type="dxa"/>
            <w:tcBorders>
              <w:top w:val="single" w:sz="4" w:space="0" w:color="auto"/>
              <w:left w:val="single" w:sz="4" w:space="0" w:color="auto"/>
              <w:bottom w:val="single" w:sz="4" w:space="0" w:color="auto"/>
              <w:right w:val="single" w:sz="4" w:space="0" w:color="auto"/>
            </w:tcBorders>
          </w:tcPr>
          <w:p w14:paraId="65DC35D6"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sidRPr="009A1229">
              <w:rPr>
                <w:rFonts w:eastAsia="Arial Unicode MS" w:cs="Arial"/>
                <w:sz w:val="19"/>
              </w:rPr>
              <w:t>To evaluate Local Area Coordination as a preventive approach.</w:t>
            </w:r>
          </w:p>
        </w:tc>
        <w:tc>
          <w:tcPr>
            <w:tcW w:w="2254" w:type="dxa"/>
            <w:tcBorders>
              <w:top w:val="single" w:sz="4" w:space="0" w:color="auto"/>
              <w:left w:val="single" w:sz="4" w:space="0" w:color="auto"/>
              <w:bottom w:val="single" w:sz="4" w:space="0" w:color="auto"/>
              <w:right w:val="single" w:sz="4" w:space="0" w:color="auto"/>
            </w:tcBorders>
          </w:tcPr>
          <w:p w14:paraId="4C0A4096"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sidRPr="00695FD2">
              <w:rPr>
                <w:rFonts w:eastAsia="Arial Unicode MS" w:cs="Arial"/>
                <w:sz w:val="19"/>
              </w:rPr>
              <w:t>Mixed-method case study including 55 interviews and document analysis.</w:t>
            </w:r>
          </w:p>
        </w:tc>
        <w:tc>
          <w:tcPr>
            <w:tcW w:w="2254" w:type="dxa"/>
            <w:tcBorders>
              <w:top w:val="single" w:sz="4" w:space="0" w:color="auto"/>
              <w:left w:val="single" w:sz="4" w:space="0" w:color="auto"/>
              <w:bottom w:val="single" w:sz="4" w:space="0" w:color="auto"/>
              <w:right w:val="single" w:sz="4" w:space="0" w:color="auto"/>
            </w:tcBorders>
          </w:tcPr>
          <w:p w14:paraId="405C9F45"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sidRPr="00695FD2">
              <w:rPr>
                <w:rFonts w:eastAsia="Arial Unicode MS" w:cs="Arial"/>
                <w:sz w:val="19"/>
              </w:rPr>
              <w:t>Local Area Coordination reduced social isolation, improved confidence and strengthened community connections.</w:t>
            </w:r>
          </w:p>
        </w:tc>
      </w:tr>
      <w:tr w:rsidR="00925E6C" w:rsidRPr="005C2723" w14:paraId="07EDFEE2" w14:textId="77777777" w:rsidTr="00186C4B">
        <w:trPr>
          <w:cantSplit/>
        </w:trPr>
        <w:tc>
          <w:tcPr>
            <w:tcW w:w="2254" w:type="dxa"/>
            <w:tcBorders>
              <w:top w:val="single" w:sz="4" w:space="0" w:color="auto"/>
              <w:left w:val="single" w:sz="4" w:space="0" w:color="auto"/>
              <w:bottom w:val="single" w:sz="4" w:space="0" w:color="auto"/>
              <w:right w:val="single" w:sz="4" w:space="0" w:color="auto"/>
            </w:tcBorders>
            <w:hideMark/>
          </w:tcPr>
          <w:p w14:paraId="709B28A5"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sidRPr="005C2723">
              <w:rPr>
                <w:rFonts w:eastAsia="Arial Unicode MS" w:cs="Arial"/>
                <w:sz w:val="19"/>
              </w:rPr>
              <w:t>4</w:t>
            </w:r>
            <w:r>
              <w:rPr>
                <w:rFonts w:eastAsia="Arial Unicode MS" w:cs="Arial"/>
                <w:sz w:val="19"/>
              </w:rPr>
              <w:t xml:space="preserve"> </w:t>
            </w:r>
            <w:r w:rsidRPr="009821FF">
              <w:rPr>
                <w:rFonts w:eastAsia="Arial Unicode MS" w:cs="Arial"/>
                <w:sz w:val="19"/>
              </w:rPr>
              <w:t>Bu et al. (2026)</w:t>
            </w:r>
          </w:p>
        </w:tc>
        <w:tc>
          <w:tcPr>
            <w:tcW w:w="2254" w:type="dxa"/>
            <w:tcBorders>
              <w:top w:val="single" w:sz="4" w:space="0" w:color="auto"/>
              <w:left w:val="single" w:sz="4" w:space="0" w:color="auto"/>
              <w:bottom w:val="single" w:sz="4" w:space="0" w:color="auto"/>
              <w:right w:val="single" w:sz="4" w:space="0" w:color="auto"/>
            </w:tcBorders>
          </w:tcPr>
          <w:p w14:paraId="0B7346DE"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sidRPr="009821FF">
              <w:rPr>
                <w:rFonts w:eastAsia="Arial Unicode MS" w:cs="Arial"/>
                <w:sz w:val="19"/>
              </w:rPr>
              <w:t>To evaluate the impact of social prescribing on wellbeing</w:t>
            </w:r>
          </w:p>
        </w:tc>
        <w:tc>
          <w:tcPr>
            <w:tcW w:w="2254" w:type="dxa"/>
            <w:tcBorders>
              <w:top w:val="single" w:sz="4" w:space="0" w:color="auto"/>
              <w:left w:val="single" w:sz="4" w:space="0" w:color="auto"/>
              <w:bottom w:val="single" w:sz="4" w:space="0" w:color="auto"/>
              <w:right w:val="single" w:sz="4" w:space="0" w:color="auto"/>
            </w:tcBorders>
          </w:tcPr>
          <w:p w14:paraId="60726F1D"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sidRPr="007B0055">
              <w:rPr>
                <w:rFonts w:eastAsia="Arial Unicode MS" w:cs="Arial"/>
                <w:sz w:val="19"/>
              </w:rPr>
              <w:t>National longitudinal quantitative study involving 19,627 patients.</w:t>
            </w:r>
          </w:p>
        </w:tc>
        <w:tc>
          <w:tcPr>
            <w:tcW w:w="2254" w:type="dxa"/>
            <w:tcBorders>
              <w:top w:val="single" w:sz="4" w:space="0" w:color="auto"/>
              <w:left w:val="single" w:sz="4" w:space="0" w:color="auto"/>
              <w:bottom w:val="single" w:sz="4" w:space="0" w:color="auto"/>
              <w:right w:val="single" w:sz="4" w:space="0" w:color="auto"/>
            </w:tcBorders>
          </w:tcPr>
          <w:p w14:paraId="211D9BC8"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sidRPr="00B02ED9">
              <w:rPr>
                <w:rFonts w:eastAsia="Arial Unicode MS" w:cs="Arial"/>
                <w:sz w:val="19"/>
              </w:rPr>
              <w:t>Social prescribing improved wellbeing, happiness and life satisfaction, although long-term effects remain uncertain.</w:t>
            </w:r>
          </w:p>
        </w:tc>
      </w:tr>
      <w:tr w:rsidR="00925E6C" w:rsidRPr="005C2723" w14:paraId="702F7CCD" w14:textId="77777777" w:rsidTr="00186C4B">
        <w:trPr>
          <w:cantSplit/>
        </w:trPr>
        <w:tc>
          <w:tcPr>
            <w:tcW w:w="2254" w:type="dxa"/>
            <w:tcBorders>
              <w:top w:val="single" w:sz="4" w:space="0" w:color="auto"/>
              <w:left w:val="single" w:sz="4" w:space="0" w:color="auto"/>
              <w:bottom w:val="single" w:sz="4" w:space="0" w:color="auto"/>
              <w:right w:val="single" w:sz="4" w:space="0" w:color="auto"/>
            </w:tcBorders>
            <w:hideMark/>
          </w:tcPr>
          <w:p w14:paraId="5057D28E"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t>5 Caiels et al. (2024)</w:t>
            </w:r>
          </w:p>
        </w:tc>
        <w:tc>
          <w:tcPr>
            <w:tcW w:w="2254" w:type="dxa"/>
            <w:tcBorders>
              <w:top w:val="single" w:sz="4" w:space="0" w:color="auto"/>
              <w:left w:val="single" w:sz="4" w:space="0" w:color="auto"/>
              <w:bottom w:val="single" w:sz="4" w:space="0" w:color="auto"/>
              <w:right w:val="single" w:sz="4" w:space="0" w:color="auto"/>
            </w:tcBorders>
          </w:tcPr>
          <w:p w14:paraId="5435831A"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Pr>
                <w:rFonts w:eastAsia="Arial Unicode MS" w:cs="Arial"/>
                <w:sz w:val="19"/>
              </w:rPr>
              <w:t>T</w:t>
            </w:r>
            <w:r w:rsidRPr="000C2985">
              <w:rPr>
                <w:rFonts w:eastAsia="Arial Unicode MS" w:cs="Arial"/>
                <w:sz w:val="19"/>
              </w:rPr>
              <w:t>o explore practitioners' experiences of strengths-based practice.</w:t>
            </w:r>
          </w:p>
        </w:tc>
        <w:tc>
          <w:tcPr>
            <w:tcW w:w="2254" w:type="dxa"/>
            <w:tcBorders>
              <w:top w:val="single" w:sz="4" w:space="0" w:color="auto"/>
              <w:left w:val="single" w:sz="4" w:space="0" w:color="auto"/>
              <w:bottom w:val="single" w:sz="4" w:space="0" w:color="auto"/>
              <w:right w:val="single" w:sz="4" w:space="0" w:color="auto"/>
            </w:tcBorders>
          </w:tcPr>
          <w:p w14:paraId="23F35D68"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sidRPr="00956B4B">
              <w:rPr>
                <w:rFonts w:eastAsia="Arial Unicode MS" w:cs="Arial"/>
                <w:sz w:val="19"/>
              </w:rPr>
              <w:t>Mixed-method study: 32 survey participants and 10 interviews.</w:t>
            </w:r>
          </w:p>
        </w:tc>
        <w:tc>
          <w:tcPr>
            <w:tcW w:w="2254" w:type="dxa"/>
            <w:tcBorders>
              <w:top w:val="single" w:sz="4" w:space="0" w:color="auto"/>
              <w:left w:val="single" w:sz="4" w:space="0" w:color="auto"/>
              <w:bottom w:val="single" w:sz="4" w:space="0" w:color="auto"/>
              <w:right w:val="single" w:sz="4" w:space="0" w:color="auto"/>
            </w:tcBorders>
          </w:tcPr>
          <w:p w14:paraId="4A5313E8"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sidRPr="006858BF">
              <w:rPr>
                <w:rFonts w:eastAsia="Arial Unicode MS" w:cs="Arial"/>
                <w:sz w:val="19"/>
              </w:rPr>
              <w:t>Practitioners valued strengths-based practice, but implementation depended on organisational support and training.</w:t>
            </w:r>
          </w:p>
        </w:tc>
      </w:tr>
      <w:tr w:rsidR="00925E6C" w:rsidRPr="005C2723" w14:paraId="1824444B" w14:textId="77777777" w:rsidTr="00186C4B">
        <w:trPr>
          <w:cantSplit/>
        </w:trPr>
        <w:tc>
          <w:tcPr>
            <w:tcW w:w="2254" w:type="dxa"/>
            <w:tcBorders>
              <w:top w:val="single" w:sz="4" w:space="0" w:color="auto"/>
              <w:left w:val="single" w:sz="4" w:space="0" w:color="auto"/>
              <w:bottom w:val="single" w:sz="4" w:space="0" w:color="auto"/>
              <w:right w:val="single" w:sz="4" w:space="0" w:color="auto"/>
            </w:tcBorders>
            <w:hideMark/>
          </w:tcPr>
          <w:p w14:paraId="68D3B649"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sidRPr="005C2723">
              <w:rPr>
                <w:rFonts w:eastAsia="Arial Unicode MS" w:cs="Arial"/>
                <w:sz w:val="19"/>
              </w:rPr>
              <w:t>6</w:t>
            </w:r>
            <w:r>
              <w:rPr>
                <w:rFonts w:eastAsia="Arial Unicode MS" w:cs="Arial"/>
                <w:sz w:val="19"/>
              </w:rPr>
              <w:t xml:space="preserve"> </w:t>
            </w:r>
            <w:proofErr w:type="spellStart"/>
            <w:r w:rsidRPr="00B842BC">
              <w:rPr>
                <w:rFonts w:eastAsia="Arial Unicode MS" w:cs="Arial"/>
                <w:sz w:val="19"/>
              </w:rPr>
              <w:t>Keemink</w:t>
            </w:r>
            <w:proofErr w:type="spellEnd"/>
            <w:r w:rsidRPr="00B842BC">
              <w:rPr>
                <w:rFonts w:eastAsia="Arial Unicode MS" w:cs="Arial"/>
                <w:sz w:val="19"/>
              </w:rPr>
              <w:t xml:space="preserve"> et al. (2023)</w:t>
            </w:r>
          </w:p>
        </w:tc>
        <w:tc>
          <w:tcPr>
            <w:tcW w:w="2254" w:type="dxa"/>
            <w:tcBorders>
              <w:top w:val="single" w:sz="4" w:space="0" w:color="auto"/>
              <w:left w:val="single" w:sz="4" w:space="0" w:color="auto"/>
              <w:bottom w:val="single" w:sz="4" w:space="0" w:color="auto"/>
              <w:right w:val="single" w:sz="4" w:space="0" w:color="auto"/>
            </w:tcBorders>
          </w:tcPr>
          <w:p w14:paraId="1D050B6D"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sidRPr="00B842BC">
              <w:rPr>
                <w:rFonts w:eastAsia="Arial Unicode MS" w:cs="Arial"/>
                <w:sz w:val="19"/>
              </w:rPr>
              <w:t>To review the role of adult social care in preventing intensive care needs.</w:t>
            </w:r>
          </w:p>
        </w:tc>
        <w:tc>
          <w:tcPr>
            <w:tcW w:w="2254" w:type="dxa"/>
            <w:tcBorders>
              <w:top w:val="single" w:sz="4" w:space="0" w:color="auto"/>
              <w:left w:val="single" w:sz="4" w:space="0" w:color="auto"/>
              <w:bottom w:val="single" w:sz="4" w:space="0" w:color="auto"/>
              <w:right w:val="single" w:sz="4" w:space="0" w:color="auto"/>
            </w:tcBorders>
          </w:tcPr>
          <w:p w14:paraId="65942691"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sidRPr="00E81B7B">
              <w:rPr>
                <w:rFonts w:eastAsia="Arial Unicode MS" w:cs="Arial"/>
                <w:sz w:val="19"/>
              </w:rPr>
              <w:t>Scoping review of published literature.</w:t>
            </w:r>
          </w:p>
        </w:tc>
        <w:tc>
          <w:tcPr>
            <w:tcW w:w="2254" w:type="dxa"/>
            <w:tcBorders>
              <w:top w:val="single" w:sz="4" w:space="0" w:color="auto"/>
              <w:left w:val="single" w:sz="4" w:space="0" w:color="auto"/>
              <w:bottom w:val="single" w:sz="4" w:space="0" w:color="auto"/>
              <w:right w:val="single" w:sz="4" w:space="0" w:color="auto"/>
            </w:tcBorders>
          </w:tcPr>
          <w:p w14:paraId="7F987DEF"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sidRPr="00E81B7B">
              <w:rPr>
                <w:rFonts w:eastAsia="Arial Unicode MS" w:cs="Arial"/>
                <w:sz w:val="19"/>
              </w:rPr>
              <w:t xml:space="preserve">Reablement and early intervention showed promise, but evidence was </w:t>
            </w:r>
            <w:r w:rsidRPr="008A0E42">
              <w:rPr>
                <w:rFonts w:eastAsia="Arial Unicode MS" w:cs="Arial"/>
                <w:sz w:val="19"/>
              </w:rPr>
              <w:t>inconsistent and heterogeneous.</w:t>
            </w:r>
          </w:p>
        </w:tc>
      </w:tr>
      <w:tr w:rsidR="00925E6C" w:rsidRPr="005C2723" w14:paraId="48017F8A" w14:textId="77777777" w:rsidTr="00186C4B">
        <w:trPr>
          <w:cantSplit/>
        </w:trPr>
        <w:tc>
          <w:tcPr>
            <w:tcW w:w="2254" w:type="dxa"/>
            <w:tcBorders>
              <w:top w:val="single" w:sz="4" w:space="0" w:color="auto"/>
              <w:left w:val="single" w:sz="4" w:space="0" w:color="auto"/>
              <w:bottom w:val="single" w:sz="4" w:space="0" w:color="auto"/>
              <w:right w:val="single" w:sz="4" w:space="0" w:color="auto"/>
            </w:tcBorders>
            <w:hideMark/>
          </w:tcPr>
          <w:p w14:paraId="425CBE7F"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t>7 Local Government Association (2024b)</w:t>
            </w:r>
          </w:p>
        </w:tc>
        <w:tc>
          <w:tcPr>
            <w:tcW w:w="2254" w:type="dxa"/>
            <w:tcBorders>
              <w:top w:val="single" w:sz="4" w:space="0" w:color="auto"/>
              <w:left w:val="single" w:sz="4" w:space="0" w:color="auto"/>
              <w:bottom w:val="single" w:sz="4" w:space="0" w:color="auto"/>
              <w:right w:val="single" w:sz="4" w:space="0" w:color="auto"/>
            </w:tcBorders>
          </w:tcPr>
          <w:p w14:paraId="7B04F263"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sidRPr="003B1C8D">
              <w:rPr>
                <w:rFonts w:eastAsia="Arial Unicode MS" w:cs="Arial"/>
                <w:sz w:val="19"/>
              </w:rPr>
              <w:t>To examine the benefits of earlier action and prevention in adult social care.</w:t>
            </w:r>
          </w:p>
        </w:tc>
        <w:tc>
          <w:tcPr>
            <w:tcW w:w="2254" w:type="dxa"/>
            <w:tcBorders>
              <w:top w:val="single" w:sz="4" w:space="0" w:color="auto"/>
              <w:left w:val="single" w:sz="4" w:space="0" w:color="auto"/>
              <w:bottom w:val="single" w:sz="4" w:space="0" w:color="auto"/>
              <w:right w:val="single" w:sz="4" w:space="0" w:color="auto"/>
            </w:tcBorders>
          </w:tcPr>
          <w:p w14:paraId="07D3C185"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sidRPr="005E64B3">
              <w:rPr>
                <w:rFonts w:eastAsia="Arial Unicode MS" w:cs="Arial"/>
                <w:sz w:val="19"/>
              </w:rPr>
              <w:t>Sector report reviewing 23 interventions with case examples.</w:t>
            </w:r>
          </w:p>
        </w:tc>
        <w:tc>
          <w:tcPr>
            <w:tcW w:w="2254" w:type="dxa"/>
            <w:tcBorders>
              <w:top w:val="single" w:sz="4" w:space="0" w:color="auto"/>
              <w:left w:val="single" w:sz="4" w:space="0" w:color="auto"/>
              <w:bottom w:val="single" w:sz="4" w:space="0" w:color="auto"/>
              <w:right w:val="single" w:sz="4" w:space="0" w:color="auto"/>
            </w:tcBorders>
          </w:tcPr>
          <w:p w14:paraId="61B3C10A"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sidRPr="005E64B3">
              <w:rPr>
                <w:rFonts w:eastAsia="Arial Unicode MS" w:cs="Arial"/>
                <w:sz w:val="19"/>
              </w:rPr>
              <w:t>Preventive services may improve outcomes and reduce future demand, but stronger evaluation is needed.</w:t>
            </w:r>
          </w:p>
        </w:tc>
      </w:tr>
      <w:tr w:rsidR="00925E6C" w:rsidRPr="005C2723" w14:paraId="6DD7F27B" w14:textId="77777777" w:rsidTr="00186C4B">
        <w:trPr>
          <w:cantSplit/>
        </w:trPr>
        <w:tc>
          <w:tcPr>
            <w:tcW w:w="2254" w:type="dxa"/>
            <w:tcBorders>
              <w:top w:val="single" w:sz="4" w:space="0" w:color="auto"/>
              <w:left w:val="single" w:sz="4" w:space="0" w:color="auto"/>
              <w:bottom w:val="single" w:sz="4" w:space="0" w:color="auto"/>
              <w:right w:val="single" w:sz="4" w:space="0" w:color="auto"/>
            </w:tcBorders>
            <w:hideMark/>
          </w:tcPr>
          <w:p w14:paraId="7C86A1FA" w14:textId="77777777" w:rsidR="00E00489" w:rsidRDefault="00733241">
            <w:pPr>
              <w:spacing w:line="240" w:lineRule="auto"/>
            </w:pPr>
            <w:r>
              <w:rPr>
                <w:sz w:val="19"/>
              </w:rPr>
              <w:lastRenderedPageBreak/>
              <w:t xml:space="preserve">8 Marczak, </w:t>
            </w:r>
            <w:proofErr w:type="spellStart"/>
            <w:r>
              <w:rPr>
                <w:sz w:val="19"/>
              </w:rPr>
              <w:t>Wistow</w:t>
            </w:r>
            <w:proofErr w:type="spellEnd"/>
            <w:r>
              <w:rPr>
                <w:sz w:val="19"/>
              </w:rPr>
              <w:t xml:space="preserve"> and Fernandez (2024)</w:t>
            </w:r>
          </w:p>
        </w:tc>
        <w:tc>
          <w:tcPr>
            <w:tcW w:w="2254" w:type="dxa"/>
            <w:tcBorders>
              <w:top w:val="single" w:sz="4" w:space="0" w:color="auto"/>
              <w:left w:val="single" w:sz="4" w:space="0" w:color="auto"/>
              <w:bottom w:val="single" w:sz="4" w:space="0" w:color="auto"/>
              <w:right w:val="single" w:sz="4" w:space="0" w:color="auto"/>
            </w:tcBorders>
          </w:tcPr>
          <w:p w14:paraId="5400F3A6"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Pr>
                <w:rFonts w:eastAsia="Arial Unicode MS" w:cs="Arial"/>
                <w:sz w:val="19"/>
              </w:rPr>
              <w:t>T</w:t>
            </w:r>
            <w:r w:rsidRPr="000F6BCE">
              <w:rPr>
                <w:rFonts w:eastAsia="Arial Unicode MS" w:cs="Arial"/>
                <w:sz w:val="19"/>
              </w:rPr>
              <w:t>o investigate how prevention is implemented in English adult social care.</w:t>
            </w:r>
          </w:p>
        </w:tc>
        <w:tc>
          <w:tcPr>
            <w:tcW w:w="2254" w:type="dxa"/>
            <w:tcBorders>
              <w:top w:val="single" w:sz="4" w:space="0" w:color="auto"/>
              <w:left w:val="single" w:sz="4" w:space="0" w:color="auto"/>
              <w:bottom w:val="single" w:sz="4" w:space="0" w:color="auto"/>
              <w:right w:val="single" w:sz="4" w:space="0" w:color="auto"/>
            </w:tcBorders>
          </w:tcPr>
          <w:p w14:paraId="438FFCA6"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sidRPr="00AC12DA">
              <w:rPr>
                <w:rFonts w:eastAsia="Arial Unicode MS" w:cs="Arial"/>
                <w:sz w:val="19"/>
              </w:rPr>
              <w:t>Qualitative implementation research with local stakeholders.</w:t>
            </w:r>
          </w:p>
        </w:tc>
        <w:tc>
          <w:tcPr>
            <w:tcW w:w="2254" w:type="dxa"/>
            <w:tcBorders>
              <w:top w:val="single" w:sz="4" w:space="0" w:color="auto"/>
              <w:left w:val="single" w:sz="4" w:space="0" w:color="auto"/>
              <w:bottom w:val="single" w:sz="4" w:space="0" w:color="auto"/>
              <w:right w:val="single" w:sz="4" w:space="0" w:color="auto"/>
            </w:tcBorders>
          </w:tcPr>
          <w:p w14:paraId="05DC41E0"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Pr>
                <w:rFonts w:eastAsia="Arial Unicode MS" w:cs="Arial"/>
                <w:sz w:val="19"/>
              </w:rPr>
              <w:t>S</w:t>
            </w:r>
            <w:r w:rsidRPr="00AC12DA">
              <w:rPr>
                <w:rFonts w:eastAsia="Arial Unicode MS" w:cs="Arial"/>
                <w:sz w:val="19"/>
              </w:rPr>
              <w:t>uccessful prevention depended on leadership, collaboration, workforce capacity and adequate resources.</w:t>
            </w:r>
          </w:p>
        </w:tc>
      </w:tr>
      <w:tr w:rsidR="00925E6C" w:rsidRPr="005C2723" w14:paraId="3CEE290E" w14:textId="77777777" w:rsidTr="00186C4B">
        <w:trPr>
          <w:cantSplit/>
        </w:trPr>
        <w:tc>
          <w:tcPr>
            <w:tcW w:w="2254" w:type="dxa"/>
            <w:tcBorders>
              <w:top w:val="single" w:sz="4" w:space="0" w:color="auto"/>
              <w:left w:val="single" w:sz="4" w:space="0" w:color="auto"/>
              <w:bottom w:val="single" w:sz="4" w:space="0" w:color="auto"/>
              <w:right w:val="single" w:sz="4" w:space="0" w:color="auto"/>
            </w:tcBorders>
            <w:hideMark/>
          </w:tcPr>
          <w:p w14:paraId="107E5D29"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sidRPr="005C2723">
              <w:rPr>
                <w:rFonts w:eastAsia="Arial Unicode MS" w:cs="Arial"/>
                <w:sz w:val="19"/>
              </w:rPr>
              <w:t>9</w:t>
            </w:r>
            <w:r>
              <w:rPr>
                <w:rFonts w:eastAsia="Arial Unicode MS" w:cs="Arial"/>
                <w:sz w:val="19"/>
              </w:rPr>
              <w:t xml:space="preserve"> </w:t>
            </w:r>
            <w:r w:rsidRPr="006F3A0E">
              <w:rPr>
                <w:rFonts w:eastAsia="Arial Unicode MS" w:cs="Arial"/>
                <w:sz w:val="19"/>
              </w:rPr>
              <w:t>Stevens et al. (2024)</w:t>
            </w:r>
          </w:p>
        </w:tc>
        <w:tc>
          <w:tcPr>
            <w:tcW w:w="2254" w:type="dxa"/>
            <w:tcBorders>
              <w:top w:val="single" w:sz="4" w:space="0" w:color="auto"/>
              <w:left w:val="single" w:sz="4" w:space="0" w:color="auto"/>
              <w:bottom w:val="single" w:sz="4" w:space="0" w:color="auto"/>
              <w:right w:val="single" w:sz="4" w:space="0" w:color="auto"/>
            </w:tcBorders>
          </w:tcPr>
          <w:p w14:paraId="5AC8A6C4"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sidRPr="006F3A0E">
              <w:rPr>
                <w:rFonts w:eastAsia="Arial Unicode MS" w:cs="Arial"/>
                <w:sz w:val="19"/>
              </w:rPr>
              <w:t>To develop a theory of change for strengths-based practice ("Three Conversations").</w:t>
            </w:r>
          </w:p>
        </w:tc>
        <w:tc>
          <w:tcPr>
            <w:tcW w:w="2254" w:type="dxa"/>
            <w:tcBorders>
              <w:top w:val="single" w:sz="4" w:space="0" w:color="auto"/>
              <w:left w:val="single" w:sz="4" w:space="0" w:color="auto"/>
              <w:bottom w:val="single" w:sz="4" w:space="0" w:color="auto"/>
              <w:right w:val="single" w:sz="4" w:space="0" w:color="auto"/>
            </w:tcBorders>
          </w:tcPr>
          <w:p w14:paraId="5EB281DF"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Pr>
                <w:rFonts w:eastAsia="Arial Unicode MS" w:cs="Arial"/>
                <w:sz w:val="19"/>
              </w:rPr>
              <w:t>T</w:t>
            </w:r>
            <w:r w:rsidRPr="0051468E">
              <w:rPr>
                <w:rFonts w:eastAsia="Arial Unicode MS" w:cs="Arial"/>
                <w:sz w:val="19"/>
              </w:rPr>
              <w:t>heory-of-change study using stakeholder evidence.</w:t>
            </w:r>
          </w:p>
        </w:tc>
        <w:tc>
          <w:tcPr>
            <w:tcW w:w="2254" w:type="dxa"/>
            <w:tcBorders>
              <w:top w:val="single" w:sz="4" w:space="0" w:color="auto"/>
              <w:left w:val="single" w:sz="4" w:space="0" w:color="auto"/>
              <w:bottom w:val="single" w:sz="4" w:space="0" w:color="auto"/>
              <w:right w:val="single" w:sz="4" w:space="0" w:color="auto"/>
            </w:tcBorders>
          </w:tcPr>
          <w:p w14:paraId="012D2B98" w14:textId="77777777" w:rsidR="00925E6C" w:rsidRPr="005C2723" w:rsidRDefault="00925E6C" w:rsidP="00186C4B">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mirrorIndents/>
              <w:rPr>
                <w:rFonts w:eastAsia="Arial Unicode MS" w:cs="Arial"/>
              </w:rPr>
            </w:pPr>
            <w:r w:rsidRPr="002C1836">
              <w:rPr>
                <w:rFonts w:eastAsia="Arial Unicode MS" w:cs="Arial"/>
                <w:sz w:val="19"/>
              </w:rPr>
              <w:t>Effective implementation required organisational commitment, supervision and practitioner autonomy</w:t>
            </w:r>
          </w:p>
        </w:tc>
      </w:tr>
      <w:tr w:rsidR="00925E6C" w14:paraId="3C23F9A3" w14:textId="77777777" w:rsidTr="00186C4B">
        <w:trPr>
          <w:cantSplit/>
        </w:trPr>
        <w:tc>
          <w:tcPr>
            <w:tcW w:w="2254" w:type="dxa"/>
          </w:tcPr>
          <w:p w14:paraId="17A9D8D4" w14:textId="77777777" w:rsidR="00E00489" w:rsidRDefault="00733241">
            <w:pPr>
              <w:spacing w:line="240" w:lineRule="auto"/>
            </w:pPr>
            <w:r>
              <w:rPr>
                <w:sz w:val="19"/>
              </w:rPr>
              <w:t>10 Willis et al. (2022)</w:t>
            </w:r>
          </w:p>
        </w:tc>
        <w:tc>
          <w:tcPr>
            <w:tcW w:w="2254" w:type="dxa"/>
          </w:tcPr>
          <w:p w14:paraId="69EFFAAE" w14:textId="77777777" w:rsidR="00925E6C" w:rsidRDefault="00925E6C" w:rsidP="00186C4B">
            <w:pPr>
              <w:spacing w:line="240" w:lineRule="auto"/>
              <w:rPr>
                <w:rFonts w:cs="Arial"/>
              </w:rPr>
            </w:pPr>
            <w:r w:rsidRPr="00AF08DD">
              <w:rPr>
                <w:rFonts w:cs="Arial"/>
                <w:sz w:val="19"/>
              </w:rPr>
              <w:t>To explore the contribution of social workers within multidisciplinary teams.</w:t>
            </w:r>
          </w:p>
        </w:tc>
        <w:tc>
          <w:tcPr>
            <w:tcW w:w="2254" w:type="dxa"/>
          </w:tcPr>
          <w:p w14:paraId="3670D1DC" w14:textId="77777777" w:rsidR="00925E6C" w:rsidRDefault="00925E6C" w:rsidP="00186C4B">
            <w:pPr>
              <w:spacing w:line="240" w:lineRule="auto"/>
              <w:rPr>
                <w:rFonts w:cs="Arial"/>
              </w:rPr>
            </w:pPr>
            <w:r w:rsidRPr="00AF08DD">
              <w:rPr>
                <w:rFonts w:cs="Arial"/>
                <w:sz w:val="19"/>
              </w:rPr>
              <w:t>Qualitative multiple-case study involving 21 practitioners across five services.</w:t>
            </w:r>
          </w:p>
        </w:tc>
        <w:tc>
          <w:tcPr>
            <w:tcW w:w="2254" w:type="dxa"/>
          </w:tcPr>
          <w:p w14:paraId="212FA6F0" w14:textId="77777777" w:rsidR="00925E6C" w:rsidRDefault="00925E6C" w:rsidP="00186C4B">
            <w:pPr>
              <w:spacing w:line="240" w:lineRule="auto"/>
              <w:rPr>
                <w:rFonts w:cs="Arial"/>
              </w:rPr>
            </w:pPr>
            <w:r w:rsidRPr="00C57E6F">
              <w:rPr>
                <w:rFonts w:cs="Arial"/>
                <w:sz w:val="19"/>
              </w:rPr>
              <w:t>Social workers contributed advocacy, psychosocial assessment, coordination and early intervention within integrated teams.</w:t>
            </w:r>
          </w:p>
        </w:tc>
      </w:tr>
    </w:tbl>
    <w:p w14:paraId="4B2CC1C0" w14:textId="77777777" w:rsidR="00925E6C" w:rsidRPr="005B56DB" w:rsidRDefault="00925E6C" w:rsidP="00925E6C">
      <w:pPr>
        <w:rPr>
          <w:rFonts w:cs="Arial"/>
        </w:rPr>
      </w:pPr>
    </w:p>
    <w:p w14:paraId="0F11ACEF" w14:textId="77777777" w:rsidR="00925E6C" w:rsidRPr="002E055B" w:rsidRDefault="00925E6C" w:rsidP="00925E6C">
      <w:pPr>
        <w:pStyle w:val="Heading2"/>
        <w:keepNext/>
        <w:ind w:left="0"/>
        <w:rPr>
          <w:rFonts w:cs="Arial"/>
          <w:b w:val="0"/>
          <w:bCs/>
        </w:rPr>
      </w:pPr>
      <w:bookmarkStart w:id="41" w:name="_Toc236665560"/>
      <w:r w:rsidRPr="002E055B">
        <w:rPr>
          <w:rFonts w:cs="Arial"/>
          <w:bCs/>
        </w:rPr>
        <w:t>4.2.2 Analysis of the Results/Themes Found</w:t>
      </w:r>
      <w:bookmarkEnd w:id="41"/>
    </w:p>
    <w:p w14:paraId="3423F98F" w14:textId="77777777" w:rsidR="00925E6C" w:rsidRDefault="00925E6C" w:rsidP="00925E6C">
      <w:pPr>
        <w:pStyle w:val="Heading3"/>
        <w:keepNext/>
        <w:rPr>
          <w:rFonts w:cs="Arial"/>
          <w:b w:val="0"/>
          <w:bCs/>
        </w:rPr>
      </w:pPr>
      <w:bookmarkStart w:id="42" w:name="_Toc236665561"/>
      <w:r w:rsidRPr="002E055B">
        <w:rPr>
          <w:rFonts w:cs="Arial"/>
          <w:bCs/>
        </w:rPr>
        <w:t>Theme 1: Strengths-Based Practice and Empowerment</w:t>
      </w:r>
      <w:bookmarkEnd w:id="42"/>
    </w:p>
    <w:p w14:paraId="6329A748" w14:textId="77777777" w:rsidR="000F2426" w:rsidRPr="000F2426" w:rsidRDefault="000F2426" w:rsidP="000F2426">
      <w:pPr>
        <w:rPr>
          <w:rFonts w:cs="Arial"/>
        </w:rPr>
      </w:pPr>
      <w:r>
        <w:t>Strengths-based practice emerged as the most consistently reported preventive intervention across the included studies. Rather than focusing on individuals' deficits, risks or service needs, this approach seeks to identify and build upon existing strengths, capabilities and social networks to enhance independence and wellbeing. The findings indicate that strengths-based practice aligns closely with the preventative principles of the Care Act 2014, which requires local authorities to promote wellbeing, delay escalating care needs and support individuals to maintain control over their lives. Several studies demonstrated that strengths-based approaches improved service users' confidence, resilience and participation in decision-making. Caiels et al. (2024) found that practitioners adopting strengths-based conversations were better able to identify personal assets and community resources, enabling individuals to develop practical solutions that reduced dependence on formal services. Similarly, Stevens et al. (2024) reported that collaborative assessment encouraged greater engagement between practitioners and vulnerable adults, resulting in more personalised support plans and improved satisfaction with social care services. These findings suggest that empowerment is not achieved solely through service provision but through meaningful involvement of individuals in decisions affecting their own care.</w:t>
      </w:r>
    </w:p>
    <w:p w14:paraId="5003682C" w14:textId="77777777" w:rsidR="000F2426" w:rsidRPr="000F2426" w:rsidRDefault="000F2426" w:rsidP="000F2426">
      <w:pPr>
        <w:rPr>
          <w:rFonts w:cs="Arial"/>
        </w:rPr>
      </w:pPr>
      <w:r>
        <w:t xml:space="preserve">The review also highlighted that strengths-based practice contributes to prevention by encouraging early intervention before needs become more complex. By recognising existing abilities and promoting self-management, practitioners can support individuals to maintain </w:t>
      </w:r>
      <w:r>
        <w:lastRenderedPageBreak/>
        <w:t>independence and reduce the likelihood of crisis intervention. This reflects current UK policy, which emphasises prevention as a cost-effective and person-centred strategy for improving long-term outcomes (Department of Health and Social Care, 2023b). Consequently, strengths-based practice supports both individual wellbeing and the sustainability of adult social care services. Despite these benefits, the evidence identified several barriers to effective implementation. One of the most frequently reported challenges was organisational pressure resulting from increasing demand for adult social care services. High caseloads, workforce shortages and limited resources often restricted practitioners' ability to undertake meaningful strengths-based assessments. Caiels et al. (2024) argued that when practitioners face significant time constraints, assessments may become task-focused and prioritise immediate risk management rather than collaborative planning. As a result, opportunities for early intervention and empowerment may be reduced. The review also found variation in practitioners' understanding and application of strengths-based principles. While many organisations have adopted strengths-based policies, implementation remains inconsistent across local authorities. Stevens et al. (2024) suggested that differences in professional training, supervision and organisational culture influence the quality of strengths-based practice. Without ongoing professional development and supportive leadership, practitioners may continue to rely on traditional deficit-focused models that emphasise problems rather than capabilities. This inconsistency may contribute to unequal experiences for service users across different regions.</w:t>
      </w:r>
    </w:p>
    <w:p w14:paraId="2DC032DB" w14:textId="77777777" w:rsidR="000F2426" w:rsidRPr="000F2426" w:rsidRDefault="000F2426" w:rsidP="000F2426">
      <w:pPr>
        <w:rPr>
          <w:rFonts w:cs="Arial"/>
        </w:rPr>
      </w:pPr>
      <w:r w:rsidRPr="000F2426">
        <w:rPr>
          <w:rFonts w:cs="Arial"/>
        </w:rPr>
        <w:t>A further limitation identified within the literature concerns the evidence base itself. Although most studies reported positive outcomes, several relied on qualitative interviews or relatively small case-study samples, reducing the generalisability of findings. Few studies measured long-term outcomes such as sustained independence, reduced hospital admissions or delayed entry into residential care. Consequently, while existing evidence strongly supports strengths-based practice as an effective preventive intervention, further longitudinal research is required to evaluate its long-term effectiveness across diverse populations.</w:t>
      </w:r>
    </w:p>
    <w:p w14:paraId="416BD15A" w14:textId="77777777" w:rsidR="000F2426" w:rsidRPr="000F2426" w:rsidRDefault="000F2426" w:rsidP="000F2426">
      <w:pPr>
        <w:rPr>
          <w:rFonts w:cs="Arial"/>
        </w:rPr>
      </w:pPr>
      <w:r w:rsidRPr="000F2426">
        <w:rPr>
          <w:rFonts w:cs="Arial"/>
        </w:rPr>
        <w:t>Overall, the findings indicate that strengths-based practice represents a central component of contemporary preventive social work in the United Kingdom. When supported by adequate organisational resources, skilled practitioners and effective inter-agency collaboration, it enables vulnerable adults to exercise greater choice and control while reducing reliance on statutory services. However, achieving these outcomes consistently requires continued investment in workforce development, supervision and organisational capacity to ensure that strengths-based practice is implemented as intended rather than remaining a policy aspiration.</w:t>
      </w:r>
    </w:p>
    <w:p w14:paraId="604B42B5" w14:textId="77777777" w:rsidR="00925E6C" w:rsidRPr="00D4257D" w:rsidRDefault="00925E6C" w:rsidP="00925E6C">
      <w:pPr>
        <w:rPr>
          <w:rFonts w:cs="Arial"/>
        </w:rPr>
      </w:pPr>
    </w:p>
    <w:p w14:paraId="424B11DD" w14:textId="77777777" w:rsidR="00925E6C" w:rsidRDefault="00925E6C" w:rsidP="00925E6C">
      <w:pPr>
        <w:pStyle w:val="Heading3"/>
        <w:keepNext/>
        <w:rPr>
          <w:rFonts w:cs="Arial"/>
          <w:bCs/>
        </w:rPr>
      </w:pPr>
      <w:bookmarkStart w:id="43" w:name="_Toc236665562"/>
      <w:r w:rsidRPr="00F34AD2">
        <w:rPr>
          <w:rFonts w:cs="Arial"/>
          <w:bCs/>
        </w:rPr>
        <w:lastRenderedPageBreak/>
        <w:t>Theme 2: Reablement and Maintaining Independence</w:t>
      </w:r>
      <w:bookmarkEnd w:id="43"/>
    </w:p>
    <w:p w14:paraId="54F92BA4" w14:textId="77777777" w:rsidR="00967CA7" w:rsidRPr="00967CA7" w:rsidRDefault="00967CA7" w:rsidP="00967CA7">
      <w:r>
        <w:t>Reablement emerged as one of the most effective preventive interventions identified in the reviewed literature. Unlike traditional models of long-term care, reablement focuses on enabling individuals to regain or maintain the skills necessary for independent living through short-term, goal-oriented support. Rather than encouraging dependence on statutory services, reablement aims to maximise functional ability, improve confidence and promote self-management. This approach reflects the preventive duties outlined in the Care Act 2014, which emphasises delaying or reducing the need for long-term care through early intervention and personalised support. The reviewed studies consistently demonstrated positive outcomes associated with reablement services. Keemink et al. (2023) reported that individuals receiving structured reablement interventions experienced significant improvements in mobility, personal care and the ability to undertake activities of daily living. These improvements enabled many participants to remain in their own homes for longer, reducing dependence on residential care and intensive social care services. Similar findings were reported across government evaluations, which suggested that early investment in reablement can improve quality of life while reducing long-term demand for health and social care resources (Local Government Association, 2024b). The wider evidence indicates potential gains in function and independence, although intervention content, eligibility and outcome measurement vary across services (Aspinal et al., 2016; Whitehead et al., 2016; NICE, 2017; Beresford et al., 2019; Bennett et al., 2022; Clotworthy, Kusumastuti and Westendorp, 2021).</w:t>
      </w:r>
    </w:p>
    <w:p w14:paraId="760C230B" w14:textId="77777777" w:rsidR="00967CA7" w:rsidRPr="00967CA7" w:rsidRDefault="00967CA7" w:rsidP="00967CA7">
      <w:r>
        <w:t>A key strength of reablement identified within the literature is its person-centred approach. Rather than completing tasks on behalf of service users, practitioners work collaboratively with individuals to establish realistic goals and encourage active participation throughout the intervention. This process promotes autonomy and confidence while recognising that recovery and independence vary according to each person's circumstances. Consequently, reablement supports the wider principles of empowerment by enabling vulnerable adults to develop practical skills and maintain greater control over their everyday lives. The review also highlighted the importance of multidisciplinary working in achieving successful reablement outcomes. Effective interventions frequently involved collaboration between social workers, occupational therapists, physiotherapists, community nurses and voluntary organisations. Such integrated working ensured that physical, psychological and social needs were addressed simultaneously, producing more holistic and sustainable outcomes. These findings are consistent with current UK policy promoting integrated care systems that strengthen collaboration between health and social care services to improve prevention and continuity of care (NHS England, 2019).</w:t>
      </w:r>
    </w:p>
    <w:p w14:paraId="4AA94F7C" w14:textId="77777777" w:rsidR="00967CA7" w:rsidRPr="00967CA7" w:rsidRDefault="00967CA7" w:rsidP="00967CA7">
      <w:r w:rsidRPr="00967CA7">
        <w:t xml:space="preserve">Despite these positive findings, several limitations were identified. Access to reablement </w:t>
      </w:r>
      <w:r w:rsidRPr="00967CA7">
        <w:lastRenderedPageBreak/>
        <w:t>services varied considerably across local authorities because of differences in funding, workforce capacity and service availability. Some studies reported waiting times and limited programme duration, restricting opportunities for individuals to achieve their rehabilitation goals fully. Workforce shortages also reduced the intensity and continuity of support, potentially affecting the effectiveness of interventions. These organisational challenges suggest that successful reablement depends not only on the intervention itself but also on sufficient investment and effective service planning.</w:t>
      </w:r>
      <w:r w:rsidR="00DD12DA">
        <w:t xml:space="preserve"> </w:t>
      </w:r>
      <w:r w:rsidRPr="00967CA7">
        <w:t>Methodological limitations within the evidence base should also be acknowledged. Although most studies reported improvements in independence and reduced care needs, follow-up periods were generally short, limiting understanding of whether benefits were maintained over time. Furthermore, outcome measures differed across studies, making direct comparison difficult. Nevertheless, the consistency of positive findings across qualitative, quantitative and policy evidence strengthens confidence that reablement is an important component of preventive adult social care.</w:t>
      </w:r>
    </w:p>
    <w:p w14:paraId="5C5B36DD" w14:textId="77777777" w:rsidR="00967CA7" w:rsidRPr="00967CA7" w:rsidRDefault="00967CA7" w:rsidP="00967CA7">
      <w:r w:rsidRPr="00967CA7">
        <w:t>Overall, the evidence indicates that reablement contributes significantly to preventing deterioration in vulnerable adults by promoting independence, improving functional ability and reducing reliance on long-term services. However, its effectiveness depends upon timely access, multidisciplinary collaboration and adequate organisational resources. Continued investment in reablement services, alongside workforce development and consistent implementation across local authorities, is therefore essential to maximise preventive outcomes and support sustainable adult social care provision in the United Kingdom.</w:t>
      </w:r>
    </w:p>
    <w:p w14:paraId="3254AEED" w14:textId="77777777" w:rsidR="00F4158E" w:rsidRPr="00A32435" w:rsidRDefault="00F4158E" w:rsidP="00F4158E">
      <w:pPr>
        <w:pStyle w:val="Heading3"/>
        <w:keepNext/>
        <w:ind w:left="0"/>
        <w:rPr>
          <w:rFonts w:cs="Arial"/>
          <w:bCs/>
        </w:rPr>
      </w:pPr>
      <w:bookmarkStart w:id="44" w:name="_Toc236665563"/>
      <w:r w:rsidRPr="00A32435">
        <w:rPr>
          <w:rFonts w:cs="Arial"/>
          <w:bCs/>
        </w:rPr>
        <w:t>Theme 3: Community-Based Prevention and Local Area Coordination</w:t>
      </w:r>
      <w:bookmarkEnd w:id="44"/>
    </w:p>
    <w:p w14:paraId="75C7907D" w14:textId="77777777" w:rsidR="00254172" w:rsidRPr="00254172" w:rsidRDefault="00254172" w:rsidP="002541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rPr>
      </w:pPr>
      <w:r>
        <w:t xml:space="preserve">Community-based preventive interventions were consistently identified within the reviewed literature as an effective means of promoting independence, strengthening resilience and reducing reliance on statutory social care services. Unlike traditional service models that primarily respond to crises, community-based approaches seek to intervene earlier by connecting vulnerable adults with local resources, voluntary organisations and informal support networks. This preventative model reflects the principles of the Care Act 2014, which emphasises wellbeing, early intervention and community engagement as central objectives of adult social care. A prominent intervention identified in the review was Local Area Coordination (LAC). LAC aims to support individuals by building relationships, identifying personal strengths and facilitating access to community resources before care needs become more complex. Bainbridge and Lunt (2021) found that individuals receiving Local Area Coordination reported increased confidence, stronger social connections and improved ability to manage everyday </w:t>
      </w:r>
      <w:r>
        <w:lastRenderedPageBreak/>
        <w:t>challenges independently. Rather than relying solely on formal care services, participants were encouraged to utilise existing family relationships, neighbourhood support and voluntary organisations, contributing to greater self-reliance and community participation. Evidence syntheses similarly suggest that Local Area Coordination can strengthen connections and navigation, while cautioning that causal and long-term outcome evidence remains limited (Lunt, Bainbridge and Rippon, 2020; Thiery et al., 2023).</w:t>
      </w:r>
    </w:p>
    <w:p w14:paraId="03FEF5D0" w14:textId="77777777" w:rsidR="00254172" w:rsidRPr="00254172" w:rsidRDefault="00254172" w:rsidP="002541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rPr>
      </w:pPr>
      <w:r w:rsidRPr="00254172">
        <w:rPr>
          <w:rFonts w:eastAsia="Arial Unicode MS" w:cs="Arial"/>
        </w:rPr>
        <w:t>The findings suggest that community-based interventions are particularly effective in addressing the social determinants of health and wellbeing. Many vulnerable adults experience social isolation, financial hardship and limited access to local support, all of which increase the risk of deteriorating physical and mental health. By strengthening community participation and improving access to local resources, preventive interventions can reduce loneliness, enhance resilience and improve overall quality of life. This supports evidence that prevention should extend beyond health and social care services to include wider community assets that promote long-term wellbeing.</w:t>
      </w:r>
      <w:r>
        <w:rPr>
          <w:rFonts w:eastAsia="Arial Unicode MS" w:cs="Arial"/>
        </w:rPr>
        <w:t xml:space="preserve"> </w:t>
      </w:r>
      <w:r w:rsidRPr="00254172">
        <w:rPr>
          <w:rFonts w:eastAsia="Arial Unicode MS" w:cs="Arial"/>
        </w:rPr>
        <w:t>Several studies also highlighted the importance of partnership working in successful community-based prevention. Effective interventions depended upon collaboration between local authorities, NHS services, voluntary organisations and community groups. Such partnerships enabled professionals to provide coordinated support that addressed multiple aspects of individuals' lives rather than focusing solely on immediate care needs. Integrated working therefore contributed to earlier identification of emerging problems and reduced duplication of services, improving both service efficiency and user experience.</w:t>
      </w:r>
      <w:r w:rsidR="00A17A9D">
        <w:rPr>
          <w:rFonts w:eastAsia="Arial Unicode MS" w:cs="Arial"/>
        </w:rPr>
        <w:t xml:space="preserve"> </w:t>
      </w:r>
      <w:r w:rsidRPr="00254172">
        <w:rPr>
          <w:rFonts w:eastAsia="Arial Unicode MS" w:cs="Arial"/>
        </w:rPr>
        <w:t>Despite these positive findings, the review identified significant barriers to implementing community-based prevention consistently across the United Kingdom. One recurring challenge was geographical variation in service availability. Access to community organisations, voluntary sector provision and Local Area Coordination differed considerably between local authorities, resulting in unequal opportunities for vulnerable adults to benefit from preventive support. Rural communities were particularly affected by limited transport, fewer voluntary organisations and reduced availability of specialist services, potentially increasing inequalities in access to prevention.</w:t>
      </w:r>
    </w:p>
    <w:p w14:paraId="6728DD57" w14:textId="77777777" w:rsidR="00254172" w:rsidRPr="00254172" w:rsidRDefault="00254172" w:rsidP="002541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rPr>
      </w:pPr>
      <w:r w:rsidRPr="00254172">
        <w:rPr>
          <w:rFonts w:eastAsia="Arial Unicode MS" w:cs="Arial"/>
        </w:rPr>
        <w:t>Financial pressures also influenced the sustainability of community-based interventions. Several studies reported that reductions in local authority funding had affected investment in preventive services despite evidence suggesting that early intervention may reduce long-term expenditure. This creates a continuing tension between responding to immediate statutory responsibilities and investing in preventive programmes whose benefits may only become evident over time. Consequently, preventive services are often vulnerable during periods of financial constraint despite their recognised long-term value.</w:t>
      </w:r>
      <w:r w:rsidR="00A17A9D">
        <w:rPr>
          <w:rFonts w:eastAsia="Arial Unicode MS" w:cs="Arial"/>
        </w:rPr>
        <w:t xml:space="preserve"> </w:t>
      </w:r>
      <w:r w:rsidRPr="00254172">
        <w:rPr>
          <w:rFonts w:eastAsia="Arial Unicode MS" w:cs="Arial"/>
        </w:rPr>
        <w:t xml:space="preserve">The methodological evidence also presents some limitations. Much of the research evaluating Local Area Coordination and </w:t>
      </w:r>
      <w:r w:rsidRPr="00254172">
        <w:rPr>
          <w:rFonts w:eastAsia="Arial Unicode MS" w:cs="Arial"/>
        </w:rPr>
        <w:lastRenderedPageBreak/>
        <w:t>community-based initiatives relied on qualitative methods and local evaluations involving relatively small participant groups. Although these studies provided valuable insight into service users' experiences, they offered limited evidence regarding long-term effectiveness or cost-effectiveness at a national level. Further longitudinal and comparative research is therefore required to establish whether positive outcomes can be sustained across different communities and organisational settings.</w:t>
      </w:r>
    </w:p>
    <w:p w14:paraId="25C035F6" w14:textId="77777777" w:rsidR="00254172" w:rsidRPr="00254172" w:rsidRDefault="00254172" w:rsidP="0025417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rPr>
      </w:pPr>
      <w:r w:rsidRPr="00254172">
        <w:rPr>
          <w:rFonts w:eastAsia="Arial Unicode MS" w:cs="Arial"/>
        </w:rPr>
        <w:t>Overall, the reviewed evidence indicates that community-based prevention and Local Area Coordination make a valuable contribution to preventive social work by strengthening community connections, promoting independence and reducing social isolation. However, their effectiveness depends upon adequate investment, strong inter-agency collaboration and equitable access to community resources. Addressing regional inequalities and ensuring sustainable funding will be essential if these interventions are to achieve their full preventive potential within adult social care.</w:t>
      </w:r>
    </w:p>
    <w:p w14:paraId="59E2F2A9" w14:textId="77777777" w:rsidR="00F4158E" w:rsidRPr="00CA7A43" w:rsidRDefault="00F4158E" w:rsidP="00F4158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rPr>
      </w:pPr>
    </w:p>
    <w:p w14:paraId="7284247E" w14:textId="77777777" w:rsidR="00F4158E" w:rsidRPr="00CA7A43" w:rsidRDefault="00F4158E" w:rsidP="00F4158E">
      <w:pPr>
        <w:pStyle w:val="Heading3"/>
        <w:keepNext/>
        <w:ind w:left="0"/>
        <w:rPr>
          <w:rFonts w:cs="Arial"/>
          <w:bCs/>
        </w:rPr>
      </w:pPr>
      <w:bookmarkStart w:id="45" w:name="_Toc236665564"/>
      <w:r w:rsidRPr="00CA7A43">
        <w:rPr>
          <w:rFonts w:cs="Arial"/>
          <w:bCs/>
        </w:rPr>
        <w:t>Theme 4: Social Prescribing and Reducing Social Isolation</w:t>
      </w:r>
      <w:bookmarkEnd w:id="45"/>
    </w:p>
    <w:p w14:paraId="5278F394" w14:textId="77777777" w:rsidR="009521D8" w:rsidRPr="009521D8" w:rsidRDefault="009521D8" w:rsidP="009521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rPr>
      </w:pPr>
      <w:r>
        <w:t>Social prescribing emerged as an important preventive intervention within the included studies, particularly in addressing loneliness, social isolation and the wider social determinants of health affecting vulnerable adults. Unlike traditional medical approaches that focus primarily on clinical treatment, social prescribing enables practitioners to refer individuals to community organisations, voluntary services and non-clinical activities that promote wellbeing, social participation and independence. The findings suggest that this approach supports preventative social work by recognising that many care needs arise from social circumstances rather than medical conditions alone (Bu et al., 2026; Local Government Association, 2024b). Reviews and UK evaluations report promising psychosocial outcomes but also substantial variation in referral pathways, link-worker roles, local assets and evaluation quality (Bickerdike et al., 2017; Moffatt et al., 2017; Pescheny, Pappas and Randhawa, 2018; Wildman et al., 2019; Husk et al., 2019; Wilson et al., 2025).</w:t>
      </w:r>
    </w:p>
    <w:p w14:paraId="05254DB6" w14:textId="77777777" w:rsidR="009521D8" w:rsidRPr="009521D8" w:rsidRDefault="009521D8" w:rsidP="009521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rPr>
      </w:pPr>
      <w:r>
        <w:t xml:space="preserve">Bu et al. (2026) provided the strongest evidence supporting social prescribing. Their longitudinal study reported improvements in wellbeing, happiness and life satisfaction among participants who engaged with community-based activities. These findings indicate that strengthening social connections can reduce loneliness while improving emotional wellbeing. However, the authors also acknowledged that evidence regarding long-term outcomes remains limited, making it difficult to determine whether these improvements are sustained over time. This limitation suggests that further longitudinal evaluation is required before firm </w:t>
      </w:r>
      <w:r>
        <w:lastRenderedPageBreak/>
        <w:t xml:space="preserve">conclusions can be drawn regarding the long-term effectiveness of social prescribing. The findings support Bronfenbrenner's Ecological Systems Theory, discussed in Chapter 2, which argues that wellbeing is influenced by interactions between individuals and their wider social environment. Social prescribing strengthens these interactions by encouraging participation in community groups and local support networks. Likewise, the findings reflect the Strengths-Based Approach, as practitioners identify community assets capable of supporting individuals instead of relying solely on statutory services. Despite these benefits, implementation varied considerably across local authorities. The Local Government Association (2024b) concluded that successful delivery depends on the availability of community organisations and sustained local investment. Similarly, Marczak, Wistow and Fernandez (2024) highlighted that workforce capacity, organisational leadership and adequate funding strongly influence implementation. Consequently, access to social prescribing remains inconsistent across England, potentially creating inequalities in preventive support. </w:t>
      </w:r>
    </w:p>
    <w:p w14:paraId="0322E389" w14:textId="77777777" w:rsidR="009521D8" w:rsidRPr="009521D8" w:rsidRDefault="009521D8" w:rsidP="009521D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rPr>
      </w:pPr>
      <w:r w:rsidRPr="009521D8">
        <w:rPr>
          <w:rFonts w:eastAsia="Arial Unicode MS" w:cs="Arial"/>
        </w:rPr>
        <w:t>Overall, the evidence suggests that social prescribing is an effective preventive intervention that improves wellbeing and reduces social isolation. However, its success depends upon strong community infrastructure, multidisciplinary collaboration and sustained investment if its benefits are to be realised consistently across the United Kingdom.</w:t>
      </w:r>
    </w:p>
    <w:p w14:paraId="6C7FBCE2" w14:textId="77777777" w:rsidR="00F4158E" w:rsidRPr="00CA7A43" w:rsidRDefault="00F4158E" w:rsidP="00F4158E">
      <w:pPr>
        <w:pStyle w:val="Heading3"/>
        <w:keepNext/>
        <w:ind w:left="0"/>
        <w:rPr>
          <w:rFonts w:cs="Arial"/>
          <w:bCs/>
        </w:rPr>
      </w:pPr>
      <w:bookmarkStart w:id="46" w:name="_Toc236665565"/>
      <w:r w:rsidRPr="00CA7A43">
        <w:rPr>
          <w:rFonts w:cs="Arial"/>
          <w:bCs/>
        </w:rPr>
        <w:t>Theme 5: Safeguarding and Early Intervention</w:t>
      </w:r>
      <w:bookmarkEnd w:id="46"/>
    </w:p>
    <w:p w14:paraId="7B7E1A31" w14:textId="77777777" w:rsidR="00901B5C" w:rsidRPr="00901B5C" w:rsidRDefault="00901B5C" w:rsidP="00901B5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rPr>
      </w:pPr>
      <w:r>
        <w:t xml:space="preserve">Safeguarding and early intervention emerged as essential components of preventive social work across the included studies. Rather than responding only after abuse, neglect or exploitation has occurred, preventive safeguarding focuses on identifying risks at an early stage and implementing appropriate support before harm escalates. The reviewed evidence suggests that early intervention improves individual wellbeing while reducing the need for crisis responses and long-term statutory involvement. These findings are consistent with the preventative duties established under the Care Act 2014, which requires local authorities to prevent or delay the development of care and support needs while promoting wellbeing. Ahuja et al. (2022), in their systematic review of Making Safeguarding Personal, demonstrated that strengths-based safeguarding improved person-centred practice by encouraging adults to participate actively in decisions affecting their safety and wellbeing. Successful implementation depended upon practitioner training, effective leadership and organisational support, indicating that safeguarding is most effective when individuals are involved in identifying outcomes that reflect their own preferences rather than relying solely on professional judgement. These findings support Empowerment Theory, discussed in Chapter 2, which emphasises participation, autonomy and shared decision-making. Contemporary safeguarding therefore moves beyond traditional risk management by recognising that </w:t>
      </w:r>
      <w:r>
        <w:lastRenderedPageBreak/>
        <w:t>vulnerable adults should be involved in decisions wherever possible. However, practitioners must also balance individual choice with their legal responsibility to protect adults experiencing abuse, neglect or self-neglect. This highlights the complex ethical nature of safeguarding practice, where professional judgement remains essential. Person-led outcomes, timely advocacy and learning from Safeguarding Adults Reviews are particularly important where self-neglect and care-home risks are present (Preston-Shoot, 2017; ADASS et al., 2018; NICE, 2021a; Owen et al., 2022).</w:t>
      </w:r>
    </w:p>
    <w:p w14:paraId="2FBFD6E4" w14:textId="77777777" w:rsidR="00901B5C" w:rsidRPr="00901B5C" w:rsidRDefault="00901B5C" w:rsidP="00901B5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rPr>
      </w:pPr>
      <w:r>
        <w:t>The review also identified multidisciplinary working as a key factor influencing successful safeguarding. Willis et al. (2022) found that social workers contributed through psychosocial assessment, advocacy, care coordination and early identification of safeguarding concerns within integrated teams. Similarly, the Local Government Association (2024b) concluded that early intervention can reduce future demand for statutory services by preventing problems from developing into complex crises. Together, these findings demonstrate that effective safeguarding depends upon collaboration between health services, local authorities and voluntary organisations rather than isolated professional practice. Despite these positive findings, implementation remains challenging. Marczak, Wistow and Fernandez (2024) reported that workforce shortages, increasing demand and limited organisational resources frequently reduced opportunities for proactive safeguarding. High caseloads often required practitioners to prioritise urgent statutory responsibilities, limiting the capacity to undertake preventative work. Consequently, although safeguarding is recognised as a key preventive intervention, its effectiveness remains dependent upon sufficient staffing, organisational leadership and sustained investment.</w:t>
      </w:r>
    </w:p>
    <w:p w14:paraId="6DA3C3DD" w14:textId="77777777" w:rsidR="00901B5C" w:rsidRPr="00901B5C" w:rsidRDefault="00901B5C" w:rsidP="00901B5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120"/>
        <w:mirrorIndents/>
        <w:rPr>
          <w:rFonts w:eastAsia="Arial Unicode MS" w:cs="Arial"/>
        </w:rPr>
      </w:pPr>
      <w:r w:rsidRPr="00901B5C">
        <w:rPr>
          <w:rFonts w:eastAsia="Arial Unicode MS" w:cs="Arial"/>
        </w:rPr>
        <w:t>Overall, the evidence indicates that safeguarding and early intervention are fundamental components of preventive adult social work. However, achieving consistently positive outcomes requires person-centred practice, multidisciplinary collaboration and adequate organisational resources to ensure that prevention remains proactive rather than reactive.</w:t>
      </w:r>
    </w:p>
    <w:p w14:paraId="3E9DE9B9" w14:textId="77777777" w:rsidR="00F4158E" w:rsidRDefault="00F4158E" w:rsidP="00F4158E">
      <w:pPr>
        <w:pStyle w:val="Heading3"/>
        <w:keepNext/>
        <w:ind w:left="0"/>
        <w:rPr>
          <w:rFonts w:cs="Arial"/>
          <w:bCs/>
        </w:rPr>
      </w:pPr>
      <w:bookmarkStart w:id="47" w:name="_Toc236665566"/>
      <w:r w:rsidRPr="00CA7A43">
        <w:rPr>
          <w:rFonts w:cs="Arial"/>
          <w:bCs/>
        </w:rPr>
        <w:t>Theme 6: Barriers to Effective Preventive Practice</w:t>
      </w:r>
      <w:bookmarkEnd w:id="47"/>
    </w:p>
    <w:p w14:paraId="4B1C4289" w14:textId="77777777" w:rsidR="00AA1E6B" w:rsidRPr="00AA1E6B" w:rsidRDefault="00AA1E6B" w:rsidP="00AA1E6B">
      <w:r>
        <w:t xml:space="preserve">Although the reviewed studies consistently demonstrated the benefits of preventive interventions, they also identified several barriers that limit effective implementation within UK adult social work. Across the evidence, workforce shortages, financial pressures, inconsistent service provision and organisational constraints emerged as the principal challenges preventing preventive approaches from being fully embedded in practice. These findings suggest that the effectiveness of prevention depends not only on the quality of interventions but also on the wider organisational and policy environment in which they are delivered. One </w:t>
      </w:r>
      <w:r>
        <w:lastRenderedPageBreak/>
        <w:t xml:space="preserve">of the most frequently reported barriers was limited workforce capacity. Marczak, Wistow and Fernandez (2024) found that increasing demand for adult social care, combined with staffing shortages, reduced practitioners' ability to provide proactive support. High caseloads frequently resulted in social workers prioritising crisis management over preventative interventions, limiting opportunities for early identification of need. Similarly, the Local Government Association (2024b) argued that although preventive services may reduce future demand, sustained financial investment is required to achieve these long-term benefits. </w:t>
      </w:r>
    </w:p>
    <w:p w14:paraId="163163EE" w14:textId="77777777" w:rsidR="00AA1E6B" w:rsidRPr="00AA1E6B" w:rsidRDefault="00AA1E6B" w:rsidP="00AA1E6B">
      <w:r w:rsidRPr="00AA1E6B">
        <w:t>The review also highlighted inequalities in the availability of preventive services across local authorities. Community-based interventions, including Local Area Coordination and social prescribing, depended heavily upon local voluntary organisations and community resources. Consequently, individuals living in areas with fewer services were less likely to benefit from preventative programmes, creating variation in outcomes and access to support. These findings reflect the discussion in Chapter 2, which identified regional inequalities as an ongoing challenge within adult social care.</w:t>
      </w:r>
      <w:r>
        <w:t xml:space="preserve"> </w:t>
      </w:r>
      <w:r w:rsidRPr="00AA1E6B">
        <w:t xml:space="preserve">Methodological limitations within the evidence base also reduced confidence in evaluating intervention effectiveness. Although most studies reported positive outcomes, variation in study design, outcome measures and follow-up periods limited direct comparison between interventions. This finding was particularly evident within research evaluating reablement and social prescribing, where long-term effectiveness remained uncertain despite encouraging short-term outcomes. </w:t>
      </w:r>
    </w:p>
    <w:p w14:paraId="7FD352FC" w14:textId="77777777" w:rsidR="00AA1E6B" w:rsidRPr="00AA1E6B" w:rsidRDefault="00AA1E6B" w:rsidP="00AA1E6B">
      <w:r w:rsidRPr="00AA1E6B">
        <w:t>Overall, the evidence demonstrates that preventive interventions can improve outcomes for vulnerable adults, but their effectiveness is constrained by workforce shortages, funding pressures and organisational variation. Addressing these barriers will be essential if preventive social work is to achieve the ambitions of the Care Act 2014 and provide equitable, person-centred support across the United Kingdom.</w:t>
      </w:r>
    </w:p>
    <w:p w14:paraId="69239038" w14:textId="77777777" w:rsidR="000534D7" w:rsidRDefault="000534D7" w:rsidP="00AA1E6B"/>
    <w:p w14:paraId="1460AC28" w14:textId="77777777" w:rsidR="008C1D4B" w:rsidRDefault="008C1D4B" w:rsidP="00667FFD">
      <w:pPr>
        <w:pStyle w:val="Heading2"/>
        <w:keepNext/>
        <w:ind w:left="0"/>
      </w:pPr>
      <w:bookmarkStart w:id="48" w:name="_Toc236665567"/>
      <w:r w:rsidRPr="008C1D4B">
        <w:t>4.3 Overall Discussion</w:t>
      </w:r>
      <w:bookmarkEnd w:id="48"/>
    </w:p>
    <w:p w14:paraId="5BB93F04" w14:textId="77777777" w:rsidR="006B6EC7" w:rsidRPr="006B6EC7" w:rsidRDefault="006B6EC7" w:rsidP="006B6EC7">
      <w:r>
        <w:t xml:space="preserve">This systematic review aimed to evaluate the effectiveness of preventive interventions in social work practice for vulnerable adults in the United Kingdom. Overall, the findings indicate that preventive approaches, including strengths-based practice, reablement, community-based prevention, social prescribing and early safeguarding, contribute positively to independence, wellbeing and community participation. Across the included studies, effective prevention was consistently associated with person-centred practice, multidisciplinary collaboration and early intervention, supporting the theoretical perspectives discussed in Chapter 2, particularly the Strengths-Based Approach, Empowerment Theory and Bronfenbrenner's Ecological Systems Theory. However, the review also identified significant barriers affecting implementation. </w:t>
      </w:r>
      <w:r>
        <w:lastRenderedPageBreak/>
        <w:t>Workforce shortages, financial pressures and regional variation limited the consistent delivery of preventive services despite strong legislative support through the Care Act 2014. Furthermore, differences in research methodology and outcome measures reduced opportunities to compare interventions directly, highlighting the need for stronger longitudinal research. Overall, the evidence suggests that preventive interventions are effective in improving outcomes for vulnerable adults, but their long-term success depends on sustained investment, organisational commitment and integrated partnership working. These findings directly address the research aim and demonstrate that prevention should remain a central priority within contemporary UK adult social work practice.</w:t>
      </w:r>
    </w:p>
    <w:p w14:paraId="6CB3570A" w14:textId="77777777" w:rsidR="00474063" w:rsidRPr="00474063" w:rsidRDefault="00474063" w:rsidP="00474063"/>
    <w:p w14:paraId="371F0BA0" w14:textId="77777777" w:rsidR="00474063" w:rsidRPr="00474063" w:rsidRDefault="00474063" w:rsidP="00A5173E">
      <w:pPr>
        <w:pStyle w:val="Heading2"/>
        <w:keepNext/>
      </w:pPr>
      <w:bookmarkStart w:id="49" w:name="_Toc236665568"/>
      <w:r w:rsidRPr="00474063">
        <w:t>4.4 Chapter Summary</w:t>
      </w:r>
      <w:bookmarkEnd w:id="49"/>
    </w:p>
    <w:p w14:paraId="3D0DCFAB" w14:textId="77777777" w:rsidR="00474063" w:rsidRPr="00474063" w:rsidRDefault="00474063" w:rsidP="00474063">
      <w:r w:rsidRPr="00474063">
        <w:t xml:space="preserve">This chapter presented the findings of the systematic review and critically discussed six themes identified across the ten included studies: strengths-based practice, reablement, community-based prevention, social prescribing, safeguarding and early intervention, and barriers to effective preventive practice. The evidence demonstrated that preventive interventions promote independence, empowerment and wellbeing while reducing reliance on crisis-led services. However, the review also identified workforce shortages, financial pressures and organisational variation as significant barriers to effective implementation. Overall, the findings indicate that preventive social work is most effective when delivered through person-centred practice, multidisciplinary collaboration and strong community partnerships, supported by sustained organisational investment. These findings provide the foundation for the recommendations and conclusions presented in Chapter 5. </w:t>
      </w:r>
    </w:p>
    <w:p w14:paraId="55E4A517" w14:textId="77777777" w:rsidR="00474063" w:rsidRPr="004F71DD" w:rsidRDefault="00474063" w:rsidP="004F71DD"/>
    <w:p w14:paraId="3F9E589E" w14:textId="77777777" w:rsidR="004F71DD" w:rsidRDefault="004F71DD" w:rsidP="004F71DD"/>
    <w:p w14:paraId="38BA8981" w14:textId="77777777" w:rsidR="00E527B2" w:rsidRDefault="00E527B2" w:rsidP="00E527B2">
      <w:pPr>
        <w:pStyle w:val="Heading1"/>
        <w:keepNext/>
        <w:ind w:left="0"/>
        <w:jc w:val="center"/>
      </w:pPr>
    </w:p>
    <w:p w14:paraId="6739E71D" w14:textId="77777777" w:rsidR="00E527B2" w:rsidRDefault="00E527B2" w:rsidP="00E527B2">
      <w:pPr>
        <w:pStyle w:val="Heading1"/>
        <w:keepNext/>
        <w:ind w:left="0"/>
        <w:jc w:val="center"/>
      </w:pPr>
    </w:p>
    <w:p w14:paraId="336427CA" w14:textId="77777777" w:rsidR="00E527B2" w:rsidRDefault="00E527B2" w:rsidP="003136DD">
      <w:pPr>
        <w:spacing w:after="120"/>
        <w:rPr>
          <w:rFonts w:cs="Arial"/>
        </w:rPr>
      </w:pPr>
    </w:p>
    <w:p w14:paraId="24574B93" w14:textId="77777777" w:rsidR="00E527B2" w:rsidRDefault="00E527B2" w:rsidP="003136DD">
      <w:pPr>
        <w:spacing w:after="120"/>
        <w:rPr>
          <w:rFonts w:cs="Arial"/>
        </w:rPr>
      </w:pPr>
    </w:p>
    <w:p w14:paraId="47BA1A98" w14:textId="77777777" w:rsidR="005B14B0" w:rsidRPr="00912434" w:rsidRDefault="005B14B0" w:rsidP="005B14B0">
      <w:pPr>
        <w:pStyle w:val="Heading1"/>
        <w:keepNext/>
        <w:ind w:left="0"/>
        <w:jc w:val="center"/>
        <w:rPr>
          <w:rFonts w:eastAsia="Arial Unicode MS" w:cs="Arial"/>
        </w:rPr>
      </w:pPr>
      <w:bookmarkStart w:id="50" w:name="_Toc236665569"/>
      <w:r w:rsidRPr="004618A4">
        <w:lastRenderedPageBreak/>
        <w:t>CHAPTER 5: RECOMMENDATIONS AND CONCLUSION</w:t>
      </w:r>
      <w:bookmarkEnd w:id="50"/>
    </w:p>
    <w:p w14:paraId="499B03B2" w14:textId="77777777" w:rsidR="005B14B0" w:rsidRPr="00951568" w:rsidRDefault="005B14B0" w:rsidP="005B14B0">
      <w:pPr>
        <w:pStyle w:val="Heading2"/>
        <w:keepNext/>
        <w:ind w:left="0"/>
        <w:rPr>
          <w:rFonts w:cs="Arial"/>
          <w:bCs/>
        </w:rPr>
      </w:pPr>
      <w:bookmarkStart w:id="51" w:name="_Toc236665570"/>
      <w:r w:rsidRPr="00951568">
        <w:rPr>
          <w:rFonts w:cs="Arial"/>
          <w:bCs/>
        </w:rPr>
        <w:t>5.1 Conclusion</w:t>
      </w:r>
      <w:bookmarkEnd w:id="51"/>
    </w:p>
    <w:p w14:paraId="5276CB10" w14:textId="08701F49" w:rsidR="003136DD" w:rsidRPr="003136DD" w:rsidRDefault="003136DD" w:rsidP="003136DD">
      <w:pPr>
        <w:spacing w:after="120"/>
        <w:rPr>
          <w:rFonts w:cs="Arial"/>
        </w:rPr>
      </w:pPr>
      <w:r w:rsidRPr="003136DD">
        <w:rPr>
          <w:rFonts w:cs="Arial"/>
        </w:rPr>
        <w:t>This dissertation aimed to critically evaluate the effectiveness of preventive interventions in social work practice for vulnerable adults in the United Kingdom through a systematic review of contemporary literature. The review examined current evidence relating to preventive approaches within adult social work and assessed their contribution to improving the wellbeing, independence and quality of life of vulnerable adults. Overall, the findings demonstrate that preventive interventions have an important role in supporting person-centred care and reducing the need for crisis-led services. The evidence suggests that prevention is not only beneficial for individuals but also contributes to a more sustainable health and social care system by promoting early intervention and reducing long-term service demand.</w:t>
      </w:r>
      <w:r w:rsidR="002518EB">
        <w:rPr>
          <w:rFonts w:cs="Arial"/>
        </w:rPr>
        <w:t xml:space="preserve"> </w:t>
      </w:r>
      <w:r w:rsidRPr="003136DD">
        <w:rPr>
          <w:rFonts w:cs="Arial"/>
        </w:rPr>
        <w:t>The findings identified several preventive interventions that consistently demonstrated positive outcomes across the included studies. Strengths-based practice emerged as a key approach that enables social workers to recognise the abilities, resources and aspirations of vulnerable adults rather than focusing solely on their needs and deficits. This approach encourages individuals to participate in decision-making, promotes independence and supports personalised care planning. Similarly, reablement services were found to improve functional ability and enable individuals to regain confidence and independence following illness or hospital discharge. These findings reinforce the importance of interventions that empower vulnerable adults to maintain control over their own lives.</w:t>
      </w:r>
      <w:r w:rsidR="0071091C">
        <w:rPr>
          <w:rFonts w:cs="Arial"/>
        </w:rPr>
        <w:t xml:space="preserve"> </w:t>
      </w:r>
      <w:r w:rsidRPr="003136DD">
        <w:rPr>
          <w:rFonts w:cs="Arial"/>
        </w:rPr>
        <w:t>Community-based interventions, including Local Area Coordination and social prescribing, also demonstrated significant benefits. These approaches reduced social isolation, strengthened community connections and improved access to voluntary and community resources that support long-term wellbeing. The review highlighted that preventive interventions are most effective when health services, adult social care and voluntary organisations work collaboratively to provide coordinated and person-centred support. Such partnership working reflects the principles of integrated care promoted within current UK health and social care policy.</w:t>
      </w:r>
      <w:r w:rsidR="00A948BC">
        <w:rPr>
          <w:rFonts w:cs="Arial"/>
        </w:rPr>
        <w:t xml:space="preserve"> </w:t>
      </w:r>
      <w:r w:rsidRPr="003136DD">
        <w:rPr>
          <w:rFonts w:cs="Arial"/>
        </w:rPr>
        <w:t xml:space="preserve">Despite these positive findings, the review also identified several barriers that continue to limit the successful implementation of preventive interventions. Workforce shortages, increasing service demand, financial pressures and regional inequalities were repeatedly identified within the literature as significant challenges affecting adult social work services. Although the Care Act 2014 places prevention at the centre of adult social care, the evidence suggests that many local authorities continue to prioritise crisis intervention because of limited financial and workforce resources. Consequently, access to preventive services remains inconsistent across different areas of the United Kingdom, creating inequalities in service provision and outcomes for vulnerable </w:t>
      </w:r>
      <w:r w:rsidRPr="003136DD">
        <w:rPr>
          <w:rFonts w:cs="Arial"/>
        </w:rPr>
        <w:lastRenderedPageBreak/>
        <w:t>adults.</w:t>
      </w:r>
      <w:r w:rsidR="00A948BC">
        <w:rPr>
          <w:rFonts w:cs="Arial"/>
        </w:rPr>
        <w:t xml:space="preserve"> </w:t>
      </w:r>
      <w:r w:rsidRPr="003136DD">
        <w:rPr>
          <w:rFonts w:cs="Arial"/>
        </w:rPr>
        <w:t>The systematic review also demonstrated that prevention should not be considered as a single intervention but rather as a combination of complementary approaches that respond to the diverse needs of vulnerable adults. Effective prevention requires skilled practitioners, multidisciplinary collaboration and strong community partnerships that enable individuals to access support before their needs escalate into crisis situations. These findings highlight the importance of adopting a holistic and person-centred approach that recognises the social, psychological and environmental factors influencing vulnerability.</w:t>
      </w:r>
    </w:p>
    <w:p w14:paraId="1F2D704D" w14:textId="68C46712" w:rsidR="003136DD" w:rsidRPr="003136DD" w:rsidRDefault="003136DD" w:rsidP="00FF0560">
      <w:pPr>
        <w:spacing w:after="120"/>
        <w:rPr>
          <w:rFonts w:cs="Arial"/>
        </w:rPr>
      </w:pPr>
      <w:r w:rsidRPr="003136DD">
        <w:rPr>
          <w:rFonts w:cs="Arial"/>
        </w:rPr>
        <w:t>This dissertation has contributed to the existing evidence by bringing together current UK research on preventive interventions and critically evaluating their effectiveness within adult social work practice. Although the review relied on secondary evidence, the systematic approach ensured that the findings were transparent, rigorous and relevant to current policy and practice. The study also identified important gaps within the literature, particularly regarding the long-term effectiveness and economic impact of preventive interventions, highlighting opportunities for future research.</w:t>
      </w:r>
      <w:r w:rsidR="001747B0">
        <w:rPr>
          <w:rFonts w:cs="Arial"/>
        </w:rPr>
        <w:t xml:space="preserve"> </w:t>
      </w:r>
      <w:r w:rsidRPr="003136DD">
        <w:rPr>
          <w:rFonts w:cs="Arial"/>
        </w:rPr>
        <w:t>Overall, this dissertation concludes that preventive interventions should remain a central priority within adult social work practice in the United Kingdom. Strengths-based practice, reablement, community-based support and collaborative working all contribute to improving outcomes for vulnerable adults while supporting a more proactive and sustainable model of care. However, these benefits can only be fully realised through continued investment, workforce development and effective partnership working across health, social care and community services. By strengthening preventive practice, adult social work can better support vulnerable adults to live independently, improve their wellbeing and participate fully within their communities.</w:t>
      </w:r>
    </w:p>
    <w:p w14:paraId="2D3A0A13" w14:textId="77777777" w:rsidR="004618A4" w:rsidRPr="00951568" w:rsidRDefault="004618A4" w:rsidP="00FF0560">
      <w:pPr>
        <w:pStyle w:val="Heading2"/>
        <w:keepNext/>
        <w:ind w:left="0"/>
        <w:rPr>
          <w:rFonts w:cs="Arial"/>
          <w:bCs/>
        </w:rPr>
      </w:pPr>
      <w:bookmarkStart w:id="52" w:name="_Toc236665571"/>
      <w:r w:rsidRPr="00951568">
        <w:rPr>
          <w:rFonts w:cs="Arial"/>
          <w:bCs/>
        </w:rPr>
        <w:t>5.2 Recommendations</w:t>
      </w:r>
      <w:bookmarkEnd w:id="52"/>
    </w:p>
    <w:p w14:paraId="26A1350C" w14:textId="77777777" w:rsidR="002518EB" w:rsidRPr="002518EB" w:rsidRDefault="002518EB" w:rsidP="00FF0560">
      <w:pPr>
        <w:spacing w:after="120"/>
        <w:rPr>
          <w:rFonts w:cs="Arial"/>
        </w:rPr>
      </w:pPr>
      <w:r w:rsidRPr="002518EB">
        <w:rPr>
          <w:rFonts w:cs="Arial"/>
        </w:rPr>
        <w:t>Based on the findings of this systematic review, several recommendations are proposed to strengthen preventive social work practice for vulnerable adults in the United Kingdom.</w:t>
      </w:r>
    </w:p>
    <w:p w14:paraId="117CE567" w14:textId="77777777" w:rsidR="002518EB" w:rsidRPr="002518EB" w:rsidRDefault="002518EB" w:rsidP="00FF0560">
      <w:pPr>
        <w:spacing w:after="120"/>
        <w:rPr>
          <w:rFonts w:cs="Arial"/>
        </w:rPr>
      </w:pPr>
      <w:r w:rsidRPr="00B408B8">
        <w:rPr>
          <w:rFonts w:cs="Arial"/>
          <w:b/>
          <w:bCs/>
        </w:rPr>
        <w:t>Firstly,</w:t>
      </w:r>
      <w:r w:rsidRPr="002518EB">
        <w:rPr>
          <w:rFonts w:cs="Arial"/>
        </w:rPr>
        <w:t xml:space="preserve"> I recommend that local authorities place greater emphasis on prevention by increasing investment in early intervention services. Although prevention is recognised as a statutory responsibility under the Care Act 2014, the review found that many services continue to operate reactively because resources are focused on responding to crisis situations. Providing sufficient funding for strengths-based practice, reablement services, Local Area Coordination and community-based support would enable vulnerable adults to receive timely assistance before their needs become more complex. Investing in prevention has the potential to improve individual outcomes while reducing long-term pressure on health and social care services.</w:t>
      </w:r>
    </w:p>
    <w:p w14:paraId="7F79644D" w14:textId="77777777" w:rsidR="002518EB" w:rsidRPr="002518EB" w:rsidRDefault="002518EB" w:rsidP="002518EB">
      <w:pPr>
        <w:spacing w:after="120"/>
        <w:rPr>
          <w:rFonts w:cs="Arial"/>
        </w:rPr>
      </w:pPr>
      <w:r>
        <w:t xml:space="preserve">Secondly, I recommend strengthening the adult social work workforce through improved </w:t>
      </w:r>
      <w:r>
        <w:lastRenderedPageBreak/>
        <w:t>recruitment, retention and continuous professional development. The review consistently identified workforce shortages and increasing caseloads as barriers to delivering effective preventive interventions. Social workers should receive regular training in strengths-based approaches, early intervention, safeguarding, community engagement and multidisciplinary working to ensure that preventive practice is implemented consistently across different local authorities. Supporting practitioners through supervision and professional development would also improve the quality of decision-making and person-centred practice (Foster, 2024; Skills for Care, 2025; Department of Health and Social Care, 2026).</w:t>
      </w:r>
    </w:p>
    <w:p w14:paraId="6F09CD8A" w14:textId="46D20E34" w:rsidR="002518EB" w:rsidRPr="002518EB" w:rsidRDefault="002518EB" w:rsidP="002518EB">
      <w:pPr>
        <w:spacing w:after="120"/>
        <w:rPr>
          <w:rFonts w:cs="Arial"/>
        </w:rPr>
      </w:pPr>
      <w:r w:rsidRPr="00B408B8">
        <w:rPr>
          <w:rFonts w:cs="Arial"/>
          <w:b/>
          <w:bCs/>
        </w:rPr>
        <w:t>Thirdly,</w:t>
      </w:r>
      <w:r w:rsidRPr="002518EB">
        <w:rPr>
          <w:rFonts w:cs="Arial"/>
        </w:rPr>
        <w:t xml:space="preserve"> stronger collaboration between adult social care, NHS organisations, housing providers, voluntary organisations and community groups should be promoted. The findings suggest that preventive interventions achieve better outcomes when organisations work together to address the wider health, social and environmental needs of vulnerable adults. Integrated care planning, effective communication and shared responsibility between agencies would reduce duplication of services and improve continuity of care</w:t>
      </w:r>
      <w:r w:rsidR="001D258E">
        <w:rPr>
          <w:rFonts w:cs="Arial"/>
        </w:rPr>
        <w:t xml:space="preserve"> (</w:t>
      </w:r>
      <w:r w:rsidR="001D258E">
        <w:t>NICE, 2018b)</w:t>
      </w:r>
      <w:r w:rsidRPr="002518EB">
        <w:rPr>
          <w:rFonts w:cs="Arial"/>
        </w:rPr>
        <w:t>. Developing stronger community partnerships would also help vulnerable adults access local resources that promote independence, wellbeing and social inclusion.</w:t>
      </w:r>
    </w:p>
    <w:p w14:paraId="661F12CE" w14:textId="51AA89E7" w:rsidR="002518EB" w:rsidRPr="002518EB" w:rsidRDefault="002518EB" w:rsidP="002518EB">
      <w:pPr>
        <w:spacing w:after="120"/>
        <w:rPr>
          <w:rFonts w:cs="Arial"/>
        </w:rPr>
      </w:pPr>
      <w:r w:rsidRPr="00B408B8">
        <w:rPr>
          <w:rFonts w:cs="Arial"/>
          <w:b/>
          <w:bCs/>
        </w:rPr>
        <w:t>Finally</w:t>
      </w:r>
      <w:r w:rsidRPr="002518EB">
        <w:rPr>
          <w:rFonts w:cs="Arial"/>
        </w:rPr>
        <w:t>, I recommend that future UK research should focus on evaluating the long-term effectiveness and cost-effectiveness of preventive interventions within adult social work. Although the evidence reviewed demonstrated positive outcomes, there remains limited research examining the sustainability of these interventions over extended periods. Future studies should include larger and more diverse populations, explore the experiences of vulnerable adults and practitioners, and investigate which preventive approaches provide the greatest value for individuals and the wider health and social care system. Strengthening the evidence base will support policymakers and practitioners in making informed decisions about future investment in preventive services</w:t>
      </w:r>
      <w:r w:rsidR="007E2A73">
        <w:rPr>
          <w:rFonts w:cs="Arial"/>
        </w:rPr>
        <w:t xml:space="preserve"> (</w:t>
      </w:r>
      <w:r w:rsidR="007E2A73">
        <w:t>Department of Health and Social Care, 2019</w:t>
      </w:r>
      <w:r w:rsidR="004B53AF">
        <w:t>:</w:t>
      </w:r>
      <w:r w:rsidR="00EF6D49">
        <w:t xml:space="preserve"> </w:t>
      </w:r>
      <w:proofErr w:type="spellStart"/>
      <w:r w:rsidR="00EF6D49">
        <w:t>Silarova</w:t>
      </w:r>
      <w:proofErr w:type="spellEnd"/>
      <w:r w:rsidR="00EF6D49">
        <w:t>, 2025</w:t>
      </w:r>
      <w:r w:rsidR="007E2A73">
        <w:t>).</w:t>
      </w:r>
    </w:p>
    <w:p w14:paraId="5121436C" w14:textId="77777777" w:rsidR="002518EB" w:rsidRPr="002518EB" w:rsidRDefault="002518EB" w:rsidP="002518EB">
      <w:pPr>
        <w:spacing w:after="120"/>
        <w:rPr>
          <w:rFonts w:cs="Arial"/>
        </w:rPr>
      </w:pPr>
      <w:r w:rsidRPr="002518EB">
        <w:rPr>
          <w:rFonts w:cs="Arial"/>
        </w:rPr>
        <w:t>In conclusion, the recommendations presented in this dissertation are based on the findings of the systematic review and reflect practical actions that could strengthen preventive social work across the United Kingdom. By prioritising early intervention, investing in the workforce, improving partnership working and expanding the evidence base, health and social care organisations can enhance the quality, accessibility and effectiveness of preventive interventions for vulnerable adults. These recommendations aim to support a more proactive, equitable and person-centred adult social care system that promotes independence, wellbeing and better long-term outcomes for vulnerable adults.</w:t>
      </w:r>
    </w:p>
    <w:p w14:paraId="0424773B" w14:textId="77777777" w:rsidR="00607531" w:rsidRPr="00912434" w:rsidRDefault="00607531" w:rsidP="00607531">
      <w:pPr>
        <w:pStyle w:val="Heading1"/>
        <w:keepNext/>
        <w:spacing w:after="240"/>
        <w:ind w:left="0"/>
        <w:rPr>
          <w:rFonts w:eastAsia="Arial Unicode MS" w:cs="Arial"/>
          <w:sz w:val="28"/>
          <w:szCs w:val="28"/>
        </w:rPr>
      </w:pPr>
      <w:bookmarkStart w:id="53" w:name="_Toc236665572"/>
      <w:r>
        <w:lastRenderedPageBreak/>
        <w:t>REFERENCE LIST</w:t>
      </w:r>
      <w:bookmarkEnd w:id="53"/>
    </w:p>
    <w:p w14:paraId="05FEC29E" w14:textId="7EAB306F" w:rsidR="00605BC2" w:rsidRDefault="00F73C70">
      <w:pPr>
        <w:keepLines/>
        <w:spacing w:after="120" w:line="240" w:lineRule="auto"/>
        <w:ind w:left="720" w:hanging="720"/>
        <w:jc w:val="left"/>
      </w:pPr>
      <w:r>
        <w:t xml:space="preserve">ADASS, Local Government Association, Institute of Public Care and Research in Practice for Adults (2018) </w:t>
      </w:r>
      <w:r>
        <w:rPr>
          <w:i/>
        </w:rPr>
        <w:t>Making Safeguarding Personal outcomes framework: final report</w:t>
      </w:r>
      <w:r>
        <w:t xml:space="preserve">. Available at: </w:t>
      </w:r>
      <w:hyperlink r:id="rId12" w:history="1">
        <w:r w:rsidR="0071091C" w:rsidRPr="008402DB">
          <w:rPr>
            <w:rStyle w:val="Hyperlink"/>
          </w:rPr>
          <w:t>https://www.local.gov.uk/sites/default/files/documents/msp-outcomes-framework-final-report-may-2018.pdf</w:t>
        </w:r>
      </w:hyperlink>
      <w:r w:rsidR="0071091C">
        <w:t xml:space="preserve"> </w:t>
      </w:r>
      <w:r>
        <w:t>(Accessed: 3 June 2026).</w:t>
      </w:r>
    </w:p>
    <w:p w14:paraId="197CD302" w14:textId="6BEE8542" w:rsidR="00605BC2" w:rsidRDefault="00F73C70">
      <w:pPr>
        <w:keepLines/>
        <w:spacing w:after="120" w:line="240" w:lineRule="auto"/>
        <w:ind w:left="720" w:hanging="720"/>
        <w:jc w:val="left"/>
      </w:pPr>
      <w:r>
        <w:t xml:space="preserve">Age UK (2024) </w:t>
      </w:r>
      <w:r>
        <w:rPr>
          <w:i/>
        </w:rPr>
        <w:t>State of health and care of older people in England 2024</w:t>
      </w:r>
      <w:r>
        <w:t xml:space="preserve">. Available at: </w:t>
      </w:r>
      <w:hyperlink r:id="rId13" w:history="1">
        <w:r w:rsidR="0071091C" w:rsidRPr="008402DB">
          <w:rPr>
            <w:rStyle w:val="Hyperlink"/>
          </w:rPr>
          <w:t>https://www.ageuk.org.uk/discover/2024/september/state-of-health-and-care-of-older-people-in-england-2024/</w:t>
        </w:r>
      </w:hyperlink>
      <w:r w:rsidR="0071091C">
        <w:t xml:space="preserve"> </w:t>
      </w:r>
      <w:r>
        <w:t>(Accessed: 22 March 2026).</w:t>
      </w:r>
    </w:p>
    <w:p w14:paraId="64B7C2A0" w14:textId="5626DEC2" w:rsidR="00605BC2" w:rsidRDefault="00F73C70">
      <w:pPr>
        <w:keepLines/>
        <w:spacing w:after="120" w:line="240" w:lineRule="auto"/>
        <w:ind w:left="720" w:hanging="720"/>
        <w:jc w:val="left"/>
      </w:pPr>
      <w:r>
        <w:t xml:space="preserve">Age UK (2025) </w:t>
      </w:r>
      <w:r>
        <w:rPr>
          <w:i/>
        </w:rPr>
        <w:t>The state of health and care of older people in England 2025</w:t>
      </w:r>
      <w:r>
        <w:t xml:space="preserve">. Available at: </w:t>
      </w:r>
      <w:hyperlink r:id="rId14" w:history="1">
        <w:r w:rsidR="0071091C" w:rsidRPr="008402DB">
          <w:rPr>
            <w:rStyle w:val="Hyperlink"/>
          </w:rPr>
          <w:t>https://www.ageuk.org.uk/discover/2025/september/state-of-health-and-care-of-older-people-in-england-2025/</w:t>
        </w:r>
      </w:hyperlink>
      <w:r w:rsidR="0071091C">
        <w:t xml:space="preserve"> </w:t>
      </w:r>
      <w:r>
        <w:t>(Accessed: 20 March 2026).</w:t>
      </w:r>
    </w:p>
    <w:p w14:paraId="78B2583A" w14:textId="7C2B373B" w:rsidR="00605BC2" w:rsidRDefault="00F73C70">
      <w:pPr>
        <w:keepLines/>
        <w:spacing w:after="120" w:line="240" w:lineRule="auto"/>
        <w:ind w:left="720" w:hanging="720"/>
        <w:jc w:val="left"/>
      </w:pPr>
      <w:r>
        <w:t xml:space="preserve">Ahuja, L., Price, A., Bramwell, C., Briscoe, S., Shaw, L., Nunns, M., O’Rourke, G., Baron, S. and Anderson, R. (2022) ‘Implementation of the Making Safeguarding Personal approach to strengths-based adult social care: systematic review of qualitative research evidence’, </w:t>
      </w:r>
      <w:r>
        <w:rPr>
          <w:i/>
        </w:rPr>
        <w:t>The British Journal of Social Work</w:t>
      </w:r>
      <w:r>
        <w:t xml:space="preserve">, 52(8). Available at: </w:t>
      </w:r>
      <w:hyperlink r:id="rId15" w:history="1">
        <w:r w:rsidR="0071091C" w:rsidRPr="008402DB">
          <w:rPr>
            <w:rStyle w:val="Hyperlink"/>
          </w:rPr>
          <w:t>https://doi.org/10.1093/bjsw/bcac076</w:t>
        </w:r>
      </w:hyperlink>
      <w:r w:rsidR="0071091C">
        <w:t xml:space="preserve">. </w:t>
      </w:r>
    </w:p>
    <w:p w14:paraId="6CEF9CAF" w14:textId="4926D3B0" w:rsidR="00605BC2" w:rsidRDefault="00F73C70">
      <w:pPr>
        <w:keepLines/>
        <w:spacing w:after="120" w:line="240" w:lineRule="auto"/>
        <w:ind w:left="720" w:hanging="720"/>
        <w:jc w:val="left"/>
      </w:pPr>
      <w:r>
        <w:t xml:space="preserve">Aspinal, F., Glasby, J., Rostgaard, T., Tuntland, H. and Westendorp, R.G.J. (2016) ‘New horizons: reablement – supporting older people towards independence’, </w:t>
      </w:r>
      <w:r>
        <w:rPr>
          <w:i/>
        </w:rPr>
        <w:t>Age and Ageing</w:t>
      </w:r>
      <w:r>
        <w:t xml:space="preserve">, 45(5), pp. 574–578. Available at: </w:t>
      </w:r>
      <w:hyperlink r:id="rId16" w:history="1">
        <w:r w:rsidR="0071091C" w:rsidRPr="008402DB">
          <w:rPr>
            <w:rStyle w:val="Hyperlink"/>
          </w:rPr>
          <w:t>https://doi.org/10.1093/ageing/afw094</w:t>
        </w:r>
      </w:hyperlink>
      <w:r w:rsidR="0071091C">
        <w:t xml:space="preserve">. </w:t>
      </w:r>
    </w:p>
    <w:p w14:paraId="3F5AC9E7" w14:textId="49D4AF5C" w:rsidR="00605BC2" w:rsidRDefault="00F73C70">
      <w:pPr>
        <w:keepLines/>
        <w:spacing w:after="120" w:line="240" w:lineRule="auto"/>
        <w:ind w:left="720" w:hanging="720"/>
        <w:jc w:val="left"/>
      </w:pPr>
      <w:r>
        <w:t xml:space="preserve">Association of Directors of Adult Social Services (2024) </w:t>
      </w:r>
      <w:r>
        <w:rPr>
          <w:i/>
        </w:rPr>
        <w:t>ADASS spring survey 2024</w:t>
      </w:r>
      <w:r>
        <w:t xml:space="preserve">. London: ADASS. Available at: </w:t>
      </w:r>
      <w:hyperlink r:id="rId17" w:history="1">
        <w:r w:rsidR="0071091C" w:rsidRPr="008402DB">
          <w:rPr>
            <w:rStyle w:val="Hyperlink"/>
          </w:rPr>
          <w:t>https://www.adass.org.uk/wp-content/uploads/2024/07/ADASS-Spring-Survey-2024-FINAL-1.pdf</w:t>
        </w:r>
      </w:hyperlink>
      <w:r w:rsidR="0071091C">
        <w:t xml:space="preserve"> </w:t>
      </w:r>
      <w:r>
        <w:t>(Accessed: 31 July 2026)</w:t>
      </w:r>
      <w:r w:rsidR="0071091C">
        <w:t xml:space="preserve">. </w:t>
      </w:r>
    </w:p>
    <w:p w14:paraId="19008527" w14:textId="6B846E34" w:rsidR="00605BC2" w:rsidRDefault="00F73C70">
      <w:pPr>
        <w:keepLines/>
        <w:spacing w:after="120" w:line="240" w:lineRule="auto"/>
        <w:ind w:left="720" w:hanging="720"/>
        <w:jc w:val="left"/>
      </w:pPr>
      <w:r>
        <w:t xml:space="preserve">Aujla, N., Frost, H., Guthrie, B., Hanratty, B., Kaner, E., O’Donnell, A., Ogden, M.E., Pain, H.G., Shenkin, S.D. and Mercer, S.W. (2023) ‘A comparative overview of health and social care policy for older people in England and Scotland, United Kingdom (UK)’, </w:t>
      </w:r>
      <w:r>
        <w:rPr>
          <w:i/>
        </w:rPr>
        <w:t>Health Policy</w:t>
      </w:r>
      <w:r>
        <w:t xml:space="preserve">, 132, 104814. Available at: </w:t>
      </w:r>
      <w:hyperlink r:id="rId18" w:history="1">
        <w:r w:rsidR="0071091C" w:rsidRPr="008402DB">
          <w:rPr>
            <w:rStyle w:val="Hyperlink"/>
          </w:rPr>
          <w:t>https://doi.org/10.1016/j.healthpol.2023.104814</w:t>
        </w:r>
      </w:hyperlink>
      <w:r w:rsidR="0071091C">
        <w:t xml:space="preserve">. </w:t>
      </w:r>
    </w:p>
    <w:p w14:paraId="4400E1AA" w14:textId="443EB1B4" w:rsidR="00605BC2" w:rsidRDefault="00F73C70">
      <w:pPr>
        <w:keepLines/>
        <w:spacing w:after="120" w:line="240" w:lineRule="auto"/>
        <w:ind w:left="720" w:hanging="720"/>
        <w:jc w:val="left"/>
      </w:pPr>
      <w:r>
        <w:t xml:space="preserve">Bainbridge, L. and Lunt, N. (2021) ‘Place, strengths and assets: a case study of how Local Area Coordination is supporting individuals and families under conditions of austerity’, </w:t>
      </w:r>
      <w:r>
        <w:rPr>
          <w:i/>
        </w:rPr>
        <w:t>The British Journal of Social Work</w:t>
      </w:r>
      <w:r>
        <w:t xml:space="preserve">, 51(4), pp. 1354–1373. Available at: </w:t>
      </w:r>
      <w:hyperlink r:id="rId19" w:history="1">
        <w:r w:rsidR="0071091C" w:rsidRPr="008402DB">
          <w:rPr>
            <w:rStyle w:val="Hyperlink"/>
          </w:rPr>
          <w:t>https://doi.org/10.1093/bjsw/bcab041</w:t>
        </w:r>
      </w:hyperlink>
      <w:r w:rsidR="0071091C">
        <w:t xml:space="preserve">. </w:t>
      </w:r>
    </w:p>
    <w:p w14:paraId="70DE0EF2" w14:textId="2483ED6B" w:rsidR="00605BC2" w:rsidRDefault="00F73C70">
      <w:pPr>
        <w:keepLines/>
        <w:spacing w:after="120" w:line="240" w:lineRule="auto"/>
        <w:ind w:left="720" w:hanging="720"/>
        <w:jc w:val="left"/>
      </w:pPr>
      <w:r>
        <w:t xml:space="preserve">Bennett, C., Allen, F., Hodge, S. and Logan, P. (2022) ‘An investigation of reablement or restorative homecare interventions and outcome effects: a systematic review of randomised control trials’, </w:t>
      </w:r>
      <w:r>
        <w:rPr>
          <w:i/>
        </w:rPr>
        <w:t>Health &amp; Social Care in the Community</w:t>
      </w:r>
      <w:r>
        <w:t xml:space="preserve">, 30(6), pp. e6586–e6600. Available at: </w:t>
      </w:r>
      <w:hyperlink r:id="rId20" w:history="1">
        <w:r w:rsidR="0071091C" w:rsidRPr="008402DB">
          <w:rPr>
            <w:rStyle w:val="Hyperlink"/>
          </w:rPr>
          <w:t>https://doi.org/10.1111/hsc.14108</w:t>
        </w:r>
      </w:hyperlink>
      <w:r w:rsidR="0071091C">
        <w:t xml:space="preserve">. </w:t>
      </w:r>
    </w:p>
    <w:p w14:paraId="11F0521A" w14:textId="2DD97BD1" w:rsidR="00605BC2" w:rsidRDefault="00F73C70">
      <w:pPr>
        <w:keepLines/>
        <w:spacing w:after="120" w:line="240" w:lineRule="auto"/>
        <w:ind w:left="720" w:hanging="720"/>
        <w:jc w:val="left"/>
      </w:pPr>
      <w:r>
        <w:t xml:space="preserve">Beresford, B., Faria, R., Mayhew, E., Duarte, A., Weatherly, H., Aspinal, F., Parker, G. and Kanaan, M. (2019) ‘Outcomes of reablement and their measurement: findings from an evaluation of English reablement services’, </w:t>
      </w:r>
      <w:r>
        <w:rPr>
          <w:i/>
        </w:rPr>
        <w:t>Health &amp; Social Care in the Community</w:t>
      </w:r>
      <w:r>
        <w:t xml:space="preserve">, 27(6), pp. 1438–1450. Available at: </w:t>
      </w:r>
      <w:hyperlink r:id="rId21" w:history="1">
        <w:r w:rsidR="0071091C" w:rsidRPr="008402DB">
          <w:rPr>
            <w:rStyle w:val="Hyperlink"/>
          </w:rPr>
          <w:t>https://doi.org/10.1111/hsc.12814</w:t>
        </w:r>
      </w:hyperlink>
      <w:r w:rsidR="0071091C">
        <w:t xml:space="preserve">. </w:t>
      </w:r>
    </w:p>
    <w:p w14:paraId="4B8A7068" w14:textId="7F226B29" w:rsidR="00605BC2" w:rsidRDefault="00F73C70">
      <w:pPr>
        <w:keepLines/>
        <w:spacing w:after="120" w:line="240" w:lineRule="auto"/>
        <w:ind w:left="720" w:hanging="720"/>
        <w:jc w:val="left"/>
      </w:pPr>
      <w:r>
        <w:t xml:space="preserve">Bickerdike, L., Booth, A., Wilson, P.M., Farley, K. and Wright, K. (2017) ‘Social prescribing: less rhetoric and more reality. A systematic review of the evidence’, </w:t>
      </w:r>
      <w:r>
        <w:rPr>
          <w:i/>
        </w:rPr>
        <w:t>BMJ Open</w:t>
      </w:r>
      <w:r>
        <w:t xml:space="preserve">, 7(4), e013384. Available at: </w:t>
      </w:r>
      <w:hyperlink r:id="rId22" w:history="1">
        <w:r w:rsidR="0071091C" w:rsidRPr="008402DB">
          <w:rPr>
            <w:rStyle w:val="Hyperlink"/>
          </w:rPr>
          <w:t>https://doi.org/10.1136/bmjopen-2016-013384</w:t>
        </w:r>
      </w:hyperlink>
      <w:r w:rsidR="0071091C">
        <w:t xml:space="preserve">. </w:t>
      </w:r>
    </w:p>
    <w:p w14:paraId="19073221" w14:textId="690F72F3" w:rsidR="00605BC2" w:rsidRDefault="00F73C70">
      <w:pPr>
        <w:keepLines/>
        <w:spacing w:after="120" w:line="240" w:lineRule="auto"/>
        <w:ind w:left="720" w:hanging="720"/>
        <w:jc w:val="left"/>
      </w:pPr>
      <w:r>
        <w:t xml:space="preserve">Bottery, S. (2024) </w:t>
      </w:r>
      <w:r>
        <w:rPr>
          <w:i/>
        </w:rPr>
        <w:t>Social care 360</w:t>
      </w:r>
      <w:r>
        <w:t xml:space="preserve">. London: The King’s Fund. Available at: </w:t>
      </w:r>
      <w:hyperlink r:id="rId23" w:history="1">
        <w:r w:rsidR="000E4157" w:rsidRPr="008402DB">
          <w:rPr>
            <w:rStyle w:val="Hyperlink"/>
          </w:rPr>
          <w:t>https://assets.kingsfund.org.uk/f/256914/x/10453129ad/social_care_360_2024.pdf</w:t>
        </w:r>
      </w:hyperlink>
      <w:r w:rsidR="000E4157">
        <w:t xml:space="preserve"> </w:t>
      </w:r>
      <w:r>
        <w:t>(Accessed: 31 July 2026).</w:t>
      </w:r>
    </w:p>
    <w:p w14:paraId="441AE87D" w14:textId="3FADC042" w:rsidR="00605BC2" w:rsidRDefault="00F73C70">
      <w:pPr>
        <w:keepLines/>
        <w:spacing w:after="120" w:line="240" w:lineRule="auto"/>
        <w:ind w:left="720" w:hanging="720"/>
        <w:jc w:val="left"/>
      </w:pPr>
      <w:r>
        <w:lastRenderedPageBreak/>
        <w:t xml:space="preserve">Bu, F., Hayes, D., Munford, L. and Fancourt, D. (2026) ‘The impact of social prescribing on well-being outcomes in a nationwide analysis’, </w:t>
      </w:r>
      <w:r>
        <w:rPr>
          <w:i/>
        </w:rPr>
        <w:t>Nature Health</w:t>
      </w:r>
      <w:r>
        <w:t xml:space="preserve">, 1, pp. 737–744. Available at: </w:t>
      </w:r>
      <w:hyperlink r:id="rId24" w:history="1">
        <w:r w:rsidR="000E4157" w:rsidRPr="008402DB">
          <w:rPr>
            <w:rStyle w:val="Hyperlink"/>
          </w:rPr>
          <w:t>https://doi.org/10.1038/s44360-026-00099-w</w:t>
        </w:r>
      </w:hyperlink>
      <w:r w:rsidR="000E4157">
        <w:t xml:space="preserve">. </w:t>
      </w:r>
    </w:p>
    <w:p w14:paraId="5755EEB5" w14:textId="3C9CFE56" w:rsidR="00605BC2" w:rsidRDefault="00F73C70">
      <w:pPr>
        <w:keepLines/>
        <w:spacing w:after="120" w:line="240" w:lineRule="auto"/>
        <w:ind w:left="720" w:hanging="720"/>
        <w:jc w:val="left"/>
      </w:pPr>
      <w:r>
        <w:t xml:space="preserve">Caiels, J., Silarova, B., Milne, A.J. and Beadle-Brown, J. (2024) ‘Strengths-based approaches—perspectives from practitioners’, </w:t>
      </w:r>
      <w:r>
        <w:rPr>
          <w:i/>
        </w:rPr>
        <w:t>The British Journal of Social Work</w:t>
      </w:r>
      <w:r>
        <w:t xml:space="preserve">, 54(1), pp. 168–188. Available at: </w:t>
      </w:r>
      <w:hyperlink r:id="rId25" w:history="1">
        <w:r w:rsidR="000E4157" w:rsidRPr="008402DB">
          <w:rPr>
            <w:rStyle w:val="Hyperlink"/>
          </w:rPr>
          <w:t>https://doi.org/10.1093/bjsw/bcad186</w:t>
        </w:r>
      </w:hyperlink>
      <w:r w:rsidR="000E4157">
        <w:t xml:space="preserve">. </w:t>
      </w:r>
    </w:p>
    <w:p w14:paraId="16B373CB" w14:textId="3382399D" w:rsidR="00605BC2" w:rsidRDefault="00F73C70">
      <w:pPr>
        <w:keepLines/>
        <w:spacing w:after="120" w:line="240" w:lineRule="auto"/>
        <w:ind w:left="720" w:hanging="720"/>
        <w:jc w:val="left"/>
      </w:pPr>
      <w:r>
        <w:rPr>
          <w:i/>
        </w:rPr>
        <w:t>Care Act 2014</w:t>
      </w:r>
      <w:r>
        <w:t xml:space="preserve">, c. 23. Available at: </w:t>
      </w:r>
      <w:hyperlink r:id="rId26" w:history="1">
        <w:r w:rsidR="000E4157" w:rsidRPr="008402DB">
          <w:rPr>
            <w:rStyle w:val="Hyperlink"/>
          </w:rPr>
          <w:t>https://www.legislation.gov.uk/ukpga/2014/23</w:t>
        </w:r>
      </w:hyperlink>
      <w:r w:rsidR="000E4157">
        <w:t xml:space="preserve"> </w:t>
      </w:r>
      <w:r>
        <w:t>(Accessed: 18 March 2026).</w:t>
      </w:r>
    </w:p>
    <w:p w14:paraId="7D6DE4A5" w14:textId="11A51A94" w:rsidR="00605BC2" w:rsidRDefault="00F73C70">
      <w:pPr>
        <w:keepLines/>
        <w:spacing w:after="120" w:line="240" w:lineRule="auto"/>
        <w:ind w:left="720" w:hanging="720"/>
        <w:jc w:val="left"/>
      </w:pPr>
      <w:r>
        <w:t xml:space="preserve">Care Quality Commission (2025) </w:t>
      </w:r>
      <w:r>
        <w:rPr>
          <w:i/>
        </w:rPr>
        <w:t>The state of health care and adult social care in England 2024/25</w:t>
      </w:r>
      <w:r>
        <w:t xml:space="preserve">. Available at: </w:t>
      </w:r>
      <w:hyperlink r:id="rId27" w:history="1">
        <w:r w:rsidR="000E4157" w:rsidRPr="008402DB">
          <w:rPr>
            <w:rStyle w:val="Hyperlink"/>
          </w:rPr>
          <w:t>https://www.cqc.org.uk/publications/major-report/state-care/2024-2025/access/asc</w:t>
        </w:r>
      </w:hyperlink>
      <w:r w:rsidR="000E4157">
        <w:t xml:space="preserve"> </w:t>
      </w:r>
      <w:r>
        <w:t>(Accessed: 9 April 2026).</w:t>
      </w:r>
    </w:p>
    <w:p w14:paraId="7BE98D17" w14:textId="62014F92" w:rsidR="00605BC2" w:rsidRDefault="00F73C70">
      <w:pPr>
        <w:keepLines/>
        <w:spacing w:after="120" w:line="240" w:lineRule="auto"/>
        <w:ind w:left="720" w:hanging="720"/>
        <w:jc w:val="left"/>
      </w:pPr>
      <w:r>
        <w:t xml:space="preserve">Carers UK (2025) </w:t>
      </w:r>
      <w:r>
        <w:rPr>
          <w:i/>
        </w:rPr>
        <w:t>State of caring: the impact of caring on carers’ mental health and the need for support from social care services</w:t>
      </w:r>
      <w:r>
        <w:t xml:space="preserve">. London: Carers UK. Available at: </w:t>
      </w:r>
      <w:hyperlink r:id="rId28" w:history="1">
        <w:r w:rsidR="000E4157" w:rsidRPr="008402DB">
          <w:rPr>
            <w:rStyle w:val="Hyperlink"/>
          </w:rPr>
          <w:t>https://www.carersuk.org/media/rjknz2jt/state-of-caring-mental-health-and-social-care-feb-2025.pdf</w:t>
        </w:r>
      </w:hyperlink>
      <w:r w:rsidR="000E4157">
        <w:t xml:space="preserve"> </w:t>
      </w:r>
      <w:r>
        <w:t>(Accessed: 31 July 2026).</w:t>
      </w:r>
    </w:p>
    <w:p w14:paraId="49D6B500" w14:textId="5506F6F3" w:rsidR="00605BC2" w:rsidRDefault="00F73C70">
      <w:pPr>
        <w:keepLines/>
        <w:spacing w:after="120" w:line="240" w:lineRule="auto"/>
        <w:ind w:left="720" w:hanging="720"/>
        <w:jc w:val="left"/>
      </w:pPr>
      <w:r>
        <w:t xml:space="preserve">Carlisle, S., Bunce, A., Prina, M., McManus, S., Barbosa, E., Feder, G. and Lewis, N.V. (2025) ‘Effectiveness of UK-based support interventions and services aimed at adults who have experienced or used domestic and sexual violence and abuse: a systematic review and meta-analysis’, </w:t>
      </w:r>
      <w:r>
        <w:rPr>
          <w:i/>
        </w:rPr>
        <w:t>BMC Public Health</w:t>
      </w:r>
      <w:r>
        <w:t xml:space="preserve">, 25, 1003. Available at: </w:t>
      </w:r>
      <w:hyperlink r:id="rId29" w:history="1">
        <w:r w:rsidR="000E4157" w:rsidRPr="008402DB">
          <w:rPr>
            <w:rStyle w:val="Hyperlink"/>
          </w:rPr>
          <w:t>https://doi.org/10.1186/s12889-025-21891-5</w:t>
        </w:r>
      </w:hyperlink>
      <w:r w:rsidR="000E4157">
        <w:t xml:space="preserve">. </w:t>
      </w:r>
    </w:p>
    <w:p w14:paraId="4CEA8E67" w14:textId="30CBDD78" w:rsidR="00605BC2" w:rsidRDefault="00F73C70">
      <w:pPr>
        <w:keepLines/>
        <w:spacing w:after="120" w:line="240" w:lineRule="auto"/>
        <w:ind w:left="720" w:hanging="720"/>
        <w:jc w:val="left"/>
      </w:pPr>
      <w:r>
        <w:t xml:space="preserve">Centre for Ageing Better (2024) </w:t>
      </w:r>
      <w:r>
        <w:rPr>
          <w:i/>
        </w:rPr>
        <w:t>The state of ageing 2023–24</w:t>
      </w:r>
      <w:r>
        <w:t xml:space="preserve">. London: Centre for Ageing Better. Available at: </w:t>
      </w:r>
      <w:hyperlink r:id="rId30" w:history="1">
        <w:r w:rsidR="000E4157" w:rsidRPr="008402DB">
          <w:rPr>
            <w:rStyle w:val="Hyperlink"/>
          </w:rPr>
          <w:t>https://ageing-better.org.uk/the-state-of-ageing-2023-4</w:t>
        </w:r>
      </w:hyperlink>
      <w:r w:rsidR="000E4157">
        <w:t xml:space="preserve"> </w:t>
      </w:r>
      <w:r>
        <w:t>(Accessed: 31 July 2026).</w:t>
      </w:r>
    </w:p>
    <w:p w14:paraId="5D65D13E" w14:textId="716129AD" w:rsidR="00605BC2" w:rsidRDefault="00F73C70">
      <w:pPr>
        <w:keepLines/>
        <w:spacing w:after="120" w:line="240" w:lineRule="auto"/>
        <w:ind w:left="720" w:hanging="720"/>
        <w:jc w:val="left"/>
      </w:pPr>
      <w:r>
        <w:t xml:space="preserve">Clotworthy, A., Kusumastuti, S. and Westendorp, R.G.J. (2021) ‘Reablement through time and space: a scoping review of how the concept of ‘reablement’ for older people has been defined and operationalised’, </w:t>
      </w:r>
      <w:r>
        <w:rPr>
          <w:i/>
        </w:rPr>
        <w:t>BMC Geriatrics</w:t>
      </w:r>
      <w:r>
        <w:t xml:space="preserve">, 21, 61. Available at: </w:t>
      </w:r>
      <w:hyperlink r:id="rId31" w:history="1">
        <w:r w:rsidR="000E4157" w:rsidRPr="008402DB">
          <w:rPr>
            <w:rStyle w:val="Hyperlink"/>
          </w:rPr>
          <w:t>https://doi.org/10.1186/s12877-020-01958-1</w:t>
        </w:r>
      </w:hyperlink>
      <w:r w:rsidR="000E4157">
        <w:t xml:space="preserve">. </w:t>
      </w:r>
    </w:p>
    <w:p w14:paraId="261930D6" w14:textId="63364221" w:rsidR="00605BC2" w:rsidRDefault="00F73C70">
      <w:pPr>
        <w:keepLines/>
        <w:spacing w:after="120" w:line="240" w:lineRule="auto"/>
        <w:ind w:left="720" w:hanging="720"/>
        <w:jc w:val="left"/>
      </w:pPr>
      <w:r>
        <w:t xml:space="preserve">Cox, D., Cleak, H., Bhathal, A. and Brophy, L. (2020) ‘Theoretical frameworks in social work education: a scoping review’, </w:t>
      </w:r>
      <w:r>
        <w:rPr>
          <w:i/>
        </w:rPr>
        <w:t>Social Work Education</w:t>
      </w:r>
      <w:r>
        <w:t xml:space="preserve">, 40(1), pp. 1–26. Available at: </w:t>
      </w:r>
      <w:hyperlink r:id="rId32" w:history="1">
        <w:r w:rsidR="000E4157" w:rsidRPr="008402DB">
          <w:rPr>
            <w:rStyle w:val="Hyperlink"/>
          </w:rPr>
          <w:t>https://doi.org/10.1080/02615479.2020.1745172</w:t>
        </w:r>
      </w:hyperlink>
      <w:r w:rsidR="000E4157">
        <w:t xml:space="preserve">. </w:t>
      </w:r>
    </w:p>
    <w:p w14:paraId="2F733824" w14:textId="4CBF317E" w:rsidR="00605BC2" w:rsidRDefault="00F73C70">
      <w:pPr>
        <w:keepLines/>
        <w:spacing w:after="120" w:line="240" w:lineRule="auto"/>
        <w:ind w:left="720" w:hanging="720"/>
        <w:jc w:val="left"/>
      </w:pPr>
      <w:r>
        <w:t xml:space="preserve">Critical Appraisal Skills Programme (2022) </w:t>
      </w:r>
      <w:r>
        <w:rPr>
          <w:i/>
        </w:rPr>
        <w:t>How to use the CASP checklists</w:t>
      </w:r>
      <w:r>
        <w:t xml:space="preserve">. Available at: </w:t>
      </w:r>
      <w:hyperlink r:id="rId33" w:history="1">
        <w:r w:rsidR="000E4157" w:rsidRPr="008402DB">
          <w:rPr>
            <w:rStyle w:val="Hyperlink"/>
          </w:rPr>
          <w:t>https://casp-uk.net/how-to-use-checklist/</w:t>
        </w:r>
      </w:hyperlink>
      <w:r w:rsidR="000E4157">
        <w:t xml:space="preserve"> </w:t>
      </w:r>
      <w:r>
        <w:t>(Accessed: 22 June 2026).</w:t>
      </w:r>
    </w:p>
    <w:p w14:paraId="723D91F8" w14:textId="6DF9D3AC" w:rsidR="00605BC2" w:rsidRDefault="00F73C70">
      <w:pPr>
        <w:keepLines/>
        <w:spacing w:after="120" w:line="240" w:lineRule="auto"/>
        <w:ind w:left="720" w:hanging="720"/>
        <w:jc w:val="left"/>
      </w:pPr>
      <w:r>
        <w:t xml:space="preserve">Department of Health and Social Care (2019) </w:t>
      </w:r>
      <w:r>
        <w:rPr>
          <w:i/>
        </w:rPr>
        <w:t>Strengths-based approach: practice framework and practice handbook</w:t>
      </w:r>
      <w:r>
        <w:t xml:space="preserve">. Available at: </w:t>
      </w:r>
      <w:hyperlink r:id="rId34" w:history="1">
        <w:r w:rsidR="000E4157" w:rsidRPr="008402DB">
          <w:rPr>
            <w:rStyle w:val="Hyperlink"/>
          </w:rPr>
          <w:t>https://assets.publishing.service.gov.uk/media/5c62ae87ed915d04446a5739/stengths-based-approach-practice-framework-and-handbook.pdf</w:t>
        </w:r>
      </w:hyperlink>
      <w:r w:rsidR="000E4157">
        <w:t xml:space="preserve"> </w:t>
      </w:r>
      <w:r>
        <w:t>(Accessed: 20 March 2026).</w:t>
      </w:r>
    </w:p>
    <w:p w14:paraId="3F15CF94" w14:textId="6BA1D017" w:rsidR="00605BC2" w:rsidRDefault="00F73C70">
      <w:pPr>
        <w:keepLines/>
        <w:spacing w:after="120" w:line="240" w:lineRule="auto"/>
        <w:ind w:left="720" w:hanging="720"/>
        <w:jc w:val="left"/>
      </w:pPr>
      <w:r>
        <w:t xml:space="preserve">Department of Health and Social Care (2021) </w:t>
      </w:r>
      <w:r>
        <w:rPr>
          <w:i/>
        </w:rPr>
        <w:t>Evidence review for adult social care reform</w:t>
      </w:r>
      <w:r>
        <w:t xml:space="preserve">. Available at: </w:t>
      </w:r>
      <w:hyperlink r:id="rId35" w:history="1">
        <w:r w:rsidR="000E4157" w:rsidRPr="008402DB">
          <w:rPr>
            <w:rStyle w:val="Hyperlink"/>
          </w:rPr>
          <w:t>https://assets.publishing.service.gov.uk/media/61a7bc688fa8f503780c1c79/evidence-review-for-adult-social-care-reform.pdf</w:t>
        </w:r>
      </w:hyperlink>
      <w:r w:rsidR="000E4157">
        <w:t xml:space="preserve"> </w:t>
      </w:r>
      <w:r>
        <w:t>(Accessed: 1 April 2026).</w:t>
      </w:r>
    </w:p>
    <w:p w14:paraId="42C93D9A" w14:textId="33AE2449" w:rsidR="00605BC2" w:rsidRDefault="00F73C70">
      <w:pPr>
        <w:keepLines/>
        <w:spacing w:after="120" w:line="240" w:lineRule="auto"/>
        <w:ind w:left="720" w:hanging="720"/>
        <w:jc w:val="left"/>
      </w:pPr>
      <w:r>
        <w:t xml:space="preserve">Department of Health and Social Care (2022a) </w:t>
      </w:r>
      <w:r>
        <w:rPr>
          <w:i/>
        </w:rPr>
        <w:t>The government’s response to the Adult Social Care Committee report, A ‘gloriously ordinary life’: spotlight on adult social care</w:t>
      </w:r>
      <w:r>
        <w:t xml:space="preserve">. Available at: </w:t>
      </w:r>
      <w:hyperlink r:id="rId36" w:history="1">
        <w:r w:rsidR="000E4157" w:rsidRPr="008402DB">
          <w:rPr>
            <w:rStyle w:val="Hyperlink"/>
          </w:rPr>
          <w:t>https://www.gov.uk/government/publications/the-governments-response-to-the-adult-social-care-committee-report/the-governments-response-to-the-adult-social-care-committee-report</w:t>
        </w:r>
      </w:hyperlink>
      <w:r w:rsidR="000E4157">
        <w:t xml:space="preserve"> </w:t>
      </w:r>
      <w:r>
        <w:t>(Accessed: 21 May 2026).</w:t>
      </w:r>
    </w:p>
    <w:p w14:paraId="3D4D18CF" w14:textId="22CDF08D" w:rsidR="00605BC2" w:rsidRDefault="00F73C70">
      <w:pPr>
        <w:keepLines/>
        <w:spacing w:after="120" w:line="240" w:lineRule="auto"/>
        <w:ind w:left="720" w:hanging="720"/>
        <w:jc w:val="left"/>
      </w:pPr>
      <w:r>
        <w:lastRenderedPageBreak/>
        <w:t xml:space="preserve">Department of Health and Social Care (2022b) </w:t>
      </w:r>
      <w:r>
        <w:rPr>
          <w:i/>
        </w:rPr>
        <w:t>People at the heart of care: adult social care reform</w:t>
      </w:r>
      <w:r>
        <w:t xml:space="preserve">. Available at: </w:t>
      </w:r>
      <w:hyperlink r:id="rId37" w:history="1">
        <w:r w:rsidR="000E4157" w:rsidRPr="008402DB">
          <w:rPr>
            <w:rStyle w:val="Hyperlink"/>
          </w:rPr>
          <w:t>https://www.gov.uk/government/publications/people-at-the-heart-of-care-adult-social-care-reform-white-paper/people-at-the-heart-of-care-adult-social-care-reform</w:t>
        </w:r>
      </w:hyperlink>
      <w:r w:rsidR="000E4157">
        <w:t xml:space="preserve"> </w:t>
      </w:r>
      <w:r>
        <w:t>(Accessed: 9 April 2026).</w:t>
      </w:r>
    </w:p>
    <w:p w14:paraId="51BD8B33" w14:textId="068C3147" w:rsidR="00605BC2" w:rsidRDefault="00F73C70">
      <w:pPr>
        <w:keepLines/>
        <w:spacing w:after="120" w:line="240" w:lineRule="auto"/>
        <w:ind w:left="720" w:hanging="720"/>
        <w:jc w:val="left"/>
      </w:pPr>
      <w:r>
        <w:t xml:space="preserve">Department of Health and Social Care (2023a) </w:t>
      </w:r>
      <w:r>
        <w:rPr>
          <w:i/>
        </w:rPr>
        <w:t>Major conditions strategy: case for change and our strategic framework</w:t>
      </w:r>
      <w:r>
        <w:t xml:space="preserve">. Available at: </w:t>
      </w:r>
      <w:hyperlink r:id="rId38" w:history="1">
        <w:r w:rsidR="000E4157" w:rsidRPr="008402DB">
          <w:rPr>
            <w:rStyle w:val="Hyperlink"/>
          </w:rPr>
          <w:t>https://www.gov.uk/government/publications/major-conditions-strategy-case-for-change-and-our-strategic-framework/major-conditions-strategy-case-for-change-and-our-strategic-framework--2</w:t>
        </w:r>
      </w:hyperlink>
      <w:r w:rsidR="000E4157">
        <w:t xml:space="preserve"> </w:t>
      </w:r>
      <w:r>
        <w:t>(Accessed: 6 May 2026).</w:t>
      </w:r>
    </w:p>
    <w:p w14:paraId="6F9200BC" w14:textId="3673F948" w:rsidR="00605BC2" w:rsidRDefault="00F73C70">
      <w:pPr>
        <w:keepLines/>
        <w:spacing w:after="120" w:line="240" w:lineRule="auto"/>
        <w:ind w:left="720" w:hanging="720"/>
        <w:jc w:val="left"/>
      </w:pPr>
      <w:r>
        <w:t xml:space="preserve">Department of Health and Social Care (2023b) </w:t>
      </w:r>
      <w:r>
        <w:rPr>
          <w:i/>
        </w:rPr>
        <w:t>Next steps to put people at the heart of care</w:t>
      </w:r>
      <w:r>
        <w:t xml:space="preserve">. Available at: </w:t>
      </w:r>
      <w:hyperlink r:id="rId39" w:history="1">
        <w:r w:rsidR="000E4157" w:rsidRPr="008402DB">
          <w:rPr>
            <w:rStyle w:val="Hyperlink"/>
          </w:rPr>
          <w:t>https://www.gov.uk/government/publications/adult-social-care-system-reform-next-steps-to-put-people-at-the-heart-of-care/next-steps-to-put-people-at-the-heart-of-care</w:t>
        </w:r>
      </w:hyperlink>
      <w:r w:rsidR="000E4157">
        <w:t xml:space="preserve"> </w:t>
      </w:r>
      <w:r>
        <w:t>(Accessed: 1 August 2026).</w:t>
      </w:r>
    </w:p>
    <w:p w14:paraId="4F332B00" w14:textId="466675FD" w:rsidR="00605BC2" w:rsidRDefault="00F73C70">
      <w:pPr>
        <w:keepLines/>
        <w:spacing w:after="120" w:line="240" w:lineRule="auto"/>
        <w:ind w:left="720" w:hanging="720"/>
        <w:jc w:val="left"/>
      </w:pPr>
      <w:r>
        <w:t xml:space="preserve">Department of Health and Social Care (2026) </w:t>
      </w:r>
      <w:r>
        <w:rPr>
          <w:i/>
        </w:rPr>
        <w:t>Care workforce pathway for adult social care</w:t>
      </w:r>
      <w:r>
        <w:t xml:space="preserve">. Available at: </w:t>
      </w:r>
      <w:hyperlink r:id="rId40" w:history="1">
        <w:r w:rsidR="000E4157" w:rsidRPr="008402DB">
          <w:rPr>
            <w:rStyle w:val="Hyperlink"/>
          </w:rPr>
          <w:t>https://www.gov.uk/government/publications/care-workforce-pathway-for-adult-social-care</w:t>
        </w:r>
      </w:hyperlink>
      <w:r w:rsidR="000E4157">
        <w:t xml:space="preserve"> </w:t>
      </w:r>
      <w:r>
        <w:t>(Accessed: 1 August 2026).</w:t>
      </w:r>
    </w:p>
    <w:p w14:paraId="79057ED5" w14:textId="6163E38D" w:rsidR="00605BC2" w:rsidRDefault="00F73C70">
      <w:pPr>
        <w:keepLines/>
        <w:spacing w:after="120" w:line="240" w:lineRule="auto"/>
        <w:ind w:left="720" w:hanging="720"/>
        <w:jc w:val="left"/>
      </w:pPr>
      <w:r>
        <w:t xml:space="preserve">Fernando, A., Tracey, F. and Allen, L. (2026) </w:t>
      </w:r>
      <w:r>
        <w:rPr>
          <w:i/>
        </w:rPr>
        <w:t>Unpaid care: the realities of caring in the UK</w:t>
      </w:r>
      <w:r>
        <w:t xml:space="preserve">. London: The Health Foundation. Available at: </w:t>
      </w:r>
      <w:hyperlink r:id="rId41" w:history="1">
        <w:r w:rsidR="000E4157" w:rsidRPr="008402DB">
          <w:rPr>
            <w:rStyle w:val="Hyperlink"/>
          </w:rPr>
          <w:t>https://www.health.org.uk/reports-and-analysis/analysis/unpaid-care-the-realities-of-caring-in-the-uk</w:t>
        </w:r>
      </w:hyperlink>
      <w:r w:rsidR="000E4157">
        <w:t xml:space="preserve"> </w:t>
      </w:r>
      <w:r>
        <w:t>(Accessed: 12 May 2026).</w:t>
      </w:r>
    </w:p>
    <w:p w14:paraId="62DF976E" w14:textId="4AA25378" w:rsidR="00605BC2" w:rsidRDefault="00F73C70">
      <w:pPr>
        <w:keepLines/>
        <w:spacing w:after="120" w:line="240" w:lineRule="auto"/>
        <w:ind w:left="720" w:hanging="720"/>
        <w:jc w:val="left"/>
      </w:pPr>
      <w:r>
        <w:t xml:space="preserve">Foster, D. (2024) </w:t>
      </w:r>
      <w:r>
        <w:rPr>
          <w:i/>
        </w:rPr>
        <w:t>Adult social care workforce in England</w:t>
      </w:r>
      <w:r>
        <w:t xml:space="preserve">. London: House of Commons Library. Available at: </w:t>
      </w:r>
      <w:hyperlink r:id="rId42" w:history="1">
        <w:r w:rsidR="000E4157" w:rsidRPr="008402DB">
          <w:rPr>
            <w:rStyle w:val="Hyperlink"/>
          </w:rPr>
          <w:t>https://researchbriefings.files.parliament.uk/documents/CBP-9615/CBP-9615.pdf</w:t>
        </w:r>
      </w:hyperlink>
      <w:r w:rsidR="000E4157">
        <w:t xml:space="preserve"> </w:t>
      </w:r>
      <w:r>
        <w:t>(Accessed: 2 July 2026).</w:t>
      </w:r>
    </w:p>
    <w:p w14:paraId="36C14016" w14:textId="788D782E" w:rsidR="00605BC2" w:rsidRDefault="00F73C70">
      <w:pPr>
        <w:keepLines/>
        <w:spacing w:after="120" w:line="240" w:lineRule="auto"/>
        <w:ind w:left="720" w:hanging="720"/>
        <w:jc w:val="left"/>
      </w:pPr>
      <w:r>
        <w:t xml:space="preserve">Fuller, C. (2022) </w:t>
      </w:r>
      <w:r>
        <w:rPr>
          <w:i/>
        </w:rPr>
        <w:t>Next steps for integrating primary care: Fuller stocktake report</w:t>
      </w:r>
      <w:r>
        <w:t xml:space="preserve">. London: NHS England. Available at: </w:t>
      </w:r>
      <w:hyperlink r:id="rId43" w:history="1">
        <w:r w:rsidR="000E4157" w:rsidRPr="008402DB">
          <w:rPr>
            <w:rStyle w:val="Hyperlink"/>
          </w:rPr>
          <w:t>https://www.england.nhs.uk/wp-content/uploads/2022/05/next-steps-for-integrating-primary-care-fuller-stocktake-report.pdf</w:t>
        </w:r>
      </w:hyperlink>
      <w:r w:rsidR="000E4157">
        <w:t xml:space="preserve"> </w:t>
      </w:r>
      <w:r>
        <w:t>(Accessed: 17 April 2026).</w:t>
      </w:r>
    </w:p>
    <w:p w14:paraId="2EC45FC3" w14:textId="6D636D61" w:rsidR="00605BC2" w:rsidRDefault="00F73C70">
      <w:pPr>
        <w:keepLines/>
        <w:spacing w:after="120" w:line="240" w:lineRule="auto"/>
        <w:ind w:left="720" w:hanging="720"/>
        <w:jc w:val="left"/>
      </w:pPr>
      <w:r>
        <w:t xml:space="preserve">Gough, D., Oliver, S. and Thomas, J. (2017) </w:t>
      </w:r>
      <w:r>
        <w:rPr>
          <w:i/>
        </w:rPr>
        <w:t>An introduction to systematic reviews</w:t>
      </w:r>
      <w:r>
        <w:t xml:space="preserve">. 2nd edn. London: SAGE. Available at: </w:t>
      </w:r>
      <w:hyperlink r:id="rId44" w:history="1">
        <w:r w:rsidR="000E4157" w:rsidRPr="008402DB">
          <w:rPr>
            <w:rStyle w:val="Hyperlink"/>
          </w:rPr>
          <w:t>https://books.google.co.uk/books?id=ZgZODgAAQBAJ</w:t>
        </w:r>
      </w:hyperlink>
      <w:r w:rsidR="000E4157">
        <w:t xml:space="preserve"> </w:t>
      </w:r>
      <w:r>
        <w:t>(Accessed: 3 April 2026).</w:t>
      </w:r>
    </w:p>
    <w:p w14:paraId="3E9A9887" w14:textId="3D84871F" w:rsidR="00605BC2" w:rsidRDefault="00F73C70">
      <w:pPr>
        <w:keepLines/>
        <w:spacing w:after="120" w:line="240" w:lineRule="auto"/>
        <w:ind w:left="720" w:hanging="720"/>
        <w:jc w:val="left"/>
      </w:pPr>
      <w:r>
        <w:t xml:space="preserve">GOV.UK (2022) </w:t>
      </w:r>
      <w:r>
        <w:rPr>
          <w:i/>
        </w:rPr>
        <w:t>Health and social care integration: joining up care for people, places and populations</w:t>
      </w:r>
      <w:r>
        <w:t xml:space="preserve">. Available at: </w:t>
      </w:r>
      <w:hyperlink r:id="rId45" w:history="1">
        <w:r w:rsidR="000E4157" w:rsidRPr="008402DB">
          <w:rPr>
            <w:rStyle w:val="Hyperlink"/>
          </w:rPr>
          <w:t>https://www.gov.uk/government/publications/health-and-social-care-integration-joining-up-care-for-people-places-and-populations/health-and-social-care-integration-joining-up-care-for-people-places-and-populations</w:t>
        </w:r>
      </w:hyperlink>
      <w:r w:rsidR="000E4157">
        <w:t xml:space="preserve"> </w:t>
      </w:r>
      <w:r>
        <w:t>(Accessed: 3 June 2026).</w:t>
      </w:r>
    </w:p>
    <w:p w14:paraId="4BDA40F8" w14:textId="7E6AB489" w:rsidR="00605BC2" w:rsidRDefault="00F73C70">
      <w:pPr>
        <w:keepLines/>
        <w:spacing w:after="120" w:line="240" w:lineRule="auto"/>
        <w:ind w:left="720" w:hanging="720"/>
        <w:jc w:val="left"/>
      </w:pPr>
      <w:r>
        <w:t xml:space="preserve">Harris, J., Martineau, S., Manthorpe, J., Burridge, S., Ornelas, B., Tinelli, M. and Cornes, M. (2022) ‘Social work practice with self-neglect and homelessness: findings from vignette-based interviews’, </w:t>
      </w:r>
      <w:r>
        <w:rPr>
          <w:i/>
        </w:rPr>
        <w:t>The British Journal of Social Work</w:t>
      </w:r>
      <w:r>
        <w:t xml:space="preserve">, 53(4). Available at: </w:t>
      </w:r>
      <w:hyperlink r:id="rId46" w:history="1">
        <w:r w:rsidR="000E4157" w:rsidRPr="008402DB">
          <w:rPr>
            <w:rStyle w:val="Hyperlink"/>
          </w:rPr>
          <w:t>https://doi.org/10.1093/bjsw/bcac180</w:t>
        </w:r>
      </w:hyperlink>
      <w:r w:rsidR="000E4157">
        <w:t xml:space="preserve">. </w:t>
      </w:r>
    </w:p>
    <w:p w14:paraId="0EFB4057" w14:textId="4D626E5C" w:rsidR="00605BC2" w:rsidRDefault="00F73C70">
      <w:pPr>
        <w:keepLines/>
        <w:spacing w:after="120" w:line="240" w:lineRule="auto"/>
        <w:ind w:left="720" w:hanging="720"/>
        <w:jc w:val="left"/>
      </w:pPr>
      <w:r>
        <w:rPr>
          <w:i/>
        </w:rPr>
        <w:t>Health and Care Act 2022</w:t>
      </w:r>
      <w:r>
        <w:t xml:space="preserve">, c. 31. Available at: </w:t>
      </w:r>
      <w:hyperlink r:id="rId47" w:history="1">
        <w:r w:rsidR="000E4157" w:rsidRPr="008402DB">
          <w:rPr>
            <w:rStyle w:val="Hyperlink"/>
          </w:rPr>
          <w:t>https://www.legislation.gov.uk/ukpga/2022/31/enacted</w:t>
        </w:r>
      </w:hyperlink>
      <w:r w:rsidR="000E4157">
        <w:t xml:space="preserve"> </w:t>
      </w:r>
      <w:r>
        <w:t>(Accessed: 20 March 2026).</w:t>
      </w:r>
    </w:p>
    <w:p w14:paraId="57DFFFB4" w14:textId="6DAB4DBF" w:rsidR="00605BC2" w:rsidRDefault="00F73C70">
      <w:pPr>
        <w:keepLines/>
        <w:spacing w:after="120" w:line="240" w:lineRule="auto"/>
        <w:ind w:left="720" w:hanging="720"/>
        <w:jc w:val="left"/>
      </w:pPr>
      <w:r>
        <w:t xml:space="preserve">Hong, Q.N., Fàbregues, S., Bartlett, G., Boardman, F., Cargo, M., Dagenais, P., Gagnon, M.-P., Griffiths, F., Nicolau, B., O’Cathain, A., Rousseau, M.-C., Vedel, I. and Pluye, P. (2018) ‘The Mixed Methods Appraisal Tool (MMAT) version 2018 for information professionals and researchers’, </w:t>
      </w:r>
      <w:r>
        <w:rPr>
          <w:i/>
        </w:rPr>
        <w:t>Education for Information</w:t>
      </w:r>
      <w:r>
        <w:t xml:space="preserve">, 34(4), pp. 285–291. Available at: </w:t>
      </w:r>
      <w:hyperlink r:id="rId48" w:history="1">
        <w:r w:rsidR="000E4157" w:rsidRPr="008402DB">
          <w:rPr>
            <w:rStyle w:val="Hyperlink"/>
          </w:rPr>
          <w:t>https://doi.org/10.3233/EFI-180221</w:t>
        </w:r>
      </w:hyperlink>
      <w:r w:rsidR="000E4157">
        <w:t xml:space="preserve">. </w:t>
      </w:r>
    </w:p>
    <w:p w14:paraId="47617BC6" w14:textId="0818A346" w:rsidR="00605BC2" w:rsidRDefault="00F73C70">
      <w:pPr>
        <w:keepLines/>
        <w:spacing w:after="120" w:line="240" w:lineRule="auto"/>
        <w:ind w:left="720" w:hanging="720"/>
        <w:jc w:val="left"/>
      </w:pPr>
      <w:r>
        <w:lastRenderedPageBreak/>
        <w:t xml:space="preserve">House of Commons Health and Social Care Committee (2020) </w:t>
      </w:r>
      <w:r>
        <w:rPr>
          <w:i/>
        </w:rPr>
        <w:t>Social care: funding and workforce</w:t>
      </w:r>
      <w:r>
        <w:t xml:space="preserve">. Third Report of Session 2019–21, HC 206. London: House of Commons. Available at: </w:t>
      </w:r>
      <w:hyperlink r:id="rId49" w:history="1">
        <w:r w:rsidR="000E4157" w:rsidRPr="008402DB">
          <w:rPr>
            <w:rStyle w:val="Hyperlink"/>
          </w:rPr>
          <w:t>https://committees.parliament.uk/publications/3120/documents/29193/default/</w:t>
        </w:r>
      </w:hyperlink>
      <w:r w:rsidR="000E4157">
        <w:t xml:space="preserve"> </w:t>
      </w:r>
      <w:r>
        <w:t>(Accessed: 18 June 2026)</w:t>
      </w:r>
      <w:r w:rsidR="000E4157">
        <w:t xml:space="preserve">. </w:t>
      </w:r>
    </w:p>
    <w:p w14:paraId="01D63D8A" w14:textId="467673C0" w:rsidR="00605BC2" w:rsidRDefault="00F73C70">
      <w:pPr>
        <w:keepLines/>
        <w:spacing w:after="120" w:line="240" w:lineRule="auto"/>
        <w:ind w:left="720" w:hanging="720"/>
        <w:jc w:val="left"/>
      </w:pPr>
      <w:r>
        <w:t xml:space="preserve">Husk, K., Blockley, K., Lovell, R., Bethel, A., Lang, I., Byng, R. and Garside, R. (2019) ‘What approaches to social prescribing work, for whom, and in what circumstances? A realist review’, </w:t>
      </w:r>
      <w:r>
        <w:rPr>
          <w:i/>
        </w:rPr>
        <w:t>Health &amp; Social Care in the Community</w:t>
      </w:r>
      <w:r>
        <w:t xml:space="preserve">, 28(2), pp. 309–324. Available at: </w:t>
      </w:r>
      <w:hyperlink r:id="rId50" w:history="1">
        <w:r w:rsidR="000E4157" w:rsidRPr="008402DB">
          <w:rPr>
            <w:rStyle w:val="Hyperlink"/>
          </w:rPr>
          <w:t>https://doi.org/10.1111/hsc.12839</w:t>
        </w:r>
      </w:hyperlink>
      <w:r w:rsidR="000E4157">
        <w:t xml:space="preserve">. </w:t>
      </w:r>
    </w:p>
    <w:p w14:paraId="13038C1C" w14:textId="167F7148" w:rsidR="00605BC2" w:rsidRDefault="00F73C70">
      <w:pPr>
        <w:keepLines/>
        <w:spacing w:after="120" w:line="240" w:lineRule="auto"/>
        <w:ind w:left="720" w:hanging="720"/>
        <w:jc w:val="left"/>
      </w:pPr>
      <w:r>
        <w:t xml:space="preserve">Keemink, J.R., Glass, D., Dargan, A.K., Sharp, R.J. and Forder, J.E. (2023) ‘The role of adult social care in the prevention of intensive health and care needs: a scoping review’, </w:t>
      </w:r>
      <w:r>
        <w:rPr>
          <w:i/>
        </w:rPr>
        <w:t>Journal of Long-Term Care</w:t>
      </w:r>
      <w:r>
        <w:t xml:space="preserve">, pp. 350–378. Available at: </w:t>
      </w:r>
      <w:hyperlink r:id="rId51" w:history="1">
        <w:r w:rsidR="000E4157" w:rsidRPr="008402DB">
          <w:rPr>
            <w:rStyle w:val="Hyperlink"/>
          </w:rPr>
          <w:t>https://doi.org/10.31389/jltc.227</w:t>
        </w:r>
      </w:hyperlink>
      <w:r w:rsidR="000E4157">
        <w:t xml:space="preserve">. </w:t>
      </w:r>
    </w:p>
    <w:p w14:paraId="0A22D1C3" w14:textId="728980C6" w:rsidR="00605BC2" w:rsidRDefault="00F73C70">
      <w:pPr>
        <w:keepLines/>
        <w:spacing w:after="120" w:line="240" w:lineRule="auto"/>
        <w:ind w:left="720" w:hanging="720"/>
        <w:jc w:val="left"/>
      </w:pPr>
      <w:r>
        <w:t xml:space="preserve">Kingston, A., Robinson, L., Booth, H., Knapp, M. and Jagger, C. (2018) ‘Projections of multi-morbidity in the older population in England to 2035: estimates from the Population Ageing and Care Simulation (PACSim) model’, </w:t>
      </w:r>
      <w:r>
        <w:rPr>
          <w:i/>
        </w:rPr>
        <w:t>Age and Ageing</w:t>
      </w:r>
      <w:r>
        <w:t xml:space="preserve">, 47(3), pp. 374–380. Available at: </w:t>
      </w:r>
      <w:hyperlink r:id="rId52" w:history="1">
        <w:r w:rsidR="000E4157" w:rsidRPr="008402DB">
          <w:rPr>
            <w:rStyle w:val="Hyperlink"/>
          </w:rPr>
          <w:t>https://doi.org/10.1093/ageing/afx201</w:t>
        </w:r>
      </w:hyperlink>
      <w:r w:rsidR="000E4157">
        <w:t xml:space="preserve">. </w:t>
      </w:r>
    </w:p>
    <w:p w14:paraId="74D5EA2C" w14:textId="1EAE6A89" w:rsidR="00605BC2" w:rsidRDefault="00F73C70">
      <w:pPr>
        <w:keepLines/>
        <w:spacing w:after="120" w:line="240" w:lineRule="auto"/>
        <w:ind w:left="720" w:hanging="720"/>
        <w:jc w:val="left"/>
      </w:pPr>
      <w:r>
        <w:t xml:space="preserve">Local Government Association (2024a) </w:t>
      </w:r>
      <w:r>
        <w:rPr>
          <w:i/>
        </w:rPr>
        <w:t>The Care Act 2014: ten years on from Royal Assent</w:t>
      </w:r>
      <w:r>
        <w:t xml:space="preserve">. London: Local Government Association. Available at: </w:t>
      </w:r>
      <w:hyperlink r:id="rId53" w:history="1">
        <w:r w:rsidR="000E4157" w:rsidRPr="008402DB">
          <w:rPr>
            <w:rStyle w:val="Hyperlink"/>
          </w:rPr>
          <w:t>https://www.local.gov.uk/publications/care-act-2014-ten-years-royal-assent</w:t>
        </w:r>
      </w:hyperlink>
      <w:r w:rsidR="000E4157">
        <w:t xml:space="preserve"> </w:t>
      </w:r>
      <w:r>
        <w:t>(Accessed: 10 July 2026).</w:t>
      </w:r>
    </w:p>
    <w:p w14:paraId="4D858D00" w14:textId="50F15915" w:rsidR="00605BC2" w:rsidRDefault="00F73C70">
      <w:pPr>
        <w:keepLines/>
        <w:spacing w:after="120" w:line="240" w:lineRule="auto"/>
        <w:ind w:left="720" w:hanging="720"/>
        <w:jc w:val="left"/>
      </w:pPr>
      <w:r>
        <w:t xml:space="preserve">Local Government Association (2024b) </w:t>
      </w:r>
      <w:r>
        <w:rPr>
          <w:i/>
        </w:rPr>
        <w:t>Earlier action and support: the case for prevention in adult social care and beyond</w:t>
      </w:r>
      <w:r>
        <w:t xml:space="preserve">. London: Local Government Association. Available at: </w:t>
      </w:r>
      <w:hyperlink r:id="rId54" w:history="1">
        <w:r w:rsidR="000E4157" w:rsidRPr="008402DB">
          <w:rPr>
            <w:rStyle w:val="Hyperlink"/>
          </w:rPr>
          <w:t>https://www.local.gov.uk/publications/earlier-action-and-support-case-prevention-adult-social-care-and-beyond</w:t>
        </w:r>
      </w:hyperlink>
      <w:r w:rsidR="000E4157">
        <w:t xml:space="preserve"> </w:t>
      </w:r>
      <w:r>
        <w:t>(Accessed: 29 April 2026).</w:t>
      </w:r>
    </w:p>
    <w:p w14:paraId="177F0BF3" w14:textId="435C7032" w:rsidR="00605BC2" w:rsidRDefault="00F73C70">
      <w:pPr>
        <w:keepLines/>
        <w:spacing w:after="120" w:line="240" w:lineRule="auto"/>
        <w:ind w:left="720" w:hanging="720"/>
        <w:jc w:val="left"/>
      </w:pPr>
      <w:r>
        <w:t xml:space="preserve">Long, H.A., French, D.P. and Brooks, J.M. (2020) ‘Optimising the value of the Critical Appraisal Skills Programme (CASP) tool for quality appraisal in qualitative evidence synthesis’, </w:t>
      </w:r>
      <w:r>
        <w:rPr>
          <w:i/>
        </w:rPr>
        <w:t>Research Methods in Medicine &amp; Health Sciences</w:t>
      </w:r>
      <w:r>
        <w:t xml:space="preserve">, 1(1), pp. 31–42. Available at: </w:t>
      </w:r>
      <w:hyperlink r:id="rId55" w:history="1">
        <w:r w:rsidR="000E4157" w:rsidRPr="008402DB">
          <w:rPr>
            <w:rStyle w:val="Hyperlink"/>
          </w:rPr>
          <w:t>https://doi.org/10.1177/2632084320947559</w:t>
        </w:r>
      </w:hyperlink>
      <w:r w:rsidR="000E4157">
        <w:t xml:space="preserve">. </w:t>
      </w:r>
    </w:p>
    <w:p w14:paraId="7FFA1FAC" w14:textId="52878241" w:rsidR="00605BC2" w:rsidRDefault="00F73C70">
      <w:pPr>
        <w:keepLines/>
        <w:spacing w:after="120" w:line="240" w:lineRule="auto"/>
        <w:ind w:left="720" w:hanging="720"/>
        <w:jc w:val="left"/>
      </w:pPr>
      <w:r>
        <w:t xml:space="preserve">Lunt, N., Bainbridge, L. and Rippon, S. (2020) ‘Strengths, assets and place – the emergence of Local Area Coordination initiatives in England and Wales’, </w:t>
      </w:r>
      <w:r>
        <w:rPr>
          <w:i/>
        </w:rPr>
        <w:t>Journal of Social Work</w:t>
      </w:r>
      <w:r>
        <w:t xml:space="preserve">, 21(5), pp. 1041–1061. Available at: </w:t>
      </w:r>
      <w:hyperlink r:id="rId56" w:history="1">
        <w:r w:rsidR="000E4157" w:rsidRPr="008402DB">
          <w:rPr>
            <w:rStyle w:val="Hyperlink"/>
          </w:rPr>
          <w:t>https://doi.org/10.1177/1468017320918174</w:t>
        </w:r>
      </w:hyperlink>
      <w:r w:rsidR="000E4157">
        <w:t xml:space="preserve">. </w:t>
      </w:r>
    </w:p>
    <w:p w14:paraId="399E04BE" w14:textId="6C4369D4" w:rsidR="00605BC2" w:rsidRDefault="00F73C70">
      <w:pPr>
        <w:keepLines/>
        <w:spacing w:after="120" w:line="240" w:lineRule="auto"/>
        <w:ind w:left="720" w:hanging="720"/>
        <w:jc w:val="left"/>
      </w:pPr>
      <w:r>
        <w:t xml:space="preserve">Mahesh, S., Bharatan, I. and Miller, R. (2024) ‘Strengths-based practice in adult social care: understanding implementation’, </w:t>
      </w:r>
      <w:r>
        <w:rPr>
          <w:i/>
        </w:rPr>
        <w:t>NIHR Open Research</w:t>
      </w:r>
      <w:r>
        <w:t xml:space="preserve">, 4, 19. Available at: </w:t>
      </w:r>
      <w:hyperlink r:id="rId57" w:history="1">
        <w:r w:rsidR="000E4157" w:rsidRPr="008402DB">
          <w:rPr>
            <w:rStyle w:val="Hyperlink"/>
          </w:rPr>
          <w:t>https://doi.org/10.3310/nihropenres.13532.2</w:t>
        </w:r>
      </w:hyperlink>
      <w:r w:rsidR="000E4157">
        <w:t xml:space="preserve">. </w:t>
      </w:r>
    </w:p>
    <w:p w14:paraId="7E28BF37" w14:textId="5BEFAA3D" w:rsidR="00605BC2" w:rsidRDefault="00F73C70">
      <w:pPr>
        <w:keepLines/>
        <w:spacing w:after="120" w:line="240" w:lineRule="auto"/>
        <w:ind w:left="720" w:hanging="720"/>
        <w:jc w:val="left"/>
      </w:pPr>
      <w:r>
        <w:t xml:space="preserve">Marczak, J., Wistow, G. and Fernandez, J.-L. (2024) ‘Ready, willing and able? Local perspectives on implementing prevention in social care in England’, </w:t>
      </w:r>
      <w:r>
        <w:rPr>
          <w:i/>
        </w:rPr>
        <w:t>The British Journal of Social Work</w:t>
      </w:r>
      <w:r>
        <w:t xml:space="preserve">, 54(3), pp. 1297–1317. Available at: </w:t>
      </w:r>
      <w:hyperlink r:id="rId58" w:history="1">
        <w:r w:rsidR="000E4157" w:rsidRPr="008402DB">
          <w:rPr>
            <w:rStyle w:val="Hyperlink"/>
          </w:rPr>
          <w:t>https://doi.org/10.1093/bjsw/bcae010</w:t>
        </w:r>
      </w:hyperlink>
      <w:r w:rsidR="000E4157">
        <w:t xml:space="preserve">. </w:t>
      </w:r>
    </w:p>
    <w:p w14:paraId="7C3CAB25" w14:textId="11FAE4BC" w:rsidR="00605BC2" w:rsidRDefault="00F73C70">
      <w:pPr>
        <w:keepLines/>
        <w:spacing w:after="120" w:line="240" w:lineRule="auto"/>
        <w:ind w:left="720" w:hanging="720"/>
        <w:jc w:val="left"/>
      </w:pPr>
      <w:r>
        <w:t xml:space="preserve">Marmot, M., Allen, J., Boyce, T., Goldblatt, P. and Morrison, J. (2020) </w:t>
      </w:r>
      <w:r>
        <w:rPr>
          <w:i/>
        </w:rPr>
        <w:t xml:space="preserve">Health equity in England: </w:t>
      </w:r>
      <w:r w:rsidR="000E4157">
        <w:rPr>
          <w:i/>
        </w:rPr>
        <w:t>The</w:t>
      </w:r>
      <w:r>
        <w:rPr>
          <w:i/>
        </w:rPr>
        <w:t xml:space="preserve"> Marmot review 10 years on</w:t>
      </w:r>
      <w:r>
        <w:t xml:space="preserve">. London: Institute of Health Equity. Available at: </w:t>
      </w:r>
      <w:hyperlink r:id="rId59" w:history="1">
        <w:r w:rsidR="000E4157" w:rsidRPr="008402DB">
          <w:rPr>
            <w:rStyle w:val="Hyperlink"/>
          </w:rPr>
          <w:t>https://www.health.org.uk/sites/default/files/upload/publications/2020/Health%20Equity%20in%20England_The%20Marmot%20Review%2010%20Years%20On_full%20report.pdf</w:t>
        </w:r>
      </w:hyperlink>
      <w:r w:rsidR="000E4157">
        <w:t xml:space="preserve"> </w:t>
      </w:r>
      <w:r>
        <w:t>(Accessed: 1 June 2026).</w:t>
      </w:r>
    </w:p>
    <w:p w14:paraId="3E7EA88C" w14:textId="07EA3427" w:rsidR="00605BC2" w:rsidRDefault="00F73C70">
      <w:pPr>
        <w:keepLines/>
        <w:spacing w:after="120" w:line="240" w:lineRule="auto"/>
        <w:ind w:left="720" w:hanging="720"/>
        <w:jc w:val="left"/>
      </w:pPr>
      <w:r>
        <w:t xml:space="preserve">Miller, R. and Mahesh, S. (eds) (2025) </w:t>
      </w:r>
      <w:r>
        <w:rPr>
          <w:i/>
        </w:rPr>
        <w:t>Strengths-based practice in adult social work and social care</w:t>
      </w:r>
      <w:r>
        <w:t xml:space="preserve">. London: Routledge. Available at: </w:t>
      </w:r>
      <w:hyperlink r:id="rId60" w:history="1">
        <w:r w:rsidR="000E4157" w:rsidRPr="008402DB">
          <w:rPr>
            <w:rStyle w:val="Hyperlink"/>
          </w:rPr>
          <w:t>https://doi.org/10.4324/9781003424383</w:t>
        </w:r>
      </w:hyperlink>
      <w:r w:rsidR="000E4157">
        <w:t xml:space="preserve"> </w:t>
      </w:r>
      <w:r>
        <w:t>(Accessed: 31 July 2026).</w:t>
      </w:r>
    </w:p>
    <w:p w14:paraId="1C14D150" w14:textId="69FA1F26" w:rsidR="00605BC2" w:rsidRDefault="00F73C70">
      <w:pPr>
        <w:keepLines/>
        <w:spacing w:after="120" w:line="240" w:lineRule="auto"/>
        <w:ind w:left="720" w:hanging="720"/>
        <w:jc w:val="left"/>
      </w:pPr>
      <w:r>
        <w:lastRenderedPageBreak/>
        <w:t xml:space="preserve">Moffatt, S., Steer, M., Lawson, S., Penn, L. and O’Brien, N. (2017) ‘Link Worker social prescribing to improve health and well-being for people with long-term conditions: qualitative study of service user perceptions’, </w:t>
      </w:r>
      <w:r>
        <w:rPr>
          <w:i/>
        </w:rPr>
        <w:t>BMJ Open</w:t>
      </w:r>
      <w:r>
        <w:t xml:space="preserve">, 7, e015203. Available at: </w:t>
      </w:r>
      <w:hyperlink r:id="rId61" w:history="1">
        <w:r w:rsidR="000E4157" w:rsidRPr="008402DB">
          <w:rPr>
            <w:rStyle w:val="Hyperlink"/>
          </w:rPr>
          <w:t>https://doi.org/10.1136/bmjopen-2016-015203</w:t>
        </w:r>
      </w:hyperlink>
      <w:r w:rsidR="000E4157">
        <w:t xml:space="preserve">. </w:t>
      </w:r>
    </w:p>
    <w:p w14:paraId="65AEA45B" w14:textId="767A8908" w:rsidR="00605BC2" w:rsidRDefault="00F73C70">
      <w:pPr>
        <w:keepLines/>
        <w:spacing w:after="120" w:line="240" w:lineRule="auto"/>
        <w:ind w:left="720" w:hanging="720"/>
        <w:jc w:val="left"/>
      </w:pPr>
      <w:r>
        <w:t xml:space="preserve">National Audit Office (2018) </w:t>
      </w:r>
      <w:r>
        <w:rPr>
          <w:i/>
        </w:rPr>
        <w:t xml:space="preserve">Adult social care </w:t>
      </w:r>
      <w:proofErr w:type="gramStart"/>
      <w:r>
        <w:rPr>
          <w:i/>
        </w:rPr>
        <w:t>at a glance</w:t>
      </w:r>
      <w:proofErr w:type="gramEnd"/>
      <w:r>
        <w:t xml:space="preserve">. London: National Audit Office. Available at: </w:t>
      </w:r>
      <w:hyperlink r:id="rId62" w:history="1">
        <w:r w:rsidR="000E4157" w:rsidRPr="008402DB">
          <w:rPr>
            <w:rStyle w:val="Hyperlink"/>
          </w:rPr>
          <w:t>https://www.nao.org.uk/wp-content/uploads/2018/07/Adult-social-care-at-a-glance.pdf</w:t>
        </w:r>
      </w:hyperlink>
      <w:r w:rsidR="000E4157">
        <w:t xml:space="preserve"> </w:t>
      </w:r>
      <w:r>
        <w:t>(Accessed: 2 July 2026).</w:t>
      </w:r>
    </w:p>
    <w:p w14:paraId="77E41D08" w14:textId="64B9D302" w:rsidR="00605BC2" w:rsidRDefault="00F73C70">
      <w:pPr>
        <w:keepLines/>
        <w:spacing w:after="120" w:line="240" w:lineRule="auto"/>
        <w:ind w:left="720" w:hanging="720"/>
        <w:jc w:val="left"/>
      </w:pPr>
      <w:r>
        <w:t xml:space="preserve">National Audit Office (2021) </w:t>
      </w:r>
      <w:r>
        <w:rPr>
          <w:i/>
        </w:rPr>
        <w:t>The adult social care market in England</w:t>
      </w:r>
      <w:r>
        <w:t xml:space="preserve">. London: National Audit Office. Available at: </w:t>
      </w:r>
      <w:hyperlink r:id="rId63" w:history="1">
        <w:r w:rsidR="000E4157" w:rsidRPr="008402DB">
          <w:rPr>
            <w:rStyle w:val="Hyperlink"/>
          </w:rPr>
          <w:t>https://www.nao.org.uk/wp-content/uploads/2021/03/The-adult-social-care-market-in-England.pdf</w:t>
        </w:r>
      </w:hyperlink>
      <w:r w:rsidR="000E4157">
        <w:t xml:space="preserve"> </w:t>
      </w:r>
      <w:r>
        <w:t>(Accessed: 2 July 2026).</w:t>
      </w:r>
    </w:p>
    <w:p w14:paraId="053AC448" w14:textId="6303D5C8" w:rsidR="00605BC2" w:rsidRDefault="00F73C70">
      <w:pPr>
        <w:keepLines/>
        <w:spacing w:after="120" w:line="240" w:lineRule="auto"/>
        <w:ind w:left="720" w:hanging="720"/>
        <w:jc w:val="left"/>
      </w:pPr>
      <w:r>
        <w:t xml:space="preserve">National Audit Office (2022) </w:t>
      </w:r>
      <w:r>
        <w:rPr>
          <w:i/>
        </w:rPr>
        <w:t>Integrated Care Systems: funding and accountability for local health and care</w:t>
      </w:r>
      <w:r>
        <w:t xml:space="preserve">. London: National Audit Office. Available at: </w:t>
      </w:r>
      <w:hyperlink r:id="rId64" w:history="1">
        <w:r w:rsidR="000E4157" w:rsidRPr="008402DB">
          <w:rPr>
            <w:rStyle w:val="Hyperlink"/>
          </w:rPr>
          <w:t>https://www.nao.org.uk/wp-content/uploads/2022/10/Integrated-Care-Systems-Funding-and-accountability-for-local-health-and-care.pdf</w:t>
        </w:r>
      </w:hyperlink>
      <w:r w:rsidR="000E4157">
        <w:t xml:space="preserve"> </w:t>
      </w:r>
      <w:r>
        <w:t>(Accessed: 21 June 2026).</w:t>
      </w:r>
    </w:p>
    <w:p w14:paraId="3A88A1BF" w14:textId="157BF3AF" w:rsidR="00605BC2" w:rsidRDefault="00F73C70">
      <w:pPr>
        <w:keepLines/>
        <w:spacing w:after="120" w:line="240" w:lineRule="auto"/>
        <w:ind w:left="720" w:hanging="720"/>
        <w:jc w:val="left"/>
      </w:pPr>
      <w:r>
        <w:t xml:space="preserve">National Audit Office (2023) </w:t>
      </w:r>
      <w:r>
        <w:rPr>
          <w:i/>
        </w:rPr>
        <w:t>Reforming adult social care in England</w:t>
      </w:r>
      <w:r>
        <w:t xml:space="preserve">. London: National Audit Office. Available at: </w:t>
      </w:r>
      <w:hyperlink r:id="rId65" w:history="1">
        <w:r w:rsidR="000E4157" w:rsidRPr="008402DB">
          <w:rPr>
            <w:rStyle w:val="Hyperlink"/>
          </w:rPr>
          <w:t>https://www.nao.org.uk/wp-content/uploads/2023/11/Report-reforming-adult-social-care-in-England.pdf</w:t>
        </w:r>
      </w:hyperlink>
      <w:r w:rsidR="000E4157">
        <w:t xml:space="preserve"> </w:t>
      </w:r>
      <w:r>
        <w:t>(Accessed: 2 June 2026).</w:t>
      </w:r>
    </w:p>
    <w:p w14:paraId="26B200F1" w14:textId="6423BF55" w:rsidR="00605BC2" w:rsidRDefault="00F73C70">
      <w:pPr>
        <w:keepLines/>
        <w:spacing w:after="120" w:line="240" w:lineRule="auto"/>
        <w:ind w:left="720" w:hanging="720"/>
        <w:jc w:val="left"/>
      </w:pPr>
      <w:r>
        <w:t xml:space="preserve">NHS England (2019) </w:t>
      </w:r>
      <w:r>
        <w:rPr>
          <w:i/>
        </w:rPr>
        <w:t>The NHS Long Term Plan</w:t>
      </w:r>
      <w:r>
        <w:t xml:space="preserve">. Available at: </w:t>
      </w:r>
      <w:hyperlink r:id="rId66" w:history="1">
        <w:r w:rsidR="000E4157" w:rsidRPr="008402DB">
          <w:rPr>
            <w:rStyle w:val="Hyperlink"/>
          </w:rPr>
          <w:t>https://webarchive.nationalarchives.gov.uk/ukgwa/20190107163836/https://www.longtermplan.nhs.uk/publication/nhs-long-term-plan/</w:t>
        </w:r>
      </w:hyperlink>
      <w:r w:rsidR="000E4157">
        <w:t xml:space="preserve"> </w:t>
      </w:r>
      <w:r>
        <w:t>(Accessed: 10 April 2026).</w:t>
      </w:r>
    </w:p>
    <w:p w14:paraId="15DAEE40" w14:textId="578A5026" w:rsidR="00605BC2" w:rsidRDefault="00F73C70">
      <w:pPr>
        <w:keepLines/>
        <w:spacing w:after="120" w:line="240" w:lineRule="auto"/>
        <w:ind w:left="720" w:hanging="720"/>
        <w:jc w:val="left"/>
      </w:pPr>
      <w:r>
        <w:t xml:space="preserve">NHS England (2024) </w:t>
      </w:r>
      <w:r>
        <w:rPr>
          <w:i/>
        </w:rPr>
        <w:t>Adult social care activity and finance report, England, 2023–24</w:t>
      </w:r>
      <w:r>
        <w:t xml:space="preserve">. Available at: </w:t>
      </w:r>
      <w:hyperlink r:id="rId67" w:history="1">
        <w:r w:rsidR="000E4157" w:rsidRPr="008402DB">
          <w:rPr>
            <w:rStyle w:val="Hyperlink"/>
          </w:rPr>
          <w:t>https://digital.nhs.uk/data-and-information/publications/statistical/adult-social-care-activity-and-finance-report/2023-24/activity-and-finance-overview</w:t>
        </w:r>
      </w:hyperlink>
      <w:r w:rsidR="000E4157">
        <w:t xml:space="preserve"> </w:t>
      </w:r>
      <w:r>
        <w:t>(Accessed: 18 May 2026).</w:t>
      </w:r>
    </w:p>
    <w:p w14:paraId="0AF2D8C8" w14:textId="66B3969F" w:rsidR="00605BC2" w:rsidRDefault="00F73C70">
      <w:pPr>
        <w:keepLines/>
        <w:spacing w:after="120" w:line="240" w:lineRule="auto"/>
        <w:ind w:left="720" w:hanging="720"/>
        <w:jc w:val="left"/>
      </w:pPr>
      <w:r>
        <w:t xml:space="preserve">NICE (2016) </w:t>
      </w:r>
      <w:r>
        <w:rPr>
          <w:i/>
        </w:rPr>
        <w:t>Mental wellbeing and independence for older people (QS137)</w:t>
      </w:r>
      <w:r>
        <w:t xml:space="preserve">. Available at: </w:t>
      </w:r>
      <w:hyperlink r:id="rId68" w:history="1">
        <w:r w:rsidR="000E4157" w:rsidRPr="008402DB">
          <w:rPr>
            <w:rStyle w:val="Hyperlink"/>
          </w:rPr>
          <w:t>https://www.nice.org.uk/guidance/qs137/resources/mental-wellbeing-and-independence-for-older-people-pdf-75545424081349</w:t>
        </w:r>
      </w:hyperlink>
      <w:r w:rsidR="000E4157">
        <w:t xml:space="preserve"> </w:t>
      </w:r>
      <w:r>
        <w:t>(Accessed: 7 April 2026).</w:t>
      </w:r>
    </w:p>
    <w:p w14:paraId="217327BB" w14:textId="140B3A10" w:rsidR="00605BC2" w:rsidRDefault="00F73C70">
      <w:pPr>
        <w:keepLines/>
        <w:spacing w:after="120" w:line="240" w:lineRule="auto"/>
        <w:ind w:left="720" w:hanging="720"/>
        <w:jc w:val="left"/>
      </w:pPr>
      <w:r>
        <w:t xml:space="preserve">NICE (2017) </w:t>
      </w:r>
      <w:r>
        <w:rPr>
          <w:i/>
        </w:rPr>
        <w:t>Intermediate care including reablement (NG74)</w:t>
      </w:r>
      <w:r>
        <w:t xml:space="preserve">. Available at: </w:t>
      </w:r>
      <w:hyperlink r:id="rId69" w:history="1">
        <w:r w:rsidR="000E4157" w:rsidRPr="008402DB">
          <w:rPr>
            <w:rStyle w:val="Hyperlink"/>
          </w:rPr>
          <w:t>https://www.nice.org.uk/guidance/ng74/resources/intermediate-care-including-reablement-pdf-1837634227909</w:t>
        </w:r>
      </w:hyperlink>
      <w:r w:rsidR="000E4157">
        <w:t xml:space="preserve"> </w:t>
      </w:r>
      <w:r>
        <w:t>(Accessed: 8 May 2026).</w:t>
      </w:r>
    </w:p>
    <w:p w14:paraId="59C7F7D1" w14:textId="1326182C" w:rsidR="00605BC2" w:rsidRDefault="00F73C70">
      <w:pPr>
        <w:keepLines/>
        <w:spacing w:after="120" w:line="240" w:lineRule="auto"/>
        <w:ind w:left="720" w:hanging="720"/>
        <w:jc w:val="left"/>
      </w:pPr>
      <w:r>
        <w:t xml:space="preserve">NICE (2018a) </w:t>
      </w:r>
      <w:r>
        <w:rPr>
          <w:i/>
        </w:rPr>
        <w:t>Decision-making and mental capacity (NG108)</w:t>
      </w:r>
      <w:r>
        <w:t xml:space="preserve">. Available at: </w:t>
      </w:r>
      <w:hyperlink r:id="rId70" w:history="1">
        <w:r w:rsidR="000E4157" w:rsidRPr="008402DB">
          <w:rPr>
            <w:rStyle w:val="Hyperlink"/>
          </w:rPr>
          <w:t>https://www.nice.org.uk/guidance/ng108/resources/decisionmaking-and-mental-capacity-pdf-66141544670917</w:t>
        </w:r>
      </w:hyperlink>
      <w:r w:rsidR="000E4157">
        <w:t xml:space="preserve"> </w:t>
      </w:r>
      <w:r>
        <w:t>(Accessed: 2 August 2026).</w:t>
      </w:r>
    </w:p>
    <w:p w14:paraId="677AE052" w14:textId="55859E98" w:rsidR="00605BC2" w:rsidRDefault="00F73C70">
      <w:pPr>
        <w:keepLines/>
        <w:spacing w:after="120" w:line="240" w:lineRule="auto"/>
        <w:ind w:left="720" w:hanging="720"/>
        <w:jc w:val="left"/>
      </w:pPr>
      <w:r>
        <w:t xml:space="preserve">NICE (2018b) </w:t>
      </w:r>
      <w:r>
        <w:rPr>
          <w:i/>
        </w:rPr>
        <w:t>People’s experience in adult social care services: improving the experience of care and support for people using adult social care services (NG86)</w:t>
      </w:r>
      <w:r>
        <w:t xml:space="preserve">. Available at: </w:t>
      </w:r>
      <w:hyperlink r:id="rId71" w:history="1">
        <w:r w:rsidR="000E4157" w:rsidRPr="008402DB">
          <w:rPr>
            <w:rStyle w:val="Hyperlink"/>
          </w:rPr>
          <w:t>https://www.nice.org.uk/guidance/ng86/resources/peoples-experience-in-adult-social-care-services-improving-the-experience-of-care-and-support-for-people-using-adult-social-care-services-pdf-1837698053317</w:t>
        </w:r>
      </w:hyperlink>
      <w:r w:rsidR="000E4157">
        <w:t xml:space="preserve"> </w:t>
      </w:r>
      <w:r>
        <w:t>(Accessed: 12 April 2026).</w:t>
      </w:r>
    </w:p>
    <w:p w14:paraId="6FFC89FF" w14:textId="0501F8E2" w:rsidR="00605BC2" w:rsidRDefault="00F73C70">
      <w:pPr>
        <w:keepLines/>
        <w:spacing w:after="120" w:line="240" w:lineRule="auto"/>
        <w:ind w:left="720" w:hanging="720"/>
        <w:jc w:val="left"/>
      </w:pPr>
      <w:r>
        <w:t xml:space="preserve">NICE (2020) </w:t>
      </w:r>
      <w:r>
        <w:rPr>
          <w:i/>
        </w:rPr>
        <w:t>Supporting adult carers (NG150)</w:t>
      </w:r>
      <w:r>
        <w:t xml:space="preserve">. Available at: </w:t>
      </w:r>
      <w:hyperlink r:id="rId72" w:history="1">
        <w:r w:rsidR="000E4157" w:rsidRPr="008402DB">
          <w:rPr>
            <w:rStyle w:val="Hyperlink"/>
          </w:rPr>
          <w:t>https://www.nice.org.uk/guidance/ng150/resources/supporting-adult-carers-pdf-66141833564869</w:t>
        </w:r>
      </w:hyperlink>
      <w:r w:rsidR="000E4157">
        <w:t xml:space="preserve"> </w:t>
      </w:r>
      <w:r>
        <w:t>(Accessed: 22 June 2026).</w:t>
      </w:r>
    </w:p>
    <w:p w14:paraId="4646DE2B" w14:textId="561A964E" w:rsidR="00605BC2" w:rsidRDefault="00F73C70">
      <w:pPr>
        <w:keepLines/>
        <w:spacing w:after="120" w:line="240" w:lineRule="auto"/>
        <w:ind w:left="720" w:hanging="720"/>
        <w:jc w:val="left"/>
      </w:pPr>
      <w:r>
        <w:t xml:space="preserve">NICE (2021a) </w:t>
      </w:r>
      <w:r>
        <w:rPr>
          <w:i/>
        </w:rPr>
        <w:t>Safeguarding adults in care homes (NG189)</w:t>
      </w:r>
      <w:r>
        <w:t xml:space="preserve">. Available at: </w:t>
      </w:r>
      <w:hyperlink r:id="rId73" w:history="1">
        <w:r w:rsidR="000E4157" w:rsidRPr="008402DB">
          <w:rPr>
            <w:rStyle w:val="Hyperlink"/>
          </w:rPr>
          <w:t>https://www.nice.org.uk/guidance/ng189/resources/safeguarding-adults-in-care-homes-pdf-66142030079941</w:t>
        </w:r>
      </w:hyperlink>
      <w:r w:rsidR="000E4157">
        <w:t xml:space="preserve"> </w:t>
      </w:r>
      <w:r>
        <w:t>(Accessed: 2 July 2026).</w:t>
      </w:r>
    </w:p>
    <w:p w14:paraId="27C5EC11" w14:textId="7A665842" w:rsidR="00605BC2" w:rsidRDefault="00F73C70">
      <w:pPr>
        <w:keepLines/>
        <w:spacing w:after="120" w:line="240" w:lineRule="auto"/>
        <w:ind w:left="720" w:hanging="720"/>
        <w:jc w:val="left"/>
      </w:pPr>
      <w:r>
        <w:t xml:space="preserve">NICE (2021b) </w:t>
      </w:r>
      <w:r>
        <w:rPr>
          <w:i/>
        </w:rPr>
        <w:t>Shared decision making (NG197)</w:t>
      </w:r>
      <w:r>
        <w:t xml:space="preserve">. Available at: </w:t>
      </w:r>
      <w:hyperlink r:id="rId74" w:history="1">
        <w:r w:rsidR="000E4157" w:rsidRPr="008402DB">
          <w:rPr>
            <w:rStyle w:val="Hyperlink"/>
          </w:rPr>
          <w:t>https://www.nice.org.uk/guidance/ng197/resources/shared-decision-making-pdf-66142087186885</w:t>
        </w:r>
      </w:hyperlink>
      <w:r w:rsidR="000E4157">
        <w:t xml:space="preserve"> </w:t>
      </w:r>
      <w:r>
        <w:t>(Accessed: 21 June 2026).</w:t>
      </w:r>
    </w:p>
    <w:p w14:paraId="6EFE16D9" w14:textId="43D54611" w:rsidR="00605BC2" w:rsidRDefault="00F73C70">
      <w:pPr>
        <w:keepLines/>
        <w:spacing w:after="120" w:line="240" w:lineRule="auto"/>
        <w:ind w:left="720" w:hanging="720"/>
        <w:jc w:val="left"/>
      </w:pPr>
      <w:r>
        <w:lastRenderedPageBreak/>
        <w:t xml:space="preserve">NICE (2022a) </w:t>
      </w:r>
      <w:r>
        <w:rPr>
          <w:i/>
        </w:rPr>
        <w:t>Advocacy services for adults with health and social care needs (NG227)</w:t>
      </w:r>
      <w:r>
        <w:t xml:space="preserve">. Available at: </w:t>
      </w:r>
      <w:hyperlink r:id="rId75" w:history="1">
        <w:r w:rsidR="000E4157" w:rsidRPr="008402DB">
          <w:rPr>
            <w:rStyle w:val="Hyperlink"/>
          </w:rPr>
          <w:t>https://www.nice.org.uk/guidance/ng227/resources/advocacy-services-for-adults-with-health-and-social-care-needs-pdf-66143840705989</w:t>
        </w:r>
      </w:hyperlink>
      <w:r w:rsidR="000E4157">
        <w:t xml:space="preserve"> </w:t>
      </w:r>
      <w:r>
        <w:t>(Accessed: 22 June 2026).</w:t>
      </w:r>
    </w:p>
    <w:p w14:paraId="24BF7866" w14:textId="5DBFDE06" w:rsidR="00605BC2" w:rsidRDefault="00F73C70">
      <w:pPr>
        <w:keepLines/>
        <w:spacing w:after="120" w:line="240" w:lineRule="auto"/>
        <w:ind w:left="720" w:hanging="720"/>
        <w:jc w:val="left"/>
      </w:pPr>
      <w:r>
        <w:t xml:space="preserve">NICE (2022b) </w:t>
      </w:r>
      <w:r>
        <w:rPr>
          <w:i/>
        </w:rPr>
        <w:t>Integrated health and social care for people experiencing homelessness (NG214)</w:t>
      </w:r>
      <w:r>
        <w:t xml:space="preserve">. Available at: </w:t>
      </w:r>
      <w:hyperlink r:id="rId76" w:history="1">
        <w:r w:rsidR="000E4157" w:rsidRPr="008402DB">
          <w:rPr>
            <w:rStyle w:val="Hyperlink"/>
          </w:rPr>
          <w:t>https://www.nice.org.uk/guidance/ng214/resources/integrated-health-and-social-care-for-people-experiencing-homelessness-pdf-66143775200965</w:t>
        </w:r>
      </w:hyperlink>
      <w:r w:rsidR="000E4157">
        <w:t xml:space="preserve"> </w:t>
      </w:r>
      <w:r>
        <w:t>(Accessed: 28 May 2026).</w:t>
      </w:r>
    </w:p>
    <w:p w14:paraId="607A9461" w14:textId="03E3CBF6" w:rsidR="00605BC2" w:rsidRDefault="00F73C70">
      <w:pPr>
        <w:keepLines/>
        <w:spacing w:after="120" w:line="240" w:lineRule="auto"/>
        <w:ind w:left="720" w:hanging="720"/>
        <w:jc w:val="left"/>
      </w:pPr>
      <w:r>
        <w:t xml:space="preserve">NICE (2022c) </w:t>
      </w:r>
      <w:r>
        <w:rPr>
          <w:i/>
        </w:rPr>
        <w:t>Social work with adults experiencing complex needs</w:t>
      </w:r>
      <w:r>
        <w:t xml:space="preserve">. Available at: </w:t>
      </w:r>
      <w:hyperlink r:id="rId77" w:history="1">
        <w:r w:rsidR="000E4157" w:rsidRPr="008402DB">
          <w:rPr>
            <w:rStyle w:val="Hyperlink"/>
          </w:rPr>
          <w:t>https://www.ncbi.nlm.nih.gov/books/NBK588601/pdf/Bookshelf_NBK588601.pdf</w:t>
        </w:r>
      </w:hyperlink>
      <w:r w:rsidR="000E4157">
        <w:t xml:space="preserve"> </w:t>
      </w:r>
      <w:r>
        <w:t>(Accessed: 2 July 2026).</w:t>
      </w:r>
    </w:p>
    <w:p w14:paraId="599B3756" w14:textId="59F13DD1" w:rsidR="00605BC2" w:rsidRDefault="00F73C70">
      <w:pPr>
        <w:keepLines/>
        <w:spacing w:after="120" w:line="240" w:lineRule="auto"/>
        <w:ind w:left="720" w:hanging="720"/>
        <w:jc w:val="left"/>
      </w:pPr>
      <w:r>
        <w:t xml:space="preserve">Office for National Statistics (2023) </w:t>
      </w:r>
      <w:r>
        <w:rPr>
          <w:i/>
        </w:rPr>
        <w:t>Unpaid care, England and Wales: Census 2021</w:t>
      </w:r>
      <w:r>
        <w:t xml:space="preserve">. Available at: </w:t>
      </w:r>
      <w:hyperlink r:id="rId78" w:history="1">
        <w:r w:rsidR="000E4157" w:rsidRPr="008402DB">
          <w:rPr>
            <w:rStyle w:val="Hyperlink"/>
          </w:rPr>
          <w:t>https://www.ons.gov.uk/peoplepopulationandcommunity/healthandsocialcare/healthandwellbeing/bulletins/unpaidcareenglandandwales/census2021</w:t>
        </w:r>
      </w:hyperlink>
      <w:r w:rsidR="000E4157">
        <w:t xml:space="preserve"> </w:t>
      </w:r>
      <w:r>
        <w:t>(Accessed: 21 June 2026).</w:t>
      </w:r>
    </w:p>
    <w:p w14:paraId="32A6BFE0" w14:textId="10A09E69" w:rsidR="00605BC2" w:rsidRDefault="00F73C70">
      <w:pPr>
        <w:keepLines/>
        <w:spacing w:after="120" w:line="240" w:lineRule="auto"/>
        <w:ind w:left="720" w:hanging="720"/>
        <w:jc w:val="left"/>
      </w:pPr>
      <w:r>
        <w:t xml:space="preserve">Office for National Statistics (2025) </w:t>
      </w:r>
      <w:r>
        <w:rPr>
          <w:i/>
        </w:rPr>
        <w:t>National population projections: 2022-based</w:t>
      </w:r>
      <w:r>
        <w:t xml:space="preserve">. Available at: </w:t>
      </w:r>
      <w:hyperlink r:id="rId79" w:history="1">
        <w:r w:rsidR="000E4157" w:rsidRPr="008402DB">
          <w:rPr>
            <w:rStyle w:val="Hyperlink"/>
          </w:rPr>
          <w:t>https://www.ons.gov.uk/peoplepopulationandcommunity/populationandmigration/populationprojections/bulletins/nationalpopulationprojections/2022based</w:t>
        </w:r>
      </w:hyperlink>
      <w:r w:rsidR="000E4157">
        <w:t xml:space="preserve"> </w:t>
      </w:r>
      <w:r>
        <w:t>(Accessed: 25 March 2026).</w:t>
      </w:r>
    </w:p>
    <w:p w14:paraId="421BC1DA" w14:textId="090BE3D7" w:rsidR="00605BC2" w:rsidRDefault="00F73C70">
      <w:pPr>
        <w:keepLines/>
        <w:spacing w:after="120" w:line="240" w:lineRule="auto"/>
        <w:ind w:left="720" w:hanging="720"/>
        <w:jc w:val="left"/>
      </w:pPr>
      <w:r>
        <w:t xml:space="preserve">Owen, J., Woolham, J., Manthorpe, J., Steils, N., Martineau, S., Stevens, M. and Tinelli, M. (2022) ‘Adult safeguarding managers’ understandings of self-neglect and hoarding’, </w:t>
      </w:r>
      <w:r>
        <w:rPr>
          <w:i/>
        </w:rPr>
        <w:t>Health &amp; Social Care in the Community</w:t>
      </w:r>
      <w:r>
        <w:t xml:space="preserve">, 30(6). Available at: </w:t>
      </w:r>
      <w:hyperlink r:id="rId80" w:history="1">
        <w:r w:rsidR="000E4157" w:rsidRPr="008402DB">
          <w:rPr>
            <w:rStyle w:val="Hyperlink"/>
          </w:rPr>
          <w:t>https://doi.org/10.1111/hsc.13841</w:t>
        </w:r>
      </w:hyperlink>
      <w:r w:rsidR="000E4157">
        <w:t xml:space="preserve">. </w:t>
      </w:r>
    </w:p>
    <w:p w14:paraId="3DE89AFE" w14:textId="4766A60D" w:rsidR="00605BC2" w:rsidRDefault="00F73C70">
      <w:pPr>
        <w:keepLines/>
        <w:spacing w:after="120" w:line="240" w:lineRule="auto"/>
        <w:ind w:left="720" w:hanging="720"/>
        <w:jc w:val="left"/>
      </w:pPr>
      <w:r>
        <w:t xml:space="preserve">Page, M.J., McKenzie, J.E., Bossuyt, P.M., Boutron, I., Hoffmann, T.C., Mulrow, C.D., Shamseer, L., Tetzlaff, J.M., Akl, E.A., Brennan, S.E., Chou, R., Glanville, J., Grimshaw, J.M., Hróbjartsson, A., Lalu, M.M., Li, T., Loder, E.W., Mayo-Wilson, E., McDonald, S., McGuinness, L.A., Stewart, L.A., Thomas, J., Tricco, A.C., Welch, V.A., Whiting, P. and Moher, D. (2021) ‘The PRISMA 2020 statement: an updated guideline for reporting systematic reviews’, </w:t>
      </w:r>
      <w:r>
        <w:rPr>
          <w:i/>
        </w:rPr>
        <w:t>PLOS Medicine</w:t>
      </w:r>
      <w:r>
        <w:t xml:space="preserve">, 18(3), e1003583. Available at: </w:t>
      </w:r>
      <w:hyperlink r:id="rId81" w:history="1">
        <w:r w:rsidR="000E4157" w:rsidRPr="008402DB">
          <w:rPr>
            <w:rStyle w:val="Hyperlink"/>
          </w:rPr>
          <w:t>https://doi.org/10.1371/journal.pmed.1003583</w:t>
        </w:r>
      </w:hyperlink>
      <w:r w:rsidR="000E4157">
        <w:t xml:space="preserve">. </w:t>
      </w:r>
    </w:p>
    <w:p w14:paraId="1F8ED11A" w14:textId="7D26A1E1" w:rsidR="00605BC2" w:rsidRDefault="00F73C70">
      <w:pPr>
        <w:keepLines/>
        <w:spacing w:after="120" w:line="240" w:lineRule="auto"/>
        <w:ind w:left="720" w:hanging="720"/>
        <w:jc w:val="left"/>
      </w:pPr>
      <w:r>
        <w:t xml:space="preserve">Pescheny, J.V., Pappas, Y. and Randhawa, G. (2018) ‘Facilitators and barriers of implementing and delivering social prescribing services: a systematic review’, </w:t>
      </w:r>
      <w:r>
        <w:rPr>
          <w:i/>
        </w:rPr>
        <w:t>BMC Health Services Research</w:t>
      </w:r>
      <w:r>
        <w:t xml:space="preserve">, 18, 86. Available at: </w:t>
      </w:r>
      <w:hyperlink r:id="rId82" w:history="1">
        <w:r w:rsidR="000E4157" w:rsidRPr="008402DB">
          <w:rPr>
            <w:rStyle w:val="Hyperlink"/>
          </w:rPr>
          <w:t>https://doi.org/10.1186/s12913-018-2893-4</w:t>
        </w:r>
      </w:hyperlink>
      <w:r w:rsidR="000E4157">
        <w:t xml:space="preserve">. </w:t>
      </w:r>
    </w:p>
    <w:p w14:paraId="44F88938" w14:textId="517F044F" w:rsidR="00605BC2" w:rsidRDefault="00F73C70">
      <w:pPr>
        <w:keepLines/>
        <w:spacing w:after="120" w:line="240" w:lineRule="auto"/>
        <w:ind w:left="720" w:hanging="720"/>
        <w:jc w:val="left"/>
      </w:pPr>
      <w:r>
        <w:t xml:space="preserve">Preston-Shoot, M. (2017) ‘On self-neglect and safeguarding adult reviews: diminishing returns or adding value?’, </w:t>
      </w:r>
      <w:r>
        <w:rPr>
          <w:i/>
        </w:rPr>
        <w:t>The Journal of Adult Protection</w:t>
      </w:r>
      <w:r>
        <w:t xml:space="preserve">, 19(2), pp. 53–66. Available at: </w:t>
      </w:r>
      <w:hyperlink r:id="rId83" w:history="1">
        <w:r w:rsidR="000E4157" w:rsidRPr="008402DB">
          <w:rPr>
            <w:rStyle w:val="Hyperlink"/>
          </w:rPr>
          <w:t>https://doi.org/10.1108/JAP-11-2016-0028</w:t>
        </w:r>
      </w:hyperlink>
      <w:r w:rsidR="000E4157">
        <w:t xml:space="preserve">. </w:t>
      </w:r>
    </w:p>
    <w:p w14:paraId="7303225B" w14:textId="3A58D4EC" w:rsidR="00605BC2" w:rsidRDefault="00F73C70">
      <w:pPr>
        <w:keepLines/>
        <w:spacing w:after="120" w:line="240" w:lineRule="auto"/>
        <w:ind w:left="720" w:hanging="720"/>
        <w:jc w:val="left"/>
      </w:pPr>
      <w:r>
        <w:t xml:space="preserve">Silarova, B., Caiels, J., Milne, A.J. and Beadle-Brown, J. (2025) ‘Reaching consensus on outcomes for evaluating strengths-based approaches in adult social care and social work: a Delphi study conducted in England’, </w:t>
      </w:r>
      <w:r>
        <w:rPr>
          <w:i/>
        </w:rPr>
        <w:t>Journal of Social Work</w:t>
      </w:r>
      <w:r>
        <w:t xml:space="preserve">, 25(4). Available at: </w:t>
      </w:r>
      <w:hyperlink r:id="rId84" w:history="1">
        <w:r w:rsidR="000E4157" w:rsidRPr="008402DB">
          <w:rPr>
            <w:rStyle w:val="Hyperlink"/>
          </w:rPr>
          <w:t>https://doi.org/10.1177/14680173251318532</w:t>
        </w:r>
      </w:hyperlink>
      <w:r w:rsidR="000E4157">
        <w:t xml:space="preserve">. </w:t>
      </w:r>
    </w:p>
    <w:p w14:paraId="5A4A0221" w14:textId="6A721C51" w:rsidR="00605BC2" w:rsidRDefault="00F73C70">
      <w:pPr>
        <w:keepLines/>
        <w:spacing w:after="120" w:line="240" w:lineRule="auto"/>
        <w:ind w:left="720" w:hanging="720"/>
        <w:jc w:val="left"/>
      </w:pPr>
      <w:r>
        <w:t xml:space="preserve">Similä, K., Tapola-Haapala, M., Jylhä, V., Miettinen, A., Rovamo, E., Kekoni, T. and Ristolainen, H. (2026) ‘Practitioners’ views of evidence-based practice in social work: a scoping review’, </w:t>
      </w:r>
      <w:r>
        <w:rPr>
          <w:i/>
        </w:rPr>
        <w:t>Journal of Evidence-Based Social Work</w:t>
      </w:r>
      <w:r>
        <w:t xml:space="preserve">, 16(1), pp. 1–18. Available at: </w:t>
      </w:r>
      <w:hyperlink r:id="rId85" w:history="1">
        <w:r w:rsidR="000E4157" w:rsidRPr="008402DB">
          <w:rPr>
            <w:rStyle w:val="Hyperlink"/>
          </w:rPr>
          <w:t>https://doi.org/10.1080/26408066.2026.2616709</w:t>
        </w:r>
      </w:hyperlink>
      <w:r w:rsidR="000E4157">
        <w:t xml:space="preserve">. </w:t>
      </w:r>
    </w:p>
    <w:p w14:paraId="64409C9B" w14:textId="745662A2" w:rsidR="00605BC2" w:rsidRDefault="00F73C70">
      <w:pPr>
        <w:keepLines/>
        <w:spacing w:after="120" w:line="240" w:lineRule="auto"/>
        <w:ind w:left="720" w:hanging="720"/>
        <w:jc w:val="left"/>
      </w:pPr>
      <w:r>
        <w:lastRenderedPageBreak/>
        <w:t xml:space="preserve">Skills for Care (2025) </w:t>
      </w:r>
      <w:r>
        <w:rPr>
          <w:i/>
        </w:rPr>
        <w:t>The state of the adult social care sector and workforce in England 2025</w:t>
      </w:r>
      <w:r>
        <w:t xml:space="preserve">. Available at: </w:t>
      </w:r>
      <w:hyperlink r:id="rId86" w:history="1">
        <w:r w:rsidR="000E4157" w:rsidRPr="008402DB">
          <w:rPr>
            <w:rStyle w:val="Hyperlink"/>
          </w:rPr>
          <w:t>https://www.skillsforcare.org.uk/Adult-Social-Care-Workforce-Data/workforceintelligence/resources/Reports/National/The-state-of-the-adult-social-care-sector-and-workforce-in-England-2025.pdf</w:t>
        </w:r>
      </w:hyperlink>
      <w:r w:rsidR="000E4157">
        <w:t xml:space="preserve"> </w:t>
      </w:r>
      <w:r>
        <w:t>(Accessed: 18 April 2026).</w:t>
      </w:r>
    </w:p>
    <w:p w14:paraId="1DC4C060" w14:textId="590615CD" w:rsidR="00605BC2" w:rsidRDefault="00F73C70">
      <w:pPr>
        <w:keepLines/>
        <w:spacing w:after="120" w:line="240" w:lineRule="auto"/>
        <w:ind w:left="720" w:hanging="720"/>
        <w:jc w:val="left"/>
      </w:pPr>
      <w:r>
        <w:t xml:space="preserve">Social Care Institute for Excellence (2018) </w:t>
      </w:r>
      <w:r>
        <w:rPr>
          <w:i/>
        </w:rPr>
        <w:t>Strengths-based approaches</w:t>
      </w:r>
      <w:r>
        <w:t xml:space="preserve">. London: Social Care Institute for Excellence. Available at: </w:t>
      </w:r>
      <w:hyperlink r:id="rId87" w:history="1">
        <w:r w:rsidR="000E4157" w:rsidRPr="008402DB">
          <w:rPr>
            <w:rStyle w:val="Hyperlink"/>
          </w:rPr>
          <w:t>https://www.scie.org.uk/strengths-based-approaches/</w:t>
        </w:r>
      </w:hyperlink>
      <w:r w:rsidR="000E4157">
        <w:t xml:space="preserve"> </w:t>
      </w:r>
      <w:r>
        <w:t>(Accessed: 31 July 2026).</w:t>
      </w:r>
    </w:p>
    <w:p w14:paraId="2014E317" w14:textId="14D928CD" w:rsidR="00605BC2" w:rsidRDefault="00F73C70">
      <w:pPr>
        <w:keepLines/>
        <w:spacing w:after="120" w:line="240" w:lineRule="auto"/>
        <w:ind w:left="720" w:hanging="720"/>
        <w:jc w:val="left"/>
      </w:pPr>
      <w:r>
        <w:t xml:space="preserve">Social Care Institute for Excellence (2025) </w:t>
      </w:r>
      <w:r>
        <w:rPr>
          <w:i/>
        </w:rPr>
        <w:t>Tackling inequalities in care for people with learning disabilities and autistic people: a guide for adult social care professionals</w:t>
      </w:r>
      <w:r>
        <w:t xml:space="preserve">. Available at: </w:t>
      </w:r>
      <w:hyperlink r:id="rId88" w:history="1">
        <w:r w:rsidR="000E4157" w:rsidRPr="008402DB">
          <w:rPr>
            <w:rStyle w:val="Hyperlink"/>
          </w:rPr>
          <w:t>https://www.scie.org.uk/app/uploads/2025/01/Tackling-inequalities-for-adults-with-learning-disabilities_FINAL2.pdf</w:t>
        </w:r>
      </w:hyperlink>
      <w:r w:rsidR="000E4157">
        <w:t xml:space="preserve"> </w:t>
      </w:r>
      <w:r>
        <w:t>(Accessed: 1 July 2026).</w:t>
      </w:r>
    </w:p>
    <w:p w14:paraId="5C58B661" w14:textId="236E15D4" w:rsidR="00605BC2" w:rsidRDefault="00F73C70">
      <w:pPr>
        <w:keepLines/>
        <w:spacing w:after="120" w:line="240" w:lineRule="auto"/>
        <w:ind w:left="720" w:hanging="720"/>
        <w:jc w:val="left"/>
      </w:pPr>
      <w:r>
        <w:t xml:space="preserve">Stevens, M., Clark, M., Carlisle, J., Brimblecombe, N. and MacGill, M. (2024) ‘Supporting meaningful implementation and evaluation of strengths-based approaches in adult social care: a theory of change for the Three Conversations’, </w:t>
      </w:r>
      <w:r>
        <w:rPr>
          <w:i/>
        </w:rPr>
        <w:t>The British Journal of Social Work</w:t>
      </w:r>
      <w:r>
        <w:t xml:space="preserve">, 54(6), pp. 2583–2602. Available at: </w:t>
      </w:r>
      <w:hyperlink r:id="rId89" w:history="1">
        <w:r w:rsidR="000E4157" w:rsidRPr="008402DB">
          <w:rPr>
            <w:rStyle w:val="Hyperlink"/>
          </w:rPr>
          <w:t>https://doi.org/10.1093/bjsw/bcae055</w:t>
        </w:r>
      </w:hyperlink>
      <w:r w:rsidR="000E4157">
        <w:t xml:space="preserve">. </w:t>
      </w:r>
    </w:p>
    <w:p w14:paraId="52599CF3" w14:textId="1552D3DF" w:rsidR="00605BC2" w:rsidRDefault="00F73C70">
      <w:pPr>
        <w:keepLines/>
        <w:spacing w:after="120" w:line="240" w:lineRule="auto"/>
        <w:ind w:left="720" w:hanging="720"/>
        <w:jc w:val="left"/>
      </w:pPr>
      <w:r>
        <w:t xml:space="preserve">Stevenson, G., Sameen, H., Allen, L. and Elliott, J. (2026) </w:t>
      </w:r>
      <w:r>
        <w:rPr>
          <w:i/>
        </w:rPr>
        <w:t>Social care funding</w:t>
      </w:r>
      <w:r>
        <w:t xml:space="preserve">. London: The Health Foundation. Available at: </w:t>
      </w:r>
      <w:hyperlink r:id="rId90" w:history="1">
        <w:r w:rsidR="000E4157" w:rsidRPr="008402DB">
          <w:rPr>
            <w:rStyle w:val="Hyperlink"/>
          </w:rPr>
          <w:t>https://www.health.org.uk/reports-and-analysis/analysis/social-care-funding</w:t>
        </w:r>
      </w:hyperlink>
      <w:r w:rsidR="000E4157">
        <w:t xml:space="preserve"> </w:t>
      </w:r>
      <w:r>
        <w:t>(Accessed: 28 April 2026).</w:t>
      </w:r>
    </w:p>
    <w:p w14:paraId="52E6FDD4" w14:textId="7CDE8C8D" w:rsidR="00605BC2" w:rsidRDefault="00F73C70">
      <w:pPr>
        <w:keepLines/>
        <w:spacing w:after="120" w:line="240" w:lineRule="auto"/>
        <w:ind w:left="720" w:hanging="720"/>
        <w:jc w:val="left"/>
      </w:pPr>
      <w:r>
        <w:t xml:space="preserve">Thiery, H., Cook, J., Burchell, J., Wilberforce, M., Twiddy, M., Nikolova, S., Martin, A. and Hulme, C. (2023) ‘Transforming adult social care systems? A systematic review of the costs and outcomes of Local Area Coordination in England and Wales’, </w:t>
      </w:r>
      <w:r>
        <w:rPr>
          <w:i/>
        </w:rPr>
        <w:t>Social Sciences &amp; Humanities Open</w:t>
      </w:r>
      <w:r>
        <w:t xml:space="preserve">, 8(1), 100714. Available at: </w:t>
      </w:r>
      <w:hyperlink r:id="rId91" w:history="1">
        <w:r w:rsidR="000E4157" w:rsidRPr="008402DB">
          <w:rPr>
            <w:rStyle w:val="Hyperlink"/>
          </w:rPr>
          <w:t>https://doi.org/10.1016/j.ssaho.2023.100714</w:t>
        </w:r>
      </w:hyperlink>
      <w:r w:rsidR="000E4157">
        <w:t xml:space="preserve">. </w:t>
      </w:r>
    </w:p>
    <w:p w14:paraId="02A488E8" w14:textId="097E8E26" w:rsidR="00605BC2" w:rsidRDefault="00F73C70">
      <w:pPr>
        <w:keepLines/>
        <w:spacing w:after="120" w:line="240" w:lineRule="auto"/>
        <w:ind w:left="720" w:hanging="720"/>
        <w:jc w:val="left"/>
      </w:pPr>
      <w:r>
        <w:t xml:space="preserve">Whitehead, P.J., Walker, M.F., Parry, R.H., Latif, Z., McGeorge, I.D. and Drummond, A.E.R. (2016) ‘Occupational therapy in homecare re-ablement services (OTHERS): results of a feasibility randomised controlled trial’, </w:t>
      </w:r>
      <w:r>
        <w:rPr>
          <w:i/>
        </w:rPr>
        <w:t>BMJ Open</w:t>
      </w:r>
      <w:r>
        <w:t xml:space="preserve">, 6(8), e011868. Available at: </w:t>
      </w:r>
      <w:hyperlink r:id="rId92" w:history="1">
        <w:r w:rsidR="000E4157" w:rsidRPr="008402DB">
          <w:rPr>
            <w:rStyle w:val="Hyperlink"/>
          </w:rPr>
          <w:t>https://doi.org/10.1136/bmjopen-2016-011868</w:t>
        </w:r>
      </w:hyperlink>
      <w:r w:rsidR="000E4157">
        <w:t xml:space="preserve">. </w:t>
      </w:r>
    </w:p>
    <w:p w14:paraId="7D24EC6B" w14:textId="60ACC46F" w:rsidR="00605BC2" w:rsidRDefault="00F73C70">
      <w:pPr>
        <w:keepLines/>
        <w:spacing w:after="120" w:line="240" w:lineRule="auto"/>
        <w:ind w:left="720" w:hanging="720"/>
        <w:jc w:val="left"/>
      </w:pPr>
      <w:r>
        <w:t xml:space="preserve">Wildman, J.M., Valtorta, N., Moffatt, S. and Hanratty, B. (2019) ‘What works here doesn’t work there: the significance of local context for a sustainable and replicable asset-based community intervention aimed at promoting social interaction in later life’, </w:t>
      </w:r>
      <w:r>
        <w:rPr>
          <w:i/>
        </w:rPr>
        <w:t>Health &amp; Social Care in the Community</w:t>
      </w:r>
      <w:r>
        <w:t xml:space="preserve">, 27(4). Available at: </w:t>
      </w:r>
      <w:hyperlink r:id="rId93" w:history="1">
        <w:r w:rsidR="000E4157" w:rsidRPr="008402DB">
          <w:rPr>
            <w:rStyle w:val="Hyperlink"/>
          </w:rPr>
          <w:t>https://doi.org/10.1111/hsc.12735</w:t>
        </w:r>
      </w:hyperlink>
      <w:r w:rsidR="000E4157">
        <w:t xml:space="preserve">. </w:t>
      </w:r>
    </w:p>
    <w:p w14:paraId="0C8EB14C" w14:textId="181FD487" w:rsidR="00605BC2" w:rsidRDefault="00F73C70">
      <w:pPr>
        <w:keepLines/>
        <w:spacing w:after="120" w:line="240" w:lineRule="auto"/>
        <w:ind w:left="720" w:hanging="720"/>
        <w:jc w:val="left"/>
      </w:pPr>
      <w:r>
        <w:t xml:space="preserve">Willis, P., Lloyd, L., Hammond, J., Milne, A., Nelson-Becker, H., Perry, E., Ray, M., Richards, S. and Tanner, D. (2022) ‘Casting light on the distinctive contribution of social work in multidisciplinary teams for older people’, </w:t>
      </w:r>
      <w:r>
        <w:rPr>
          <w:i/>
        </w:rPr>
        <w:t>The British Journal of Social Work</w:t>
      </w:r>
      <w:r>
        <w:t xml:space="preserve">, 52(1), pp. 480–497. Available at: </w:t>
      </w:r>
      <w:hyperlink r:id="rId94" w:history="1">
        <w:r w:rsidR="000E4157" w:rsidRPr="008402DB">
          <w:rPr>
            <w:rStyle w:val="Hyperlink"/>
          </w:rPr>
          <w:t>https://doi.org/10.1093/bjsw/bcab004</w:t>
        </w:r>
      </w:hyperlink>
      <w:r w:rsidR="000E4157">
        <w:t xml:space="preserve">. </w:t>
      </w:r>
    </w:p>
    <w:p w14:paraId="593474B8" w14:textId="3670D08E" w:rsidR="00605BC2" w:rsidRDefault="00F73C70">
      <w:pPr>
        <w:keepLines/>
        <w:spacing w:after="120" w:line="240" w:lineRule="auto"/>
        <w:ind w:left="720" w:hanging="720"/>
        <w:jc w:val="left"/>
      </w:pPr>
      <w:r>
        <w:t xml:space="preserve">Wilson, A., Noble, H., Galway, K. and Doherty, J. (2025) ‘Social prescribing for people living with long-term health conditions: a scoping review’, </w:t>
      </w:r>
      <w:r>
        <w:rPr>
          <w:i/>
        </w:rPr>
        <w:t>Systematic Reviews</w:t>
      </w:r>
      <w:r>
        <w:t xml:space="preserve">, 14(1). Available at: </w:t>
      </w:r>
      <w:hyperlink r:id="rId95" w:history="1">
        <w:r w:rsidR="000E4157" w:rsidRPr="008402DB">
          <w:rPr>
            <w:rStyle w:val="Hyperlink"/>
          </w:rPr>
          <w:t>https://doi.org/10.1186/s13643-025-02848-6</w:t>
        </w:r>
      </w:hyperlink>
      <w:r w:rsidR="000E4157">
        <w:t xml:space="preserve">. </w:t>
      </w:r>
    </w:p>
    <w:p w14:paraId="4C6E94F4" w14:textId="1E8ABEAB" w:rsidR="00605BC2" w:rsidRDefault="00F73C70">
      <w:pPr>
        <w:keepLines/>
        <w:spacing w:after="120" w:line="240" w:lineRule="auto"/>
        <w:ind w:left="720" w:hanging="720"/>
        <w:jc w:val="left"/>
      </w:pPr>
      <w:r>
        <w:t xml:space="preserve">World Health Organization (2016) </w:t>
      </w:r>
      <w:r>
        <w:rPr>
          <w:i/>
        </w:rPr>
        <w:t>Framework on integrated, people-centred health services: report by the Secretariat</w:t>
      </w:r>
      <w:r>
        <w:t xml:space="preserve">. Geneva: World Health Organization. Available at: </w:t>
      </w:r>
      <w:hyperlink r:id="rId96" w:history="1">
        <w:r w:rsidR="000E4157" w:rsidRPr="008402DB">
          <w:rPr>
            <w:rStyle w:val="Hyperlink"/>
          </w:rPr>
          <w:t>https://apps.who.int/gb/ebwha/pdf_files/WHA69/A69_39-en.pdf</w:t>
        </w:r>
      </w:hyperlink>
      <w:r w:rsidR="000E4157">
        <w:t xml:space="preserve"> </w:t>
      </w:r>
      <w:r>
        <w:t>(Accessed: 13 May 2026).</w:t>
      </w:r>
    </w:p>
    <w:p w14:paraId="495533E0" w14:textId="3AC88D55" w:rsidR="00605BC2" w:rsidRDefault="00F73C70">
      <w:pPr>
        <w:keepLines/>
        <w:spacing w:after="120" w:line="240" w:lineRule="auto"/>
        <w:ind w:left="720" w:hanging="720"/>
        <w:jc w:val="left"/>
      </w:pPr>
      <w:r>
        <w:t xml:space="preserve">World Health Organization (2021) </w:t>
      </w:r>
      <w:r>
        <w:rPr>
          <w:i/>
        </w:rPr>
        <w:t>Global report on ageism</w:t>
      </w:r>
      <w:r>
        <w:t xml:space="preserve">. Geneva: World Health Organization. Available at: </w:t>
      </w:r>
      <w:hyperlink r:id="rId97" w:history="1">
        <w:r w:rsidR="000E4157" w:rsidRPr="008402DB">
          <w:rPr>
            <w:rStyle w:val="Hyperlink"/>
          </w:rPr>
          <w:t>https://iris.who.int/server/api/core/bitstreams/71ad96a0-d29a-4457-9d54-52029c24c76c/content</w:t>
        </w:r>
      </w:hyperlink>
      <w:r w:rsidR="000E4157">
        <w:t xml:space="preserve"> </w:t>
      </w:r>
      <w:r>
        <w:t>(Accessed: 12 July 2026).</w:t>
      </w:r>
    </w:p>
    <w:p w14:paraId="64B3ED0B" w14:textId="090837B5" w:rsidR="00605BC2" w:rsidRDefault="00F73C70">
      <w:pPr>
        <w:keepLines/>
        <w:spacing w:after="120" w:line="240" w:lineRule="auto"/>
        <w:ind w:left="720" w:hanging="720"/>
        <w:jc w:val="left"/>
      </w:pPr>
      <w:r>
        <w:lastRenderedPageBreak/>
        <w:t xml:space="preserve">World Health Organization (2022) </w:t>
      </w:r>
      <w:r>
        <w:rPr>
          <w:i/>
        </w:rPr>
        <w:t>World mental health report: transforming mental health for all</w:t>
      </w:r>
      <w:r>
        <w:t xml:space="preserve">. Geneva: World Health Organization. Available at: </w:t>
      </w:r>
      <w:hyperlink r:id="rId98" w:history="1">
        <w:r w:rsidR="000E4157" w:rsidRPr="008402DB">
          <w:rPr>
            <w:rStyle w:val="Hyperlink"/>
          </w:rPr>
          <w:t>https://iris.who.int/server/api/core/bitstreams/40e5a13a-fe50-4efa-b56d-6e8cf00d5bfa/content</w:t>
        </w:r>
      </w:hyperlink>
      <w:r w:rsidR="000E4157">
        <w:t xml:space="preserve"> </w:t>
      </w:r>
      <w:r>
        <w:t>(Accessed: 9 April 2026).</w:t>
      </w:r>
    </w:p>
    <w:p w14:paraId="6599A293" w14:textId="77777777" w:rsidR="00A84731" w:rsidRDefault="00A84731">
      <w:pPr>
        <w:sectPr w:rsidR="00A84731">
          <w:headerReference w:type="default" r:id="rId99"/>
          <w:footerReference w:type="default" r:id="rId100"/>
          <w:pgSz w:w="11906" w:h="16838"/>
          <w:pgMar w:top="1440" w:right="1440" w:bottom="1440" w:left="1440" w:header="708" w:footer="708" w:gutter="0"/>
          <w:cols w:space="708"/>
          <w:titlePg/>
          <w:docGrid w:linePitch="360"/>
        </w:sectPr>
      </w:pPr>
    </w:p>
    <w:p w14:paraId="51FECA9A" w14:textId="77777777" w:rsidR="00A84731" w:rsidRDefault="00A84731">
      <w:pPr>
        <w:pageBreakBefore/>
        <w:spacing w:line="240" w:lineRule="auto"/>
        <w:jc w:val="center"/>
      </w:pPr>
    </w:p>
    <w:p w14:paraId="36AF50AF" w14:textId="77777777" w:rsidR="00A84731" w:rsidRDefault="00A84731">
      <w:pPr>
        <w:pageBreakBefore/>
        <w:spacing w:line="240" w:lineRule="auto"/>
        <w:jc w:val="center"/>
      </w:pPr>
    </w:p>
    <w:p w14:paraId="7EB72223" w14:textId="77777777" w:rsidR="00A84731" w:rsidRDefault="00A84731">
      <w:pPr>
        <w:pageBreakBefore/>
        <w:spacing w:line="240" w:lineRule="auto"/>
        <w:jc w:val="center"/>
      </w:pPr>
    </w:p>
    <w:p w14:paraId="52A58D61" w14:textId="77777777" w:rsidR="00A84731" w:rsidRDefault="00A84731">
      <w:pPr>
        <w:pageBreakBefore/>
        <w:spacing w:line="240" w:lineRule="auto"/>
        <w:jc w:val="center"/>
      </w:pPr>
    </w:p>
    <w:p w14:paraId="342D9509" w14:textId="77777777" w:rsidR="00A84731" w:rsidRDefault="00A84731">
      <w:pPr>
        <w:pageBreakBefore/>
        <w:spacing w:line="240" w:lineRule="auto"/>
        <w:jc w:val="center"/>
      </w:pPr>
    </w:p>
    <w:p w14:paraId="53BB4918" w14:textId="77777777" w:rsidR="00A84731" w:rsidRDefault="00A84731">
      <w:pPr>
        <w:pageBreakBefore/>
        <w:spacing w:line="240" w:lineRule="auto"/>
        <w:jc w:val="center"/>
      </w:pPr>
    </w:p>
    <w:p w14:paraId="52EFFADB" w14:textId="77777777" w:rsidR="00A84731" w:rsidRDefault="00A84731">
      <w:pPr>
        <w:pageBreakBefore/>
        <w:spacing w:line="240" w:lineRule="auto"/>
        <w:jc w:val="center"/>
      </w:pPr>
    </w:p>
    <w:p w14:paraId="5B7774EE" w14:textId="77777777" w:rsidR="00A84731" w:rsidRDefault="00A84731">
      <w:pPr>
        <w:pageBreakBefore/>
        <w:spacing w:line="240" w:lineRule="auto"/>
        <w:jc w:val="center"/>
      </w:pPr>
    </w:p>
    <w:p w14:paraId="10CDB258" w14:textId="77777777" w:rsidR="00A84731" w:rsidRDefault="00A84731">
      <w:pPr>
        <w:pageBreakBefore/>
        <w:spacing w:line="240" w:lineRule="auto"/>
        <w:jc w:val="center"/>
      </w:pPr>
    </w:p>
    <w:p w14:paraId="3E3F9251" w14:textId="77777777" w:rsidR="00A84731" w:rsidRDefault="00A84731">
      <w:pPr>
        <w:pageBreakBefore/>
        <w:spacing w:line="240" w:lineRule="auto"/>
        <w:jc w:val="center"/>
      </w:pPr>
    </w:p>
    <w:p w14:paraId="27DCF7AE" w14:textId="77777777" w:rsidR="00A84731" w:rsidRDefault="00A84731">
      <w:pPr>
        <w:pageBreakBefore/>
        <w:spacing w:line="240" w:lineRule="auto"/>
        <w:jc w:val="center"/>
      </w:pPr>
    </w:p>
    <w:sectPr w:rsidR="00A84731" w:rsidSect="00911CFE">
      <w:headerReference w:type="default" r:id="rId101"/>
      <w:footerReference w:type="default" r:id="rId102"/>
      <w:pgSz w:w="11905" w:h="16838"/>
      <w:pgMar w:top="144" w:right="144" w:bottom="144" w:left="144"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753D35" w14:textId="77777777" w:rsidR="00F73C70" w:rsidRDefault="00F73C70">
      <w:r>
        <w:separator/>
      </w:r>
    </w:p>
  </w:endnote>
  <w:endnote w:type="continuationSeparator" w:id="0">
    <w:p w14:paraId="0E8C2B4E" w14:textId="77777777" w:rsidR="00F73C70" w:rsidRDefault="00F73C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661103"/>
      <w:docPartObj>
        <w:docPartGallery w:val="Page Numbers (Bottom of Page)"/>
        <w:docPartUnique/>
      </w:docPartObj>
    </w:sdtPr>
    <w:sdtEndPr>
      <w:rPr>
        <w:noProof/>
      </w:rPr>
    </w:sdtEndPr>
    <w:sdtContent>
      <w:p w14:paraId="68ADF79D" w14:textId="77777777" w:rsidR="00D63D2C" w:rsidRDefault="00D65A4A">
        <w:pPr>
          <w:pStyle w:val="Footer"/>
          <w:jc w:val="center"/>
        </w:pPr>
        <w:r w:rsidRPr="00911CFE">
          <w:rPr>
            <w:rFonts w:ascii="Arial" w:hAnsi="Arial" w:cs="Arial"/>
          </w:rPr>
          <w:fldChar w:fldCharType="begin"/>
        </w:r>
        <w:r w:rsidRPr="00911CFE">
          <w:rPr>
            <w:rFonts w:ascii="Arial" w:hAnsi="Arial" w:cs="Arial"/>
          </w:rPr>
          <w:instrText xml:space="preserve"> PAGE   \* MERGEFORMAT </w:instrText>
        </w:r>
        <w:r w:rsidRPr="00911CFE">
          <w:rPr>
            <w:rFonts w:ascii="Arial" w:hAnsi="Arial" w:cs="Arial"/>
          </w:rPr>
          <w:fldChar w:fldCharType="separate"/>
        </w:r>
        <w:r w:rsidR="00C764A3" w:rsidRPr="00911CFE">
          <w:rPr>
            <w:rFonts w:ascii="Arial" w:hAnsi="Arial" w:cs="Arial"/>
            <w:noProof/>
          </w:rPr>
          <w:t>2</w:t>
        </w:r>
        <w:r w:rsidRPr="00911CFE">
          <w:rPr>
            <w:rFonts w:ascii="Arial" w:hAnsi="Arial" w:cs="Arial"/>
            <w:noProof/>
          </w:rPr>
          <w:fldChar w:fldCharType="end"/>
        </w:r>
      </w:p>
    </w:sdtContent>
  </w:sdt>
  <w:p w14:paraId="75013858" w14:textId="77777777" w:rsidR="00D63D2C" w:rsidRDefault="00D63D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BFB493" w14:textId="77777777" w:rsidR="00A84731" w:rsidRDefault="00A84731"/>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BCDA5" w14:textId="77777777" w:rsidR="00F73C70" w:rsidRDefault="00F73C70">
      <w:r>
        <w:separator/>
      </w:r>
    </w:p>
  </w:footnote>
  <w:footnote w:type="continuationSeparator" w:id="0">
    <w:p w14:paraId="7517254A" w14:textId="77777777" w:rsidR="00F73C70" w:rsidRDefault="00F73C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24D0BB" w14:textId="77777777" w:rsidR="00D63D2C" w:rsidRDefault="00D63D2C">
    <w:pPr>
      <w:pStyle w:val="Header"/>
      <w:jc w:val="center"/>
    </w:pPr>
  </w:p>
  <w:p w14:paraId="1168516E" w14:textId="77777777" w:rsidR="00D63D2C" w:rsidRDefault="00D63D2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ECFE59" w14:textId="77777777" w:rsidR="00A84731" w:rsidRDefault="00A8473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04EBE"/>
    <w:multiLevelType w:val="multilevel"/>
    <w:tmpl w:val="3AC401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2" w15:restartNumberingAfterBreak="0">
    <w:nsid w:val="11010AED"/>
    <w:multiLevelType w:val="hybridMultilevel"/>
    <w:tmpl w:val="BA8AB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68366B"/>
    <w:multiLevelType w:val="multilevel"/>
    <w:tmpl w:val="A9E66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B0D7CED"/>
    <w:multiLevelType w:val="multilevel"/>
    <w:tmpl w:val="AFDAC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6" w15:restartNumberingAfterBreak="0">
    <w:nsid w:val="2A900E69"/>
    <w:multiLevelType w:val="multilevel"/>
    <w:tmpl w:val="029ECA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8" w15:restartNumberingAfterBreak="0">
    <w:nsid w:val="2F3D7C63"/>
    <w:multiLevelType w:val="multilevel"/>
    <w:tmpl w:val="74B85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627A4A"/>
    <w:multiLevelType w:val="multilevel"/>
    <w:tmpl w:val="9274E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32C5E96"/>
    <w:multiLevelType w:val="multilevel"/>
    <w:tmpl w:val="E3D26A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8652E6"/>
    <w:multiLevelType w:val="multilevel"/>
    <w:tmpl w:val="16A07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13" w15:restartNumberingAfterBreak="0">
    <w:nsid w:val="3FBB249D"/>
    <w:multiLevelType w:val="multilevel"/>
    <w:tmpl w:val="BC50C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44725A7"/>
    <w:multiLevelType w:val="hybridMultilevel"/>
    <w:tmpl w:val="7A0C9C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67D668B"/>
    <w:multiLevelType w:val="multilevel"/>
    <w:tmpl w:val="4D2E6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17"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1A1FA7"/>
    <w:multiLevelType w:val="multilevel"/>
    <w:tmpl w:val="107A6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5AB5A04"/>
    <w:multiLevelType w:val="hybridMultilevel"/>
    <w:tmpl w:val="44C476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64F6690"/>
    <w:multiLevelType w:val="multilevel"/>
    <w:tmpl w:val="E1B20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24" w15:restartNumberingAfterBreak="0">
    <w:nsid w:val="5E9706E7"/>
    <w:multiLevelType w:val="multilevel"/>
    <w:tmpl w:val="D65885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EA4E42"/>
    <w:multiLevelType w:val="multilevel"/>
    <w:tmpl w:val="04184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27" w15:restartNumberingAfterBreak="0">
    <w:nsid w:val="6C4738E6"/>
    <w:multiLevelType w:val="multilevel"/>
    <w:tmpl w:val="0B4CB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F0A1C37"/>
    <w:multiLevelType w:val="multilevel"/>
    <w:tmpl w:val="4FFE4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30" w15:restartNumberingAfterBreak="0">
    <w:nsid w:val="78901058"/>
    <w:multiLevelType w:val="multilevel"/>
    <w:tmpl w:val="5A5AB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9F4BF6"/>
    <w:multiLevelType w:val="hybridMultilevel"/>
    <w:tmpl w:val="BDE0B6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259252">
    <w:abstractNumId w:val="16"/>
  </w:num>
  <w:num w:numId="2" w16cid:durableId="1722752453">
    <w:abstractNumId w:val="5"/>
  </w:num>
  <w:num w:numId="3" w16cid:durableId="1813135186">
    <w:abstractNumId w:val="7"/>
  </w:num>
  <w:num w:numId="4" w16cid:durableId="1279994936">
    <w:abstractNumId w:val="1"/>
  </w:num>
  <w:num w:numId="5" w16cid:durableId="585575138">
    <w:abstractNumId w:val="12"/>
  </w:num>
  <w:num w:numId="6" w16cid:durableId="954754662">
    <w:abstractNumId w:val="26"/>
  </w:num>
  <w:num w:numId="7" w16cid:durableId="1708869378">
    <w:abstractNumId w:val="29"/>
  </w:num>
  <w:num w:numId="8" w16cid:durableId="567501420">
    <w:abstractNumId w:val="23"/>
  </w:num>
  <w:num w:numId="9" w16cid:durableId="2055157174">
    <w:abstractNumId w:val="18"/>
  </w:num>
  <w:num w:numId="10" w16cid:durableId="2034265101">
    <w:abstractNumId w:val="17"/>
  </w:num>
  <w:num w:numId="11" w16cid:durableId="1153914164">
    <w:abstractNumId w:val="20"/>
  </w:num>
  <w:num w:numId="12" w16cid:durableId="823591993">
    <w:abstractNumId w:val="3"/>
  </w:num>
  <w:num w:numId="13" w16cid:durableId="353842878">
    <w:abstractNumId w:val="21"/>
  </w:num>
  <w:num w:numId="14" w16cid:durableId="1175192948">
    <w:abstractNumId w:val="19"/>
  </w:num>
  <w:num w:numId="15" w16cid:durableId="1647203352">
    <w:abstractNumId w:val="27"/>
  </w:num>
  <w:num w:numId="16" w16cid:durableId="697198945">
    <w:abstractNumId w:val="28"/>
  </w:num>
  <w:num w:numId="17" w16cid:durableId="950480129">
    <w:abstractNumId w:val="0"/>
  </w:num>
  <w:num w:numId="18" w16cid:durableId="1877541452">
    <w:abstractNumId w:val="9"/>
  </w:num>
  <w:num w:numId="19" w16cid:durableId="258414877">
    <w:abstractNumId w:val="22"/>
  </w:num>
  <w:num w:numId="20" w16cid:durableId="403795200">
    <w:abstractNumId w:val="10"/>
  </w:num>
  <w:num w:numId="21" w16cid:durableId="1911040760">
    <w:abstractNumId w:val="24"/>
  </w:num>
  <w:num w:numId="22" w16cid:durableId="1440100843">
    <w:abstractNumId w:val="8"/>
  </w:num>
  <w:num w:numId="23" w16cid:durableId="908152119">
    <w:abstractNumId w:val="31"/>
  </w:num>
  <w:num w:numId="24" w16cid:durableId="639727423">
    <w:abstractNumId w:val="2"/>
  </w:num>
  <w:num w:numId="25" w16cid:durableId="421146468">
    <w:abstractNumId w:val="14"/>
  </w:num>
  <w:num w:numId="26" w16cid:durableId="1453745994">
    <w:abstractNumId w:val="6"/>
  </w:num>
  <w:num w:numId="27" w16cid:durableId="1777553263">
    <w:abstractNumId w:val="30"/>
  </w:num>
  <w:num w:numId="28" w16cid:durableId="330447594">
    <w:abstractNumId w:val="4"/>
  </w:num>
  <w:num w:numId="29" w16cid:durableId="410543642">
    <w:abstractNumId w:val="25"/>
  </w:num>
  <w:num w:numId="30" w16cid:durableId="1124540118">
    <w:abstractNumId w:val="11"/>
  </w:num>
  <w:num w:numId="31" w16cid:durableId="735904742">
    <w:abstractNumId w:val="13"/>
  </w:num>
  <w:num w:numId="32" w16cid:durableId="37416148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037B1"/>
    <w:rsid w:val="00007589"/>
    <w:rsid w:val="0001176C"/>
    <w:rsid w:val="00012771"/>
    <w:rsid w:val="0001287A"/>
    <w:rsid w:val="00014A93"/>
    <w:rsid w:val="000160F3"/>
    <w:rsid w:val="00017C14"/>
    <w:rsid w:val="00023A75"/>
    <w:rsid w:val="000346A1"/>
    <w:rsid w:val="00034942"/>
    <w:rsid w:val="0005132A"/>
    <w:rsid w:val="00052FF7"/>
    <w:rsid w:val="000534D7"/>
    <w:rsid w:val="0005494F"/>
    <w:rsid w:val="000549E9"/>
    <w:rsid w:val="00072B7D"/>
    <w:rsid w:val="00080A8A"/>
    <w:rsid w:val="00083E75"/>
    <w:rsid w:val="000916A8"/>
    <w:rsid w:val="000922D9"/>
    <w:rsid w:val="000944DA"/>
    <w:rsid w:val="00097FDE"/>
    <w:rsid w:val="000A2DBC"/>
    <w:rsid w:val="000B5F85"/>
    <w:rsid w:val="000C1326"/>
    <w:rsid w:val="000C17FB"/>
    <w:rsid w:val="000C2985"/>
    <w:rsid w:val="000E4157"/>
    <w:rsid w:val="000F2426"/>
    <w:rsid w:val="000F4212"/>
    <w:rsid w:val="000F6BCE"/>
    <w:rsid w:val="001021C6"/>
    <w:rsid w:val="00102A87"/>
    <w:rsid w:val="001047F9"/>
    <w:rsid w:val="001057BF"/>
    <w:rsid w:val="00113A9E"/>
    <w:rsid w:val="00114BFD"/>
    <w:rsid w:val="00117AD0"/>
    <w:rsid w:val="00120E66"/>
    <w:rsid w:val="00121902"/>
    <w:rsid w:val="00122449"/>
    <w:rsid w:val="00124E4B"/>
    <w:rsid w:val="00131A2D"/>
    <w:rsid w:val="00140382"/>
    <w:rsid w:val="00141A69"/>
    <w:rsid w:val="00154E0F"/>
    <w:rsid w:val="001714F6"/>
    <w:rsid w:val="001747B0"/>
    <w:rsid w:val="00175B5D"/>
    <w:rsid w:val="00175C49"/>
    <w:rsid w:val="00181B63"/>
    <w:rsid w:val="00183CA7"/>
    <w:rsid w:val="00184582"/>
    <w:rsid w:val="00187B8B"/>
    <w:rsid w:val="00192185"/>
    <w:rsid w:val="001A042B"/>
    <w:rsid w:val="001A2EEB"/>
    <w:rsid w:val="001B07E6"/>
    <w:rsid w:val="001B1CEB"/>
    <w:rsid w:val="001B2429"/>
    <w:rsid w:val="001B48F9"/>
    <w:rsid w:val="001B6329"/>
    <w:rsid w:val="001B679B"/>
    <w:rsid w:val="001C1B48"/>
    <w:rsid w:val="001C7429"/>
    <w:rsid w:val="001D22C2"/>
    <w:rsid w:val="001D258E"/>
    <w:rsid w:val="001E2113"/>
    <w:rsid w:val="001E3E63"/>
    <w:rsid w:val="001F1324"/>
    <w:rsid w:val="001F2748"/>
    <w:rsid w:val="001F3172"/>
    <w:rsid w:val="00200B8C"/>
    <w:rsid w:val="00203769"/>
    <w:rsid w:val="0020447D"/>
    <w:rsid w:val="00204939"/>
    <w:rsid w:val="002051A1"/>
    <w:rsid w:val="002103C7"/>
    <w:rsid w:val="002121EE"/>
    <w:rsid w:val="00216784"/>
    <w:rsid w:val="002212B0"/>
    <w:rsid w:val="00223F88"/>
    <w:rsid w:val="002255DC"/>
    <w:rsid w:val="002258FC"/>
    <w:rsid w:val="0023042E"/>
    <w:rsid w:val="00235BB8"/>
    <w:rsid w:val="00237FB6"/>
    <w:rsid w:val="00243254"/>
    <w:rsid w:val="0024546A"/>
    <w:rsid w:val="00247DBA"/>
    <w:rsid w:val="002518EB"/>
    <w:rsid w:val="00254172"/>
    <w:rsid w:val="00257E75"/>
    <w:rsid w:val="002671D1"/>
    <w:rsid w:val="00273178"/>
    <w:rsid w:val="002731E2"/>
    <w:rsid w:val="0027336E"/>
    <w:rsid w:val="00276D10"/>
    <w:rsid w:val="0027796A"/>
    <w:rsid w:val="00290E2F"/>
    <w:rsid w:val="0029132B"/>
    <w:rsid w:val="00291B0A"/>
    <w:rsid w:val="002A728F"/>
    <w:rsid w:val="002B4534"/>
    <w:rsid w:val="002B5AE2"/>
    <w:rsid w:val="002C1836"/>
    <w:rsid w:val="002C4DB6"/>
    <w:rsid w:val="002C6D80"/>
    <w:rsid w:val="002C71D0"/>
    <w:rsid w:val="002C7483"/>
    <w:rsid w:val="002C7ABE"/>
    <w:rsid w:val="002D7712"/>
    <w:rsid w:val="002F130E"/>
    <w:rsid w:val="002F1BFA"/>
    <w:rsid w:val="00300828"/>
    <w:rsid w:val="00301BAA"/>
    <w:rsid w:val="00304A2B"/>
    <w:rsid w:val="00306F6F"/>
    <w:rsid w:val="003136DD"/>
    <w:rsid w:val="00323841"/>
    <w:rsid w:val="0032747A"/>
    <w:rsid w:val="00331DB3"/>
    <w:rsid w:val="00333B11"/>
    <w:rsid w:val="003413E5"/>
    <w:rsid w:val="003439EC"/>
    <w:rsid w:val="00346D3C"/>
    <w:rsid w:val="00347CA9"/>
    <w:rsid w:val="0035408D"/>
    <w:rsid w:val="00355B43"/>
    <w:rsid w:val="003658E6"/>
    <w:rsid w:val="00367A5A"/>
    <w:rsid w:val="003731A2"/>
    <w:rsid w:val="003753BC"/>
    <w:rsid w:val="0038002E"/>
    <w:rsid w:val="003837F4"/>
    <w:rsid w:val="003913EF"/>
    <w:rsid w:val="003A16E6"/>
    <w:rsid w:val="003B1C70"/>
    <w:rsid w:val="003B1C8D"/>
    <w:rsid w:val="003B2417"/>
    <w:rsid w:val="003B4A27"/>
    <w:rsid w:val="003C1074"/>
    <w:rsid w:val="003C4A7A"/>
    <w:rsid w:val="003D64AA"/>
    <w:rsid w:val="003E5CF0"/>
    <w:rsid w:val="003F0D23"/>
    <w:rsid w:val="003F2A81"/>
    <w:rsid w:val="003F2B6D"/>
    <w:rsid w:val="003F3EB9"/>
    <w:rsid w:val="003F607D"/>
    <w:rsid w:val="00402BA5"/>
    <w:rsid w:val="00421B32"/>
    <w:rsid w:val="00421D1B"/>
    <w:rsid w:val="00423776"/>
    <w:rsid w:val="004242B0"/>
    <w:rsid w:val="00432463"/>
    <w:rsid w:val="00435B6F"/>
    <w:rsid w:val="00442483"/>
    <w:rsid w:val="00447D48"/>
    <w:rsid w:val="00450952"/>
    <w:rsid w:val="00450E50"/>
    <w:rsid w:val="00451B6E"/>
    <w:rsid w:val="00452AC4"/>
    <w:rsid w:val="004618A4"/>
    <w:rsid w:val="00462C58"/>
    <w:rsid w:val="0046736D"/>
    <w:rsid w:val="00471BEA"/>
    <w:rsid w:val="00474063"/>
    <w:rsid w:val="004855EC"/>
    <w:rsid w:val="00494FA2"/>
    <w:rsid w:val="004970B2"/>
    <w:rsid w:val="004A2828"/>
    <w:rsid w:val="004A40F6"/>
    <w:rsid w:val="004A514B"/>
    <w:rsid w:val="004A5A29"/>
    <w:rsid w:val="004A6BE9"/>
    <w:rsid w:val="004B1018"/>
    <w:rsid w:val="004B53AF"/>
    <w:rsid w:val="004B5909"/>
    <w:rsid w:val="004B6266"/>
    <w:rsid w:val="004E0BBC"/>
    <w:rsid w:val="004E1523"/>
    <w:rsid w:val="004E297D"/>
    <w:rsid w:val="004E2AC3"/>
    <w:rsid w:val="004F282B"/>
    <w:rsid w:val="004F2D37"/>
    <w:rsid w:val="004F71DD"/>
    <w:rsid w:val="00500303"/>
    <w:rsid w:val="0050317C"/>
    <w:rsid w:val="00504357"/>
    <w:rsid w:val="00505A09"/>
    <w:rsid w:val="0050675C"/>
    <w:rsid w:val="0051468E"/>
    <w:rsid w:val="005331AF"/>
    <w:rsid w:val="00533383"/>
    <w:rsid w:val="00535BBA"/>
    <w:rsid w:val="00542DAD"/>
    <w:rsid w:val="005440B8"/>
    <w:rsid w:val="00547505"/>
    <w:rsid w:val="00551728"/>
    <w:rsid w:val="005527C3"/>
    <w:rsid w:val="0055287C"/>
    <w:rsid w:val="00553807"/>
    <w:rsid w:val="00556645"/>
    <w:rsid w:val="00560165"/>
    <w:rsid w:val="00561179"/>
    <w:rsid w:val="00562E9D"/>
    <w:rsid w:val="00571CBA"/>
    <w:rsid w:val="00571D47"/>
    <w:rsid w:val="0057477C"/>
    <w:rsid w:val="005804E9"/>
    <w:rsid w:val="0058447C"/>
    <w:rsid w:val="00584B96"/>
    <w:rsid w:val="00585038"/>
    <w:rsid w:val="00585286"/>
    <w:rsid w:val="00585777"/>
    <w:rsid w:val="005B1407"/>
    <w:rsid w:val="005B14B0"/>
    <w:rsid w:val="005B28C4"/>
    <w:rsid w:val="005B5981"/>
    <w:rsid w:val="005C2C7A"/>
    <w:rsid w:val="005D0CC7"/>
    <w:rsid w:val="005D35A6"/>
    <w:rsid w:val="005E64B3"/>
    <w:rsid w:val="006012F8"/>
    <w:rsid w:val="00605BC2"/>
    <w:rsid w:val="00607531"/>
    <w:rsid w:val="00620D31"/>
    <w:rsid w:val="0063018A"/>
    <w:rsid w:val="00636C76"/>
    <w:rsid w:val="00637B8D"/>
    <w:rsid w:val="006407A8"/>
    <w:rsid w:val="006422F9"/>
    <w:rsid w:val="00645ED1"/>
    <w:rsid w:val="006466BF"/>
    <w:rsid w:val="006601B2"/>
    <w:rsid w:val="0066356A"/>
    <w:rsid w:val="00667FFD"/>
    <w:rsid w:val="00673CF4"/>
    <w:rsid w:val="00676856"/>
    <w:rsid w:val="00683B37"/>
    <w:rsid w:val="006858BF"/>
    <w:rsid w:val="00692FD5"/>
    <w:rsid w:val="00695FD2"/>
    <w:rsid w:val="006A0270"/>
    <w:rsid w:val="006A1348"/>
    <w:rsid w:val="006B6EC7"/>
    <w:rsid w:val="006B7C10"/>
    <w:rsid w:val="006C24E3"/>
    <w:rsid w:val="006C2B3D"/>
    <w:rsid w:val="006C6C14"/>
    <w:rsid w:val="006D03C1"/>
    <w:rsid w:val="006D62A7"/>
    <w:rsid w:val="006E1FB7"/>
    <w:rsid w:val="006E5F7E"/>
    <w:rsid w:val="006E7233"/>
    <w:rsid w:val="006F3A0E"/>
    <w:rsid w:val="006F4E32"/>
    <w:rsid w:val="006F4EE7"/>
    <w:rsid w:val="00704C8F"/>
    <w:rsid w:val="0071091C"/>
    <w:rsid w:val="007177B2"/>
    <w:rsid w:val="0072205B"/>
    <w:rsid w:val="007239B1"/>
    <w:rsid w:val="0072488B"/>
    <w:rsid w:val="00733241"/>
    <w:rsid w:val="0073540D"/>
    <w:rsid w:val="00740943"/>
    <w:rsid w:val="00753D6C"/>
    <w:rsid w:val="00762E64"/>
    <w:rsid w:val="00766AA1"/>
    <w:rsid w:val="00766D97"/>
    <w:rsid w:val="00774194"/>
    <w:rsid w:val="007767E3"/>
    <w:rsid w:val="0078394E"/>
    <w:rsid w:val="007873F5"/>
    <w:rsid w:val="00793E6D"/>
    <w:rsid w:val="007942C4"/>
    <w:rsid w:val="00797C94"/>
    <w:rsid w:val="007A12FD"/>
    <w:rsid w:val="007A4771"/>
    <w:rsid w:val="007A5A83"/>
    <w:rsid w:val="007B0055"/>
    <w:rsid w:val="007B0517"/>
    <w:rsid w:val="007C27EC"/>
    <w:rsid w:val="007C62EF"/>
    <w:rsid w:val="007E2A73"/>
    <w:rsid w:val="007E2D10"/>
    <w:rsid w:val="007F48BD"/>
    <w:rsid w:val="00802A09"/>
    <w:rsid w:val="00807432"/>
    <w:rsid w:val="00807701"/>
    <w:rsid w:val="00812591"/>
    <w:rsid w:val="00830264"/>
    <w:rsid w:val="00833D8D"/>
    <w:rsid w:val="00835517"/>
    <w:rsid w:val="00841C32"/>
    <w:rsid w:val="00843291"/>
    <w:rsid w:val="0085235A"/>
    <w:rsid w:val="008532F0"/>
    <w:rsid w:val="0085428D"/>
    <w:rsid w:val="00870139"/>
    <w:rsid w:val="00873169"/>
    <w:rsid w:val="0087791D"/>
    <w:rsid w:val="008825E0"/>
    <w:rsid w:val="00882B7D"/>
    <w:rsid w:val="00886A2C"/>
    <w:rsid w:val="00895BC0"/>
    <w:rsid w:val="008A0E42"/>
    <w:rsid w:val="008A667A"/>
    <w:rsid w:val="008B6781"/>
    <w:rsid w:val="008B7B06"/>
    <w:rsid w:val="008C122E"/>
    <w:rsid w:val="008C1D4B"/>
    <w:rsid w:val="008D4CEA"/>
    <w:rsid w:val="008D7DD9"/>
    <w:rsid w:val="008E7DCC"/>
    <w:rsid w:val="008F4532"/>
    <w:rsid w:val="008F5180"/>
    <w:rsid w:val="00901B5C"/>
    <w:rsid w:val="00903BF2"/>
    <w:rsid w:val="00905081"/>
    <w:rsid w:val="00905E81"/>
    <w:rsid w:val="00910B42"/>
    <w:rsid w:val="00911CFE"/>
    <w:rsid w:val="00912434"/>
    <w:rsid w:val="0092281C"/>
    <w:rsid w:val="009238A5"/>
    <w:rsid w:val="00925E6C"/>
    <w:rsid w:val="00927D02"/>
    <w:rsid w:val="00933B05"/>
    <w:rsid w:val="00933E60"/>
    <w:rsid w:val="0093667D"/>
    <w:rsid w:val="00942941"/>
    <w:rsid w:val="00945D89"/>
    <w:rsid w:val="00951568"/>
    <w:rsid w:val="009521D8"/>
    <w:rsid w:val="009531E0"/>
    <w:rsid w:val="009565F3"/>
    <w:rsid w:val="00956B4B"/>
    <w:rsid w:val="009579B6"/>
    <w:rsid w:val="00960988"/>
    <w:rsid w:val="00967CA7"/>
    <w:rsid w:val="009813DB"/>
    <w:rsid w:val="00981DB0"/>
    <w:rsid w:val="009821FF"/>
    <w:rsid w:val="00986E75"/>
    <w:rsid w:val="00986E87"/>
    <w:rsid w:val="009952C1"/>
    <w:rsid w:val="009A1229"/>
    <w:rsid w:val="009A2206"/>
    <w:rsid w:val="009A62BC"/>
    <w:rsid w:val="009B01B9"/>
    <w:rsid w:val="009B1D5C"/>
    <w:rsid w:val="009B7EC9"/>
    <w:rsid w:val="009C022E"/>
    <w:rsid w:val="009C564D"/>
    <w:rsid w:val="009C7EC6"/>
    <w:rsid w:val="009D2833"/>
    <w:rsid w:val="009D324A"/>
    <w:rsid w:val="009D5392"/>
    <w:rsid w:val="009F262A"/>
    <w:rsid w:val="009F6F19"/>
    <w:rsid w:val="009F795E"/>
    <w:rsid w:val="00A01B59"/>
    <w:rsid w:val="00A03C2C"/>
    <w:rsid w:val="00A06755"/>
    <w:rsid w:val="00A06E31"/>
    <w:rsid w:val="00A12E06"/>
    <w:rsid w:val="00A17A9D"/>
    <w:rsid w:val="00A2041D"/>
    <w:rsid w:val="00A221C6"/>
    <w:rsid w:val="00A22564"/>
    <w:rsid w:val="00A242F3"/>
    <w:rsid w:val="00A339EB"/>
    <w:rsid w:val="00A5173E"/>
    <w:rsid w:val="00A56A98"/>
    <w:rsid w:val="00A620FD"/>
    <w:rsid w:val="00A62E6E"/>
    <w:rsid w:val="00A76E05"/>
    <w:rsid w:val="00A84731"/>
    <w:rsid w:val="00A9441F"/>
    <w:rsid w:val="00A948BC"/>
    <w:rsid w:val="00A94A01"/>
    <w:rsid w:val="00A95A68"/>
    <w:rsid w:val="00AA1E6B"/>
    <w:rsid w:val="00AA2C88"/>
    <w:rsid w:val="00AA3F43"/>
    <w:rsid w:val="00AB0FB6"/>
    <w:rsid w:val="00AB2B8F"/>
    <w:rsid w:val="00AC0E14"/>
    <w:rsid w:val="00AC12DA"/>
    <w:rsid w:val="00AC3AAD"/>
    <w:rsid w:val="00AC58CD"/>
    <w:rsid w:val="00AC7035"/>
    <w:rsid w:val="00AD32AA"/>
    <w:rsid w:val="00AD7D06"/>
    <w:rsid w:val="00AE3D7C"/>
    <w:rsid w:val="00AE7BB3"/>
    <w:rsid w:val="00AF0805"/>
    <w:rsid w:val="00AF08DD"/>
    <w:rsid w:val="00AF1F6F"/>
    <w:rsid w:val="00AF2ECA"/>
    <w:rsid w:val="00AF4467"/>
    <w:rsid w:val="00B02ED9"/>
    <w:rsid w:val="00B07BBB"/>
    <w:rsid w:val="00B147D3"/>
    <w:rsid w:val="00B14D2C"/>
    <w:rsid w:val="00B16393"/>
    <w:rsid w:val="00B17CD3"/>
    <w:rsid w:val="00B25D7A"/>
    <w:rsid w:val="00B27293"/>
    <w:rsid w:val="00B27741"/>
    <w:rsid w:val="00B27B13"/>
    <w:rsid w:val="00B31393"/>
    <w:rsid w:val="00B31B36"/>
    <w:rsid w:val="00B32425"/>
    <w:rsid w:val="00B33955"/>
    <w:rsid w:val="00B36D27"/>
    <w:rsid w:val="00B4003E"/>
    <w:rsid w:val="00B408B8"/>
    <w:rsid w:val="00B43A97"/>
    <w:rsid w:val="00B505B7"/>
    <w:rsid w:val="00B5133D"/>
    <w:rsid w:val="00B56DF1"/>
    <w:rsid w:val="00B63721"/>
    <w:rsid w:val="00B80583"/>
    <w:rsid w:val="00B81743"/>
    <w:rsid w:val="00B83C8C"/>
    <w:rsid w:val="00B842BC"/>
    <w:rsid w:val="00B8572B"/>
    <w:rsid w:val="00BA09E9"/>
    <w:rsid w:val="00BB0834"/>
    <w:rsid w:val="00BC1702"/>
    <w:rsid w:val="00BC1C53"/>
    <w:rsid w:val="00BC283E"/>
    <w:rsid w:val="00BC6FDD"/>
    <w:rsid w:val="00BD544D"/>
    <w:rsid w:val="00BE2F7E"/>
    <w:rsid w:val="00BE3622"/>
    <w:rsid w:val="00C13E20"/>
    <w:rsid w:val="00C17E2F"/>
    <w:rsid w:val="00C20745"/>
    <w:rsid w:val="00C24E48"/>
    <w:rsid w:val="00C43FB4"/>
    <w:rsid w:val="00C46B0E"/>
    <w:rsid w:val="00C47838"/>
    <w:rsid w:val="00C57E6F"/>
    <w:rsid w:val="00C6128A"/>
    <w:rsid w:val="00C73E36"/>
    <w:rsid w:val="00C764A3"/>
    <w:rsid w:val="00C86B6E"/>
    <w:rsid w:val="00C90E38"/>
    <w:rsid w:val="00C91C02"/>
    <w:rsid w:val="00C93C3A"/>
    <w:rsid w:val="00C95C9F"/>
    <w:rsid w:val="00C96F2C"/>
    <w:rsid w:val="00CA2038"/>
    <w:rsid w:val="00CA44C4"/>
    <w:rsid w:val="00CB2F9A"/>
    <w:rsid w:val="00CB63F4"/>
    <w:rsid w:val="00CB7AD5"/>
    <w:rsid w:val="00CC2DCB"/>
    <w:rsid w:val="00CC508D"/>
    <w:rsid w:val="00CC6424"/>
    <w:rsid w:val="00CC7F05"/>
    <w:rsid w:val="00CD09FE"/>
    <w:rsid w:val="00CD1649"/>
    <w:rsid w:val="00CD3859"/>
    <w:rsid w:val="00CD47A2"/>
    <w:rsid w:val="00CD7A52"/>
    <w:rsid w:val="00CE37FB"/>
    <w:rsid w:val="00CF2866"/>
    <w:rsid w:val="00CF4D76"/>
    <w:rsid w:val="00CF64AA"/>
    <w:rsid w:val="00D015EA"/>
    <w:rsid w:val="00D10A41"/>
    <w:rsid w:val="00D12A39"/>
    <w:rsid w:val="00D14365"/>
    <w:rsid w:val="00D16CFF"/>
    <w:rsid w:val="00D17C3F"/>
    <w:rsid w:val="00D20C16"/>
    <w:rsid w:val="00D41E06"/>
    <w:rsid w:val="00D4407C"/>
    <w:rsid w:val="00D45927"/>
    <w:rsid w:val="00D463C6"/>
    <w:rsid w:val="00D474C5"/>
    <w:rsid w:val="00D547C1"/>
    <w:rsid w:val="00D55106"/>
    <w:rsid w:val="00D612A8"/>
    <w:rsid w:val="00D63D2C"/>
    <w:rsid w:val="00D65A4A"/>
    <w:rsid w:val="00D706FF"/>
    <w:rsid w:val="00D754DE"/>
    <w:rsid w:val="00D87DBA"/>
    <w:rsid w:val="00D918FC"/>
    <w:rsid w:val="00D93E56"/>
    <w:rsid w:val="00D948AC"/>
    <w:rsid w:val="00DA0495"/>
    <w:rsid w:val="00DA14B3"/>
    <w:rsid w:val="00DA1B8A"/>
    <w:rsid w:val="00DA3DDE"/>
    <w:rsid w:val="00DA52F0"/>
    <w:rsid w:val="00DB3EF4"/>
    <w:rsid w:val="00DC1687"/>
    <w:rsid w:val="00DC5BF6"/>
    <w:rsid w:val="00DC77A9"/>
    <w:rsid w:val="00DD0AA6"/>
    <w:rsid w:val="00DD12DA"/>
    <w:rsid w:val="00DE6BFB"/>
    <w:rsid w:val="00DF4354"/>
    <w:rsid w:val="00DF4DE2"/>
    <w:rsid w:val="00E00489"/>
    <w:rsid w:val="00E067C8"/>
    <w:rsid w:val="00E0764E"/>
    <w:rsid w:val="00E122EB"/>
    <w:rsid w:val="00E12B7E"/>
    <w:rsid w:val="00E1392F"/>
    <w:rsid w:val="00E14BF6"/>
    <w:rsid w:val="00E24B2B"/>
    <w:rsid w:val="00E2587C"/>
    <w:rsid w:val="00E32B0A"/>
    <w:rsid w:val="00E33CDF"/>
    <w:rsid w:val="00E34E4D"/>
    <w:rsid w:val="00E41BC9"/>
    <w:rsid w:val="00E47A2E"/>
    <w:rsid w:val="00E503E0"/>
    <w:rsid w:val="00E527B2"/>
    <w:rsid w:val="00E60477"/>
    <w:rsid w:val="00E63008"/>
    <w:rsid w:val="00E63BEC"/>
    <w:rsid w:val="00E66574"/>
    <w:rsid w:val="00E7050F"/>
    <w:rsid w:val="00E723DD"/>
    <w:rsid w:val="00E73F2C"/>
    <w:rsid w:val="00E77E70"/>
    <w:rsid w:val="00E80A77"/>
    <w:rsid w:val="00E81B7B"/>
    <w:rsid w:val="00E84E85"/>
    <w:rsid w:val="00E870FC"/>
    <w:rsid w:val="00EA0F17"/>
    <w:rsid w:val="00EA2897"/>
    <w:rsid w:val="00EB0E93"/>
    <w:rsid w:val="00EC1E32"/>
    <w:rsid w:val="00EC25F6"/>
    <w:rsid w:val="00EC468D"/>
    <w:rsid w:val="00ED1F6E"/>
    <w:rsid w:val="00ED33CE"/>
    <w:rsid w:val="00ED4D1F"/>
    <w:rsid w:val="00EE0FA6"/>
    <w:rsid w:val="00EE1ED6"/>
    <w:rsid w:val="00EF6D49"/>
    <w:rsid w:val="00F0386D"/>
    <w:rsid w:val="00F03A6B"/>
    <w:rsid w:val="00F31A8C"/>
    <w:rsid w:val="00F33824"/>
    <w:rsid w:val="00F4158E"/>
    <w:rsid w:val="00F4314E"/>
    <w:rsid w:val="00F45588"/>
    <w:rsid w:val="00F6351A"/>
    <w:rsid w:val="00F64B0D"/>
    <w:rsid w:val="00F65575"/>
    <w:rsid w:val="00F73C70"/>
    <w:rsid w:val="00F822EA"/>
    <w:rsid w:val="00F83834"/>
    <w:rsid w:val="00FA0819"/>
    <w:rsid w:val="00FA425B"/>
    <w:rsid w:val="00FB3824"/>
    <w:rsid w:val="00FB40DF"/>
    <w:rsid w:val="00FB53DF"/>
    <w:rsid w:val="00FB5A91"/>
    <w:rsid w:val="00FB62BF"/>
    <w:rsid w:val="00FD2BDE"/>
    <w:rsid w:val="00FD5B18"/>
    <w:rsid w:val="00FD620B"/>
    <w:rsid w:val="00FE30FF"/>
    <w:rsid w:val="00FE4EED"/>
    <w:rsid w:val="00FE6836"/>
    <w:rsid w:val="00FE6DB9"/>
    <w:rsid w:val="00FF0482"/>
    <w:rsid w:val="00FF0560"/>
    <w:rsid w:val="00FF0EEF"/>
    <w:rsid w:val="00FF4A0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F25FF4"/>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spacing w:line="360" w:lineRule="auto"/>
      <w:jc w:val="both"/>
    </w:pPr>
    <w:rPr>
      <w:rFonts w:ascii="Arial" w:eastAsia="Arial" w:hAnsi="Arial" w:cs="Calibri Light"/>
      <w:lang w:val="en-GB" w:eastAsia="en-GB" w:bidi="en-GB"/>
    </w:rPr>
  </w:style>
  <w:style w:type="paragraph" w:styleId="Heading1">
    <w:name w:val="heading 1"/>
    <w:uiPriority w:val="1"/>
    <w:qFormat/>
    <w:rsid w:val="00114BFD"/>
    <w:pPr>
      <w:spacing w:before="240" w:after="120" w:line="360" w:lineRule="auto"/>
      <w:ind w:left="220"/>
      <w:outlineLvl w:val="0"/>
    </w:pPr>
    <w:rPr>
      <w:rFonts w:ascii="Arial" w:eastAsia="Arial" w:hAnsi="Arial" w:cs="Calibri Light"/>
      <w:b/>
      <w:sz w:val="32"/>
      <w:szCs w:val="32"/>
      <w:lang w:val="en-GB" w:eastAsia="en-GB" w:bidi="en-GB"/>
    </w:rPr>
  </w:style>
  <w:style w:type="paragraph" w:styleId="Heading2">
    <w:name w:val="heading 2"/>
    <w:basedOn w:val="Normal"/>
    <w:uiPriority w:val="1"/>
    <w:qFormat/>
    <w:pPr>
      <w:spacing w:before="240" w:after="120"/>
      <w:ind w:left="220"/>
      <w:jc w:val="left"/>
      <w:outlineLvl w:val="1"/>
    </w:pPr>
    <w:rPr>
      <w:b/>
      <w:sz w:val="28"/>
      <w:szCs w:val="28"/>
    </w:rPr>
  </w:style>
  <w:style w:type="paragraph" w:styleId="Heading3">
    <w:name w:val="heading 3"/>
    <w:basedOn w:val="Normal"/>
    <w:uiPriority w:val="1"/>
    <w:qFormat/>
    <w:pPr>
      <w:spacing w:before="240" w:after="120"/>
      <w:ind w:left="40"/>
      <w:jc w:val="left"/>
      <w:outlineLvl w:val="2"/>
    </w:pPr>
    <w:rPr>
      <w:b/>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table" w:customStyle="1" w:styleId="TableGrid1">
    <w:name w:val="Table Grid1"/>
    <w:basedOn w:val="TableNormal"/>
    <w:next w:val="TableGrid"/>
    <w:uiPriority w:val="39"/>
    <w:rsid w:val="00812591"/>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450E50"/>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0E50"/>
    <w:rPr>
      <w:rFonts w:asciiTheme="majorHAnsi" w:eastAsiaTheme="majorEastAsia" w:hAnsiTheme="majorHAnsi" w:cstheme="majorBidi"/>
      <w:spacing w:val="-10"/>
      <w:kern w:val="28"/>
      <w:sz w:val="56"/>
      <w:szCs w:val="56"/>
      <w:lang w:val="en-GB" w:eastAsia="en-GB" w:bidi="en-GB"/>
    </w:rPr>
  </w:style>
  <w:style w:type="character" w:styleId="Strong">
    <w:name w:val="Strong"/>
    <w:basedOn w:val="DefaultParagraphFont"/>
    <w:uiPriority w:val="22"/>
    <w:qFormat/>
    <w:rsid w:val="00F4158E"/>
    <w:rPr>
      <w:b/>
      <w:bCs/>
    </w:rPr>
  </w:style>
  <w:style w:type="paragraph" w:styleId="TOCHeading">
    <w:name w:val="TOC Heading"/>
    <w:basedOn w:val="Heading1"/>
    <w:next w:val="Normal"/>
    <w:uiPriority w:val="39"/>
    <w:unhideWhenUsed/>
    <w:qFormat/>
    <w:rsid w:val="00B25D7A"/>
    <w:pPr>
      <w:keepNext/>
      <w:keepLines/>
      <w:widowControl/>
      <w:autoSpaceDE/>
      <w:autoSpaceDN/>
      <w:spacing w:after="0" w:line="259" w:lineRule="auto"/>
      <w:ind w:left="0"/>
      <w:outlineLvl w:val="9"/>
    </w:pPr>
    <w:rPr>
      <w:rFonts w:asciiTheme="majorHAnsi" w:eastAsiaTheme="majorEastAsia" w:hAnsiTheme="majorHAnsi" w:cstheme="majorBidi"/>
      <w:b w:val="0"/>
      <w:color w:val="365F91" w:themeColor="accent1" w:themeShade="BF"/>
      <w:lang w:val="en-US" w:eastAsia="en-US" w:bidi="ar-SA"/>
    </w:rPr>
  </w:style>
  <w:style w:type="paragraph" w:styleId="TOC1">
    <w:name w:val="toc 1"/>
    <w:basedOn w:val="Normal"/>
    <w:next w:val="Normal"/>
    <w:autoRedefine/>
    <w:uiPriority w:val="39"/>
    <w:unhideWhenUsed/>
    <w:rsid w:val="00B25D7A"/>
    <w:pPr>
      <w:spacing w:after="100"/>
    </w:pPr>
  </w:style>
  <w:style w:type="paragraph" w:styleId="TOC2">
    <w:name w:val="toc 2"/>
    <w:basedOn w:val="Normal"/>
    <w:next w:val="Normal"/>
    <w:autoRedefine/>
    <w:uiPriority w:val="39"/>
    <w:unhideWhenUsed/>
    <w:rsid w:val="00B25D7A"/>
    <w:pPr>
      <w:spacing w:after="100"/>
      <w:ind w:left="220"/>
    </w:pPr>
  </w:style>
  <w:style w:type="paragraph" w:styleId="TOC3">
    <w:name w:val="toc 3"/>
    <w:basedOn w:val="Normal"/>
    <w:next w:val="Normal"/>
    <w:autoRedefine/>
    <w:uiPriority w:val="39"/>
    <w:unhideWhenUsed/>
    <w:rsid w:val="00B25D7A"/>
    <w:pPr>
      <w:spacing w:after="100"/>
      <w:ind w:left="440"/>
    </w:pPr>
  </w:style>
  <w:style w:type="character" w:styleId="Hyperlink">
    <w:name w:val="Hyperlink"/>
    <w:basedOn w:val="DefaultParagraphFont"/>
    <w:uiPriority w:val="99"/>
    <w:unhideWhenUsed/>
    <w:rsid w:val="00B25D7A"/>
    <w:rPr>
      <w:color w:val="0000FF" w:themeColor="hyperlink"/>
      <w:u w:val="single"/>
    </w:rPr>
  </w:style>
  <w:style w:type="character" w:styleId="UnresolvedMention">
    <w:name w:val="Unresolved Mention"/>
    <w:basedOn w:val="DefaultParagraphFont"/>
    <w:uiPriority w:val="99"/>
    <w:semiHidden/>
    <w:unhideWhenUsed/>
    <w:rsid w:val="004B5909"/>
    <w:rPr>
      <w:color w:val="605E5C"/>
      <w:shd w:val="clear" w:color="auto" w:fill="E1DFDD"/>
    </w:rPr>
  </w:style>
  <w:style w:type="character" w:styleId="FollowedHyperlink">
    <w:name w:val="FollowedHyperlink"/>
    <w:basedOn w:val="DefaultParagraphFont"/>
    <w:uiPriority w:val="99"/>
    <w:semiHidden/>
    <w:unhideWhenUsed/>
    <w:rsid w:val="00451B6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ukpga/2014/23" TargetMode="External"/><Relationship Id="rId21" Type="http://schemas.openxmlformats.org/officeDocument/2006/relationships/hyperlink" Target="https://doi.org/10.1111/hsc.12814" TargetMode="External"/><Relationship Id="rId42" Type="http://schemas.openxmlformats.org/officeDocument/2006/relationships/hyperlink" Target="https://researchbriefings.files.parliament.uk/documents/CBP-9615/CBP-9615.pdf" TargetMode="External"/><Relationship Id="rId47" Type="http://schemas.openxmlformats.org/officeDocument/2006/relationships/hyperlink" Target="https://www.legislation.gov.uk/ukpga/2022/31/enacted" TargetMode="External"/><Relationship Id="rId63" Type="http://schemas.openxmlformats.org/officeDocument/2006/relationships/hyperlink" Target="https://www.nao.org.uk/wp-content/uploads/2021/03/The-adult-social-care-market-in-England.pdf" TargetMode="External"/><Relationship Id="rId68" Type="http://schemas.openxmlformats.org/officeDocument/2006/relationships/hyperlink" Target="https://www.nice.org.uk/guidance/qs137/resources/mental-wellbeing-and-independence-for-older-people-pdf-75545424081349" TargetMode="External"/><Relationship Id="rId84" Type="http://schemas.openxmlformats.org/officeDocument/2006/relationships/hyperlink" Target="https://doi.org/10.1177/14680173251318532" TargetMode="External"/><Relationship Id="rId89" Type="http://schemas.openxmlformats.org/officeDocument/2006/relationships/hyperlink" Target="https://doi.org/10.1093/bjsw/bcae055" TargetMode="External"/><Relationship Id="rId16" Type="http://schemas.openxmlformats.org/officeDocument/2006/relationships/hyperlink" Target="https://doi.org/10.1093/ageing/afw094" TargetMode="External"/><Relationship Id="rId11" Type="http://schemas.openxmlformats.org/officeDocument/2006/relationships/image" Target="media/image1.jpeg"/><Relationship Id="rId32" Type="http://schemas.openxmlformats.org/officeDocument/2006/relationships/hyperlink" Target="https://doi.org/10.1080/02615479.2020.1745172" TargetMode="External"/><Relationship Id="rId37" Type="http://schemas.openxmlformats.org/officeDocument/2006/relationships/hyperlink" Target="https://www.gov.uk/government/publications/people-at-the-heart-of-care-adult-social-care-reform-white-paper/people-at-the-heart-of-care-adult-social-care-reform" TargetMode="External"/><Relationship Id="rId53" Type="http://schemas.openxmlformats.org/officeDocument/2006/relationships/hyperlink" Target="https://www.local.gov.uk/publications/care-act-2014-ten-years-royal-assent" TargetMode="External"/><Relationship Id="rId58" Type="http://schemas.openxmlformats.org/officeDocument/2006/relationships/hyperlink" Target="https://doi.org/10.1093/bjsw/bcae010" TargetMode="External"/><Relationship Id="rId74" Type="http://schemas.openxmlformats.org/officeDocument/2006/relationships/hyperlink" Target="https://www.nice.org.uk/guidance/ng197/resources/shared-decision-making-pdf-66142087186885" TargetMode="External"/><Relationship Id="rId79" Type="http://schemas.openxmlformats.org/officeDocument/2006/relationships/hyperlink" Target="https://www.ons.gov.uk/peoplepopulationandcommunity/populationandmigration/populationprojections/bulletins/nationalpopulationprojections/2022based" TargetMode="External"/><Relationship Id="rId102" Type="http://schemas.openxmlformats.org/officeDocument/2006/relationships/footer" Target="footer2.xml"/><Relationship Id="rId5" Type="http://schemas.openxmlformats.org/officeDocument/2006/relationships/numbering" Target="numbering.xml"/><Relationship Id="rId90" Type="http://schemas.openxmlformats.org/officeDocument/2006/relationships/hyperlink" Target="https://www.health.org.uk/reports-and-analysis/analysis/social-care-funding" TargetMode="External"/><Relationship Id="rId95" Type="http://schemas.openxmlformats.org/officeDocument/2006/relationships/hyperlink" Target="https://doi.org/10.1186/s13643-025-02848-6" TargetMode="External"/><Relationship Id="rId22" Type="http://schemas.openxmlformats.org/officeDocument/2006/relationships/hyperlink" Target="https://doi.org/10.1136/bmjopen-2016-013384" TargetMode="External"/><Relationship Id="rId27" Type="http://schemas.openxmlformats.org/officeDocument/2006/relationships/hyperlink" Target="https://www.cqc.org.uk/publications/major-report/state-care/2024-2025/access/asc" TargetMode="External"/><Relationship Id="rId43" Type="http://schemas.openxmlformats.org/officeDocument/2006/relationships/hyperlink" Target="https://www.england.nhs.uk/wp-content/uploads/2022/05/next-steps-for-integrating-primary-care-fuller-stocktake-report.pdf" TargetMode="External"/><Relationship Id="rId48" Type="http://schemas.openxmlformats.org/officeDocument/2006/relationships/hyperlink" Target="https://doi.org/10.3233/EFI-180221" TargetMode="External"/><Relationship Id="rId64" Type="http://schemas.openxmlformats.org/officeDocument/2006/relationships/hyperlink" Target="https://www.nao.org.uk/wp-content/uploads/2022/10/Integrated-Care-Systems-Funding-and-accountability-for-local-health-and-care.pdf" TargetMode="External"/><Relationship Id="rId69" Type="http://schemas.openxmlformats.org/officeDocument/2006/relationships/hyperlink" Target="https://www.nice.org.uk/guidance/ng74/resources/intermediate-care-including-reablement-pdf-1837634227909" TargetMode="External"/><Relationship Id="rId80" Type="http://schemas.openxmlformats.org/officeDocument/2006/relationships/hyperlink" Target="https://doi.org/10.1111/hsc.13841" TargetMode="External"/><Relationship Id="rId85" Type="http://schemas.openxmlformats.org/officeDocument/2006/relationships/hyperlink" Target="https://doi.org/10.1080/26408066.2026.2616709" TargetMode="External"/><Relationship Id="rId12" Type="http://schemas.openxmlformats.org/officeDocument/2006/relationships/hyperlink" Target="https://www.local.gov.uk/sites/default/files/documents/msp-outcomes-framework-final-report-may-2018.pdf" TargetMode="External"/><Relationship Id="rId17" Type="http://schemas.openxmlformats.org/officeDocument/2006/relationships/hyperlink" Target="https://www.adass.org.uk/wp-content/uploads/2024/07/ADASS-Spring-Survey-2024-FINAL-1.pdf" TargetMode="External"/><Relationship Id="rId25" Type="http://schemas.openxmlformats.org/officeDocument/2006/relationships/hyperlink" Target="https://doi.org/10.1093/bjsw/bcad186" TargetMode="External"/><Relationship Id="rId33" Type="http://schemas.openxmlformats.org/officeDocument/2006/relationships/hyperlink" Target="https://casp-uk.net/how-to-use-checklist/" TargetMode="External"/><Relationship Id="rId38" Type="http://schemas.openxmlformats.org/officeDocument/2006/relationships/hyperlink" Target="https://www.gov.uk/government/publications/major-conditions-strategy-case-for-change-and-our-strategic-framework/major-conditions-strategy-case-for-change-and-our-strategic-framework--2" TargetMode="External"/><Relationship Id="rId46" Type="http://schemas.openxmlformats.org/officeDocument/2006/relationships/hyperlink" Target="https://doi.org/10.1093/bjsw/bcac180" TargetMode="External"/><Relationship Id="rId59" Type="http://schemas.openxmlformats.org/officeDocument/2006/relationships/hyperlink" Target="https://www.health.org.uk/sites/default/files/upload/publications/2020/Health%20Equity%20in%20England_The%20Marmot%20Review%2010%20Years%20On_full%20report.pdf" TargetMode="External"/><Relationship Id="rId67" Type="http://schemas.openxmlformats.org/officeDocument/2006/relationships/hyperlink" Target="https://digital.nhs.uk/data-and-information/publications/statistical/adult-social-care-activity-and-finance-report/2023-24/activity-and-finance-overview" TargetMode="External"/><Relationship Id="rId103" Type="http://schemas.openxmlformats.org/officeDocument/2006/relationships/fontTable" Target="fontTable.xml"/><Relationship Id="rId20" Type="http://schemas.openxmlformats.org/officeDocument/2006/relationships/hyperlink" Target="https://doi.org/10.1111/hsc.14108" TargetMode="External"/><Relationship Id="rId41" Type="http://schemas.openxmlformats.org/officeDocument/2006/relationships/hyperlink" Target="https://www.health.org.uk/reports-and-analysis/analysis/unpaid-care-the-realities-of-caring-in-the-uk" TargetMode="External"/><Relationship Id="rId54" Type="http://schemas.openxmlformats.org/officeDocument/2006/relationships/hyperlink" Target="https://www.local.gov.uk/publications/earlier-action-and-support-case-prevention-adult-social-care-and-beyond" TargetMode="External"/><Relationship Id="rId62" Type="http://schemas.openxmlformats.org/officeDocument/2006/relationships/hyperlink" Target="https://www.nao.org.uk/wp-content/uploads/2018/07/Adult-social-care-at-a-glance.pdf" TargetMode="External"/><Relationship Id="rId70" Type="http://schemas.openxmlformats.org/officeDocument/2006/relationships/hyperlink" Target="https://www.nice.org.uk/guidance/ng108/resources/decisionmaking-and-mental-capacity-pdf-66141544670917" TargetMode="External"/><Relationship Id="rId75" Type="http://schemas.openxmlformats.org/officeDocument/2006/relationships/hyperlink" Target="https://www.nice.org.uk/guidance/ng227/resources/advocacy-services-for-adults-with-health-and-social-care-needs-pdf-66143840705989" TargetMode="External"/><Relationship Id="rId83" Type="http://schemas.openxmlformats.org/officeDocument/2006/relationships/hyperlink" Target="https://doi.org/10.1108/JAP-11-2016-0028" TargetMode="External"/><Relationship Id="rId88" Type="http://schemas.openxmlformats.org/officeDocument/2006/relationships/hyperlink" Target="https://www.scie.org.uk/app/uploads/2025/01/Tackling-inequalities-for-adults-with-learning-disabilities_FINAL2.pdf" TargetMode="External"/><Relationship Id="rId91" Type="http://schemas.openxmlformats.org/officeDocument/2006/relationships/hyperlink" Target="https://doi.org/10.1016/j.ssaho.2023.100714" TargetMode="External"/><Relationship Id="rId96" Type="http://schemas.openxmlformats.org/officeDocument/2006/relationships/hyperlink" Target="https://apps.who.int/gb/ebwha/pdf_files/WHA69/A69_39-en.pdf"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oi.org/10.1093/bjsw/bcac076" TargetMode="External"/><Relationship Id="rId23" Type="http://schemas.openxmlformats.org/officeDocument/2006/relationships/hyperlink" Target="https://assets.kingsfund.org.uk/f/256914/x/10453129ad/social_care_360_2024.pdf" TargetMode="External"/><Relationship Id="rId28" Type="http://schemas.openxmlformats.org/officeDocument/2006/relationships/hyperlink" Target="https://www.carersuk.org/media/rjknz2jt/state-of-caring-mental-health-and-social-care-feb-2025.pdf" TargetMode="External"/><Relationship Id="rId36" Type="http://schemas.openxmlformats.org/officeDocument/2006/relationships/hyperlink" Target="https://www.gov.uk/government/publications/the-governments-response-to-the-adult-social-care-committee-report/the-governments-response-to-the-adult-social-care-committee-report" TargetMode="External"/><Relationship Id="rId49" Type="http://schemas.openxmlformats.org/officeDocument/2006/relationships/hyperlink" Target="https://committees.parliament.uk/publications/3120/documents/29193/default/" TargetMode="External"/><Relationship Id="rId57" Type="http://schemas.openxmlformats.org/officeDocument/2006/relationships/hyperlink" Target="https://doi.org/10.3310/nihropenres.13532.2" TargetMode="External"/><Relationship Id="rId10" Type="http://schemas.openxmlformats.org/officeDocument/2006/relationships/endnotes" Target="endnotes.xml"/><Relationship Id="rId31" Type="http://schemas.openxmlformats.org/officeDocument/2006/relationships/hyperlink" Target="https://doi.org/10.1186/s12877-020-01958-1" TargetMode="External"/><Relationship Id="rId44" Type="http://schemas.openxmlformats.org/officeDocument/2006/relationships/hyperlink" Target="https://books.google.co.uk/books?id=ZgZODgAAQBAJ" TargetMode="External"/><Relationship Id="rId52" Type="http://schemas.openxmlformats.org/officeDocument/2006/relationships/hyperlink" Target="https://doi.org/10.1093/ageing/afx201" TargetMode="External"/><Relationship Id="rId60" Type="http://schemas.openxmlformats.org/officeDocument/2006/relationships/hyperlink" Target="https://doi.org/10.4324/9781003424383" TargetMode="External"/><Relationship Id="rId65" Type="http://schemas.openxmlformats.org/officeDocument/2006/relationships/hyperlink" Target="https://www.nao.org.uk/wp-content/uploads/2023/11/Report-reforming-adult-social-care-in-England.pdf" TargetMode="External"/><Relationship Id="rId73" Type="http://schemas.openxmlformats.org/officeDocument/2006/relationships/hyperlink" Target="https://www.nice.org.uk/guidance/ng189/resources/safeguarding-adults-in-care-homes-pdf-66142030079941" TargetMode="External"/><Relationship Id="rId78" Type="http://schemas.openxmlformats.org/officeDocument/2006/relationships/hyperlink" Target="https://www.ons.gov.uk/peoplepopulationandcommunity/healthandsocialcare/healthandwellbeing/bulletins/unpaidcareenglandandwales/census2021" TargetMode="External"/><Relationship Id="rId81" Type="http://schemas.openxmlformats.org/officeDocument/2006/relationships/hyperlink" Target="https://doi.org/10.1371/journal.pmed.1003583" TargetMode="External"/><Relationship Id="rId86" Type="http://schemas.openxmlformats.org/officeDocument/2006/relationships/hyperlink" Target="https://www.skillsforcare.org.uk/Adult-Social-Care-Workforce-Data/workforceintelligence/resources/Reports/National/The-state-of-the-adult-social-care-sector-and-workforce-in-England-2025.pdf" TargetMode="External"/><Relationship Id="rId94" Type="http://schemas.openxmlformats.org/officeDocument/2006/relationships/hyperlink" Target="https://doi.org/10.1093/bjsw/bcab004" TargetMode="External"/><Relationship Id="rId99" Type="http://schemas.openxmlformats.org/officeDocument/2006/relationships/header" Target="header1.xml"/><Relationship Id="rId101"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www.ageuk.org.uk/discover/2024/september/state-of-health-and-care-of-older-people-in-england-2024/" TargetMode="External"/><Relationship Id="rId18" Type="http://schemas.openxmlformats.org/officeDocument/2006/relationships/hyperlink" Target="https://doi.org/10.1016/j.healthpol.2023.104814" TargetMode="External"/><Relationship Id="rId39" Type="http://schemas.openxmlformats.org/officeDocument/2006/relationships/hyperlink" Target="https://www.gov.uk/government/publications/adult-social-care-system-reform-next-steps-to-put-people-at-the-heart-of-care/next-steps-to-put-people-at-the-heart-of-care" TargetMode="External"/><Relationship Id="rId34" Type="http://schemas.openxmlformats.org/officeDocument/2006/relationships/hyperlink" Target="https://assets.publishing.service.gov.uk/media/5c62ae87ed915d04446a5739/stengths-based-approach-practice-framework-and-handbook.pdf" TargetMode="External"/><Relationship Id="rId50" Type="http://schemas.openxmlformats.org/officeDocument/2006/relationships/hyperlink" Target="https://doi.org/10.1111/hsc.12839" TargetMode="External"/><Relationship Id="rId55" Type="http://schemas.openxmlformats.org/officeDocument/2006/relationships/hyperlink" Target="https://doi.org/10.1177/2632084320947559" TargetMode="External"/><Relationship Id="rId76" Type="http://schemas.openxmlformats.org/officeDocument/2006/relationships/hyperlink" Target="https://www.nice.org.uk/guidance/ng214/resources/integrated-health-and-social-care-for-people-experiencing-homelessness-pdf-66143775200965" TargetMode="External"/><Relationship Id="rId97" Type="http://schemas.openxmlformats.org/officeDocument/2006/relationships/hyperlink" Target="https://iris.who.int/server/api/core/bitstreams/71ad96a0-d29a-4457-9d54-52029c24c76c/content" TargetMode="External"/><Relationship Id="rId104" Type="http://schemas.openxmlformats.org/officeDocument/2006/relationships/theme" Target="theme/theme1.xml"/><Relationship Id="rId7" Type="http://schemas.openxmlformats.org/officeDocument/2006/relationships/settings" Target="settings.xml"/><Relationship Id="rId71" Type="http://schemas.openxmlformats.org/officeDocument/2006/relationships/hyperlink" Target="https://www.nice.org.uk/guidance/ng86/resources/peoples-experience-in-adult-social-care-services-improving-the-experience-of-care-and-support-for-people-using-adult-social-care-services-pdf-1837698053317" TargetMode="External"/><Relationship Id="rId92" Type="http://schemas.openxmlformats.org/officeDocument/2006/relationships/hyperlink" Target="https://doi.org/10.1136/bmjopen-2016-011868" TargetMode="External"/><Relationship Id="rId2" Type="http://schemas.openxmlformats.org/officeDocument/2006/relationships/customXml" Target="../customXml/item2.xml"/><Relationship Id="rId29" Type="http://schemas.openxmlformats.org/officeDocument/2006/relationships/hyperlink" Target="https://doi.org/10.1186/s12889-025-21891-5" TargetMode="External"/><Relationship Id="rId24" Type="http://schemas.openxmlformats.org/officeDocument/2006/relationships/hyperlink" Target="https://doi.org/10.1038/s44360-026-00099-w" TargetMode="External"/><Relationship Id="rId40" Type="http://schemas.openxmlformats.org/officeDocument/2006/relationships/hyperlink" Target="https://www.gov.uk/government/publications/care-workforce-pathway-for-adult-social-care" TargetMode="External"/><Relationship Id="rId45" Type="http://schemas.openxmlformats.org/officeDocument/2006/relationships/hyperlink" Target="https://www.gov.uk/government/publications/health-and-social-care-integration-joining-up-care-for-people-places-and-populations/health-and-social-care-integration-joining-up-care-for-people-places-and-populations" TargetMode="External"/><Relationship Id="rId66" Type="http://schemas.openxmlformats.org/officeDocument/2006/relationships/hyperlink" Target="https://webarchive.nationalarchives.gov.uk/ukgwa/20190107163836/https://www.longtermplan.nhs.uk/publication/nhs-long-term-plan/" TargetMode="External"/><Relationship Id="rId87" Type="http://schemas.openxmlformats.org/officeDocument/2006/relationships/hyperlink" Target="https://www.scie.org.uk/strengths-based-approaches/" TargetMode="External"/><Relationship Id="rId61" Type="http://schemas.openxmlformats.org/officeDocument/2006/relationships/hyperlink" Target="https://doi.org/10.1136/bmjopen-2016-015203" TargetMode="External"/><Relationship Id="rId82" Type="http://schemas.openxmlformats.org/officeDocument/2006/relationships/hyperlink" Target="https://doi.org/10.1186/s12913-018-2893-4" TargetMode="External"/><Relationship Id="rId19" Type="http://schemas.openxmlformats.org/officeDocument/2006/relationships/hyperlink" Target="https://doi.org/10.1093/bjsw/bcab041" TargetMode="External"/><Relationship Id="rId14" Type="http://schemas.openxmlformats.org/officeDocument/2006/relationships/hyperlink" Target="https://www.ageuk.org.uk/discover/2025/september/state-of-health-and-care-of-older-people-in-england-2025/" TargetMode="External"/><Relationship Id="rId30" Type="http://schemas.openxmlformats.org/officeDocument/2006/relationships/hyperlink" Target="https://ageing-better.org.uk/the-state-of-ageing-2023-4" TargetMode="External"/><Relationship Id="rId35" Type="http://schemas.openxmlformats.org/officeDocument/2006/relationships/hyperlink" Target="https://assets.publishing.service.gov.uk/media/61a7bc688fa8f503780c1c79/evidence-review-for-adult-social-care-reform.pdf" TargetMode="External"/><Relationship Id="rId56" Type="http://schemas.openxmlformats.org/officeDocument/2006/relationships/hyperlink" Target="https://doi.org/10.1177/1468017320918174" TargetMode="External"/><Relationship Id="rId77" Type="http://schemas.openxmlformats.org/officeDocument/2006/relationships/hyperlink" Target="https://www.ncbi.nlm.nih.gov/books/NBK588601/pdf/Bookshelf_NBK588601.pdf" TargetMode="External"/><Relationship Id="rId100"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doi.org/10.31389/jltc.227" TargetMode="External"/><Relationship Id="rId72" Type="http://schemas.openxmlformats.org/officeDocument/2006/relationships/hyperlink" Target="https://www.nice.org.uk/guidance/ng150/resources/supporting-adult-carers-pdf-66141833564869" TargetMode="External"/><Relationship Id="rId93" Type="http://schemas.openxmlformats.org/officeDocument/2006/relationships/hyperlink" Target="https://doi.org/10.1111/hsc.12735" TargetMode="External"/><Relationship Id="rId98" Type="http://schemas.openxmlformats.org/officeDocument/2006/relationships/hyperlink" Target="https://iris.who.int/server/api/core/bitstreams/40e5a13a-fe50-4efa-b56d-6e8cf00d5bfa/content" TargetMode="Externa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9" ma:contentTypeDescription="Create a new document." ma:contentTypeScope="" ma:versionID="4ca08253fcdc6440ce4f213f0b5b6e68">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89607055d4bdd27eb6f2f72bc1664d0c"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24DD244-12A8-46F5-8D56-34EA0D873835}">
  <ds:schemaRefs>
    <ds:schemaRef ds:uri="http://schemas.openxmlformats.org/officeDocument/2006/bibliography"/>
  </ds:schemaRefs>
</ds:datastoreItem>
</file>

<file path=customXml/itemProps2.xml><?xml version="1.0" encoding="utf-8"?>
<ds:datastoreItem xmlns:ds="http://schemas.openxmlformats.org/officeDocument/2006/customXml" ds:itemID="{9E621DC8-246F-4D3B-B301-37AA2FFDA41C}">
  <ds:schemaRefs>
    <ds:schemaRef ds:uri="http://schemas.microsoft.com/office/2006/metadata/properties"/>
    <ds:schemaRef ds:uri="http://schemas.microsoft.com/office/infopath/2007/PartnerControls"/>
    <ds:schemaRef ds:uri="0ebdf10f-b5a3-45b6-acdb-7dc1eb398785"/>
  </ds:schemaRefs>
</ds:datastoreItem>
</file>

<file path=customXml/itemProps3.xml><?xml version="1.0" encoding="utf-8"?>
<ds:datastoreItem xmlns:ds="http://schemas.openxmlformats.org/officeDocument/2006/customXml" ds:itemID="{3F3F0EBD-DB9A-4E30-A03E-24E3CF69B8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8A9EE0C-A4C0-4C22-8AC6-CB813DB0F87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59</Pages>
  <Words>18465</Words>
  <Characters>105255</Characters>
  <Application>Microsoft Office Word</Application>
  <DocSecurity>0</DocSecurity>
  <Lines>877</Lines>
  <Paragraphs>246</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123474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Wahida Nagi (2245076)</cp:lastModifiedBy>
  <cp:revision>2</cp:revision>
  <dcterms:created xsi:type="dcterms:W3CDTF">2026-08-11T04:15:00Z</dcterms:created>
  <dcterms:modified xsi:type="dcterms:W3CDTF">2026-08-11T04:15:00Z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y fmtid="{D5CDD505-2E9C-101B-9397-08002B2CF9AE}" pid="5" name="ContentTypeId">
    <vt:lpwstr>0x0101009DA2B97165742847ABC519A905693DF8</vt:lpwstr>
  </property>
</Properties>
</file>