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61BA9" w14:textId="77777777" w:rsidR="008C2275" w:rsidRDefault="008C2275"/>
    <w:p w14:paraId="25D28C7E" w14:textId="69F44EF8" w:rsidR="008C2275" w:rsidRPr="00824B13" w:rsidRDefault="008C2275" w:rsidP="008C2275">
      <w:pPr>
        <w:rPr>
          <w:rFonts w:ascii="Times New Roman" w:hAnsi="Times New Roman" w:cs="Times New Roman"/>
        </w:rPr>
      </w:pPr>
      <w:r w:rsidRPr="00824B13">
        <w:rPr>
          <w:rFonts w:ascii="Times New Roman" w:hAnsi="Times New Roman" w:cs="Times New Roman"/>
          <w:b/>
          <w:bCs/>
        </w:rPr>
        <w:t>Module:</w:t>
      </w:r>
      <w:r w:rsidRPr="00824B13">
        <w:rPr>
          <w:rFonts w:ascii="Times New Roman" w:hAnsi="Times New Roman" w:cs="Times New Roman"/>
        </w:rPr>
        <w:t> </w:t>
      </w:r>
      <w:r>
        <w:rPr>
          <w:rFonts w:ascii="Times New Roman" w:hAnsi="Times New Roman" w:cs="Times New Roman"/>
        </w:rPr>
        <w:t>Global Business Environment</w:t>
      </w:r>
    </w:p>
    <w:p w14:paraId="19647F90" w14:textId="77777777" w:rsidR="008C2275" w:rsidRPr="00824B13" w:rsidRDefault="008C2275" w:rsidP="008C2275">
      <w:pPr>
        <w:rPr>
          <w:rFonts w:ascii="Times New Roman" w:hAnsi="Times New Roman" w:cs="Times New Roman"/>
        </w:rPr>
      </w:pPr>
      <w:r w:rsidRPr="00824B13">
        <w:rPr>
          <w:rFonts w:ascii="Times New Roman" w:hAnsi="Times New Roman" w:cs="Times New Roman"/>
          <w:b/>
          <w:bCs/>
        </w:rPr>
        <w:t>Course:</w:t>
      </w:r>
      <w:r w:rsidRPr="00824B13">
        <w:rPr>
          <w:rFonts w:ascii="Times New Roman" w:hAnsi="Times New Roman" w:cs="Times New Roman"/>
        </w:rPr>
        <w:t> BA Business Management#</w:t>
      </w:r>
    </w:p>
    <w:p w14:paraId="3F7E7D39" w14:textId="088C4F6F" w:rsidR="008C2275" w:rsidRPr="00824B13" w:rsidRDefault="008C2275" w:rsidP="008C2275">
      <w:pPr>
        <w:rPr>
          <w:rFonts w:ascii="Times New Roman" w:hAnsi="Times New Roman" w:cs="Times New Roman"/>
        </w:rPr>
      </w:pPr>
      <w:r w:rsidRPr="008C2275">
        <w:rPr>
          <w:rFonts w:ascii="Times New Roman" w:hAnsi="Times New Roman" w:cs="Times New Roman"/>
          <w:b/>
          <w:bCs/>
        </w:rPr>
        <w:t>Lecturer:</w:t>
      </w:r>
      <w:r w:rsidRPr="00824B13">
        <w:rPr>
          <w:rFonts w:ascii="Times New Roman" w:hAnsi="Times New Roman" w:cs="Times New Roman"/>
        </w:rPr>
        <w:t xml:space="preserve"> </w:t>
      </w:r>
      <w:r>
        <w:rPr>
          <w:rFonts w:ascii="Times New Roman" w:hAnsi="Times New Roman" w:cs="Times New Roman"/>
        </w:rPr>
        <w:t xml:space="preserve">Mazen </w:t>
      </w:r>
      <w:proofErr w:type="spellStart"/>
      <w:r>
        <w:rPr>
          <w:rFonts w:ascii="Times New Roman" w:hAnsi="Times New Roman" w:cs="Times New Roman"/>
        </w:rPr>
        <w:t>Joureih</w:t>
      </w:r>
      <w:proofErr w:type="spellEnd"/>
    </w:p>
    <w:p w14:paraId="7296B93D" w14:textId="77777777" w:rsidR="008C2275" w:rsidRPr="00824B13" w:rsidRDefault="008C2275" w:rsidP="008C2275">
      <w:pPr>
        <w:rPr>
          <w:rFonts w:ascii="Times New Roman" w:hAnsi="Times New Roman" w:cs="Times New Roman"/>
        </w:rPr>
      </w:pPr>
      <w:r w:rsidRPr="00824B13">
        <w:rPr>
          <w:rFonts w:ascii="Times New Roman" w:hAnsi="Times New Roman" w:cs="Times New Roman"/>
          <w:b/>
          <w:bCs/>
        </w:rPr>
        <w:t>University:</w:t>
      </w:r>
      <w:r w:rsidRPr="00824B13">
        <w:rPr>
          <w:rFonts w:ascii="Times New Roman" w:hAnsi="Times New Roman" w:cs="Times New Roman"/>
        </w:rPr>
        <w:t> University of Wales Trinity Saint David (UWTSD)</w:t>
      </w:r>
    </w:p>
    <w:p w14:paraId="1B4D4895" w14:textId="77777777" w:rsidR="008C2275" w:rsidRPr="00824B13" w:rsidRDefault="008C2275" w:rsidP="008C2275">
      <w:pPr>
        <w:rPr>
          <w:rFonts w:ascii="Times New Roman" w:hAnsi="Times New Roman" w:cs="Times New Roman"/>
        </w:rPr>
      </w:pPr>
      <w:r w:rsidRPr="00824B13">
        <w:rPr>
          <w:rFonts w:ascii="Times New Roman" w:hAnsi="Times New Roman" w:cs="Times New Roman"/>
          <w:b/>
          <w:bCs/>
        </w:rPr>
        <w:t>Student Name:</w:t>
      </w:r>
      <w:r w:rsidRPr="00824B13">
        <w:rPr>
          <w:rFonts w:ascii="Times New Roman" w:hAnsi="Times New Roman" w:cs="Times New Roman"/>
        </w:rPr>
        <w:t> ______Hazir Hussain_________________</w:t>
      </w:r>
    </w:p>
    <w:p w14:paraId="7EE6337F" w14:textId="77777777" w:rsidR="008C2275" w:rsidRPr="00824B13" w:rsidRDefault="008C2275" w:rsidP="008C2275">
      <w:pPr>
        <w:rPr>
          <w:rFonts w:ascii="Times New Roman" w:hAnsi="Times New Roman" w:cs="Times New Roman"/>
        </w:rPr>
      </w:pPr>
      <w:r w:rsidRPr="00824B13">
        <w:rPr>
          <w:rFonts w:ascii="Times New Roman" w:hAnsi="Times New Roman" w:cs="Times New Roman"/>
          <w:b/>
          <w:bCs/>
        </w:rPr>
        <w:t>Student ID:</w:t>
      </w:r>
      <w:r w:rsidRPr="00824B13">
        <w:rPr>
          <w:rFonts w:ascii="Times New Roman" w:hAnsi="Times New Roman" w:cs="Times New Roman"/>
        </w:rPr>
        <w:t> _____2322707__________________</w:t>
      </w:r>
    </w:p>
    <w:p w14:paraId="0E3E086C" w14:textId="77777777" w:rsidR="008C2275" w:rsidRDefault="008C2275">
      <w:pPr>
        <w:rPr>
          <w:rFonts w:ascii="Times New Roman" w:hAnsi="Times New Roman" w:cs="Times New Roman"/>
          <w:b/>
          <w:bCs/>
        </w:rPr>
      </w:pPr>
    </w:p>
    <w:p w14:paraId="2B9C1BD2" w14:textId="77777777" w:rsidR="008C2275" w:rsidRDefault="008C2275">
      <w:pPr>
        <w:rPr>
          <w:rFonts w:ascii="Times New Roman" w:hAnsi="Times New Roman" w:cs="Times New Roman"/>
          <w:b/>
          <w:bCs/>
        </w:rPr>
      </w:pPr>
    </w:p>
    <w:p w14:paraId="30D7C0A9" w14:textId="77777777" w:rsidR="008C2275" w:rsidRDefault="008C2275">
      <w:pPr>
        <w:rPr>
          <w:rFonts w:ascii="Times New Roman" w:hAnsi="Times New Roman" w:cs="Times New Roman"/>
          <w:b/>
          <w:bCs/>
        </w:rPr>
      </w:pPr>
    </w:p>
    <w:p w14:paraId="04B6A940" w14:textId="77777777" w:rsidR="008C2275" w:rsidRDefault="008C2275">
      <w:pPr>
        <w:rPr>
          <w:rFonts w:ascii="Times New Roman" w:hAnsi="Times New Roman" w:cs="Times New Roman"/>
          <w:b/>
          <w:bCs/>
        </w:rPr>
      </w:pPr>
    </w:p>
    <w:p w14:paraId="6450DC8E" w14:textId="77777777" w:rsidR="008C2275" w:rsidRDefault="008C2275">
      <w:pPr>
        <w:rPr>
          <w:rFonts w:ascii="Times New Roman" w:hAnsi="Times New Roman" w:cs="Times New Roman"/>
          <w:b/>
          <w:bCs/>
        </w:rPr>
      </w:pPr>
    </w:p>
    <w:p w14:paraId="2265D3DB" w14:textId="77777777" w:rsidR="008C2275" w:rsidRDefault="008C2275">
      <w:pPr>
        <w:rPr>
          <w:rFonts w:ascii="Times New Roman" w:hAnsi="Times New Roman" w:cs="Times New Roman"/>
          <w:b/>
          <w:bCs/>
        </w:rPr>
      </w:pPr>
    </w:p>
    <w:p w14:paraId="5BF1BA31" w14:textId="77777777" w:rsidR="008C2275" w:rsidRDefault="008C2275">
      <w:pPr>
        <w:rPr>
          <w:rFonts w:ascii="Times New Roman" w:hAnsi="Times New Roman" w:cs="Times New Roman"/>
          <w:b/>
          <w:bCs/>
        </w:rPr>
      </w:pPr>
    </w:p>
    <w:p w14:paraId="629585EE" w14:textId="77777777" w:rsidR="008C2275" w:rsidRDefault="008C2275">
      <w:pPr>
        <w:rPr>
          <w:rFonts w:ascii="Times New Roman" w:hAnsi="Times New Roman" w:cs="Times New Roman"/>
          <w:b/>
          <w:bCs/>
        </w:rPr>
      </w:pPr>
    </w:p>
    <w:p w14:paraId="39E8C2F7" w14:textId="77777777" w:rsidR="008C2275" w:rsidRDefault="008C2275">
      <w:pPr>
        <w:rPr>
          <w:rFonts w:ascii="Times New Roman" w:hAnsi="Times New Roman" w:cs="Times New Roman"/>
          <w:b/>
          <w:bCs/>
        </w:rPr>
      </w:pPr>
    </w:p>
    <w:p w14:paraId="707B4889" w14:textId="77777777" w:rsidR="008C2275" w:rsidRDefault="008C2275">
      <w:pPr>
        <w:rPr>
          <w:rFonts w:ascii="Times New Roman" w:hAnsi="Times New Roman" w:cs="Times New Roman"/>
          <w:b/>
          <w:bCs/>
        </w:rPr>
      </w:pPr>
    </w:p>
    <w:p w14:paraId="7B9789A2" w14:textId="77777777" w:rsidR="008C2275" w:rsidRDefault="008C2275">
      <w:pPr>
        <w:rPr>
          <w:rFonts w:ascii="Times New Roman" w:hAnsi="Times New Roman" w:cs="Times New Roman"/>
          <w:b/>
          <w:bCs/>
        </w:rPr>
      </w:pPr>
    </w:p>
    <w:p w14:paraId="22151D52" w14:textId="77777777" w:rsidR="008C2275" w:rsidRDefault="008C2275">
      <w:pPr>
        <w:rPr>
          <w:rFonts w:ascii="Times New Roman" w:hAnsi="Times New Roman" w:cs="Times New Roman"/>
          <w:b/>
          <w:bCs/>
        </w:rPr>
      </w:pPr>
    </w:p>
    <w:p w14:paraId="2590268C" w14:textId="77777777" w:rsidR="008C2275" w:rsidRDefault="008C2275">
      <w:pPr>
        <w:rPr>
          <w:rFonts w:ascii="Times New Roman" w:hAnsi="Times New Roman" w:cs="Times New Roman"/>
          <w:b/>
          <w:bCs/>
        </w:rPr>
      </w:pPr>
    </w:p>
    <w:p w14:paraId="3F22CA57" w14:textId="77777777" w:rsidR="008C2275" w:rsidRDefault="008C2275">
      <w:pPr>
        <w:rPr>
          <w:rFonts w:ascii="Times New Roman" w:hAnsi="Times New Roman" w:cs="Times New Roman"/>
          <w:b/>
          <w:bCs/>
        </w:rPr>
      </w:pPr>
    </w:p>
    <w:p w14:paraId="40B00ED9" w14:textId="77777777" w:rsidR="008C2275" w:rsidRDefault="008C2275">
      <w:pPr>
        <w:rPr>
          <w:rFonts w:ascii="Times New Roman" w:hAnsi="Times New Roman" w:cs="Times New Roman"/>
          <w:b/>
          <w:bCs/>
        </w:rPr>
      </w:pPr>
    </w:p>
    <w:p w14:paraId="6C8B8323" w14:textId="77777777" w:rsidR="008C2275" w:rsidRDefault="008C2275">
      <w:pPr>
        <w:rPr>
          <w:rFonts w:ascii="Times New Roman" w:hAnsi="Times New Roman" w:cs="Times New Roman"/>
          <w:b/>
          <w:bCs/>
        </w:rPr>
      </w:pPr>
    </w:p>
    <w:p w14:paraId="1B0EF816" w14:textId="77777777" w:rsidR="008C2275" w:rsidRDefault="008C2275">
      <w:pPr>
        <w:rPr>
          <w:rFonts w:ascii="Times New Roman" w:hAnsi="Times New Roman" w:cs="Times New Roman"/>
          <w:b/>
          <w:bCs/>
        </w:rPr>
      </w:pPr>
    </w:p>
    <w:p w14:paraId="2810952F" w14:textId="77777777" w:rsidR="008C2275" w:rsidRDefault="008C2275">
      <w:pPr>
        <w:rPr>
          <w:rFonts w:ascii="Times New Roman" w:hAnsi="Times New Roman" w:cs="Times New Roman"/>
          <w:b/>
          <w:bCs/>
        </w:rPr>
      </w:pPr>
    </w:p>
    <w:p w14:paraId="40BB3109" w14:textId="77777777" w:rsidR="008C2275" w:rsidRDefault="008C2275">
      <w:pPr>
        <w:rPr>
          <w:rFonts w:ascii="Times New Roman" w:hAnsi="Times New Roman" w:cs="Times New Roman"/>
          <w:b/>
          <w:bCs/>
        </w:rPr>
      </w:pPr>
    </w:p>
    <w:p w14:paraId="22170B25" w14:textId="77777777" w:rsidR="008C2275" w:rsidRDefault="008C2275">
      <w:pPr>
        <w:rPr>
          <w:rFonts w:ascii="Times New Roman" w:hAnsi="Times New Roman" w:cs="Times New Roman"/>
          <w:b/>
          <w:bCs/>
        </w:rPr>
      </w:pPr>
    </w:p>
    <w:p w14:paraId="178B9700" w14:textId="77777777" w:rsidR="008C2275" w:rsidRDefault="008C2275"/>
    <w:p w14:paraId="06ECA5CA" w14:textId="5D2FCFA6" w:rsidR="008C2275" w:rsidRDefault="008C2275">
      <w:r>
        <w:lastRenderedPageBreak/>
        <w:t>T</w:t>
      </w:r>
      <w:r w:rsidRPr="008C2275">
        <w:t>he Influence of Globalisation on Unilever plc</w:t>
      </w:r>
      <w:r w:rsidRPr="008C2275">
        <w:br/>
      </w:r>
    </w:p>
    <w:p w14:paraId="0C402A21" w14:textId="3F3FA012" w:rsidR="008C2275" w:rsidRDefault="008C2275">
      <w:r w:rsidRPr="008C2275">
        <w:t>Introduction</w:t>
      </w:r>
      <w:r w:rsidRPr="008C2275">
        <w:br/>
        <w:t>Globalisation refers to the increasing integration of economies, societies, and markets across national borders through trade, investment, technology, communication, and the movement of people (Hill and Hult, 2023). It has transformed the global business environment by enabling organisations to expand internationally, access new markets, and benefit from technological advancements. However, globalisation has also created significant challenges, including increased competition, geopolitical uncertainty, and complex regulatory requirements. As a result, organisations must continuously adapt their strategies and operations to remain competitive in a rapidly changing global marketplace.</w:t>
      </w:r>
      <w:r w:rsidRPr="008C2275">
        <w:br/>
        <w:t>This essay critically examines the influence of globalisation on Unilever plc, a UK-based multinational consumer goods company. Founded in 1929, Unilever operates in more than 190 countries and owns globally recognised brands such as Dove, Persil, Lifebuoy, Hellmann’s, and Ben &amp; Jerry’s (Unilever, 2025). The company serves billions of consumers worldwide and represents an excellent example of how globalisation affects business operations. The essay explores the benefits and challenges associated with globalisation, evaluates the key global forces influencing Unilever, and provides strategic recommendations for maintaining long-term competitiveness.</w:t>
      </w:r>
      <w:r w:rsidRPr="008C2275">
        <w:br/>
        <w:t>Globalisation’s Dual Impact on Unilever</w:t>
      </w:r>
      <w:r w:rsidRPr="008C2275">
        <w:br/>
        <w:t>Benefits of Globalisation</w:t>
      </w:r>
      <w:r w:rsidRPr="008C2275">
        <w:br/>
        <w:t>One of the most significant advantages of globalisation for Unilever is access to international markets. Operating globally enables the company to sell products to a vast customer base across developed and emerging economies. This global reach increases revenue opportunities and reduces reliance on individual national markets. According to Hill and Hult (2023), multinational corporations benefit from market diversification because economic difficulties in one region can be offset by growth in another.</w:t>
      </w:r>
      <w:r w:rsidRPr="008C2275">
        <w:br/>
        <w:t>Globalisation also allows Unilever to achieve economies of scale. By producing and distributing products on a global scale, the company can reduce production costs and improve efficiency. Large-scale operations enable Unilever to negotiate favourable contracts with suppliers and spread research, development, and marketing expenses across multiple markets (Johnson et al., 2023). These efficiencies contribute to profitability and strengthen the organisation’s competitive position.</w:t>
      </w:r>
      <w:r w:rsidRPr="008C2275">
        <w:br/>
        <w:t xml:space="preserve">Furthermore, globalisation supports innovation and knowledge sharing. Exposure to diverse consumer needs encourages Unilever to develop products tailored to different markets. For example, consumer demand for sustainable and environmentally friendly products has led Unilever to invest heavily in sustainable packaging, responsible sourcing, and carbon reduction initiatives (Unilever, 2025). Such innovations not only </w:t>
      </w:r>
      <w:r w:rsidRPr="008C2275">
        <w:lastRenderedPageBreak/>
        <w:t>enhance brand reputation but also create competitive advantages in increasingly environmentally conscious markets.</w:t>
      </w:r>
      <w:r w:rsidRPr="008C2275">
        <w:br/>
        <w:t>Advancements in communication and information technology have also benefited Unilever. Digital platforms, artificial intelligence, and data analytics allow the company to monitor consumer behaviour, improve supply chain efficiency, and enhance marketing effectiveness (Schwab, 2024). E-commerce has become particularly important, enabling Unilever to engage directly with customers worldwide and increase sales through online channels.</w:t>
      </w:r>
      <w:r w:rsidRPr="008C2275">
        <w:br/>
        <w:t>Challenges of Globalisation</w:t>
      </w:r>
      <w:r w:rsidRPr="008C2275">
        <w:br/>
        <w:t>Despite its advantages, globalisation presents numerous challenges for Unilever. One major challenge is increased global competition. Multinational companies such as Procter &amp; Gamble, Nestlé, and Colgate-Palmolive compete aggressively for market share in many of the same countries. Increased competition requires continuous innovation, effective marketing, and efficient operations to maintain profitability (Johnson et al., 2023).</w:t>
      </w:r>
      <w:r w:rsidRPr="008C2275">
        <w:br/>
        <w:t xml:space="preserve">Another significant challenge is </w:t>
      </w:r>
      <w:proofErr w:type="gramStart"/>
      <w:r w:rsidRPr="008C2275">
        <w:t>supply</w:t>
      </w:r>
      <w:proofErr w:type="gramEnd"/>
      <w:r w:rsidRPr="008C2275">
        <w:t xml:space="preserve"> chain vulnerability. Unilever relies on complex international supply networks involving thousands of suppliers and distributors. Events such as the COVID-19 pandemic, geopolitical tensions, and transportation disruptions have demonstrated the risks associated with global supply chains (World Economic Forum, 2024). Supply shortages and rising logistics costs can negatively affect production schedules and customer satisfaction.</w:t>
      </w:r>
      <w:r w:rsidRPr="008C2275">
        <w:br/>
        <w:t>Globalisation also exposes Unilever to economic and financial risks. Exchange rate fluctuations can impact profitability because revenues and costs are generated in different currencies. Economic downturns in major markets may reduce consumer spending, affecting demand for the company’s products (Hill and Hult, 2023).</w:t>
      </w:r>
      <w:r w:rsidRPr="008C2275">
        <w:br/>
        <w:t>Additionally, multinational organisations must comply with diverse legal and regulatory frameworks. Different countries impose varying standards regarding environmental protection, labour rights, product safety, and taxation. Managing these regulatory requirements increases operational complexity and compliance costs (Johnson et al., 2023).</w:t>
      </w:r>
      <w:r w:rsidRPr="008C2275">
        <w:br/>
        <w:t>Analysis of Global Forces Affecting Unilever</w:t>
      </w:r>
      <w:r w:rsidRPr="008C2275">
        <w:br/>
        <w:t>Technological Advancements</w:t>
      </w:r>
      <w:r w:rsidRPr="008C2275">
        <w:br/>
        <w:t>Technological advancement is one of the most influential positive global forces affecting Unilever. Emerging technologies such as artificial intelligence, automation, cloud computing, and data analytics enable the company to improve operational efficiency and enhance customer engagement. Digital technologies provide valuable consumer insights that support product development and targeted marketing strategies (Schwab, 2024).</w:t>
      </w:r>
      <w:r w:rsidRPr="008C2275">
        <w:br/>
        <w:t xml:space="preserve">For example, Unilever uses advanced analytics to understand purchasing behaviours and optimise product offerings across different markets. These technological capabilities help the company respond quickly to changing consumer preferences and </w:t>
      </w:r>
      <w:r w:rsidRPr="008C2275">
        <w:lastRenderedPageBreak/>
        <w:t>maintain a competitive advantage.</w:t>
      </w:r>
      <w:r w:rsidRPr="008C2275">
        <w:br/>
        <w:t>However, technological developments also create challenges. Rapid innovation requires significant investment in infrastructure, employee training, and cybersecurity systems. As organisations become increasingly dependent on digital technologies, they face greater risks from cyberattacks and data breaches. Failure to protect customer information could damage Unilever’s reputation and result in financial losses.</w:t>
      </w:r>
      <w:r w:rsidRPr="008C2275">
        <w:br/>
        <w:t>Global Conflicts and Geopolitical Risks</w:t>
      </w:r>
      <w:r w:rsidRPr="008C2275">
        <w:br/>
        <w:t>Global conflicts represent a major negative force affecting multinational businesses. Trade disputes, economic sanctions, political instability, and military conflicts can disrupt international business operations. The Russia-Ukraine conflict, for example, has affected global energy markets, transportation networks, and commodity prices (World Economic Forum, 2024).</w:t>
      </w:r>
      <w:r w:rsidRPr="008C2275">
        <w:br/>
        <w:t>For Unilever, geopolitical instability creates uncertainty regarding sourcing decisions, manufacturing operations, and market accessibility. Rising energy costs and supply disruptions can increase operational expenses and reduce profitability. Consequently, the company must continuously assess political risks and develop contingency plans to maintain business continuity.</w:t>
      </w:r>
      <w:r w:rsidRPr="008C2275">
        <w:br/>
        <w:t>Talent Management Challenges</w:t>
      </w:r>
      <w:r w:rsidRPr="008C2275">
        <w:br/>
        <w:t>Globalisation has expanded access to international talent pools, enabling organisations to recruit employees with diverse skills and perspectives. Unilever benefits from employing individuals from different cultural and professional backgrounds, which enhances creativity and innovation (Bratton and Gold, 2022).</w:t>
      </w:r>
      <w:r w:rsidRPr="008C2275">
        <w:br/>
        <w:t>Nevertheless, attracting and retaining talented employees has become increasingly challenging. Competition for skilled workers, particularly in technology and sustainability-related fields, has intensified globally. Furthermore, managing culturally diverse teams requires effective communication, leadership, and inclusion strategies. Organisations that fail to address these challenges may experience reduced productivity and higher employee turnover.</w:t>
      </w:r>
      <w:r w:rsidRPr="008C2275">
        <w:br/>
        <w:t>Economic Inequality</w:t>
      </w:r>
      <w:r w:rsidRPr="008C2275">
        <w:br/>
        <w:t>Economic inequality remains a significant global issue influencing business operations. Income disparities affect consumer purchasing power and market demand patterns. In developing economies, affordability often influences purchasing decisions, while consumers in wealthier markets may prioritise premium and sustainable products (World Bank, 2024).</w:t>
      </w:r>
      <w:r w:rsidRPr="008C2275">
        <w:br/>
        <w:t>Unilever addresses these differences through market segmentation and product adaptation. The company offers products at various price points to appeal to diverse customer groups. However, widening economic inequality can contribute to social unrest and political instability, creating additional business risks.</w:t>
      </w:r>
      <w:r w:rsidRPr="008C2275">
        <w:br/>
        <w:t>Cultural Diversity</w:t>
      </w:r>
      <w:r w:rsidRPr="008C2275">
        <w:br/>
        <w:t xml:space="preserve">Cultural diversity represents both an opportunity and a challenge for multinational organisations. Understanding local customs, values, and preferences enables Unilever </w:t>
      </w:r>
      <w:r w:rsidRPr="008C2275">
        <w:lastRenderedPageBreak/>
        <w:t>to tailor products and marketing campaigns effectively. For example, food products and personal care items are often adapted to suit local consumer needs and cultural expectations (Hofstede, 2011).</w:t>
      </w:r>
      <w:r w:rsidRPr="008C2275">
        <w:br/>
        <w:t>At the same time, cultural differences can create management challenges. Marketing messages that are successful in one country may be inappropriate or ineffective in another. Therefore, Unilever must balance global brand consistency with local responsiveness. Effective cross-cultural management is essential for maintaining strong customer relationships and supporting international growth.</w:t>
      </w:r>
      <w:r w:rsidRPr="008C2275">
        <w:br/>
        <w:t>Implications for Market Positioning, Innovation, Workforce Dynamics and Competitiveness</w:t>
      </w:r>
      <w:r w:rsidRPr="008C2275">
        <w:br/>
        <w:t>Global forces significantly influence Unilever’s strategic position and overall competitiveness. Access to international markets strengthens market positioning by enabling the company to establish globally recognised brands while adapting products to local preferences. This approach enhances customer loyalty and market penetration across diverse regions (Unilever, 2025).</w:t>
      </w:r>
      <w:r w:rsidRPr="008C2275">
        <w:br/>
        <w:t>Innovation is heavily influenced by technological advancements and changing consumer expectations. Growing awareness of environmental sustainability has encouraged Unilever to develop eco-friendly products and reduce its environmental footprint. Continuous innovation allows the company to differentiate itself from competitors and respond effectively to market changes (Schwab, 2024).</w:t>
      </w:r>
      <w:r w:rsidRPr="008C2275">
        <w:br/>
        <w:t>Workforce dynamics are shaped by talent mobility and cultural diversity. Diverse teams contribute different perspectives and ideas, supporting innovation and problem-solving. However, organisations must invest in leadership development, employee engagement, and diversity management to maximise these benefits (Bratton and Gold, 2022).</w:t>
      </w:r>
      <w:r w:rsidRPr="008C2275">
        <w:br/>
        <w:t>Overall competitiveness depends on the company’s ability to manage global risks while capitalising on international opportunities. Organisations that successfully navigate technological change, geopolitical uncertainty, and cultural diversity are more likely to achieve sustainable long-term growth.</w:t>
      </w:r>
      <w:r w:rsidRPr="008C2275">
        <w:br/>
        <w:t>Strategic Recommendations</w:t>
      </w:r>
      <w:r w:rsidRPr="008C2275">
        <w:br/>
        <w:t>To maximise the benefits of globalisation and minimise associated risks, Unilever should implement several strategic initiatives.</w:t>
      </w:r>
      <w:r w:rsidRPr="008C2275">
        <w:br/>
        <w:t>First, the company should continue investing in digital transformation. Expanding the use of artificial intelligence, automation, and advanced analytics can improve operational efficiency, strengthen customer relationships, and support innovation (Schwab, 2024).</w:t>
      </w:r>
      <w:r w:rsidRPr="008C2275">
        <w:br/>
        <w:t>Second, Unilever should enhance supply chain resilience by diversifying suppliers and manufacturing locations. A geographically diversified supply chain would reduce vulnerability to political instability, natural disasters, and global disruptions.</w:t>
      </w:r>
      <w:r w:rsidRPr="008C2275">
        <w:br/>
        <w:t xml:space="preserve">Third, the company should strengthen its sustainability strategy. Increasing investment in renewable energy, sustainable packaging, and ethical sourcing practices would </w:t>
      </w:r>
      <w:r w:rsidRPr="008C2275">
        <w:lastRenderedPageBreak/>
        <w:t>improve brand reputation and meet growing consumer expectations regarding corporate social responsibility (Unilever, 2025).</w:t>
      </w:r>
      <w:r w:rsidRPr="008C2275">
        <w:br/>
        <w:t>Fourth, Unilever should continue developing talent management programmes that support employee development, leadership training, and workplace diversity. A skilled and engaged workforce is essential for maintaining competitiveness in a rapidly changing global environment (Bratton and Gold, 2022).</w:t>
      </w:r>
      <w:r w:rsidRPr="008C2275">
        <w:br/>
        <w:t>Finally, the organisation should continue adapting products and marketing strategies to local market conditions while maintaining consistent global brand values. This balance between global integration and local responsiveness will support long-term growth and customer satisfaction.</w:t>
      </w:r>
      <w:r w:rsidRPr="008C2275">
        <w:br/>
        <w:t>Conclusion</w:t>
      </w:r>
      <w:r w:rsidRPr="008C2275">
        <w:br/>
        <w:t>Globalisation has had a profound influence on Unilever’s business operations and strategic development. The company benefits from expanded market access, economies of scale, technological innovation, and international talent opportunities. However, globalisation also creates challenges, including intense competition, supply chain vulnerabilities, regulatory complexity, geopolitical uncertainty, and cultural management issues.</w:t>
      </w:r>
      <w:r w:rsidRPr="008C2275">
        <w:br/>
        <w:t>The analysis demonstrates that technological advancement, global conflicts, talent management challenges, economic inequality, and cultural diversity significantly affect Unilever’s strategies and operations. These global forces influence the company’s market positioning, innovation capabilities, workforce dynamics, and overall competitiveness.</w:t>
      </w:r>
      <w:r w:rsidRPr="008C2275">
        <w:br/>
        <w:t>To remain successful in the global marketplace, Unilever must continue investing in digital technologies, sustainable business practices, workforce development, and supply chain resilience. Understanding and responding effectively to globalisation’s opportunities and challenges is essential for achieving long-term organisational success in an increasingly interconnected world.</w:t>
      </w:r>
      <w:r w:rsidRPr="008C2275">
        <w:br/>
        <w:t>References</w:t>
      </w:r>
      <w:r w:rsidRPr="008C2275">
        <w:br/>
        <w:t>Bratton, J. and Gold, J. (2022) Human Resource Management: Theory and Practice. 8th ed. London: Palgrave Macmillan.</w:t>
      </w:r>
      <w:r w:rsidRPr="008C2275">
        <w:br/>
        <w:t>Hill, C.W.L. and Hult, G.T.M. (2023) International Business: Competing in the Global Marketplace. 15th ed. New York: McGraw-Hill.</w:t>
      </w:r>
      <w:r w:rsidRPr="008C2275">
        <w:br/>
        <w:t>Hofstede, G. (2011) ‘</w:t>
      </w:r>
      <w:proofErr w:type="spellStart"/>
      <w:r w:rsidRPr="008C2275">
        <w:t>Dimensionalizing</w:t>
      </w:r>
      <w:proofErr w:type="spellEnd"/>
      <w:r w:rsidRPr="008C2275">
        <w:t xml:space="preserve"> cultures: The Hofstede model in context’, Online Readings in Psychology and Culture, 2(1), pp. 1–26.</w:t>
      </w:r>
      <w:r w:rsidRPr="008C2275">
        <w:br/>
        <w:t xml:space="preserve">Johnson, G., Whittington, R., Scholes, K., Angwin, D. and </w:t>
      </w:r>
      <w:proofErr w:type="spellStart"/>
      <w:r w:rsidRPr="008C2275">
        <w:t>Regnér</w:t>
      </w:r>
      <w:proofErr w:type="spellEnd"/>
      <w:r w:rsidRPr="008C2275">
        <w:t>, P. (2023) Exploring Strategy. 13th ed. Harlow: Pearson.</w:t>
      </w:r>
      <w:r w:rsidRPr="008C2275">
        <w:br/>
        <w:t>Schwab, K. (2024) The Fourth Industrial Revolution Revisited. Geneva: World Economic Forum.</w:t>
      </w:r>
      <w:r w:rsidRPr="008C2275">
        <w:br/>
        <w:t>Unilever (2025) Annual Report and Accounts 2025. London: Unilever PLC.</w:t>
      </w:r>
      <w:r w:rsidRPr="008C2275">
        <w:br/>
        <w:t>World Bank (2024) World Development Report 2024. Washington, DC: World Bank.</w:t>
      </w:r>
      <w:r w:rsidRPr="008C2275">
        <w:br/>
      </w:r>
      <w:r w:rsidRPr="008C2275">
        <w:lastRenderedPageBreak/>
        <w:t>World Economic Forum (2024) Global Risks Report 2024. Geneva: World Economic Forum.</w:t>
      </w:r>
    </w:p>
    <w:sectPr w:rsidR="008C227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FD004" w14:textId="77777777" w:rsidR="00AB1E7F" w:rsidRDefault="00AB1E7F" w:rsidP="008C2275">
      <w:pPr>
        <w:spacing w:after="0" w:line="240" w:lineRule="auto"/>
      </w:pPr>
      <w:r>
        <w:separator/>
      </w:r>
    </w:p>
  </w:endnote>
  <w:endnote w:type="continuationSeparator" w:id="0">
    <w:p w14:paraId="7D8DFF85" w14:textId="77777777" w:rsidR="00AB1E7F" w:rsidRDefault="00AB1E7F" w:rsidP="008C2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D5BA9" w14:textId="77777777" w:rsidR="008C2275" w:rsidRDefault="008C22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6849923"/>
      <w:docPartObj>
        <w:docPartGallery w:val="Page Numbers (Bottom of Page)"/>
        <w:docPartUnique/>
      </w:docPartObj>
    </w:sdtPr>
    <w:sdtEndPr>
      <w:rPr>
        <w:noProof/>
      </w:rPr>
    </w:sdtEndPr>
    <w:sdtContent>
      <w:p w14:paraId="799EF547" w14:textId="17B64774" w:rsidR="008C2275" w:rsidRDefault="008C2275">
        <w:pPr>
          <w:pStyle w:val="Footer"/>
        </w:pPr>
        <w:r>
          <w:fldChar w:fldCharType="begin"/>
        </w:r>
        <w:r>
          <w:instrText xml:space="preserve"> PAGE   \* MERGEFORMAT </w:instrText>
        </w:r>
        <w:r>
          <w:fldChar w:fldCharType="separate"/>
        </w:r>
        <w:r>
          <w:rPr>
            <w:noProof/>
          </w:rPr>
          <w:t>2</w:t>
        </w:r>
        <w:r>
          <w:rPr>
            <w:noProof/>
          </w:rPr>
          <w:fldChar w:fldCharType="end"/>
        </w:r>
      </w:p>
    </w:sdtContent>
  </w:sdt>
  <w:p w14:paraId="42E687B3" w14:textId="77777777" w:rsidR="008C2275" w:rsidRDefault="008C22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C4668D" w14:textId="77777777" w:rsidR="008C2275" w:rsidRDefault="008C2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A4A49" w14:textId="77777777" w:rsidR="00AB1E7F" w:rsidRDefault="00AB1E7F" w:rsidP="008C2275">
      <w:pPr>
        <w:spacing w:after="0" w:line="240" w:lineRule="auto"/>
      </w:pPr>
      <w:r>
        <w:separator/>
      </w:r>
    </w:p>
  </w:footnote>
  <w:footnote w:type="continuationSeparator" w:id="0">
    <w:p w14:paraId="41339BB1" w14:textId="77777777" w:rsidR="00AB1E7F" w:rsidRDefault="00AB1E7F" w:rsidP="008C22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87CCB0" w14:textId="77777777" w:rsidR="008C2275" w:rsidRDefault="008C22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CB3A3" w14:textId="77777777" w:rsidR="008C2275" w:rsidRDefault="008C22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38236D" w14:textId="77777777" w:rsidR="008C2275" w:rsidRDefault="008C22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75"/>
    <w:rsid w:val="001B500B"/>
    <w:rsid w:val="008C2275"/>
    <w:rsid w:val="00AB1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2EBB57"/>
  <w15:chartTrackingRefBased/>
  <w15:docId w15:val="{07B73BD7-8F61-4D2C-8A6D-A05D0F84D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2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22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22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22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2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2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2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2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2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2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22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22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22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2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2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2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2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275"/>
    <w:rPr>
      <w:rFonts w:eastAsiaTheme="majorEastAsia" w:cstheme="majorBidi"/>
      <w:color w:val="272727" w:themeColor="text1" w:themeTint="D8"/>
    </w:rPr>
  </w:style>
  <w:style w:type="paragraph" w:styleId="Title">
    <w:name w:val="Title"/>
    <w:basedOn w:val="Normal"/>
    <w:next w:val="Normal"/>
    <w:link w:val="TitleChar"/>
    <w:uiPriority w:val="10"/>
    <w:qFormat/>
    <w:rsid w:val="008C22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2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2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2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275"/>
    <w:pPr>
      <w:spacing w:before="160"/>
      <w:jc w:val="center"/>
    </w:pPr>
    <w:rPr>
      <w:i/>
      <w:iCs/>
      <w:color w:val="404040" w:themeColor="text1" w:themeTint="BF"/>
    </w:rPr>
  </w:style>
  <w:style w:type="character" w:customStyle="1" w:styleId="QuoteChar">
    <w:name w:val="Quote Char"/>
    <w:basedOn w:val="DefaultParagraphFont"/>
    <w:link w:val="Quote"/>
    <w:uiPriority w:val="29"/>
    <w:rsid w:val="008C2275"/>
    <w:rPr>
      <w:i/>
      <w:iCs/>
      <w:color w:val="404040" w:themeColor="text1" w:themeTint="BF"/>
    </w:rPr>
  </w:style>
  <w:style w:type="paragraph" w:styleId="ListParagraph">
    <w:name w:val="List Paragraph"/>
    <w:basedOn w:val="Normal"/>
    <w:uiPriority w:val="34"/>
    <w:qFormat/>
    <w:rsid w:val="008C2275"/>
    <w:pPr>
      <w:ind w:left="720"/>
      <w:contextualSpacing/>
    </w:pPr>
  </w:style>
  <w:style w:type="character" w:styleId="IntenseEmphasis">
    <w:name w:val="Intense Emphasis"/>
    <w:basedOn w:val="DefaultParagraphFont"/>
    <w:uiPriority w:val="21"/>
    <w:qFormat/>
    <w:rsid w:val="008C2275"/>
    <w:rPr>
      <w:i/>
      <w:iCs/>
      <w:color w:val="0F4761" w:themeColor="accent1" w:themeShade="BF"/>
    </w:rPr>
  </w:style>
  <w:style w:type="paragraph" w:styleId="IntenseQuote">
    <w:name w:val="Intense Quote"/>
    <w:basedOn w:val="Normal"/>
    <w:next w:val="Normal"/>
    <w:link w:val="IntenseQuoteChar"/>
    <w:uiPriority w:val="30"/>
    <w:qFormat/>
    <w:rsid w:val="008C22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275"/>
    <w:rPr>
      <w:i/>
      <w:iCs/>
      <w:color w:val="0F4761" w:themeColor="accent1" w:themeShade="BF"/>
    </w:rPr>
  </w:style>
  <w:style w:type="character" w:styleId="IntenseReference">
    <w:name w:val="Intense Reference"/>
    <w:basedOn w:val="DefaultParagraphFont"/>
    <w:uiPriority w:val="32"/>
    <w:qFormat/>
    <w:rsid w:val="008C2275"/>
    <w:rPr>
      <w:b/>
      <w:bCs/>
      <w:smallCaps/>
      <w:color w:val="0F4761" w:themeColor="accent1" w:themeShade="BF"/>
      <w:spacing w:val="5"/>
    </w:rPr>
  </w:style>
  <w:style w:type="paragraph" w:styleId="Header">
    <w:name w:val="header"/>
    <w:basedOn w:val="Normal"/>
    <w:link w:val="HeaderChar"/>
    <w:uiPriority w:val="99"/>
    <w:unhideWhenUsed/>
    <w:rsid w:val="008C22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275"/>
  </w:style>
  <w:style w:type="paragraph" w:styleId="Footer">
    <w:name w:val="footer"/>
    <w:basedOn w:val="Normal"/>
    <w:link w:val="FooterChar"/>
    <w:uiPriority w:val="99"/>
    <w:unhideWhenUsed/>
    <w:rsid w:val="008C22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2173</Words>
  <Characters>12392</Characters>
  <Application>Microsoft Office Word</Application>
  <DocSecurity>0</DocSecurity>
  <Lines>103</Lines>
  <Paragraphs>29</Paragraphs>
  <ScaleCrop>false</ScaleCrop>
  <Company/>
  <LinksUpToDate>false</LinksUpToDate>
  <CharactersWithSpaces>14536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HAZIR HUSSAIN</dc:creator>
  <cp:keywords/>
  <dc:description/>
  <cp:lastModifiedBy>HAZIR HUSSAIN</cp:lastModifiedBy>
  <cp:revision>1</cp:revision>
  <dcterms:created xsi:type="dcterms:W3CDTF">2026-07-24T20:19:00Z</dcterms:created>
  <dcterms:modified xsi:type="dcterms:W3CDTF">2026-07-24T20:23:00Z</dcterms:modified>
</cp:coreProperties>
</file>