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2880" w:dyaOrig="1713">
          <v:rect xmlns:o="urn:schemas-microsoft-com:office:office" xmlns:v="urn:schemas-microsoft-com:vml" id="rectole0000000000" style="width:144.000000pt;height:85.6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000000"/>
          <w:spacing w:val="0"/>
          <w:position w:val="0"/>
          <w:sz w:val="40"/>
          <w:shd w:fill="auto" w:val="clear"/>
        </w:rPr>
      </w:pPr>
      <w:r>
        <w:rPr>
          <w:rFonts w:ascii="Times New Roman" w:hAnsi="Times New Roman" w:cs="Times New Roman" w:eastAsia="Times New Roman"/>
          <w:color w:val="000000"/>
          <w:spacing w:val="0"/>
          <w:position w:val="0"/>
          <w:sz w:val="40"/>
          <w:shd w:fill="auto" w:val="clear"/>
        </w:rPr>
        <w:t xml:space="preserve">BMIH5001 Entrepreneurship</w:t>
      </w:r>
    </w:p>
    <w:p>
      <w:pPr>
        <w:spacing w:before="0" w:after="160" w:line="360"/>
        <w:ind w:right="0" w:left="0" w:firstLine="0"/>
        <w:jc w:val="center"/>
        <w:rPr>
          <w:rFonts w:ascii="Times New Roman" w:hAnsi="Times New Roman" w:cs="Times New Roman" w:eastAsia="Times New Roman"/>
          <w:color w:val="000000"/>
          <w:spacing w:val="0"/>
          <w:position w:val="0"/>
          <w:sz w:val="32"/>
          <w:shd w:fill="auto" w:val="clear"/>
        </w:rPr>
      </w:pPr>
    </w:p>
    <w:p>
      <w:pPr>
        <w:spacing w:before="0" w:after="160" w:line="360"/>
        <w:ind w:right="0" w:left="0" w:firstLine="0"/>
        <w:jc w:val="center"/>
        <w:rPr>
          <w:rFonts w:ascii="Times New Roman" w:hAnsi="Times New Roman" w:cs="Times New Roman" w:eastAsia="Times New Roman"/>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Lecturer Name</w:t>
      </w:r>
      <w:r>
        <w:rPr>
          <w:rFonts w:ascii="Times New Roman" w:hAnsi="Times New Roman" w:cs="Times New Roman" w:eastAsia="Times New Roman"/>
          <w:color w:val="000000"/>
          <w:spacing w:val="0"/>
          <w:position w:val="0"/>
          <w:sz w:val="32"/>
          <w:shd w:fill="auto" w:val="clear"/>
        </w:rPr>
        <w:t xml:space="preserve">: Chris Wilkin</w:t>
      </w:r>
    </w:p>
    <w:p>
      <w:pPr>
        <w:spacing w:before="0" w:after="160" w:line="360"/>
        <w:ind w:right="0" w:left="0" w:firstLine="0"/>
        <w:jc w:val="center"/>
        <w:rPr>
          <w:rFonts w:ascii="Times New Roman" w:hAnsi="Times New Roman" w:cs="Times New Roman" w:eastAsia="Times New Roman"/>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Name of Student</w:t>
      </w:r>
      <w:r>
        <w:rPr>
          <w:rFonts w:ascii="Times New Roman" w:hAnsi="Times New Roman" w:cs="Times New Roman" w:eastAsia="Times New Roman"/>
          <w:color w:val="000000"/>
          <w:spacing w:val="0"/>
          <w:position w:val="0"/>
          <w:sz w:val="32"/>
          <w:shd w:fill="auto" w:val="clear"/>
        </w:rPr>
        <w:t xml:space="preserve">: Samir Mohammed Abbas</w:t>
      </w:r>
    </w:p>
    <w:p>
      <w:pPr>
        <w:spacing w:before="0" w:after="160" w:line="360"/>
        <w:ind w:right="0" w:left="0" w:firstLine="0"/>
        <w:jc w:val="center"/>
        <w:rPr>
          <w:rFonts w:ascii="Times New Roman" w:hAnsi="Times New Roman" w:cs="Times New Roman" w:eastAsia="Times New Roman"/>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Student ID</w:t>
      </w:r>
      <w:r>
        <w:rPr>
          <w:rFonts w:ascii="Times New Roman" w:hAnsi="Times New Roman" w:cs="Times New Roman" w:eastAsia="Times New Roman"/>
          <w:color w:val="000000"/>
          <w:spacing w:val="0"/>
          <w:position w:val="0"/>
          <w:sz w:val="32"/>
          <w:shd w:fill="auto" w:val="clear"/>
        </w:rPr>
        <w:t xml:space="preserve">: 2129296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16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Part 1:  “PinnaclePass Tours”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Travel company "PinnaclePass Tours," will serve people interested in tourism. It leads excursions of stunning natural landscapes, viewpoints, and places. Visitors learn about local history, customs, and culture on cultural tours. The adventure company offers thrilling hiking, trekking, and aquatic activities. "PinnaclePass Tours" offers private tours with luxurious hotels, delicious meals, and personalised service (Williams, Sánchez and </w:t>
      </w:r>
      <w:r>
        <w:rPr>
          <w:rFonts w:ascii="Times New Roman" w:hAnsi="Times New Roman" w:cs="Times New Roman" w:eastAsia="Times New Roman"/>
          <w:color w:val="auto"/>
          <w:spacing w:val="0"/>
          <w:position w:val="0"/>
          <w:sz w:val="24"/>
          <w:shd w:fill="auto" w:val="clear"/>
        </w:rPr>
        <w:t xml:space="preserve">Škokić, 2020). Museums, heritage sites, and architectural marvels showcase local history. Green travel is promoted by the company. Foodies explore local cuisines, markets, and traditions on gourmet vacations. The company customises excursions to make them unforgettable. Wildlife tours show nature enthusiasts various flora and species. Photography excursions help photographers see beautiful sights and experience various cultures. "PinnaclePass Tours" provides full-service tourism with several possibilities (Filieri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2021). The carefully chosen selections promise adventure, culture, elegance, sustainability, and lifelong memories in beautiful locales.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Partnering is crucial to "PinnaclePass Tours." Local suppliers like the UK-based "FarmToTable," which distributes fresh produce and resources, increase quality. The alliance helps local businesses and meets customer demand for sustainable, local products. With "PinnaclePass Tours" and "LuxuryStay," customers get a luxurious experience. Accommodations for various tastes give the organisation an edge (Similarweb.com, 2024). Working with the "GreenEarth Foundation," conservation and sustainability are shown. This improves the business's brand and attracts eco-conscious customers by following the global trend for green projects. The business promotes and assists local tourism companies like "VisitEngland," mutually. Network and resources provide the tourism board with an edge in visibility and reputation (Holloway and Humphreys, 2020). These key relationships distinguish "PinnaclePass Tours" in UK tourism.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Preparing key procedures for a smooth and competitive operation makes "PinnaclePass Tours" successful. The company's well-planned excursions demonstrate its tour planning and execution. Each tour aims to wow customers (Pavlatos, 2021). Sustainable practices are in all businesses. For sustainable tourism, the association prioritises sustainable mobility and waste reduction. Market research informs "PinnaclePass Tours" of client and industry trends. This proactive approach helps the business adjust quickly to tourism trends. We prioritise client communication via social media, newsletters, and other channels (Mizrachi and Gretzel, 2020). Like "Travel Trendsetters," this engagement method boosts client loyalty and word-of-mouth. These important actions keep "PinnaclePass Tours" competitive in the evolving travel sector.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Tourism competitor "PinnaclePass Tours" manages resources appropriately. Professional tour guides, like "British Guides," improve trips. Experienced and polite advisors make interactions memorable and build customer loyalty. Like "Tech Travel Solutions," technology streamlines booking and communication. This improves customer service and productivity. Through clever relationships with local businesses, hotels, and environmental groups like "Local Connections UK," vital resources and support are provided (Alford and Jones, 2020). These partnerships boost the company's offerings, credibility, and community service. Like "Optimised Tours," efficient operations enhance tours and services. Efficiency reduces operational expenses and makes "PinnaclePass Tours" more competitive in UK tourism.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"PinnaclePass Tours" offers a compelling value proposition to attract and satisfy clients. Like "TaylorMade Journeys," each journey is customised. Personalisation boosts client satisfaction, referrals, and repeat business (Moyle, Moyle and Burgers, 2020). Inspired by "British Explorer," all vacations feature cultural and luxury retreats to suit consumers' desires. Offering many services makes the business a one-stop shop, attracting customers. At "Green Travel Initiatives," environmental responsibility is paramount. "PinnaclePass Tours" has an advantage by offering eco-friendly excursions to meet the growing demand for sustainable travel (Lew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2020). Like "Cultural Insights UK," experienced guides improve destination knowledge and enjoyment. This focus on skilled guides increases experience and establishes the organisation as a trusted authority on enriching travel trips, giving it a competitive edge.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business aims for customer loyalty and competitive advantage at "PinnaclePass Tours". Inspired by "Service Excellence UK," it provides multichannel personalised service. A personal touch improves client satisfaction and connections. Based on Customer Insights’s success, feedback systems develop continuously. Customer feedback customises "PinnaclePass Tours" offerings (</w:t>
      </w:r>
      <w:r>
        <w:rPr>
          <w:rFonts w:ascii="Times New Roman" w:hAnsi="Times New Roman" w:cs="Times New Roman" w:eastAsia="Times New Roman"/>
          <w:color w:val="auto"/>
          <w:spacing w:val="0"/>
          <w:position w:val="0"/>
          <w:sz w:val="24"/>
          <w:shd w:fill="auto" w:val="clear"/>
        </w:rPr>
        <w:t xml:space="preserve">Škare, Soriano and Porada-Rochoń, 2020). Inspired by "Travel Rewards UK," loyalty programmes reward repeat customers. This boosts business-customer loyalty and retention. Like "Local Connects," community engagement involves forums and events. This participation creates a loyal, belonging-feeling consumer base, giving the business an edge in the competitive UK tourism market.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"PinnaclePass Tours" uses several ways to boost its UK tourism presence and competitiveness. User-friendly websites, like "Booking.com," accelerate booking and information transfer. The method improves client access and business efficiency (Perelygina, Kucukusta and Law, 2022). "VisitBritain" on Instagram, Facebook, and Twitter boosts marketing and customer engagement. Popular platforms for sharing experiences, acquiring clients, and building online communities are alive and attractive. Like "Expedia," travel agency partnerships expand the company's customer base. Strategic channel diversification increases market and consumer visibility (Alrawadieh et al., 2021). Inspired by "Travel With Purpose," "PinnaclePass Tours" talks to travel influencers. Influencers boost brand recognition and provide firms with an edge in the changing UK tourism market.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compete, "PinnaclePass Tours" targets a broad clientele, inspired by successful UK businesses. Like "Extreme Escapes UK," it offers thrill-seekers hiking, trekking, and water sports. Adventure tourism attracts thrill-seekers, giving the company an edge. The popularity of "Luxury Travel UK." offers luxury vacations with individual service (Seyfi, Hall and Shabani, 2020). In a competitive market, "PinnaclePass Tours" offers luxury services. Through immersive experiences like "Cultural Journeys Ltd," cultural explorers learn about local history, museums, and cultures. Attracting culture lovers and following experience tourism makes the company more competitive. Safaris are popular with wildlife lovers, states "Wilderness Discoveries." This unique selling advantage gives the firm a competitive edge in UK tourism by luring nature lovers wanting close experiences with flora and fauna.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compete, "PinnaclePass Tours" optimises its cost structure like successful UK enterprises. At "ExpertGuides Ltd," qualified tour guides, customer service reps, and admins are budgeted. High-quality services and client loyalty result from this investment. According to "Market Masters UK," marketing and promotion boost online and offline visibility (Abbas et al., 2021). Tourism marketing investments boost brand awareness, customer acquisition, and competitiveness. Because of "TechTour Solutions," technology expenditures include a complex online platform and communication infrastructure (González, Taño and Gidumal, 2019). Digital edge comes from efficient booking, streamlined processes, and superior client service. Sustainable fees, like "GreenTour Initiatives," ensure green practices. It meets the growing demand for responsible tourism, promotes the business's brand, attracts environmentally concerned customers, and gives it a UK tourist market edge.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compete, "PinnaclePass Tours" diversifies its revenue streams like successful UK companies. Tour packages, including "Explore UK," target varied groups. Diversity boosts market share and resists change. "LuxuryTouring Ltd.," says luxury vacations and exclusive experiences cost more to use premium services. This draws discerning clients and boosts revenue, boosting business success. Similar to "TravelGear UK," adverts feature eco-friendly goods. This revenue supplements core services and meets travel product demand, increasing profitability. Companies like "Local Affiliate Networks," make money from local businesses, hotels, and activities through affiliate marketing. This collaborative approach generates revenue and fosters mutually beneficial connections, giving UK tourism an edge.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Several critical variables are addressed to assure "PinnaclePass Tours" viability in the changing UK tourism market. Critical analysis of these components using industry professionals and reliable sources showed the venture's potential. Meeting changing client needs. Experience and speciality tourism are growing (U</w:t>
      </w:r>
      <w:r>
        <w:rPr>
          <w:rFonts w:ascii="Times New Roman" w:hAnsi="Times New Roman" w:cs="Times New Roman" w:eastAsia="Times New Roman"/>
          <w:color w:val="auto"/>
          <w:spacing w:val="0"/>
          <w:position w:val="0"/>
          <w:sz w:val="24"/>
          <w:shd w:fill="auto" w:val="clear"/>
        </w:rPr>
        <w:t xml:space="preserve">ğur and Akbıyık, 2020). The popularity of "Trailblazer Adventures" in speciality excursions shows the need for variety. To grow and adapt to current tourists, "PinnaclePass Tours" targets adventurers, luxury travellers, cultural explorers, and environment enthusiasts. A growing concern. Environmental responsibility helps "EcoTravels UK" attract customers. By encouraging responsible travel, "PinnaclePass Tours" capitalises on the growing demand for eco-friendly experiences and ensures long-term success.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Learn from industry leaders' successes to interact with local suppliers, hotels, environmental groups, and tourism boards. Companies and "LocalConnections UK" benefit from their partnership. "PinnaclePass Tours" wants to improve its products, help local communities, and acquire a competitive edge through collaborative promotion through strong collaborations. Good tech helps tourism digitally evolve (Barringer and Ireland, 2018). A company like "TechTravel Solutions" exhibits how technology may improve customer experiences. The "PinnaclePass Tours" website simplifies booking, communication, and efficiency. Modern dependence on digital platforms displays the company as tech-savvy and customer-focused. Multiple channels demonstrate customer-centricity (Similarweb.com, 2024). Tailored services from "ServiceExcellence UK" work. "PinnaclePass Tours" customises tours and engages with customers via social media and newsletters to boost customer satisfaction, loyalty, and word-of-mouth in a competitive industry.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Market to adventurers, luxury tourists, cultural explorers, and nature enthusiasts to meet visitor trends. As "WildernessDiscoveries" shows, niche targeting works for wildlife lovers. "PinnaclePass Tours" wants to stand out, establish loyalty, and compete by customising experiences for each segment. Industry changes and client preferences demand study (</w:t>
      </w:r>
      <w:r>
        <w:rPr>
          <w:rFonts w:ascii="Times New Roman" w:hAnsi="Times New Roman" w:cs="Times New Roman" w:eastAsia="Times New Roman"/>
          <w:color w:val="auto"/>
          <w:spacing w:val="0"/>
          <w:position w:val="0"/>
          <w:sz w:val="24"/>
          <w:shd w:fill="auto" w:val="clear"/>
        </w:rPr>
        <w:t xml:space="preserve">Škare, Soriano and Porada-Rochoń, 2020). Industry leaders like "MarketMasters UK" value market anticipation. "PinnaclePass Tours" follows trends to compete in travel. Inspired by "ExpertGuides Ltd.," professional tour guide resource allocation prioritises quality services (Williams, 2021). Friendly, professional advisors please clients. "PinnaclePass Tours" aspires to differentiate its tours by hiring qualified staff to boost customer satisfaction, repeat business, and long-term success.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"VisitBritain" and "Expedia," use online and offline marketing to increase awareness and audience. In modern marketing, social media and travel influencers are key. "PinnaclePass Tours" mimics effective marketing strategies to increase brand awareness, diversify its customer base, and compete in the highly competitive UK tourism sector (U</w:t>
      </w:r>
      <w:r>
        <w:rPr>
          <w:rFonts w:ascii="Times New Roman" w:hAnsi="Times New Roman" w:cs="Times New Roman" w:eastAsia="Times New Roman"/>
          <w:color w:val="auto"/>
          <w:spacing w:val="0"/>
          <w:position w:val="0"/>
          <w:sz w:val="24"/>
          <w:shd w:fill="auto" w:val="clear"/>
        </w:rPr>
        <w:t xml:space="preserve">ğur and Akbıyık, 2020).  The "PinnaclePass Tours" strategy now suits UK tourism's evolution. Sustainability, strategic collaborations, technology integration, tailored experiences, specialised targeting, market research, quality staff, and thorough marketing position the concept for success. Based on industry leaders' recent experiences, these decisions aim to create a unique and competitive market position and ensure long-term viability in the changing tourism sector.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16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Part 2: Reflective Essay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assessed my entrepreneurial and managerial motives and traits by utilising the GET2 Test and Entrepreneurial Questionnaire by applying the Gibbs Reflective Cycle (Taylor, 2020). The 69% GET2 Test demonstrated entrepreneurial tendencies. A 92% need for achievement propelled me. Superior autonomy, inventiveness, measured risk-taking, and locus of control showed entrepreneurial characteristics. After seeing results, I support entrepreneurship. Great ambition drives me to attain difficult tasks. The balanced ratings in other categories reveal a measured attitude, yet there's an enterprising mentality that seeks freedom and calculated risks.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Entrepreneurial Questionnaire inspired me. Situation-based questions demonstrated risk-taking, a preference for challenges over routine jobs, and a readiness to start enterprises despite scepticism. My 42 score makes me entrepreneurial. My questionnaire responses stressed risk-taking, challenge-seeking, and uncertainty-overcoming (Hargreaves and Page, 2013). These traits and a strong desire for success show a proactive approach to problems. A balanced entrepreneurship approach promotes freedom and creativity with moderate autonomy and creative tendency ratings. The results demonstrate my entrepreneurship. Success hunger complements achievement needs. The balanced autonomy, creative tendency, and risk-taking scores indicate an innovative yet practical entrepreneurial strategy. Moderate locus of control promotes company performance and self-determination (Lew et al., 2020). High GET2 Test results, especially drive for achievement, show strong internal motivation to fulfil and exceed goals. Entrepreneurs must create and achieve goals to survive and develop. Balanced innovation and calculated risk-taking show realism and experimentation. </w:t>
        <w:br/>
        <w:t xml:space="preserve">The locus of control implies internal and external factors affect results. This balanced strategy lets entrepreneurs adjust while maintaining agency and control. The scores and reflections reveal I have all the entrepreneurial traits. This mix of risk-taking, caution, autonomy, and deliberate decision-making suits me for entrepreneurship (González, Taño and Gidumal, 2019). The entrepreneurial questionnaire indicates a willingness to create and defy convention. My similarities to successful entrepreneurs in numerous industries support the idea that these traits are required for business ownership. My pragmatic approach to autonomy, innovation, ambition, and risk-taking helps entrepreneurs succeed.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These entrepreneurial tendencies will show in my personal and professional life. I want to set ambitious yet achievable goals. Creative and autonomous decision-making will be tested. The intermediate locus of control allows me to acknowledge external causes while believing I can change outcomes. Ingenuity and intelligence will guide my cautious chances. For decisions, I will investigate and evaluate new ideas and proposals (Alford and Jones, 2020). It matches the entrepreneurial questionnaire's risk-taking-strategic planning scenarios. Reflective inquiry sparks entrepreneurship. Innovative thinking, challenge, and entrepreneur networking will help me grow personally and professionally. Successful entrepreneurs may teach entrepreneurship. The introspective examination supports my business instincts and informs future activities. Ambition, autonomy, and balanced risk-taking make me a good candidate for entrepreneurial and management jobs, and I will develop them for hard and gratifying work.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16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References</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Abbas, J., Mubeen, R., Iorember, P.T., Raza, S. and Mamirkulova, G. (2021). Exploring the impact of COVID-19 on tourism: transformational potential and implications for a sustainable recovery of the travel and leisure industry. </w:t>
      </w:r>
      <w:r>
        <w:rPr>
          <w:rFonts w:ascii="Times New Roman" w:hAnsi="Times New Roman" w:cs="Times New Roman" w:eastAsia="Times New Roman"/>
          <w:i/>
          <w:color w:val="auto"/>
          <w:spacing w:val="0"/>
          <w:position w:val="0"/>
          <w:sz w:val="24"/>
          <w:shd w:fill="auto" w:val="clear"/>
        </w:rPr>
        <w:t xml:space="preserve">Current Research in Behavioral Sciences</w:t>
      </w:r>
      <w:r>
        <w:rPr>
          <w:rFonts w:ascii="Times New Roman" w:hAnsi="Times New Roman" w:cs="Times New Roman" w:eastAsia="Times New Roman"/>
          <w:color w:val="auto"/>
          <w:spacing w:val="0"/>
          <w:position w:val="0"/>
          <w:sz w:val="24"/>
          <w:shd w:fill="auto" w:val="clear"/>
        </w:rPr>
        <w:t xml:space="preserve">, 2(1), p.100033.</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Alford, P. and Jones, R. (2020). The lone digital tourism entrepreneur: Knowledge acquisition and collaborative transfer. </w:t>
      </w:r>
      <w:r>
        <w:rPr>
          <w:rFonts w:ascii="Times New Roman" w:hAnsi="Times New Roman" w:cs="Times New Roman" w:eastAsia="Times New Roman"/>
          <w:i/>
          <w:color w:val="auto"/>
          <w:spacing w:val="0"/>
          <w:position w:val="0"/>
          <w:sz w:val="24"/>
          <w:shd w:fill="auto" w:val="clear"/>
        </w:rPr>
        <w:t xml:space="preserve">Tourism Management</w:t>
      </w:r>
      <w:r>
        <w:rPr>
          <w:rFonts w:ascii="Times New Roman" w:hAnsi="Times New Roman" w:cs="Times New Roman" w:eastAsia="Times New Roman"/>
          <w:color w:val="auto"/>
          <w:spacing w:val="0"/>
          <w:position w:val="0"/>
          <w:sz w:val="24"/>
          <w:shd w:fill="auto" w:val="clear"/>
        </w:rPr>
        <w:t xml:space="preserve">, 81, p.104139. doi:https://doi.org/10.1016/j.tourman.2020.104139.</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Alrawadieh, Z., Altinay, L., Cetin, G. and </w:t>
      </w:r>
      <w:r>
        <w:rPr>
          <w:rFonts w:ascii="Times New Roman" w:hAnsi="Times New Roman" w:cs="Times New Roman" w:eastAsia="Times New Roman"/>
          <w:color w:val="auto"/>
          <w:spacing w:val="0"/>
          <w:position w:val="0"/>
          <w:sz w:val="24"/>
          <w:shd w:fill="auto" w:val="clear"/>
        </w:rPr>
        <w:t xml:space="preserve">Şimşek, D. (2021). The interface between hospitality and tourism entrepreneurship, integration and well-being: A study of refugee entrepreneurs. </w:t>
      </w:r>
      <w:r>
        <w:rPr>
          <w:rFonts w:ascii="Times New Roman" w:hAnsi="Times New Roman" w:cs="Times New Roman" w:eastAsia="Times New Roman"/>
          <w:i/>
          <w:color w:val="auto"/>
          <w:spacing w:val="0"/>
          <w:position w:val="0"/>
          <w:sz w:val="24"/>
          <w:shd w:fill="auto" w:val="clear"/>
        </w:rPr>
        <w:t xml:space="preserve">International Journal of Hospitality Management</w:t>
      </w:r>
      <w:r>
        <w:rPr>
          <w:rFonts w:ascii="Times New Roman" w:hAnsi="Times New Roman" w:cs="Times New Roman" w:eastAsia="Times New Roman"/>
          <w:color w:val="auto"/>
          <w:spacing w:val="0"/>
          <w:position w:val="0"/>
          <w:sz w:val="24"/>
          <w:shd w:fill="auto" w:val="clear"/>
        </w:rPr>
        <w:t xml:space="preserve">, 97, p.103013. doi:https://doi.org/10.1016/j.ijhm.2021.103013.</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Barringer, B.R. and Ireland, R.D. (2018). </w:t>
      </w:r>
      <w:r>
        <w:rPr>
          <w:rFonts w:ascii="Times New Roman" w:hAnsi="Times New Roman" w:cs="Times New Roman" w:eastAsia="Times New Roman"/>
          <w:i/>
          <w:color w:val="auto"/>
          <w:spacing w:val="0"/>
          <w:position w:val="0"/>
          <w:sz w:val="24"/>
          <w:shd w:fill="auto" w:val="clear"/>
        </w:rPr>
        <w:t xml:space="preserve">Entrepreneurship : Successfully Launching New Ventures</w:t>
      </w:r>
      <w:r>
        <w:rPr>
          <w:rFonts w:ascii="Times New Roman" w:hAnsi="Times New Roman" w:cs="Times New Roman" w:eastAsia="Times New Roman"/>
          <w:color w:val="auto"/>
          <w:spacing w:val="0"/>
          <w:position w:val="0"/>
          <w:sz w:val="24"/>
          <w:shd w:fill="auto" w:val="clear"/>
        </w:rPr>
        <w:t xml:space="preserve">. New York, Ny: Pearson.</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Filieri, R., D’Amico, E., Destefanis, A., Paolucci, E. and Raguseo, E. (2021). Artificial intelligence (AI) for tourism: an European-based study on successful AI tourism start-ups. </w:t>
      </w:r>
      <w:r>
        <w:rPr>
          <w:rFonts w:ascii="Times New Roman" w:hAnsi="Times New Roman" w:cs="Times New Roman" w:eastAsia="Times New Roman"/>
          <w:i/>
          <w:color w:val="auto"/>
          <w:spacing w:val="0"/>
          <w:position w:val="0"/>
          <w:sz w:val="24"/>
          <w:shd w:fill="auto" w:val="clear"/>
        </w:rPr>
        <w:t xml:space="preserve">International Journal of Contemporary Hospitality Management</w:t>
      </w:r>
      <w:r>
        <w:rPr>
          <w:rFonts w:ascii="Times New Roman" w:hAnsi="Times New Roman" w:cs="Times New Roman" w:eastAsia="Times New Roman"/>
          <w:color w:val="auto"/>
          <w:spacing w:val="0"/>
          <w:position w:val="0"/>
          <w:sz w:val="24"/>
          <w:shd w:fill="auto" w:val="clear"/>
        </w:rPr>
        <w:t xml:space="preserve">, 33(11), pp.4099</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4125. doi:https://doi.org/10.1108/ijchm-02-2021-0220.</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González, S., Taño, D. and Gidumal, J. (2019). Predicting the intentions to use chatbots for travel and tourism. </w:t>
      </w:r>
      <w:r>
        <w:rPr>
          <w:rFonts w:ascii="Times New Roman" w:hAnsi="Times New Roman" w:cs="Times New Roman" w:eastAsia="Times New Roman"/>
          <w:i/>
          <w:color w:val="auto"/>
          <w:spacing w:val="0"/>
          <w:position w:val="0"/>
          <w:sz w:val="24"/>
          <w:shd w:fill="auto" w:val="clear"/>
        </w:rPr>
        <w:t xml:space="preserve">Current Issues in Tourism</w:t>
      </w:r>
      <w:r>
        <w:rPr>
          <w:rFonts w:ascii="Times New Roman" w:hAnsi="Times New Roman" w:cs="Times New Roman" w:eastAsia="Times New Roman"/>
          <w:color w:val="auto"/>
          <w:spacing w:val="0"/>
          <w:position w:val="0"/>
          <w:sz w:val="24"/>
          <w:shd w:fill="auto" w:val="clear"/>
        </w:rPr>
        <w:t xml:space="preserve">, 24(2), pp.1</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19. doi:https://doi.org/10.1080/13683500.2019.1706457.</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Hargreaves, J. and Page, L. (2013). </w:t>
      </w:r>
      <w:r>
        <w:rPr>
          <w:rFonts w:ascii="Times New Roman" w:hAnsi="Times New Roman" w:cs="Times New Roman" w:eastAsia="Times New Roman"/>
          <w:i/>
          <w:color w:val="auto"/>
          <w:spacing w:val="0"/>
          <w:position w:val="0"/>
          <w:sz w:val="24"/>
          <w:shd w:fill="auto" w:val="clear"/>
        </w:rPr>
        <w:t xml:space="preserve">Reflective practice</w:t>
      </w:r>
      <w:r>
        <w:rPr>
          <w:rFonts w:ascii="Times New Roman" w:hAnsi="Times New Roman" w:cs="Times New Roman" w:eastAsia="Times New Roman"/>
          <w:color w:val="auto"/>
          <w:spacing w:val="0"/>
          <w:position w:val="0"/>
          <w:sz w:val="24"/>
          <w:shd w:fill="auto" w:val="clear"/>
        </w:rPr>
        <w:t xml:space="preserve">. Cambridge, Uk ; Malden, Ma: Polity.</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Holloway, J.C. and Humphreys, C. (2020). </w:t>
      </w:r>
      <w:r>
        <w:rPr>
          <w:rFonts w:ascii="Times New Roman" w:hAnsi="Times New Roman" w:cs="Times New Roman" w:eastAsia="Times New Roman"/>
          <w:i/>
          <w:color w:val="auto"/>
          <w:spacing w:val="0"/>
          <w:position w:val="0"/>
          <w:sz w:val="24"/>
          <w:shd w:fill="auto" w:val="clear"/>
        </w:rPr>
        <w:t xml:space="preserve">The business of tourism.</w:t>
      </w:r>
      <w:r>
        <w:rPr>
          <w:rFonts w:ascii="Times New Roman" w:hAnsi="Times New Roman" w:cs="Times New Roman" w:eastAsia="Times New Roman"/>
          <w:color w:val="auto"/>
          <w:spacing w:val="0"/>
          <w:position w:val="0"/>
          <w:sz w:val="24"/>
          <w:shd w:fill="auto" w:val="clear"/>
        </w:rPr>
        <w:t xml:space="preserve"> Upper Saddle River: Pearson.</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Lew, A.A., Cheer, J.M., Haywood, M., Brouder, P. and Salazar, N.B. (2020). Visions of travel and tourism after the global COVID-19 transformation of 2020. </w:t>
      </w:r>
      <w:r>
        <w:rPr>
          <w:rFonts w:ascii="Times New Roman" w:hAnsi="Times New Roman" w:cs="Times New Roman" w:eastAsia="Times New Roman"/>
          <w:i/>
          <w:color w:val="auto"/>
          <w:spacing w:val="0"/>
          <w:position w:val="0"/>
          <w:sz w:val="24"/>
          <w:shd w:fill="auto" w:val="clear"/>
        </w:rPr>
        <w:t xml:space="preserve">Tourism Geographies</w:t>
      </w:r>
      <w:r>
        <w:rPr>
          <w:rFonts w:ascii="Times New Roman" w:hAnsi="Times New Roman" w:cs="Times New Roman" w:eastAsia="Times New Roman"/>
          <w:color w:val="auto"/>
          <w:spacing w:val="0"/>
          <w:position w:val="0"/>
          <w:sz w:val="24"/>
          <w:shd w:fill="auto" w:val="clear"/>
        </w:rPr>
        <w:t xml:space="preserve">, 22(3), pp.1</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12. doi:https://doi.org/10.1080/14616688.2020.1770326.</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Mizrachi, I. and Gretzel, U. (2020). Collaborating against COVID-19: bridging travel and travel tech. </w:t>
      </w:r>
      <w:r>
        <w:rPr>
          <w:rFonts w:ascii="Times New Roman" w:hAnsi="Times New Roman" w:cs="Times New Roman" w:eastAsia="Times New Roman"/>
          <w:i/>
          <w:color w:val="auto"/>
          <w:spacing w:val="0"/>
          <w:position w:val="0"/>
          <w:sz w:val="24"/>
          <w:shd w:fill="auto" w:val="clear"/>
        </w:rPr>
        <w:t xml:space="preserve">Information Technology &amp; Tourism</w:t>
      </w:r>
      <w:r>
        <w:rPr>
          <w:rFonts w:ascii="Times New Roman" w:hAnsi="Times New Roman" w:cs="Times New Roman" w:eastAsia="Times New Roman"/>
          <w:color w:val="auto"/>
          <w:spacing w:val="0"/>
          <w:position w:val="0"/>
          <w:sz w:val="24"/>
          <w:shd w:fill="auto" w:val="clear"/>
        </w:rPr>
        <w:t xml:space="preserve">. doi:https://doi.org/10.1007/s40558-020-00192-0.</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Moyle, C., Moyle, B. and Burgers, H. (2020). Entrepreneurial strategies and tourism industry growth. </w:t>
      </w:r>
      <w:r>
        <w:rPr>
          <w:rFonts w:ascii="Times New Roman" w:hAnsi="Times New Roman" w:cs="Times New Roman" w:eastAsia="Times New Roman"/>
          <w:i/>
          <w:color w:val="auto"/>
          <w:spacing w:val="0"/>
          <w:position w:val="0"/>
          <w:sz w:val="24"/>
          <w:shd w:fill="auto" w:val="clear"/>
        </w:rPr>
        <w:t xml:space="preserve">Tourism Management Perspectives</w:t>
      </w:r>
      <w:r>
        <w:rPr>
          <w:rFonts w:ascii="Times New Roman" w:hAnsi="Times New Roman" w:cs="Times New Roman" w:eastAsia="Times New Roman"/>
          <w:color w:val="auto"/>
          <w:spacing w:val="0"/>
          <w:position w:val="0"/>
          <w:sz w:val="24"/>
          <w:shd w:fill="auto" w:val="clear"/>
        </w:rPr>
        <w:t xml:space="preserve">, 35, p.100708. doi:https://doi.org/10.1016/j.tmp.2020.100708.</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Pavlatos, O. (2021). Drivers of management control systems in tourism start-ups firms. </w:t>
      </w:r>
      <w:r>
        <w:rPr>
          <w:rFonts w:ascii="Times New Roman" w:hAnsi="Times New Roman" w:cs="Times New Roman" w:eastAsia="Times New Roman"/>
          <w:i/>
          <w:color w:val="auto"/>
          <w:spacing w:val="0"/>
          <w:position w:val="0"/>
          <w:sz w:val="24"/>
          <w:shd w:fill="auto" w:val="clear"/>
        </w:rPr>
        <w:t xml:space="preserve">International Journal of Hospitality Management</w:t>
      </w:r>
      <w:r>
        <w:rPr>
          <w:rFonts w:ascii="Times New Roman" w:hAnsi="Times New Roman" w:cs="Times New Roman" w:eastAsia="Times New Roman"/>
          <w:color w:val="auto"/>
          <w:spacing w:val="0"/>
          <w:position w:val="0"/>
          <w:sz w:val="24"/>
          <w:shd w:fill="auto" w:val="clear"/>
        </w:rPr>
        <w:t xml:space="preserve">, 92, p.102746. doi:https://doi.org/10.1016/j.ijhm.2020.102746.</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Perelygina, M., Kucukusta, D. and Law, R. (2022). Digital business model configurations in the travel industry. </w:t>
      </w:r>
      <w:r>
        <w:rPr>
          <w:rFonts w:ascii="Times New Roman" w:hAnsi="Times New Roman" w:cs="Times New Roman" w:eastAsia="Times New Roman"/>
          <w:i/>
          <w:color w:val="auto"/>
          <w:spacing w:val="0"/>
          <w:position w:val="0"/>
          <w:sz w:val="24"/>
          <w:shd w:fill="auto" w:val="clear"/>
        </w:rPr>
        <w:t xml:space="preserve">Tourism Management</w:t>
      </w:r>
      <w:r>
        <w:rPr>
          <w:rFonts w:ascii="Times New Roman" w:hAnsi="Times New Roman" w:cs="Times New Roman" w:eastAsia="Times New Roman"/>
          <w:color w:val="auto"/>
          <w:spacing w:val="0"/>
          <w:position w:val="0"/>
          <w:sz w:val="24"/>
          <w:shd w:fill="auto" w:val="clear"/>
        </w:rPr>
        <w:t xml:space="preserve">, 88, p.104408. doi:https://doi.org/10.1016/j.tourman.2021.104408.</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Seyfi, S., Hall, C.M. and Shabani, B. (2020). COVID-19 and international travel restrictions: the geopolitics of health and tourism. </w:t>
      </w:r>
      <w:r>
        <w:rPr>
          <w:rFonts w:ascii="Times New Roman" w:hAnsi="Times New Roman" w:cs="Times New Roman" w:eastAsia="Times New Roman"/>
          <w:i/>
          <w:color w:val="auto"/>
          <w:spacing w:val="0"/>
          <w:position w:val="0"/>
          <w:sz w:val="24"/>
          <w:shd w:fill="auto" w:val="clear"/>
        </w:rPr>
        <w:t xml:space="preserve">Tourism Geographies</w:t>
      </w:r>
      <w:r>
        <w:rPr>
          <w:rFonts w:ascii="Times New Roman" w:hAnsi="Times New Roman" w:cs="Times New Roman" w:eastAsia="Times New Roman"/>
          <w:color w:val="auto"/>
          <w:spacing w:val="0"/>
          <w:position w:val="0"/>
          <w:sz w:val="24"/>
          <w:shd w:fill="auto" w:val="clear"/>
        </w:rPr>
        <w:t xml:space="preserve">, 25(1), pp.1</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17. doi:https://doi.org/10.1080/14616688.2020.1833972.</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Similarweb.com (2024). </w:t>
      </w:r>
      <w:r>
        <w:rPr>
          <w:rFonts w:ascii="Times New Roman" w:hAnsi="Times New Roman" w:cs="Times New Roman" w:eastAsia="Times New Roman"/>
          <w:i/>
          <w:color w:val="auto"/>
          <w:spacing w:val="0"/>
          <w:position w:val="0"/>
          <w:sz w:val="24"/>
          <w:shd w:fill="auto" w:val="clear"/>
        </w:rPr>
        <w:t xml:space="preserve">Top Websites Ranking Most Visited Travel and Tourism Websites in United Kingdom</w:t>
      </w:r>
      <w:r>
        <w:rPr>
          <w:rFonts w:ascii="Times New Roman" w:hAnsi="Times New Roman" w:cs="Times New Roman" w:eastAsia="Times New Roman"/>
          <w:color w:val="auto"/>
          <w:spacing w:val="0"/>
          <w:position w:val="0"/>
          <w:sz w:val="24"/>
          <w:shd w:fill="auto" w:val="clear"/>
        </w:rPr>
        <w:t xml:space="preserve">. [online] Available at: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https://www.similarweb.com/top-websites/united-kingdom/travel-and-tourism/</w:t>
        </w:r>
      </w:hyperlink>
      <w:r>
        <w:rPr>
          <w:rFonts w:ascii="Times New Roman" w:hAnsi="Times New Roman" w:cs="Times New Roman" w:eastAsia="Times New Roman"/>
          <w:color w:val="auto"/>
          <w:spacing w:val="0"/>
          <w:position w:val="0"/>
          <w:sz w:val="24"/>
          <w:shd w:fill="auto" w:val="clear"/>
        </w:rPr>
        <w:t xml:space="preserve">.</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Škare, M., Soriano, D.R. and Porada-Rochoń, M. (2020). Impact of COVID-19 on the Travel and Tourism Industry. </w:t>
      </w:r>
      <w:r>
        <w:rPr>
          <w:rFonts w:ascii="Times New Roman" w:hAnsi="Times New Roman" w:cs="Times New Roman" w:eastAsia="Times New Roman"/>
          <w:i/>
          <w:color w:val="auto"/>
          <w:spacing w:val="0"/>
          <w:position w:val="0"/>
          <w:sz w:val="24"/>
          <w:shd w:fill="auto" w:val="clear"/>
        </w:rPr>
        <w:t xml:space="preserve">Technological Forecasting and Social Change</w:t>
      </w:r>
      <w:r>
        <w:rPr>
          <w:rFonts w:ascii="Times New Roman" w:hAnsi="Times New Roman" w:cs="Times New Roman" w:eastAsia="Times New Roman"/>
          <w:color w:val="auto"/>
          <w:spacing w:val="0"/>
          <w:position w:val="0"/>
          <w:sz w:val="24"/>
          <w:shd w:fill="auto" w:val="clear"/>
        </w:rPr>
        <w:t xml:space="preserve">, 163(1), p.120469.</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Taylor, B.J. (2020). </w:t>
      </w:r>
      <w:r>
        <w:rPr>
          <w:rFonts w:ascii="Times New Roman" w:hAnsi="Times New Roman" w:cs="Times New Roman" w:eastAsia="Times New Roman"/>
          <w:i/>
          <w:color w:val="auto"/>
          <w:spacing w:val="0"/>
          <w:position w:val="0"/>
          <w:sz w:val="24"/>
          <w:shd w:fill="auto" w:val="clear"/>
        </w:rPr>
        <w:t xml:space="preserve">Reflective practice</w:t>
      </w:r>
      <w:r>
        <w:rPr>
          <w:rFonts w:ascii="Times New Roman" w:hAnsi="Times New Roman" w:cs="Times New Roman" w:eastAsia="Times New Roman"/>
          <w:color w:val="auto"/>
          <w:spacing w:val="0"/>
          <w:position w:val="0"/>
          <w:sz w:val="24"/>
          <w:shd w:fill="auto" w:val="clear"/>
        </w:rPr>
        <w:t xml:space="preserve">. 3rd ed. Maidenhead: Open University Press.</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w:t>
      </w:r>
      <w:r>
        <w:rPr>
          <w:rFonts w:ascii="Times New Roman" w:hAnsi="Times New Roman" w:cs="Times New Roman" w:eastAsia="Times New Roman"/>
          <w:color w:val="auto"/>
          <w:spacing w:val="0"/>
          <w:position w:val="0"/>
          <w:sz w:val="24"/>
          <w:shd w:fill="auto" w:val="clear"/>
        </w:rPr>
        <w:t xml:space="preserve">ğur, N.G. and Akbıyık, A. (2020). Impacts of COVID-19 on Global Tourism industry: a cross-regional Comparison. </w:t>
      </w:r>
      <w:r>
        <w:rPr>
          <w:rFonts w:ascii="Times New Roman" w:hAnsi="Times New Roman" w:cs="Times New Roman" w:eastAsia="Times New Roman"/>
          <w:i/>
          <w:color w:val="auto"/>
          <w:spacing w:val="0"/>
          <w:position w:val="0"/>
          <w:sz w:val="24"/>
          <w:shd w:fill="auto" w:val="clear"/>
        </w:rPr>
        <w:t xml:space="preserve">Tourism Management Perspectives</w:t>
      </w:r>
      <w:r>
        <w:rPr>
          <w:rFonts w:ascii="Times New Roman" w:hAnsi="Times New Roman" w:cs="Times New Roman" w:eastAsia="Times New Roman"/>
          <w:color w:val="auto"/>
          <w:spacing w:val="0"/>
          <w:position w:val="0"/>
          <w:sz w:val="24"/>
          <w:shd w:fill="auto" w:val="clear"/>
        </w:rPr>
        <w:t xml:space="preserve">, 36(100744), p.100744.</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Williams, A.M., Sánchez, I. and </w:t>
      </w:r>
      <w:r>
        <w:rPr>
          <w:rFonts w:ascii="Times New Roman" w:hAnsi="Times New Roman" w:cs="Times New Roman" w:eastAsia="Times New Roman"/>
          <w:color w:val="auto"/>
          <w:spacing w:val="0"/>
          <w:position w:val="0"/>
          <w:sz w:val="24"/>
          <w:shd w:fill="auto" w:val="clear"/>
        </w:rPr>
        <w:t xml:space="preserve">Škokić, V. (2020). Innovation, Risk, and Uncertainty: A Study of Tourism Entrepreneurs. </w:t>
      </w:r>
      <w:r>
        <w:rPr>
          <w:rFonts w:ascii="Times New Roman" w:hAnsi="Times New Roman" w:cs="Times New Roman" w:eastAsia="Times New Roman"/>
          <w:i/>
          <w:color w:val="auto"/>
          <w:spacing w:val="0"/>
          <w:position w:val="0"/>
          <w:sz w:val="24"/>
          <w:shd w:fill="auto" w:val="clear"/>
        </w:rPr>
        <w:t xml:space="preserve">Journal of Travel Research</w:t>
      </w:r>
      <w:r>
        <w:rPr>
          <w:rFonts w:ascii="Times New Roman" w:hAnsi="Times New Roman" w:cs="Times New Roman" w:eastAsia="Times New Roman"/>
          <w:color w:val="auto"/>
          <w:spacing w:val="0"/>
          <w:position w:val="0"/>
          <w:sz w:val="24"/>
          <w:shd w:fill="auto" w:val="clear"/>
        </w:rPr>
        <w:t xml:space="preserve">, 60(2), p.004728751989601. doi:https://doi.org/10.1177/0047287519896012.</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Williams, S. (2021). </w:t>
      </w:r>
      <w:r>
        <w:rPr>
          <w:rFonts w:ascii="Times New Roman" w:hAnsi="Times New Roman" w:cs="Times New Roman" w:eastAsia="Times New Roman"/>
          <w:i/>
          <w:color w:val="auto"/>
          <w:spacing w:val="0"/>
          <w:position w:val="0"/>
          <w:sz w:val="24"/>
          <w:shd w:fill="auto" w:val="clear"/>
        </w:rPr>
        <w:t xml:space="preserve">The Financial Times guide to business start up 2021/2023 : the most comprehensive guide for entrepreneurs</w:t>
      </w:r>
      <w:r>
        <w:rPr>
          <w:rFonts w:ascii="Times New Roman" w:hAnsi="Times New Roman" w:cs="Times New Roman" w:eastAsia="Times New Roman"/>
          <w:color w:val="auto"/>
          <w:spacing w:val="0"/>
          <w:position w:val="0"/>
          <w:sz w:val="24"/>
          <w:shd w:fill="auto" w:val="clear"/>
        </w:rPr>
        <w:t xml:space="preserve">. Harlow, England ; London ; New York: Pearson.</w:t>
      </w: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4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16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Appendix </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BMC</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object w:dxaOrig="9358" w:dyaOrig="6480">
          <v:rect xmlns:o="urn:schemas-microsoft-com:office:office" xmlns:v="urn:schemas-microsoft-com:vml" id="rectole0000000001" style="width:467.900000pt;height:324.000000pt" o:preferrelative="t" o:ole="">
            <o:lock v:ext="edit"/>
            <v:imagedata xmlns:r="http://schemas.openxmlformats.org/officeDocument/2006/relationships" r:id="docRId4" o:title=""/>
          </v:rect>
          <o:OLEObject xmlns:r="http://schemas.openxmlformats.org/officeDocument/2006/relationships" xmlns:o="urn:schemas-microsoft-com:office:office" Type="Embed" ProgID="StaticMetafile" DrawAspect="Content" ObjectID="0000000001" ShapeID="rectole0000000001" r:id="docRId3"/>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8265" w:dyaOrig="4003">
          <v:rect xmlns:o="urn:schemas-microsoft-com:office:office" xmlns:v="urn:schemas-microsoft-com:vml" id="rectole0000000002" style="width:413.250000pt;height:200.150000pt" o:preferrelative="t" o:ole="">
            <o:lock v:ext="edit"/>
            <v:imagedata xmlns:r="http://schemas.openxmlformats.org/officeDocument/2006/relationships" r:id="docRId6" o:title=""/>
          </v:rect>
          <o:OLEObject xmlns:r="http://schemas.openxmlformats.org/officeDocument/2006/relationships" xmlns:o="urn:schemas-microsoft-com:office:office" Type="Embed" ProgID="StaticMetafile" DrawAspect="Content" ObjectID="0000000002" ShapeID="rectole0000000002" r:id="docRId5"/>
        </w:object>
      </w:r>
      <w:r>
        <w:rPr>
          <w:rFonts w:ascii="Times New Roman" w:hAnsi="Times New Roman" w:cs="Times New Roman" w:eastAsia="Times New Roman"/>
          <w:color w:val="auto"/>
          <w:spacing w:val="0"/>
          <w:position w:val="0"/>
          <w:sz w:val="24"/>
          <w:shd w:fill="auto" w:val="clear"/>
        </w:rPr>
        <w:br/>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7070" w:dyaOrig="3931">
          <v:rect xmlns:o="urn:schemas-microsoft-com:office:office" xmlns:v="urn:schemas-microsoft-com:vml" id="rectole0000000003" style="width:353.500000pt;height:196.550000pt" o:preferrelative="t" o:ole="">
            <o:lock v:ext="edit"/>
            <v:imagedata xmlns:r="http://schemas.openxmlformats.org/officeDocument/2006/relationships" r:id="docRId8" o:title=""/>
          </v:rect>
          <o:OLEObject xmlns:r="http://schemas.openxmlformats.org/officeDocument/2006/relationships" xmlns:o="urn:schemas-microsoft-com:office:office" Type="Embed" ProgID="StaticMetafile" DrawAspect="Content" ObjectID="0000000003" ShapeID="rectole0000000003" r:id="docRId7"/>
        </w:objec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object w:dxaOrig="8208" w:dyaOrig="3513">
          <v:rect xmlns:o="urn:schemas-microsoft-com:office:office" xmlns:v="urn:schemas-microsoft-com:vml" id="rectole0000000004" style="width:410.400000pt;height:175.650000pt" o:preferrelative="t" o:ole="">
            <o:lock v:ext="edit"/>
            <v:imagedata xmlns:r="http://schemas.openxmlformats.org/officeDocument/2006/relationships" r:id="docRId10" o:title=""/>
          </v:rect>
          <o:OLEObject xmlns:r="http://schemas.openxmlformats.org/officeDocument/2006/relationships" xmlns:o="urn:schemas-microsoft-com:office:office" Type="Embed" ProgID="StaticMetafile" DrawAspect="Content" ObjectID="0000000004" ShapeID="rectole0000000004" r:id="docRId9"/>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7459" w:dyaOrig="3024">
          <v:rect xmlns:o="urn:schemas-microsoft-com:office:office" xmlns:v="urn:schemas-microsoft-com:vml" id="rectole0000000005" style="width:372.950000pt;height:151.200000pt" o:preferrelative="t" o:ole="">
            <o:lock v:ext="edit"/>
            <v:imagedata xmlns:r="http://schemas.openxmlformats.org/officeDocument/2006/relationships" r:id="docRId12" o:title=""/>
          </v:rect>
          <o:OLEObject xmlns:r="http://schemas.openxmlformats.org/officeDocument/2006/relationships" xmlns:o="urn:schemas-microsoft-com:office:office" Type="Embed" ProgID="StaticMetafile" DrawAspect="Content" ObjectID="0000000005" ShapeID="rectole0000000005" r:id="docRId11"/>
        </w:objec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6105" w:dyaOrig="3398">
          <v:rect xmlns:o="urn:schemas-microsoft-com:office:office" xmlns:v="urn:schemas-microsoft-com:vml" id="rectole0000000006" style="width:305.250000pt;height:169.900000pt" o:preferrelative="t" o:ole="">
            <o:lock v:ext="edit"/>
            <v:imagedata xmlns:r="http://schemas.openxmlformats.org/officeDocument/2006/relationships" r:id="docRId14" o:title=""/>
          </v:rect>
          <o:OLEObject xmlns:r="http://schemas.openxmlformats.org/officeDocument/2006/relationships" xmlns:o="urn:schemas-microsoft-com:office:office" Type="Embed" ProgID="StaticMetafile" DrawAspect="Content" ObjectID="0000000006" ShapeID="rectole0000000006" r:id="docRId13"/>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8035" w:dyaOrig="3182">
          <v:rect xmlns:o="urn:schemas-microsoft-com:office:office" xmlns:v="urn:schemas-microsoft-com:vml" id="rectole0000000007" style="width:401.750000pt;height:159.100000pt" o:preferrelative="t" o:ole="">
            <o:lock v:ext="edit"/>
            <v:imagedata xmlns:r="http://schemas.openxmlformats.org/officeDocument/2006/relationships" r:id="docRId16" o:title=""/>
          </v:rect>
          <o:OLEObject xmlns:r="http://schemas.openxmlformats.org/officeDocument/2006/relationships" xmlns:o="urn:schemas-microsoft-com:office:office" Type="Embed" ProgID="StaticMetafile" DrawAspect="Content" ObjectID="0000000007" ShapeID="rectole0000000007" r:id="docRId15"/>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7948" w:dyaOrig="2937">
          <v:rect xmlns:o="urn:schemas-microsoft-com:office:office" xmlns:v="urn:schemas-microsoft-com:vml" id="rectole0000000008" style="width:397.400000pt;height:146.850000pt" o:preferrelative="t" o:ole="">
            <o:lock v:ext="edit"/>
            <v:imagedata xmlns:r="http://schemas.openxmlformats.org/officeDocument/2006/relationships" r:id="docRId18" o:title=""/>
          </v:rect>
          <o:OLEObject xmlns:r="http://schemas.openxmlformats.org/officeDocument/2006/relationships" xmlns:o="urn:schemas-microsoft-com:office:office" Type="Embed" ProgID="StaticMetafile" DrawAspect="Content" ObjectID="0000000008" ShapeID="rectole0000000008" r:id="docRId17"/>
        </w:object>
      </w:r>
      <w:r>
        <w:rPr>
          <w:rFonts w:ascii="Times New Roman" w:hAnsi="Times New Roman" w:cs="Times New Roman" w:eastAsia="Times New Roman"/>
          <w:color w:val="auto"/>
          <w:spacing w:val="0"/>
          <w:position w:val="0"/>
          <w:sz w:val="24"/>
          <w:shd w:fill="auto" w:val="clear"/>
        </w:rPr>
        <w:br/>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GET2</w: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object w:dxaOrig="6580" w:dyaOrig="5083">
          <v:rect xmlns:o="urn:schemas-microsoft-com:office:office" xmlns:v="urn:schemas-microsoft-com:vml" id="rectole0000000009" style="width:329.000000pt;height:254.150000pt" o:preferrelative="t" o:ole="">
            <o:lock v:ext="edit"/>
            <v:imagedata xmlns:r="http://schemas.openxmlformats.org/officeDocument/2006/relationships" r:id="docRId20" o:title=""/>
          </v:rect>
          <o:OLEObject xmlns:r="http://schemas.openxmlformats.org/officeDocument/2006/relationships" xmlns:o="urn:schemas-microsoft-com:office:office" Type="Embed" ProgID="StaticMetafile" DrawAspect="Content" ObjectID="0000000009" ShapeID="rectole0000000009" r:id="docRId19"/>
        </w:objec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Entrepreneur questionnaire result </w: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br/>
      </w:r>
      <w:r>
        <w:object w:dxaOrig="5990" w:dyaOrig="5126">
          <v:rect xmlns:o="urn:schemas-microsoft-com:office:office" xmlns:v="urn:schemas-microsoft-com:vml" id="rectole0000000010" style="width:299.500000pt;height:256.300000pt" o:preferrelative="t" o:ole="">
            <o:lock v:ext="edit"/>
            <v:imagedata xmlns:r="http://schemas.openxmlformats.org/officeDocument/2006/relationships" r:id="docRId22" o:title=""/>
          </v:rect>
          <o:OLEObject xmlns:r="http://schemas.openxmlformats.org/officeDocument/2006/relationships" xmlns:o="urn:schemas-microsoft-com:office:office" Type="Embed" ProgID="StaticMetafile" DrawAspect="Content" ObjectID="0000000010" ShapeID="rectole0000000010" r:id="docRId21"/>
        </w:objec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8.bin" Id="docRId17" Type="http://schemas.openxmlformats.org/officeDocument/2006/relationships/oleObject" /><Relationship Target="styles.xml" Id="docRId24" Type="http://schemas.openxmlformats.org/officeDocument/2006/relationships/styles" /><Relationship Target="embeddings/oleObject3.bin" Id="docRId7" Type="http://schemas.openxmlformats.org/officeDocument/2006/relationships/oleObject" /><Relationship Target="media/image6.wmf" Id="docRId14" Type="http://schemas.openxmlformats.org/officeDocument/2006/relationships/image" /><Relationship Target="numbering.xml" Id="docRId23" Type="http://schemas.openxmlformats.org/officeDocument/2006/relationships/numbering" /><Relationship Target="media/image2.wmf" Id="docRId6" Type="http://schemas.openxmlformats.org/officeDocument/2006/relationships/image" /><Relationship Target="media/image0.wmf" Id="docRId1" Type="http://schemas.openxmlformats.org/officeDocument/2006/relationships/image" /><Relationship Target="embeddings/oleObject7.bin" Id="docRId15" Type="http://schemas.openxmlformats.org/officeDocument/2006/relationships/oleObject" /><Relationship Target="media/image10.wmf" Id="docRId22" Type="http://schemas.openxmlformats.org/officeDocument/2006/relationships/image" /><Relationship Target="embeddings/oleObject4.bin" Id="docRId9" Type="http://schemas.openxmlformats.org/officeDocument/2006/relationships/oleObject" /><Relationship Target="embeddings/oleObject0.bin" Id="docRId0" Type="http://schemas.openxmlformats.org/officeDocument/2006/relationships/oleObject" /><Relationship Target="media/image5.wmf" Id="docRId12" Type="http://schemas.openxmlformats.org/officeDocument/2006/relationships/image" /><Relationship Target="media/image7.wmf" Id="docRId16" Type="http://schemas.openxmlformats.org/officeDocument/2006/relationships/image" /><Relationship Target="embeddings/oleObject10.bin" Id="docRId21" Type="http://schemas.openxmlformats.org/officeDocument/2006/relationships/oleObject" /><Relationship Target="media/image1.wmf" Id="docRId4" Type="http://schemas.openxmlformats.org/officeDocument/2006/relationships/image" /><Relationship Target="media/image3.wmf" Id="docRId8" Type="http://schemas.openxmlformats.org/officeDocument/2006/relationships/image" /><Relationship Target="embeddings/oleObject6.bin" Id="docRId13" Type="http://schemas.openxmlformats.org/officeDocument/2006/relationships/oleObject" /><Relationship Target="media/image9.wmf" Id="docRId20" Type="http://schemas.openxmlformats.org/officeDocument/2006/relationships/image" /><Relationship Target="embeddings/oleObject1.bin" Id="docRId3" Type="http://schemas.openxmlformats.org/officeDocument/2006/relationships/oleObject" /><Relationship Target="media/image4.wmf" Id="docRId10" Type="http://schemas.openxmlformats.org/officeDocument/2006/relationships/image" /><Relationship Target="media/image8.wmf" Id="docRId18" Type="http://schemas.openxmlformats.org/officeDocument/2006/relationships/image" /><Relationship TargetMode="External" Target="https://www.similarweb.com/top-websites/united-kingdom/travel-and-tourism/" Id="docRId2" Type="http://schemas.openxmlformats.org/officeDocument/2006/relationships/hyperlink" /><Relationship Target="embeddings/oleObject5.bin" Id="docRId11" Type="http://schemas.openxmlformats.org/officeDocument/2006/relationships/oleObject" /><Relationship Target="embeddings/oleObject9.bin" Id="docRId19" Type="http://schemas.openxmlformats.org/officeDocument/2006/relationships/oleObject" /><Relationship Target="embeddings/oleObject2.bin" Id="docRId5" Type="http://schemas.openxmlformats.org/officeDocument/2006/relationships/oleObject" /></Relationships>
</file>