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B9B97" w14:textId="77777777" w:rsidR="00FE6F6B" w:rsidRPr="00EF61B3" w:rsidRDefault="00FE6F6B" w:rsidP="00EF61B3">
      <w:pPr>
        <w:spacing w:line="360" w:lineRule="auto"/>
        <w:rPr>
          <w:b/>
          <w:lang w:val="en-GB"/>
        </w:rPr>
      </w:pPr>
    </w:p>
    <w:p w14:paraId="33F06AB6" w14:textId="77777777" w:rsidR="00FE6F6B" w:rsidRPr="00EF61B3" w:rsidRDefault="00FE6F6B" w:rsidP="00EF61B3">
      <w:pPr>
        <w:spacing w:line="360" w:lineRule="auto"/>
        <w:jc w:val="center"/>
        <w:rPr>
          <w:b/>
          <w:lang w:val="en-GB"/>
        </w:rPr>
      </w:pPr>
    </w:p>
    <w:p w14:paraId="00000001" w14:textId="0CA55ED6" w:rsidR="00416361" w:rsidRPr="00EF61B3" w:rsidRDefault="003E2989" w:rsidP="00EF61B3">
      <w:pPr>
        <w:spacing w:line="360" w:lineRule="auto"/>
        <w:jc w:val="center"/>
        <w:rPr>
          <w:b/>
          <w:lang w:val="en-GB"/>
        </w:rPr>
      </w:pPr>
      <w:r w:rsidRPr="00EF61B3">
        <w:rPr>
          <w:b/>
          <w:lang w:val="en-GB"/>
        </w:rPr>
        <w:t xml:space="preserve">MANAGING PEOPLE </w:t>
      </w:r>
    </w:p>
    <w:p w14:paraId="00000002" w14:textId="0C5EEBC4" w:rsidR="00416361" w:rsidRPr="00EF61B3" w:rsidRDefault="00993C67" w:rsidP="00EF61B3">
      <w:pPr>
        <w:spacing w:line="360" w:lineRule="auto"/>
        <w:jc w:val="center"/>
        <w:rPr>
          <w:b/>
          <w:lang w:val="en-GB"/>
        </w:rPr>
      </w:pPr>
      <w:r w:rsidRPr="00EF61B3">
        <w:rPr>
          <w:b/>
          <w:lang w:val="en-GB"/>
        </w:rPr>
        <w:t>LCBB5004</w:t>
      </w:r>
    </w:p>
    <w:p w14:paraId="00000003" w14:textId="77777777" w:rsidR="00416361" w:rsidRPr="00EF61B3" w:rsidRDefault="00416361" w:rsidP="00EF61B3">
      <w:pPr>
        <w:spacing w:line="360" w:lineRule="auto"/>
        <w:jc w:val="center"/>
        <w:rPr>
          <w:b/>
          <w:lang w:val="en-GB"/>
        </w:rPr>
      </w:pPr>
    </w:p>
    <w:p w14:paraId="774F103E" w14:textId="4CE0B241" w:rsidR="00FE6F6B" w:rsidRPr="00EF61B3" w:rsidRDefault="00FE6F6B" w:rsidP="00EF61B3">
      <w:pPr>
        <w:spacing w:line="360" w:lineRule="auto"/>
        <w:rPr>
          <w:b/>
          <w:lang w:val="en-GB"/>
        </w:rPr>
      </w:pPr>
    </w:p>
    <w:p w14:paraId="63234892" w14:textId="5BA3E486" w:rsidR="00993C67" w:rsidRPr="00EF61B3" w:rsidRDefault="00993C67" w:rsidP="00EF61B3">
      <w:pPr>
        <w:spacing w:line="360" w:lineRule="auto"/>
        <w:rPr>
          <w:b/>
          <w:lang w:val="en-GB"/>
        </w:rPr>
      </w:pPr>
    </w:p>
    <w:p w14:paraId="3982E091" w14:textId="6CEDE620" w:rsidR="00993C67" w:rsidRPr="00EF61B3" w:rsidRDefault="00993C67" w:rsidP="00EF61B3">
      <w:pPr>
        <w:spacing w:line="360" w:lineRule="auto"/>
        <w:rPr>
          <w:b/>
          <w:lang w:val="en-GB"/>
        </w:rPr>
      </w:pPr>
    </w:p>
    <w:p w14:paraId="7DA25674" w14:textId="57DB91A8" w:rsidR="00993C67" w:rsidRPr="00EF61B3" w:rsidRDefault="00993C67" w:rsidP="00EF61B3">
      <w:pPr>
        <w:spacing w:line="360" w:lineRule="auto"/>
        <w:rPr>
          <w:b/>
          <w:lang w:val="en-GB"/>
        </w:rPr>
      </w:pPr>
    </w:p>
    <w:p w14:paraId="1D6FBB11" w14:textId="62683744" w:rsidR="00993C67" w:rsidRPr="00EF61B3" w:rsidRDefault="00993C67" w:rsidP="00EF61B3">
      <w:pPr>
        <w:spacing w:line="360" w:lineRule="auto"/>
        <w:rPr>
          <w:b/>
          <w:lang w:val="en-GB"/>
        </w:rPr>
      </w:pPr>
    </w:p>
    <w:p w14:paraId="531D1F77" w14:textId="3DEC3473" w:rsidR="00993C67" w:rsidRPr="00EF61B3" w:rsidRDefault="00993C67" w:rsidP="00EF61B3">
      <w:pPr>
        <w:spacing w:line="360" w:lineRule="auto"/>
        <w:rPr>
          <w:b/>
          <w:lang w:val="en-GB"/>
        </w:rPr>
      </w:pPr>
      <w:r w:rsidRPr="00EF61B3">
        <w:rPr>
          <w:b/>
          <w:lang w:val="en-GB"/>
        </w:rPr>
        <w:t xml:space="preserve">STUDENT </w:t>
      </w:r>
      <w:proofErr w:type="gramStart"/>
      <w:r w:rsidRPr="00EF61B3">
        <w:rPr>
          <w:b/>
          <w:lang w:val="en-GB"/>
        </w:rPr>
        <w:t>NAME :</w:t>
      </w:r>
      <w:proofErr w:type="gramEnd"/>
      <w:r w:rsidRPr="00EF61B3">
        <w:rPr>
          <w:b/>
          <w:lang w:val="en-GB"/>
        </w:rPr>
        <w:t xml:space="preserve"> IOANA RAIRA MOSU</w:t>
      </w:r>
    </w:p>
    <w:p w14:paraId="29A4E9BC" w14:textId="5080F19D" w:rsidR="00993C67" w:rsidRPr="00EF61B3" w:rsidRDefault="00993C67" w:rsidP="00EF61B3">
      <w:pPr>
        <w:spacing w:line="360" w:lineRule="auto"/>
        <w:rPr>
          <w:b/>
          <w:lang w:val="en-GB"/>
        </w:rPr>
      </w:pPr>
      <w:r w:rsidRPr="00EF61B3">
        <w:rPr>
          <w:b/>
          <w:lang w:val="en-GB"/>
        </w:rPr>
        <w:t xml:space="preserve">STUDENT </w:t>
      </w:r>
      <w:proofErr w:type="gramStart"/>
      <w:r w:rsidRPr="00EF61B3">
        <w:rPr>
          <w:b/>
          <w:lang w:val="en-GB"/>
        </w:rPr>
        <w:t>ID :</w:t>
      </w:r>
      <w:proofErr w:type="gramEnd"/>
      <w:r w:rsidRPr="00EF61B3">
        <w:rPr>
          <w:b/>
          <w:lang w:val="en-GB"/>
        </w:rPr>
        <w:t xml:space="preserve"> 2019296</w:t>
      </w:r>
    </w:p>
    <w:p w14:paraId="7DC205D9" w14:textId="5BD1B9E8" w:rsidR="00993C67" w:rsidRPr="00EF61B3" w:rsidRDefault="00993C67" w:rsidP="00EF61B3">
      <w:pPr>
        <w:spacing w:line="360" w:lineRule="auto"/>
        <w:rPr>
          <w:b/>
          <w:lang w:val="en-GB"/>
        </w:rPr>
      </w:pPr>
      <w:r w:rsidRPr="00EF61B3">
        <w:rPr>
          <w:b/>
          <w:lang w:val="en-GB"/>
        </w:rPr>
        <w:t xml:space="preserve">LECTURER </w:t>
      </w:r>
      <w:proofErr w:type="gramStart"/>
      <w:r w:rsidRPr="00EF61B3">
        <w:rPr>
          <w:b/>
          <w:lang w:val="en-GB"/>
        </w:rPr>
        <w:t>NAME :</w:t>
      </w:r>
      <w:proofErr w:type="gramEnd"/>
      <w:r w:rsidRPr="00EF61B3">
        <w:rPr>
          <w:b/>
          <w:lang w:val="en-GB"/>
        </w:rPr>
        <w:t xml:space="preserve"> OLUSOYI ASHAYE</w:t>
      </w:r>
    </w:p>
    <w:p w14:paraId="6995A42E" w14:textId="2CC85579" w:rsidR="00993C67" w:rsidRPr="00EF61B3" w:rsidRDefault="00993C67" w:rsidP="00EF61B3">
      <w:pPr>
        <w:spacing w:line="360" w:lineRule="auto"/>
        <w:rPr>
          <w:b/>
          <w:lang w:val="en-GB"/>
        </w:rPr>
      </w:pPr>
    </w:p>
    <w:p w14:paraId="1C83D7DA" w14:textId="08FC9852" w:rsidR="00993C67" w:rsidRPr="00EF61B3" w:rsidRDefault="00993C67" w:rsidP="00EF61B3">
      <w:pPr>
        <w:spacing w:line="360" w:lineRule="auto"/>
        <w:rPr>
          <w:b/>
          <w:lang w:val="en-GB"/>
        </w:rPr>
      </w:pPr>
    </w:p>
    <w:p w14:paraId="5D6C3843" w14:textId="1BB73E34" w:rsidR="00993C67" w:rsidRPr="00EF61B3" w:rsidRDefault="00993C67" w:rsidP="00EF61B3">
      <w:pPr>
        <w:spacing w:line="360" w:lineRule="auto"/>
        <w:rPr>
          <w:b/>
          <w:lang w:val="en-GB"/>
        </w:rPr>
      </w:pPr>
    </w:p>
    <w:p w14:paraId="5FDA1EE4" w14:textId="4DDFEE0A" w:rsidR="00993C67" w:rsidRPr="00EF61B3" w:rsidRDefault="00993C67" w:rsidP="00EF61B3">
      <w:pPr>
        <w:spacing w:line="360" w:lineRule="auto"/>
        <w:rPr>
          <w:b/>
          <w:lang w:val="en-GB"/>
        </w:rPr>
      </w:pPr>
    </w:p>
    <w:p w14:paraId="22BBCDFA" w14:textId="19D9A938" w:rsidR="00993C67" w:rsidRPr="00EF61B3" w:rsidRDefault="00993C67" w:rsidP="00EF61B3">
      <w:pPr>
        <w:spacing w:line="360" w:lineRule="auto"/>
        <w:rPr>
          <w:b/>
          <w:lang w:val="en-GB"/>
        </w:rPr>
      </w:pPr>
    </w:p>
    <w:p w14:paraId="4E3D8210" w14:textId="28B38CE9" w:rsidR="00993C67" w:rsidRPr="00EF61B3" w:rsidRDefault="00993C67" w:rsidP="00EF61B3">
      <w:pPr>
        <w:spacing w:line="360" w:lineRule="auto"/>
        <w:rPr>
          <w:b/>
          <w:lang w:val="en-GB"/>
        </w:rPr>
      </w:pPr>
    </w:p>
    <w:p w14:paraId="0B318C1B" w14:textId="06D8A9E6" w:rsidR="00993C67" w:rsidRPr="00EF61B3" w:rsidRDefault="00993C67" w:rsidP="00EF61B3">
      <w:pPr>
        <w:spacing w:line="360" w:lineRule="auto"/>
        <w:rPr>
          <w:b/>
          <w:lang w:val="en-GB"/>
        </w:rPr>
      </w:pPr>
    </w:p>
    <w:p w14:paraId="40FA97F9" w14:textId="68A506DE" w:rsidR="00993C67" w:rsidRPr="00EF61B3" w:rsidRDefault="00993C67" w:rsidP="00EF61B3">
      <w:pPr>
        <w:spacing w:line="360" w:lineRule="auto"/>
        <w:rPr>
          <w:b/>
          <w:lang w:val="en-GB"/>
        </w:rPr>
      </w:pPr>
    </w:p>
    <w:p w14:paraId="1E056391" w14:textId="4FC98140" w:rsidR="00993C67" w:rsidRPr="00EF61B3" w:rsidRDefault="00993C67" w:rsidP="00EF61B3">
      <w:pPr>
        <w:spacing w:line="360" w:lineRule="auto"/>
        <w:rPr>
          <w:b/>
          <w:lang w:val="en-GB"/>
        </w:rPr>
      </w:pPr>
    </w:p>
    <w:p w14:paraId="00704A59" w14:textId="6EE0E07E" w:rsidR="00993C67" w:rsidRPr="00EF61B3" w:rsidRDefault="00993C67" w:rsidP="00EF61B3">
      <w:pPr>
        <w:spacing w:line="360" w:lineRule="auto"/>
        <w:rPr>
          <w:b/>
          <w:lang w:val="en-GB"/>
        </w:rPr>
      </w:pPr>
    </w:p>
    <w:p w14:paraId="44112967" w14:textId="616E1B86" w:rsidR="00993C67" w:rsidRPr="00EF61B3" w:rsidRDefault="00993C67" w:rsidP="00EF61B3">
      <w:pPr>
        <w:spacing w:line="360" w:lineRule="auto"/>
        <w:rPr>
          <w:b/>
          <w:lang w:val="en-GB"/>
        </w:rPr>
      </w:pPr>
    </w:p>
    <w:p w14:paraId="5822CBFB" w14:textId="49F83007" w:rsidR="00993C67" w:rsidRPr="00EF61B3" w:rsidRDefault="00993C67" w:rsidP="00EF61B3">
      <w:pPr>
        <w:spacing w:line="360" w:lineRule="auto"/>
        <w:rPr>
          <w:b/>
          <w:lang w:val="en-GB"/>
        </w:rPr>
      </w:pPr>
    </w:p>
    <w:p w14:paraId="51576032" w14:textId="20124E56" w:rsidR="00993C67" w:rsidRPr="00EF61B3" w:rsidRDefault="00993C67" w:rsidP="00EF61B3">
      <w:pPr>
        <w:spacing w:line="360" w:lineRule="auto"/>
        <w:rPr>
          <w:b/>
          <w:lang w:val="en-GB"/>
        </w:rPr>
      </w:pPr>
    </w:p>
    <w:p w14:paraId="7953E97E" w14:textId="23318614" w:rsidR="00993C67" w:rsidRPr="00EF61B3" w:rsidRDefault="00993C67" w:rsidP="00EF61B3">
      <w:pPr>
        <w:spacing w:line="360" w:lineRule="auto"/>
        <w:rPr>
          <w:b/>
          <w:lang w:val="en-GB"/>
        </w:rPr>
      </w:pPr>
    </w:p>
    <w:p w14:paraId="3DF1781F" w14:textId="739A0258" w:rsidR="00993C67" w:rsidRPr="00EF61B3" w:rsidRDefault="00993C67" w:rsidP="00EF61B3">
      <w:pPr>
        <w:spacing w:line="360" w:lineRule="auto"/>
        <w:rPr>
          <w:b/>
          <w:lang w:val="en-GB"/>
        </w:rPr>
      </w:pPr>
    </w:p>
    <w:p w14:paraId="7658D5F0" w14:textId="49144EA6" w:rsidR="00993C67" w:rsidRPr="00EF61B3" w:rsidRDefault="00993C67" w:rsidP="00EF61B3">
      <w:pPr>
        <w:spacing w:line="360" w:lineRule="auto"/>
        <w:rPr>
          <w:b/>
          <w:lang w:val="en-GB"/>
        </w:rPr>
      </w:pPr>
    </w:p>
    <w:p w14:paraId="2B1A16E4" w14:textId="22ECE17A" w:rsidR="00993C67" w:rsidRPr="00EF61B3" w:rsidRDefault="00993C67" w:rsidP="00EF61B3">
      <w:pPr>
        <w:spacing w:line="360" w:lineRule="auto"/>
        <w:rPr>
          <w:b/>
          <w:lang w:val="en-GB"/>
        </w:rPr>
      </w:pPr>
    </w:p>
    <w:p w14:paraId="7492C515" w14:textId="3D9FA692" w:rsidR="00993C67" w:rsidRPr="00EF61B3" w:rsidRDefault="00993C67" w:rsidP="00EF61B3">
      <w:pPr>
        <w:spacing w:line="360" w:lineRule="auto"/>
        <w:rPr>
          <w:b/>
          <w:lang w:val="en-GB"/>
        </w:rPr>
      </w:pPr>
    </w:p>
    <w:p w14:paraId="30C61744" w14:textId="3A775895" w:rsidR="00993C67" w:rsidRPr="00EF61B3" w:rsidRDefault="00993C67" w:rsidP="00EF61B3">
      <w:pPr>
        <w:spacing w:line="360" w:lineRule="auto"/>
        <w:rPr>
          <w:b/>
          <w:lang w:val="en-GB"/>
        </w:rPr>
      </w:pPr>
    </w:p>
    <w:p w14:paraId="0F8E0D8B" w14:textId="57AA56ED" w:rsidR="00993C67" w:rsidRPr="00EF61B3" w:rsidRDefault="00993C67" w:rsidP="00EF61B3">
      <w:pPr>
        <w:spacing w:line="360" w:lineRule="auto"/>
        <w:rPr>
          <w:b/>
          <w:lang w:val="en-GB"/>
        </w:rPr>
      </w:pPr>
    </w:p>
    <w:p w14:paraId="3CD59C3D" w14:textId="77777777" w:rsidR="00993C67" w:rsidRPr="00EF61B3" w:rsidRDefault="00993C67" w:rsidP="00EF61B3">
      <w:pPr>
        <w:spacing w:line="360" w:lineRule="auto"/>
        <w:rPr>
          <w:b/>
          <w:lang w:val="en-GB"/>
        </w:rPr>
      </w:pPr>
    </w:p>
    <w:p w14:paraId="00000004" w14:textId="508AC908" w:rsidR="00416361" w:rsidRPr="00EF61B3" w:rsidRDefault="003E2989" w:rsidP="00EF61B3">
      <w:pPr>
        <w:spacing w:line="360" w:lineRule="auto"/>
        <w:jc w:val="center"/>
        <w:rPr>
          <w:b/>
          <w:lang w:val="en-GB"/>
        </w:rPr>
      </w:pPr>
      <w:r w:rsidRPr="00EF61B3">
        <w:rPr>
          <w:b/>
          <w:lang w:val="en-GB"/>
        </w:rPr>
        <w:lastRenderedPageBreak/>
        <w:t>Executive Summary</w:t>
      </w:r>
    </w:p>
    <w:p w14:paraId="00000005" w14:textId="18344E3E" w:rsidR="00FE6F6B" w:rsidRPr="00EF61B3" w:rsidRDefault="003E2989" w:rsidP="00EF61B3">
      <w:pPr>
        <w:spacing w:before="240" w:after="240" w:line="360" w:lineRule="auto"/>
        <w:jc w:val="both"/>
        <w:rPr>
          <w:lang w:val="en-GB"/>
        </w:rPr>
      </w:pPr>
      <w:r w:rsidRPr="00EF61B3">
        <w:rPr>
          <w:lang w:val="en-GB"/>
        </w:rPr>
        <w:t xml:space="preserve">This paper discusses flexible working concerning diversity and inclusion at work. It further </w:t>
      </w:r>
      <w:r w:rsidR="009325F6" w:rsidRPr="00EF61B3">
        <w:rPr>
          <w:lang w:val="en-GB"/>
        </w:rPr>
        <w:t>analyses</w:t>
      </w:r>
      <w:r w:rsidRPr="00EF61B3">
        <w:rPr>
          <w:lang w:val="en-GB"/>
        </w:rPr>
        <w:t xml:space="preserve"> the role of Human Resources in promoting diversity and inclusion through the method of flexible working. Inequality is another issue when it comes to working flexibility. This paper also </w:t>
      </w:r>
      <w:r w:rsidR="009325F6" w:rsidRPr="00EF61B3">
        <w:rPr>
          <w:lang w:val="en-GB"/>
        </w:rPr>
        <w:t>analyses</w:t>
      </w:r>
      <w:r w:rsidRPr="00EF61B3">
        <w:rPr>
          <w:lang w:val="en-GB"/>
        </w:rPr>
        <w:t xml:space="preserve"> the role of HR in addressing the concerns of inequality inflexible workplace. Diversity and inclusion are two notions that are related but not identical. Inequality in the workplace refers to unequal treatment of employees depending on their gender, height, weight, sexuality, </w:t>
      </w:r>
      <w:proofErr w:type="gramStart"/>
      <w:r w:rsidRPr="00EF61B3">
        <w:rPr>
          <w:lang w:val="en-GB"/>
        </w:rPr>
        <w:t>race</w:t>
      </w:r>
      <w:proofErr w:type="gramEnd"/>
      <w:r w:rsidRPr="00EF61B3">
        <w:rPr>
          <w:lang w:val="en-GB"/>
        </w:rPr>
        <w:t xml:space="preserve"> or accent. </w:t>
      </w:r>
    </w:p>
    <w:p w14:paraId="7BC43B04" w14:textId="77777777" w:rsidR="00FE6F6B" w:rsidRPr="00EF61B3" w:rsidRDefault="003E2989" w:rsidP="00EF61B3">
      <w:pPr>
        <w:spacing w:line="360" w:lineRule="auto"/>
        <w:rPr>
          <w:lang w:val="en-GB"/>
        </w:rPr>
      </w:pPr>
      <w:r w:rsidRPr="00EF61B3">
        <w:rPr>
          <w:lang w:val="en-GB"/>
        </w:rPr>
        <w:br w:type="page"/>
      </w:r>
    </w:p>
    <w:sdt>
      <w:sdtPr>
        <w:rPr>
          <w:rFonts w:ascii="Arial" w:eastAsia="Arial" w:hAnsi="Arial" w:cs="Arial"/>
          <w:color w:val="auto"/>
          <w:sz w:val="22"/>
          <w:szCs w:val="22"/>
          <w:lang w:val="en-GB" w:eastAsia="en-IN"/>
        </w:rPr>
        <w:id w:val="1302117359"/>
        <w:docPartObj>
          <w:docPartGallery w:val="Table of Contents"/>
          <w:docPartUnique/>
        </w:docPartObj>
      </w:sdtPr>
      <w:sdtEndPr>
        <w:rPr>
          <w:b/>
          <w:bCs/>
          <w:noProof/>
        </w:rPr>
      </w:sdtEndPr>
      <w:sdtContent>
        <w:p w14:paraId="322FF14B" w14:textId="0DCA5940" w:rsidR="00FE6F6B" w:rsidRPr="00EF61B3" w:rsidRDefault="003E2989" w:rsidP="00EF61B3">
          <w:pPr>
            <w:pStyle w:val="TOCHeading"/>
            <w:spacing w:line="360" w:lineRule="auto"/>
            <w:jc w:val="center"/>
            <w:rPr>
              <w:rFonts w:ascii="Arial" w:hAnsi="Arial" w:cs="Arial"/>
              <w:b/>
              <w:color w:val="auto"/>
              <w:sz w:val="22"/>
              <w:szCs w:val="22"/>
              <w:lang w:val="en-GB"/>
            </w:rPr>
          </w:pPr>
          <w:r w:rsidRPr="00EF61B3">
            <w:rPr>
              <w:rFonts w:ascii="Arial" w:hAnsi="Arial" w:cs="Arial"/>
              <w:b/>
              <w:color w:val="auto"/>
              <w:sz w:val="22"/>
              <w:szCs w:val="22"/>
              <w:lang w:val="en-GB"/>
            </w:rPr>
            <w:t>Table of Contents</w:t>
          </w:r>
        </w:p>
        <w:p w14:paraId="4857CD4F" w14:textId="088FF850" w:rsidR="00FE6F6B" w:rsidRPr="00EF61B3" w:rsidRDefault="003E2989" w:rsidP="00EF61B3">
          <w:pPr>
            <w:pStyle w:val="TOC1"/>
            <w:tabs>
              <w:tab w:val="right" w:leader="dot" w:pos="9350"/>
            </w:tabs>
            <w:spacing w:line="360" w:lineRule="auto"/>
            <w:rPr>
              <w:rFonts w:eastAsiaTheme="minorEastAsia"/>
              <w:noProof/>
              <w:lang w:val="en-GB"/>
            </w:rPr>
          </w:pPr>
          <w:r w:rsidRPr="00EF61B3">
            <w:rPr>
              <w:lang w:val="en-GB"/>
            </w:rPr>
            <w:fldChar w:fldCharType="begin"/>
          </w:r>
          <w:r w:rsidRPr="00EF61B3">
            <w:rPr>
              <w:lang w:val="en-GB"/>
            </w:rPr>
            <w:instrText xml:space="preserve"> TOC \o "1-3" \h \z \u </w:instrText>
          </w:r>
          <w:r w:rsidRPr="00EF61B3">
            <w:rPr>
              <w:lang w:val="en-GB"/>
            </w:rPr>
            <w:fldChar w:fldCharType="separate"/>
          </w:r>
          <w:hyperlink w:anchor="_Toc100264753" w:history="1">
            <w:r w:rsidRPr="00EF61B3">
              <w:rPr>
                <w:rStyle w:val="Hyperlink"/>
                <w:noProof/>
                <w:color w:val="auto"/>
                <w:lang w:val="en-GB"/>
              </w:rPr>
              <w:t>Introduction</w:t>
            </w:r>
            <w:r w:rsidRPr="00EF61B3">
              <w:rPr>
                <w:noProof/>
                <w:webHidden/>
                <w:lang w:val="en-GB"/>
              </w:rPr>
              <w:tab/>
            </w:r>
            <w:r w:rsidRPr="00EF61B3">
              <w:rPr>
                <w:noProof/>
                <w:webHidden/>
                <w:lang w:val="en-GB"/>
              </w:rPr>
              <w:fldChar w:fldCharType="begin"/>
            </w:r>
            <w:r w:rsidRPr="00EF61B3">
              <w:rPr>
                <w:noProof/>
                <w:webHidden/>
                <w:lang w:val="en-GB"/>
              </w:rPr>
              <w:instrText xml:space="preserve"> PAGEREF _Toc100264753 \h </w:instrText>
            </w:r>
            <w:r w:rsidRPr="00EF61B3">
              <w:rPr>
                <w:noProof/>
                <w:webHidden/>
                <w:lang w:val="en-GB"/>
              </w:rPr>
            </w:r>
            <w:r w:rsidRPr="00EF61B3">
              <w:rPr>
                <w:noProof/>
                <w:webHidden/>
                <w:lang w:val="en-GB"/>
              </w:rPr>
              <w:fldChar w:fldCharType="separate"/>
            </w:r>
            <w:r w:rsidRPr="00EF61B3">
              <w:rPr>
                <w:noProof/>
                <w:webHidden/>
                <w:lang w:val="en-GB"/>
              </w:rPr>
              <w:t>4</w:t>
            </w:r>
            <w:r w:rsidRPr="00EF61B3">
              <w:rPr>
                <w:noProof/>
                <w:webHidden/>
                <w:lang w:val="en-GB"/>
              </w:rPr>
              <w:fldChar w:fldCharType="end"/>
            </w:r>
          </w:hyperlink>
        </w:p>
        <w:p w14:paraId="6B6C1AA0" w14:textId="03A9DF5E" w:rsidR="00FE6F6B" w:rsidRPr="00EF61B3" w:rsidRDefault="00CC60BA" w:rsidP="00EF61B3">
          <w:pPr>
            <w:pStyle w:val="TOC1"/>
            <w:tabs>
              <w:tab w:val="right" w:leader="dot" w:pos="9350"/>
            </w:tabs>
            <w:spacing w:line="360" w:lineRule="auto"/>
            <w:rPr>
              <w:rFonts w:eastAsiaTheme="minorEastAsia"/>
              <w:noProof/>
              <w:lang w:val="en-GB"/>
            </w:rPr>
          </w:pPr>
          <w:hyperlink w:anchor="_Toc100264754" w:history="1">
            <w:r w:rsidR="003E2989" w:rsidRPr="00EF61B3">
              <w:rPr>
                <w:rStyle w:val="Hyperlink"/>
                <w:noProof/>
                <w:color w:val="auto"/>
                <w:lang w:val="en-GB"/>
              </w:rPr>
              <w:t>A case in favour of flexible working concerning diversity and inclusion at work</w:t>
            </w:r>
            <w:r w:rsidR="003E2989" w:rsidRPr="00EF61B3">
              <w:rPr>
                <w:noProof/>
                <w:webHidden/>
                <w:lang w:val="en-GB"/>
              </w:rPr>
              <w:tab/>
            </w:r>
            <w:r w:rsidR="003E2989" w:rsidRPr="00EF61B3">
              <w:rPr>
                <w:noProof/>
                <w:webHidden/>
                <w:lang w:val="en-GB"/>
              </w:rPr>
              <w:fldChar w:fldCharType="begin"/>
            </w:r>
            <w:r w:rsidR="003E2989" w:rsidRPr="00EF61B3">
              <w:rPr>
                <w:noProof/>
                <w:webHidden/>
                <w:lang w:val="en-GB"/>
              </w:rPr>
              <w:instrText xml:space="preserve"> PAGEREF _Toc100264754 \h </w:instrText>
            </w:r>
            <w:r w:rsidR="003E2989" w:rsidRPr="00EF61B3">
              <w:rPr>
                <w:noProof/>
                <w:webHidden/>
                <w:lang w:val="en-GB"/>
              </w:rPr>
            </w:r>
            <w:r w:rsidR="003E2989" w:rsidRPr="00EF61B3">
              <w:rPr>
                <w:noProof/>
                <w:webHidden/>
                <w:lang w:val="en-GB"/>
              </w:rPr>
              <w:fldChar w:fldCharType="separate"/>
            </w:r>
            <w:r w:rsidR="003E2989" w:rsidRPr="00EF61B3">
              <w:rPr>
                <w:noProof/>
                <w:webHidden/>
                <w:lang w:val="en-GB"/>
              </w:rPr>
              <w:t>4</w:t>
            </w:r>
            <w:r w:rsidR="003E2989" w:rsidRPr="00EF61B3">
              <w:rPr>
                <w:noProof/>
                <w:webHidden/>
                <w:lang w:val="en-GB"/>
              </w:rPr>
              <w:fldChar w:fldCharType="end"/>
            </w:r>
          </w:hyperlink>
        </w:p>
        <w:p w14:paraId="2D465E8B" w14:textId="73B13BB2" w:rsidR="00FE6F6B" w:rsidRPr="00EF61B3" w:rsidRDefault="00CC60BA" w:rsidP="00EF61B3">
          <w:pPr>
            <w:pStyle w:val="TOC1"/>
            <w:tabs>
              <w:tab w:val="right" w:leader="dot" w:pos="9350"/>
            </w:tabs>
            <w:spacing w:line="360" w:lineRule="auto"/>
            <w:rPr>
              <w:rFonts w:eastAsiaTheme="minorEastAsia"/>
              <w:noProof/>
              <w:lang w:val="en-GB"/>
            </w:rPr>
          </w:pPr>
          <w:hyperlink w:anchor="_Toc100264755" w:history="1">
            <w:r w:rsidR="003E2989" w:rsidRPr="00EF61B3">
              <w:rPr>
                <w:rStyle w:val="Hyperlink"/>
                <w:noProof/>
                <w:color w:val="auto"/>
                <w:lang w:val="en-GB"/>
              </w:rPr>
              <w:t>The role of Human Resources in promoting diversity</w:t>
            </w:r>
            <w:r w:rsidR="003E2989" w:rsidRPr="00EF61B3">
              <w:rPr>
                <w:noProof/>
                <w:webHidden/>
                <w:lang w:val="en-GB"/>
              </w:rPr>
              <w:tab/>
            </w:r>
            <w:r w:rsidR="003E2989" w:rsidRPr="00EF61B3">
              <w:rPr>
                <w:noProof/>
                <w:webHidden/>
                <w:lang w:val="en-GB"/>
              </w:rPr>
              <w:fldChar w:fldCharType="begin"/>
            </w:r>
            <w:r w:rsidR="003E2989" w:rsidRPr="00EF61B3">
              <w:rPr>
                <w:noProof/>
                <w:webHidden/>
                <w:lang w:val="en-GB"/>
              </w:rPr>
              <w:instrText xml:space="preserve"> PAGEREF _Toc100264755 \h </w:instrText>
            </w:r>
            <w:r w:rsidR="003E2989" w:rsidRPr="00EF61B3">
              <w:rPr>
                <w:noProof/>
                <w:webHidden/>
                <w:lang w:val="en-GB"/>
              </w:rPr>
            </w:r>
            <w:r w:rsidR="003E2989" w:rsidRPr="00EF61B3">
              <w:rPr>
                <w:noProof/>
                <w:webHidden/>
                <w:lang w:val="en-GB"/>
              </w:rPr>
              <w:fldChar w:fldCharType="separate"/>
            </w:r>
            <w:r w:rsidR="003E2989" w:rsidRPr="00EF61B3">
              <w:rPr>
                <w:noProof/>
                <w:webHidden/>
                <w:lang w:val="en-GB"/>
              </w:rPr>
              <w:t>6</w:t>
            </w:r>
            <w:r w:rsidR="003E2989" w:rsidRPr="00EF61B3">
              <w:rPr>
                <w:noProof/>
                <w:webHidden/>
                <w:lang w:val="en-GB"/>
              </w:rPr>
              <w:fldChar w:fldCharType="end"/>
            </w:r>
          </w:hyperlink>
        </w:p>
        <w:p w14:paraId="7FA5BC0E" w14:textId="014D5AB2" w:rsidR="00FE6F6B" w:rsidRPr="00EF61B3" w:rsidRDefault="00CC60BA" w:rsidP="00EF61B3">
          <w:pPr>
            <w:pStyle w:val="TOC1"/>
            <w:tabs>
              <w:tab w:val="right" w:leader="dot" w:pos="9350"/>
            </w:tabs>
            <w:spacing w:line="360" w:lineRule="auto"/>
            <w:rPr>
              <w:rFonts w:eastAsiaTheme="minorEastAsia"/>
              <w:noProof/>
              <w:lang w:val="en-GB"/>
            </w:rPr>
          </w:pPr>
          <w:hyperlink w:anchor="_Toc100264756" w:history="1">
            <w:r w:rsidR="003E2989" w:rsidRPr="00EF61B3">
              <w:rPr>
                <w:rStyle w:val="Hyperlink"/>
                <w:noProof/>
                <w:color w:val="auto"/>
                <w:lang w:val="en-GB"/>
              </w:rPr>
              <w:t>A case against flexible working concerning inequality at work</w:t>
            </w:r>
            <w:r w:rsidR="003E2989" w:rsidRPr="00EF61B3">
              <w:rPr>
                <w:noProof/>
                <w:webHidden/>
                <w:lang w:val="en-GB"/>
              </w:rPr>
              <w:tab/>
            </w:r>
            <w:r w:rsidR="003E2989" w:rsidRPr="00EF61B3">
              <w:rPr>
                <w:noProof/>
                <w:webHidden/>
                <w:lang w:val="en-GB"/>
              </w:rPr>
              <w:fldChar w:fldCharType="begin"/>
            </w:r>
            <w:r w:rsidR="003E2989" w:rsidRPr="00EF61B3">
              <w:rPr>
                <w:noProof/>
                <w:webHidden/>
                <w:lang w:val="en-GB"/>
              </w:rPr>
              <w:instrText xml:space="preserve"> PAGEREF _Toc100264756 \h </w:instrText>
            </w:r>
            <w:r w:rsidR="003E2989" w:rsidRPr="00EF61B3">
              <w:rPr>
                <w:noProof/>
                <w:webHidden/>
                <w:lang w:val="en-GB"/>
              </w:rPr>
            </w:r>
            <w:r w:rsidR="003E2989" w:rsidRPr="00EF61B3">
              <w:rPr>
                <w:noProof/>
                <w:webHidden/>
                <w:lang w:val="en-GB"/>
              </w:rPr>
              <w:fldChar w:fldCharType="separate"/>
            </w:r>
            <w:r w:rsidR="003E2989" w:rsidRPr="00EF61B3">
              <w:rPr>
                <w:noProof/>
                <w:webHidden/>
                <w:lang w:val="en-GB"/>
              </w:rPr>
              <w:t>7</w:t>
            </w:r>
            <w:r w:rsidR="003E2989" w:rsidRPr="00EF61B3">
              <w:rPr>
                <w:noProof/>
                <w:webHidden/>
                <w:lang w:val="en-GB"/>
              </w:rPr>
              <w:fldChar w:fldCharType="end"/>
            </w:r>
          </w:hyperlink>
        </w:p>
        <w:p w14:paraId="142C62D2" w14:textId="0FA6FAF1" w:rsidR="00FE6F6B" w:rsidRPr="00EF61B3" w:rsidRDefault="00CC60BA" w:rsidP="00EF61B3">
          <w:pPr>
            <w:pStyle w:val="TOC1"/>
            <w:tabs>
              <w:tab w:val="right" w:leader="dot" w:pos="9350"/>
            </w:tabs>
            <w:spacing w:line="360" w:lineRule="auto"/>
            <w:rPr>
              <w:rFonts w:eastAsiaTheme="minorEastAsia"/>
              <w:noProof/>
              <w:lang w:val="en-GB"/>
            </w:rPr>
          </w:pPr>
          <w:hyperlink w:anchor="_Toc100264757" w:history="1">
            <w:r w:rsidR="003E2989" w:rsidRPr="00EF61B3">
              <w:rPr>
                <w:rStyle w:val="Hyperlink"/>
                <w:noProof/>
                <w:color w:val="auto"/>
                <w:lang w:val="en-GB"/>
              </w:rPr>
              <w:t>The role of Human Resources in addressing the concerns of inequality</w:t>
            </w:r>
            <w:r w:rsidR="003E2989" w:rsidRPr="00EF61B3">
              <w:rPr>
                <w:noProof/>
                <w:webHidden/>
                <w:lang w:val="en-GB"/>
              </w:rPr>
              <w:tab/>
            </w:r>
            <w:r w:rsidR="003E2989" w:rsidRPr="00EF61B3">
              <w:rPr>
                <w:noProof/>
                <w:webHidden/>
                <w:lang w:val="en-GB"/>
              </w:rPr>
              <w:fldChar w:fldCharType="begin"/>
            </w:r>
            <w:r w:rsidR="003E2989" w:rsidRPr="00EF61B3">
              <w:rPr>
                <w:noProof/>
                <w:webHidden/>
                <w:lang w:val="en-GB"/>
              </w:rPr>
              <w:instrText xml:space="preserve"> PAGEREF _Toc100264757 \h </w:instrText>
            </w:r>
            <w:r w:rsidR="003E2989" w:rsidRPr="00EF61B3">
              <w:rPr>
                <w:noProof/>
                <w:webHidden/>
                <w:lang w:val="en-GB"/>
              </w:rPr>
            </w:r>
            <w:r w:rsidR="003E2989" w:rsidRPr="00EF61B3">
              <w:rPr>
                <w:noProof/>
                <w:webHidden/>
                <w:lang w:val="en-GB"/>
              </w:rPr>
              <w:fldChar w:fldCharType="separate"/>
            </w:r>
            <w:r w:rsidR="003E2989" w:rsidRPr="00EF61B3">
              <w:rPr>
                <w:noProof/>
                <w:webHidden/>
                <w:lang w:val="en-GB"/>
              </w:rPr>
              <w:t>8</w:t>
            </w:r>
            <w:r w:rsidR="003E2989" w:rsidRPr="00EF61B3">
              <w:rPr>
                <w:noProof/>
                <w:webHidden/>
                <w:lang w:val="en-GB"/>
              </w:rPr>
              <w:fldChar w:fldCharType="end"/>
            </w:r>
          </w:hyperlink>
        </w:p>
        <w:p w14:paraId="05D7BDFA" w14:textId="0BE030EE" w:rsidR="00FE6F6B" w:rsidRPr="00EF61B3" w:rsidRDefault="00CC60BA" w:rsidP="00EF61B3">
          <w:pPr>
            <w:pStyle w:val="TOC1"/>
            <w:tabs>
              <w:tab w:val="right" w:leader="dot" w:pos="9350"/>
            </w:tabs>
            <w:spacing w:line="360" w:lineRule="auto"/>
            <w:rPr>
              <w:rFonts w:eastAsiaTheme="minorEastAsia"/>
              <w:noProof/>
              <w:lang w:val="en-GB"/>
            </w:rPr>
          </w:pPr>
          <w:hyperlink w:anchor="_Toc100264758" w:history="1">
            <w:r w:rsidR="003E2989" w:rsidRPr="00EF61B3">
              <w:rPr>
                <w:rStyle w:val="Hyperlink"/>
                <w:noProof/>
                <w:color w:val="auto"/>
                <w:lang w:val="en-GB"/>
              </w:rPr>
              <w:t>Conclusion</w:t>
            </w:r>
            <w:r w:rsidR="003E2989" w:rsidRPr="00EF61B3">
              <w:rPr>
                <w:noProof/>
                <w:webHidden/>
                <w:lang w:val="en-GB"/>
              </w:rPr>
              <w:tab/>
            </w:r>
            <w:r w:rsidR="003E2989" w:rsidRPr="00EF61B3">
              <w:rPr>
                <w:noProof/>
                <w:webHidden/>
                <w:lang w:val="en-GB"/>
              </w:rPr>
              <w:fldChar w:fldCharType="begin"/>
            </w:r>
            <w:r w:rsidR="003E2989" w:rsidRPr="00EF61B3">
              <w:rPr>
                <w:noProof/>
                <w:webHidden/>
                <w:lang w:val="en-GB"/>
              </w:rPr>
              <w:instrText xml:space="preserve"> PAGEREF _Toc100264758 \h </w:instrText>
            </w:r>
            <w:r w:rsidR="003E2989" w:rsidRPr="00EF61B3">
              <w:rPr>
                <w:noProof/>
                <w:webHidden/>
                <w:lang w:val="en-GB"/>
              </w:rPr>
            </w:r>
            <w:r w:rsidR="003E2989" w:rsidRPr="00EF61B3">
              <w:rPr>
                <w:noProof/>
                <w:webHidden/>
                <w:lang w:val="en-GB"/>
              </w:rPr>
              <w:fldChar w:fldCharType="separate"/>
            </w:r>
            <w:r w:rsidR="003E2989" w:rsidRPr="00EF61B3">
              <w:rPr>
                <w:noProof/>
                <w:webHidden/>
                <w:lang w:val="en-GB"/>
              </w:rPr>
              <w:t>10</w:t>
            </w:r>
            <w:r w:rsidR="003E2989" w:rsidRPr="00EF61B3">
              <w:rPr>
                <w:noProof/>
                <w:webHidden/>
                <w:lang w:val="en-GB"/>
              </w:rPr>
              <w:fldChar w:fldCharType="end"/>
            </w:r>
          </w:hyperlink>
        </w:p>
        <w:p w14:paraId="409FCF53" w14:textId="1AD7EC6F" w:rsidR="00FE6F6B" w:rsidRPr="00EF61B3" w:rsidRDefault="00CC60BA" w:rsidP="00EF61B3">
          <w:pPr>
            <w:pStyle w:val="TOC1"/>
            <w:tabs>
              <w:tab w:val="right" w:leader="dot" w:pos="9350"/>
            </w:tabs>
            <w:spacing w:line="360" w:lineRule="auto"/>
            <w:rPr>
              <w:rFonts w:eastAsiaTheme="minorEastAsia"/>
              <w:noProof/>
              <w:lang w:val="en-GB"/>
            </w:rPr>
          </w:pPr>
          <w:hyperlink w:anchor="_Toc100264759" w:history="1">
            <w:r w:rsidR="003E2989" w:rsidRPr="00EF61B3">
              <w:rPr>
                <w:rStyle w:val="Hyperlink"/>
                <w:noProof/>
                <w:color w:val="auto"/>
                <w:lang w:val="en-GB"/>
              </w:rPr>
              <w:t>References</w:t>
            </w:r>
            <w:r w:rsidR="003E2989" w:rsidRPr="00EF61B3">
              <w:rPr>
                <w:noProof/>
                <w:webHidden/>
                <w:lang w:val="en-GB"/>
              </w:rPr>
              <w:tab/>
            </w:r>
            <w:r w:rsidR="003E2989" w:rsidRPr="00EF61B3">
              <w:rPr>
                <w:noProof/>
                <w:webHidden/>
                <w:lang w:val="en-GB"/>
              </w:rPr>
              <w:fldChar w:fldCharType="begin"/>
            </w:r>
            <w:r w:rsidR="003E2989" w:rsidRPr="00EF61B3">
              <w:rPr>
                <w:noProof/>
                <w:webHidden/>
                <w:lang w:val="en-GB"/>
              </w:rPr>
              <w:instrText xml:space="preserve"> PAGEREF _Toc100264759 \h </w:instrText>
            </w:r>
            <w:r w:rsidR="003E2989" w:rsidRPr="00EF61B3">
              <w:rPr>
                <w:noProof/>
                <w:webHidden/>
                <w:lang w:val="en-GB"/>
              </w:rPr>
            </w:r>
            <w:r w:rsidR="003E2989" w:rsidRPr="00EF61B3">
              <w:rPr>
                <w:noProof/>
                <w:webHidden/>
                <w:lang w:val="en-GB"/>
              </w:rPr>
              <w:fldChar w:fldCharType="separate"/>
            </w:r>
            <w:r w:rsidR="003E2989" w:rsidRPr="00EF61B3">
              <w:rPr>
                <w:noProof/>
                <w:webHidden/>
                <w:lang w:val="en-GB"/>
              </w:rPr>
              <w:t>11</w:t>
            </w:r>
            <w:r w:rsidR="003E2989" w:rsidRPr="00EF61B3">
              <w:rPr>
                <w:noProof/>
                <w:webHidden/>
                <w:lang w:val="en-GB"/>
              </w:rPr>
              <w:fldChar w:fldCharType="end"/>
            </w:r>
          </w:hyperlink>
        </w:p>
        <w:p w14:paraId="7448982B" w14:textId="14A2E5D5" w:rsidR="00FE6F6B" w:rsidRPr="00EF61B3" w:rsidRDefault="003E2989" w:rsidP="00EF61B3">
          <w:pPr>
            <w:spacing w:line="360" w:lineRule="auto"/>
            <w:rPr>
              <w:lang w:val="en-GB"/>
            </w:rPr>
          </w:pPr>
          <w:r w:rsidRPr="00EF61B3">
            <w:rPr>
              <w:b/>
              <w:bCs/>
              <w:noProof/>
              <w:lang w:val="en-GB"/>
            </w:rPr>
            <w:fldChar w:fldCharType="end"/>
          </w:r>
        </w:p>
      </w:sdtContent>
    </w:sdt>
    <w:p w14:paraId="6ADCE497" w14:textId="53A564F8" w:rsidR="00FE6F6B" w:rsidRPr="00EF61B3" w:rsidRDefault="003E2989" w:rsidP="00EF61B3">
      <w:pPr>
        <w:spacing w:line="360" w:lineRule="auto"/>
        <w:rPr>
          <w:b/>
          <w:lang w:val="en-GB"/>
        </w:rPr>
      </w:pPr>
      <w:r w:rsidRPr="00EF61B3">
        <w:rPr>
          <w:b/>
          <w:lang w:val="en-GB"/>
        </w:rPr>
        <w:br w:type="page"/>
      </w:r>
    </w:p>
    <w:p w14:paraId="00000006" w14:textId="359821AA" w:rsidR="00416361" w:rsidRPr="00EF61B3" w:rsidRDefault="003E2989" w:rsidP="00EF61B3">
      <w:pPr>
        <w:pStyle w:val="Heading1"/>
        <w:spacing w:line="360" w:lineRule="auto"/>
        <w:rPr>
          <w:rFonts w:ascii="Arial" w:hAnsi="Arial"/>
          <w:sz w:val="22"/>
          <w:szCs w:val="22"/>
          <w:lang w:val="en-GB"/>
        </w:rPr>
      </w:pPr>
      <w:bookmarkStart w:id="0" w:name="_Toc100264753"/>
      <w:r w:rsidRPr="00EF61B3">
        <w:rPr>
          <w:rFonts w:ascii="Arial" w:hAnsi="Arial"/>
          <w:sz w:val="22"/>
          <w:szCs w:val="22"/>
          <w:lang w:val="en-GB"/>
        </w:rPr>
        <w:lastRenderedPageBreak/>
        <w:t>Introduction</w:t>
      </w:r>
      <w:bookmarkEnd w:id="0"/>
      <w:r w:rsidRPr="00EF61B3">
        <w:rPr>
          <w:rFonts w:ascii="Arial" w:hAnsi="Arial"/>
          <w:sz w:val="22"/>
          <w:szCs w:val="22"/>
          <w:lang w:val="en-GB"/>
        </w:rPr>
        <w:t xml:space="preserve"> </w:t>
      </w:r>
    </w:p>
    <w:p w14:paraId="00000007" w14:textId="4E6229D9" w:rsidR="00416361" w:rsidRPr="00EF61B3" w:rsidRDefault="003E2989" w:rsidP="00EF61B3">
      <w:pPr>
        <w:spacing w:before="240" w:after="240" w:line="360" w:lineRule="auto"/>
        <w:jc w:val="both"/>
        <w:rPr>
          <w:lang w:val="en-GB"/>
        </w:rPr>
      </w:pPr>
      <w:r w:rsidRPr="00EF61B3">
        <w:rPr>
          <w:lang w:val="en-GB"/>
        </w:rPr>
        <w:t xml:space="preserve">This paper discusses flexible working concerning diversity and inclusion at work. It further </w:t>
      </w:r>
      <w:r w:rsidR="00150D98" w:rsidRPr="00EF61B3">
        <w:rPr>
          <w:lang w:val="en-GB"/>
        </w:rPr>
        <w:t>analyses</w:t>
      </w:r>
      <w:r w:rsidRPr="00EF61B3">
        <w:rPr>
          <w:lang w:val="en-GB"/>
        </w:rPr>
        <w:t xml:space="preserve"> the role of Human Resources in promoting diversity and inclusion through the method of flexible working. Inequality is another issue when it comes to working flexibility. This paper also </w:t>
      </w:r>
      <w:r w:rsidR="00150D98" w:rsidRPr="00EF61B3">
        <w:rPr>
          <w:lang w:val="en-GB"/>
        </w:rPr>
        <w:t>analyses</w:t>
      </w:r>
      <w:r w:rsidRPr="00EF61B3">
        <w:rPr>
          <w:lang w:val="en-GB"/>
        </w:rPr>
        <w:t xml:space="preserve"> the role of HR in addressing the concerns of inequality inflexible workplace. Diversity and inclusion are two notions that are related but not identical. Inequality in the workplace refers to unequal treatment of employees depending on their gender, height, weight, sexuality, </w:t>
      </w:r>
      <w:proofErr w:type="gramStart"/>
      <w:r w:rsidRPr="00EF61B3">
        <w:rPr>
          <w:lang w:val="en-GB"/>
        </w:rPr>
        <w:t>race</w:t>
      </w:r>
      <w:proofErr w:type="gramEnd"/>
      <w:r w:rsidRPr="00EF61B3">
        <w:rPr>
          <w:lang w:val="en-GB"/>
        </w:rPr>
        <w:t xml:space="preserve"> or accent. According to recent studies, </w:t>
      </w:r>
      <w:proofErr w:type="gramStart"/>
      <w:r w:rsidRPr="00EF61B3">
        <w:rPr>
          <w:lang w:val="en-GB"/>
        </w:rPr>
        <w:t>a large number of</w:t>
      </w:r>
      <w:proofErr w:type="gramEnd"/>
      <w:r w:rsidRPr="00EF61B3">
        <w:rPr>
          <w:lang w:val="en-GB"/>
        </w:rPr>
        <w:t xml:space="preserve"> young people want the flexibility to work from home. It seems flexible working will eventually become very normal and not an exception in the future workplace. Flexible working can be a potential option, particularly for women who need to adjust their employment to family obligations. Flexible employment can be a beneficial strategy for advancing gender equality in cultures. Diverse and inclusive workplaces are increasingly a real problem for businesses all around the world. HR executives should examine areas where diversity and inclusion are suffering. </w:t>
      </w:r>
    </w:p>
    <w:p w14:paraId="00000008" w14:textId="06237A44" w:rsidR="00416361" w:rsidRPr="00EF61B3" w:rsidRDefault="003E2989" w:rsidP="00EF61B3">
      <w:pPr>
        <w:pStyle w:val="Heading1"/>
        <w:spacing w:line="360" w:lineRule="auto"/>
        <w:rPr>
          <w:rFonts w:ascii="Arial" w:hAnsi="Arial"/>
          <w:sz w:val="22"/>
          <w:szCs w:val="22"/>
          <w:lang w:val="en-GB"/>
        </w:rPr>
      </w:pPr>
      <w:bookmarkStart w:id="1" w:name="_Toc100264754"/>
      <w:r w:rsidRPr="00EF61B3">
        <w:rPr>
          <w:rFonts w:ascii="Arial" w:hAnsi="Arial"/>
          <w:sz w:val="22"/>
          <w:szCs w:val="22"/>
          <w:lang w:val="en-GB"/>
        </w:rPr>
        <w:t>A</w:t>
      </w:r>
      <w:r w:rsidR="00C54699" w:rsidRPr="00EF61B3">
        <w:rPr>
          <w:rFonts w:ascii="Arial" w:hAnsi="Arial"/>
          <w:sz w:val="22"/>
          <w:szCs w:val="22"/>
          <w:lang w:val="en-GB"/>
        </w:rPr>
        <w:t xml:space="preserve"> case in favour of flexible working concerning diversity and inclusion at work</w:t>
      </w:r>
      <w:bookmarkEnd w:id="1"/>
      <w:r w:rsidR="00C54699" w:rsidRPr="00EF61B3">
        <w:rPr>
          <w:rFonts w:ascii="Arial" w:hAnsi="Arial"/>
          <w:sz w:val="22"/>
          <w:szCs w:val="22"/>
          <w:lang w:val="en-GB"/>
        </w:rPr>
        <w:t xml:space="preserve"> </w:t>
      </w:r>
    </w:p>
    <w:p w14:paraId="39CEAEB2" w14:textId="0501045F" w:rsidR="004625AC" w:rsidRPr="00EF61B3" w:rsidRDefault="004625AC" w:rsidP="00EF61B3">
      <w:pPr>
        <w:spacing w:line="360" w:lineRule="auto"/>
        <w:jc w:val="both"/>
        <w:rPr>
          <w:b/>
          <w:bCs/>
          <w:lang w:val="en-GB"/>
        </w:rPr>
      </w:pPr>
      <w:r w:rsidRPr="00EF61B3">
        <w:rPr>
          <w:b/>
          <w:bCs/>
          <w:lang w:val="en-GB"/>
        </w:rPr>
        <w:t>Differentiation of employees in workplace</w:t>
      </w:r>
    </w:p>
    <w:p w14:paraId="00000009" w14:textId="71829658" w:rsidR="00416361" w:rsidRPr="00EF61B3" w:rsidRDefault="003E2989" w:rsidP="00EF61B3">
      <w:pPr>
        <w:spacing w:line="360" w:lineRule="auto"/>
        <w:jc w:val="both"/>
        <w:rPr>
          <w:lang w:val="en-GB"/>
        </w:rPr>
      </w:pPr>
      <w:r w:rsidRPr="00EF61B3">
        <w:rPr>
          <w:lang w:val="en-GB"/>
        </w:rPr>
        <w:t xml:space="preserve">Employees who differ in culture, religion, gender, race, degree, economic status, sexual orientation, and geographical area form a diverse workforce. When employees' differences are valued and accepted, there is inclusion in the workplace. Employees are an essential element of every company. The prosperity of a company is directly linked to the satisfaction of its employees. Employee welfare necessitates that they need to be treated with respect in the workplace. A centralised strategy for diversity and inclusion (D&amp;I) is therefore critical for a company (Chung and Van der Lippe, 2020). In recent years, both public policy and the individual's profession have placed a greater emphasis on diversity and inclusion. The government of the UK has released the Race Disparity Audit which has implemented a gender pay inequality report. The government is working on a strategy for obligatory ethnicity pay reporting. Evaluating diversity levels is the first step toward developing inclusive workplaces. </w:t>
      </w:r>
    </w:p>
    <w:p w14:paraId="0000000A" w14:textId="77777777" w:rsidR="00416361" w:rsidRPr="00EF61B3" w:rsidRDefault="00416361" w:rsidP="00EF61B3">
      <w:pPr>
        <w:spacing w:line="360" w:lineRule="auto"/>
        <w:jc w:val="both"/>
        <w:rPr>
          <w:lang w:val="en-GB"/>
        </w:rPr>
      </w:pPr>
    </w:p>
    <w:p w14:paraId="1E358713" w14:textId="77777777" w:rsidR="004625AC" w:rsidRPr="00EF61B3" w:rsidRDefault="003E2989" w:rsidP="00EF61B3">
      <w:pPr>
        <w:spacing w:line="360" w:lineRule="auto"/>
        <w:jc w:val="both"/>
        <w:rPr>
          <w:lang w:val="en-GB"/>
        </w:rPr>
      </w:pPr>
      <w:r w:rsidRPr="00EF61B3">
        <w:rPr>
          <w:lang w:val="en-GB"/>
        </w:rPr>
        <w:t xml:space="preserve">Flexible working is an important strategy for enhancing workplace equity and fostering inclusive workplaces. Any working style that departs from the traditional pattern is referred </w:t>
      </w:r>
      <w:r w:rsidRPr="00EF61B3">
        <w:rPr>
          <w:lang w:val="en-GB"/>
        </w:rPr>
        <w:lastRenderedPageBreak/>
        <w:t>to as flexible working (</w:t>
      </w:r>
      <w:proofErr w:type="spellStart"/>
      <w:r w:rsidRPr="00EF61B3">
        <w:rPr>
          <w:lang w:val="en-GB"/>
        </w:rPr>
        <w:t>Beigi</w:t>
      </w:r>
      <w:proofErr w:type="spellEnd"/>
      <w:r w:rsidRPr="00EF61B3">
        <w:rPr>
          <w:lang w:val="en-GB"/>
        </w:rPr>
        <w:t xml:space="preserve"> et al., 2018). Working remotely often comes to mind when one thinks about workplace flexibility. </w:t>
      </w:r>
      <w:proofErr w:type="gramStart"/>
      <w:r w:rsidRPr="00EF61B3">
        <w:rPr>
          <w:lang w:val="en-GB"/>
        </w:rPr>
        <w:t>In reality, there</w:t>
      </w:r>
      <w:proofErr w:type="gramEnd"/>
      <w:r w:rsidRPr="00EF61B3">
        <w:rPr>
          <w:lang w:val="en-GB"/>
        </w:rPr>
        <w:t xml:space="preserve"> are many different forms of flexible working such as hybrid working, part-time, fully remote, job share etc. A business must identify the most suitable combination for satisfying the requirements of its employees </w:t>
      </w:r>
      <w:proofErr w:type="gramStart"/>
      <w:r w:rsidRPr="00EF61B3">
        <w:rPr>
          <w:lang w:val="en-GB"/>
        </w:rPr>
        <w:t>and also</w:t>
      </w:r>
      <w:proofErr w:type="gramEnd"/>
      <w:r w:rsidRPr="00EF61B3">
        <w:rPr>
          <w:lang w:val="en-GB"/>
        </w:rPr>
        <w:t xml:space="preserve"> the corporate objectives. Flexible working can reduce the salary gap between men and women, assist caregivers in balancing their work, and help individuals with unpredictable health conditions remain employed. </w:t>
      </w:r>
    </w:p>
    <w:p w14:paraId="3EB32C71" w14:textId="581F2ABD" w:rsidR="004625AC" w:rsidRPr="00EF61B3" w:rsidRDefault="004625AC" w:rsidP="00EF61B3">
      <w:pPr>
        <w:spacing w:line="360" w:lineRule="auto"/>
        <w:jc w:val="both"/>
        <w:rPr>
          <w:b/>
          <w:bCs/>
          <w:lang w:val="en-GB"/>
        </w:rPr>
      </w:pPr>
      <w:r w:rsidRPr="00EF61B3">
        <w:rPr>
          <w:b/>
          <w:bCs/>
          <w:lang w:val="en-GB"/>
        </w:rPr>
        <w:t>Flexible working shifts and employee management</w:t>
      </w:r>
    </w:p>
    <w:p w14:paraId="286694E7" w14:textId="4A4B1D63" w:rsidR="004625AC" w:rsidRPr="00EF61B3" w:rsidRDefault="003E2989" w:rsidP="00EF61B3">
      <w:pPr>
        <w:spacing w:line="360" w:lineRule="auto"/>
        <w:jc w:val="both"/>
        <w:rPr>
          <w:lang w:val="en-GB"/>
        </w:rPr>
      </w:pPr>
      <w:r w:rsidRPr="00EF61B3">
        <w:rPr>
          <w:lang w:val="en-GB"/>
        </w:rPr>
        <w:t xml:space="preserve">Flexible work options expand one's application pool </w:t>
      </w:r>
      <w:proofErr w:type="gramStart"/>
      <w:r w:rsidRPr="00EF61B3">
        <w:rPr>
          <w:lang w:val="en-GB"/>
        </w:rPr>
        <w:t>and also</w:t>
      </w:r>
      <w:proofErr w:type="gramEnd"/>
      <w:r w:rsidRPr="00EF61B3">
        <w:rPr>
          <w:lang w:val="en-GB"/>
        </w:rPr>
        <w:t xml:space="preserve"> make employees feel more acknowledged and included. People these days don't want to spend more time travelling and prefer to work from home. Work-life balance has become a popular issue among job seekers.  When a company offers flexible hours to the employee, it indicates that the company respect its employees' personal lives outside the workplace. Applicants are drawn to this type of inclusive thought process. According to researchers, if given a choice between two similar job offers, people would choose the one that offered more flexibility. Prospects expect their future employers to be inclusive and diverse (Chung, 2019). Companies that do not provide this advantage run the risk of losing top employees. Leaders should consider flexible work as a method to attract new candidates from a wider range of credentials to their teams. There is a variety of virtual communication solutions available these days and with the help of which one can work from anywhere. Individuals with physical limitations or health concerns look for flexibility so that they can work from home. If employees don't need to come into the office very often, companies can hire individuals from all over the world. This helps to achieve diversity goals and grow the new client base. </w:t>
      </w:r>
    </w:p>
    <w:p w14:paraId="67038C86" w14:textId="07C5CCB6" w:rsidR="004625AC" w:rsidRPr="00EF61B3" w:rsidRDefault="004625AC" w:rsidP="00EF61B3">
      <w:pPr>
        <w:spacing w:line="360" w:lineRule="auto"/>
        <w:jc w:val="both"/>
        <w:rPr>
          <w:b/>
          <w:bCs/>
          <w:lang w:val="en-GB"/>
        </w:rPr>
      </w:pPr>
      <w:r w:rsidRPr="00EF61B3">
        <w:rPr>
          <w:b/>
          <w:bCs/>
          <w:lang w:val="en-GB"/>
        </w:rPr>
        <w:t>Diversified employee culture</w:t>
      </w:r>
    </w:p>
    <w:p w14:paraId="0000000B" w14:textId="7699028B" w:rsidR="00416361" w:rsidRPr="00EF61B3" w:rsidRDefault="003E2989" w:rsidP="00EF61B3">
      <w:pPr>
        <w:spacing w:line="360" w:lineRule="auto"/>
        <w:jc w:val="both"/>
        <w:rPr>
          <w:lang w:val="en-GB"/>
        </w:rPr>
      </w:pPr>
      <w:r w:rsidRPr="00EF61B3">
        <w:rPr>
          <w:lang w:val="en-GB"/>
        </w:rPr>
        <w:t xml:space="preserve">Companies can have representatives who understand and speak languages except for English so that they can expand across the world. However, </w:t>
      </w:r>
      <w:proofErr w:type="gramStart"/>
      <w:r w:rsidRPr="00EF61B3">
        <w:rPr>
          <w:lang w:val="en-GB"/>
        </w:rPr>
        <w:t>Working</w:t>
      </w:r>
      <w:proofErr w:type="gramEnd"/>
      <w:r w:rsidRPr="00EF61B3">
        <w:rPr>
          <w:lang w:val="en-GB"/>
        </w:rPr>
        <w:t xml:space="preserve"> from home can make people who are already marginalised feel even more isolated and it can rapidly reverse progress made by employees.  It has the potential to impede informal mentoring and communication, both of which are essential for career advancement. International businesses benefit from the variety of business knowledge, diversified experiences, and worldwide perspectives that employees from various backgrounds may bring to the workplace. In global business environments, the capacity to effectively administer a diversified workforce in organisations is essential. Researchers have found that almost </w:t>
      </w:r>
      <w:r w:rsidRPr="00EF61B3">
        <w:rPr>
          <w:lang w:val="en-GB"/>
        </w:rPr>
        <w:lastRenderedPageBreak/>
        <w:t xml:space="preserve">40% of people who work from home claim to work extra hours. </w:t>
      </w:r>
      <w:proofErr w:type="gramStart"/>
      <w:r w:rsidRPr="00EF61B3">
        <w:rPr>
          <w:lang w:val="en-GB"/>
        </w:rPr>
        <w:t>Whereas,</w:t>
      </w:r>
      <w:proofErr w:type="gramEnd"/>
      <w:r w:rsidRPr="00EF61B3">
        <w:rPr>
          <w:lang w:val="en-GB"/>
        </w:rPr>
        <w:t xml:space="preserve"> almost 30% of people who work in offices claimed to spend extra hours on work </w:t>
      </w:r>
      <w:proofErr w:type="spellStart"/>
      <w:r w:rsidRPr="00EF61B3">
        <w:rPr>
          <w:lang w:val="en-GB"/>
        </w:rPr>
        <w:t>Annabi</w:t>
      </w:r>
      <w:proofErr w:type="spellEnd"/>
      <w:r w:rsidRPr="00EF61B3">
        <w:rPr>
          <w:lang w:val="en-GB"/>
        </w:rPr>
        <w:t xml:space="preserve"> and Lebovitz, 2018).  However, it was found that allowing employees to work from home did not affect overall work performance. Employees report improved working connections and express positively about job involvement. </w:t>
      </w:r>
    </w:p>
    <w:p w14:paraId="74C3F222" w14:textId="30D63BA7" w:rsidR="007C6603" w:rsidRPr="00EF61B3" w:rsidRDefault="003E2989" w:rsidP="00EF61B3">
      <w:pPr>
        <w:pStyle w:val="Heading1"/>
        <w:spacing w:line="360" w:lineRule="auto"/>
        <w:rPr>
          <w:rFonts w:ascii="Arial" w:hAnsi="Arial"/>
          <w:sz w:val="22"/>
          <w:szCs w:val="22"/>
          <w:lang w:val="en-GB"/>
        </w:rPr>
      </w:pPr>
      <w:bookmarkStart w:id="2" w:name="_Toc100264755"/>
      <w:r w:rsidRPr="00EF61B3">
        <w:rPr>
          <w:rFonts w:ascii="Arial" w:hAnsi="Arial"/>
          <w:sz w:val="22"/>
          <w:szCs w:val="22"/>
          <w:lang w:val="en-GB"/>
        </w:rPr>
        <w:t>The role of Human Resources in promoting diversity</w:t>
      </w:r>
      <w:bookmarkEnd w:id="2"/>
      <w:r w:rsidRPr="00EF61B3">
        <w:rPr>
          <w:rFonts w:ascii="Arial" w:hAnsi="Arial"/>
          <w:sz w:val="22"/>
          <w:szCs w:val="22"/>
          <w:lang w:val="en-GB"/>
        </w:rPr>
        <w:t xml:space="preserve"> </w:t>
      </w:r>
    </w:p>
    <w:p w14:paraId="428D2181" w14:textId="2BBECF9F" w:rsidR="00F5728A" w:rsidRPr="00EF61B3" w:rsidRDefault="003E2989" w:rsidP="00EF61B3">
      <w:pPr>
        <w:spacing w:line="360" w:lineRule="auto"/>
        <w:jc w:val="both"/>
        <w:rPr>
          <w:lang w:val="en-GB"/>
        </w:rPr>
      </w:pPr>
      <w:r w:rsidRPr="00EF61B3">
        <w:rPr>
          <w:b/>
          <w:bCs/>
          <w:lang w:val="en-GB"/>
        </w:rPr>
        <w:t>Diversity management is a part of HR management</w:t>
      </w:r>
    </w:p>
    <w:p w14:paraId="511A752C" w14:textId="77777777" w:rsidR="00234675" w:rsidRPr="00EF61B3" w:rsidRDefault="003E2989" w:rsidP="00EF61B3">
      <w:pPr>
        <w:spacing w:line="360" w:lineRule="auto"/>
        <w:jc w:val="both"/>
        <w:rPr>
          <w:lang w:val="en-GB"/>
        </w:rPr>
      </w:pPr>
      <w:r w:rsidRPr="00EF61B3">
        <w:rPr>
          <w:lang w:val="en-GB"/>
        </w:rPr>
        <w:t xml:space="preserve">It is the process of creating an inclusive work environment. A diverse workforce can be accomplished in a variety of ways. These days, diversity management has become extremely important. Diversity and inclusion in the workplace result in the effective functioning of the teams and greater satisfaction among employees. Companies across the world now recruiting professionals from various backgrounds and the main objective of this are to promote diversity and inclusion in the workplace through proper utilisation of company policies. Through diversity management companies can recognise each employee’s unique contribution to the company. It allows the employees to flourish and succeed in the workplace. When employees from varied backgrounds work together, good problem-solving skills develop among them (Frangieh and </w:t>
      </w:r>
      <w:proofErr w:type="spellStart"/>
      <w:r w:rsidRPr="00EF61B3">
        <w:rPr>
          <w:lang w:val="en-GB"/>
        </w:rPr>
        <w:t>Yaacoub</w:t>
      </w:r>
      <w:proofErr w:type="spellEnd"/>
      <w:r w:rsidRPr="00EF61B3">
        <w:rPr>
          <w:lang w:val="en-GB"/>
        </w:rPr>
        <w:t xml:space="preserve">, 2018). To prepare for and support diversity in the workplace, ensuring operational readiness is important. Management has a big role in finding out if diversity and inclusion are genuinely implemented. </w:t>
      </w:r>
    </w:p>
    <w:p w14:paraId="57B5DCF7" w14:textId="070EABB6" w:rsidR="00234675" w:rsidRPr="00EF61B3" w:rsidRDefault="00234675" w:rsidP="00EF61B3">
      <w:pPr>
        <w:spacing w:line="360" w:lineRule="auto"/>
        <w:jc w:val="both"/>
        <w:rPr>
          <w:b/>
          <w:bCs/>
          <w:lang w:val="en-GB"/>
        </w:rPr>
      </w:pPr>
      <w:r w:rsidRPr="00EF61B3">
        <w:rPr>
          <w:b/>
          <w:bCs/>
          <w:lang w:val="en-GB"/>
        </w:rPr>
        <w:t>Diversity management and HR promotions</w:t>
      </w:r>
    </w:p>
    <w:p w14:paraId="0EA11F20" w14:textId="5633CC97" w:rsidR="00234675" w:rsidRPr="00EF61B3" w:rsidRDefault="003E2989" w:rsidP="00EF61B3">
      <w:pPr>
        <w:spacing w:line="360" w:lineRule="auto"/>
        <w:jc w:val="both"/>
        <w:rPr>
          <w:lang w:val="en-GB"/>
        </w:rPr>
      </w:pPr>
      <w:r w:rsidRPr="00EF61B3">
        <w:rPr>
          <w:lang w:val="en-GB"/>
        </w:rPr>
        <w:t xml:space="preserve">Employees need to consider the business goals together with the management and work accordingly. This way diversity management can be appropriately applied in the organisation. After evaluating how cultural diversity can benefit the organization, it is necessary to develop a proper plan of implementation. The areas of responsibility need to be clearly explained, both inside and beyond the HR department. However, it can often be difficult to get a clear insight into how diverse a company is. HR departments should always watch diversity. Audits can be a way to have a close eye on the matter and it needs to be applicable to present employees as well as during the process of hiring. This way companies will be able to track development more effectively. </w:t>
      </w:r>
    </w:p>
    <w:p w14:paraId="75FE327E" w14:textId="77777777" w:rsidR="00234675" w:rsidRPr="00EF61B3" w:rsidRDefault="003E2989" w:rsidP="00EF61B3">
      <w:pPr>
        <w:spacing w:line="360" w:lineRule="auto"/>
        <w:jc w:val="both"/>
        <w:rPr>
          <w:lang w:val="en-GB"/>
        </w:rPr>
      </w:pPr>
      <w:r w:rsidRPr="00EF61B3">
        <w:rPr>
          <w:b/>
          <w:bCs/>
          <w:lang w:val="en-GB"/>
        </w:rPr>
        <w:t>Diversity can be achieved using internal or external collaborations</w:t>
      </w:r>
      <w:r w:rsidRPr="00EF61B3">
        <w:rPr>
          <w:lang w:val="en-GB"/>
        </w:rPr>
        <w:t xml:space="preserve"> </w:t>
      </w:r>
    </w:p>
    <w:p w14:paraId="0000000D" w14:textId="5CAD0DFB" w:rsidR="00416361" w:rsidRPr="00EF61B3" w:rsidRDefault="003E2989" w:rsidP="00EF61B3">
      <w:pPr>
        <w:spacing w:line="360" w:lineRule="auto"/>
        <w:jc w:val="both"/>
        <w:rPr>
          <w:lang w:val="en-GB"/>
        </w:rPr>
      </w:pPr>
      <w:r w:rsidRPr="00EF61B3">
        <w:rPr>
          <w:lang w:val="en-GB"/>
        </w:rPr>
        <w:t xml:space="preserve">Also, in an organisation, each person must accept the other person's inclusion. This way every employee will feel more involved and is more likely to contribute to the company's </w:t>
      </w:r>
      <w:r w:rsidRPr="00EF61B3">
        <w:rPr>
          <w:lang w:val="en-GB"/>
        </w:rPr>
        <w:lastRenderedPageBreak/>
        <w:t>business. People from various origins must communicate and work together, as well as comprehend one another's requirements and perceptions. HR executives should create the best approaches to integrate their organisations with their D&amp;I objectives, guaranteeing that every employee benefits through a fair distribution of work, ongoing discussion with the employees, and partnership prospects (Stahl et al., 2020). Though HR leaders have a role to play in promoting greater diversity and inclusion, it is not solely their responsibility. It must include the entire senior management team.</w:t>
      </w:r>
    </w:p>
    <w:p w14:paraId="00000011" w14:textId="691A0635" w:rsidR="00416361" w:rsidRPr="00EF61B3" w:rsidRDefault="003E2989" w:rsidP="00EF61B3">
      <w:pPr>
        <w:pStyle w:val="Heading1"/>
        <w:spacing w:line="360" w:lineRule="auto"/>
        <w:rPr>
          <w:rFonts w:ascii="Arial" w:hAnsi="Arial"/>
          <w:sz w:val="22"/>
          <w:szCs w:val="22"/>
          <w:lang w:val="en-GB"/>
        </w:rPr>
      </w:pPr>
      <w:bookmarkStart w:id="3" w:name="_Toc100264756"/>
      <w:r w:rsidRPr="00EF61B3">
        <w:rPr>
          <w:rFonts w:ascii="Arial" w:hAnsi="Arial"/>
          <w:sz w:val="22"/>
          <w:szCs w:val="22"/>
          <w:lang w:val="en-GB"/>
        </w:rPr>
        <w:t>A</w:t>
      </w:r>
      <w:r w:rsidR="00C54699" w:rsidRPr="00EF61B3">
        <w:rPr>
          <w:rFonts w:ascii="Arial" w:hAnsi="Arial"/>
          <w:sz w:val="22"/>
          <w:szCs w:val="22"/>
          <w:lang w:val="en-GB"/>
        </w:rPr>
        <w:t xml:space="preserve"> case against flexible working concerning inequality at work</w:t>
      </w:r>
      <w:bookmarkEnd w:id="3"/>
      <w:r w:rsidR="00C54699" w:rsidRPr="00EF61B3">
        <w:rPr>
          <w:rFonts w:ascii="Arial" w:hAnsi="Arial"/>
          <w:sz w:val="22"/>
          <w:szCs w:val="22"/>
          <w:lang w:val="en-GB"/>
        </w:rPr>
        <w:t xml:space="preserve"> </w:t>
      </w:r>
    </w:p>
    <w:p w14:paraId="7953DE0E" w14:textId="7CF80C67" w:rsidR="00234675" w:rsidRPr="00EF61B3" w:rsidRDefault="00234675" w:rsidP="00EF61B3">
      <w:pPr>
        <w:spacing w:line="360" w:lineRule="auto"/>
        <w:jc w:val="both"/>
        <w:rPr>
          <w:rFonts w:eastAsia="Times New Roman"/>
          <w:b/>
          <w:bCs/>
          <w:lang w:val="en-GB"/>
        </w:rPr>
      </w:pPr>
      <w:r w:rsidRPr="00EF61B3">
        <w:rPr>
          <w:rFonts w:eastAsia="Times New Roman"/>
          <w:b/>
          <w:bCs/>
          <w:lang w:val="en-GB"/>
        </w:rPr>
        <w:t>Gender inequality affects everybody in every way</w:t>
      </w:r>
    </w:p>
    <w:p w14:paraId="00000012" w14:textId="0BB351C0"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Gender inequality is discrimination in which gender or sex is the root cause for getting privileged over others. This visualization is ancient. Though there are some exceptions, the discriminations are very much noticeable in society from childhood to adulthood among human beings. </w:t>
      </w:r>
    </w:p>
    <w:p w14:paraId="00000014" w14:textId="5F7F50B8"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From childhood, children may be cautious about their self-sense and categorize the specific job for girls and boys according to gender, not by </w:t>
      </w:r>
      <w:r w:rsidR="00234675" w:rsidRPr="00EF61B3">
        <w:rPr>
          <w:rFonts w:eastAsia="Times New Roman"/>
          <w:lang w:val="en-GB"/>
        </w:rPr>
        <w:t>self-ability</w:t>
      </w:r>
      <w:r w:rsidRPr="00EF61B3">
        <w:rPr>
          <w:rFonts w:eastAsia="Times New Roman"/>
          <w:lang w:val="en-GB"/>
        </w:rPr>
        <w:t xml:space="preserve"> (Fuller and Hirsh, 2019). This is followed by the future in different ways like behaviour, choice of studies, attitude, ambitions, salary, violence, flexible working hours, rewards, financial and social security, cultural racism also experienced </w:t>
      </w:r>
      <w:r w:rsidR="00452D01" w:rsidRPr="00EF61B3">
        <w:rPr>
          <w:rFonts w:eastAsia="Times New Roman"/>
          <w:lang w:val="en-GB"/>
        </w:rPr>
        <w:t>and so on</w:t>
      </w:r>
      <w:r w:rsidRPr="00EF61B3">
        <w:rPr>
          <w:rFonts w:eastAsia="Times New Roman"/>
          <w:lang w:val="en-GB"/>
        </w:rPr>
        <w:t xml:space="preserve">. </w:t>
      </w:r>
      <w:r w:rsidR="00452D01" w:rsidRPr="00EF61B3">
        <w:rPr>
          <w:rFonts w:eastAsia="Times New Roman"/>
          <w:lang w:val="en-GB"/>
        </w:rPr>
        <w:t>S</w:t>
      </w:r>
      <w:r w:rsidRPr="00EF61B3">
        <w:rPr>
          <w:rFonts w:eastAsia="Times New Roman"/>
          <w:lang w:val="en-GB"/>
        </w:rPr>
        <w:t>ometime, due to high expectations from men side, they become overburdened, by mentally and physically. Some major points among which inequality is noticeable priorly.</w:t>
      </w:r>
    </w:p>
    <w:p w14:paraId="00000015" w14:textId="77777777" w:rsidR="00416361" w:rsidRPr="00EF61B3" w:rsidRDefault="003E2989" w:rsidP="00EF61B3">
      <w:pPr>
        <w:pStyle w:val="ListParagraph"/>
        <w:numPr>
          <w:ilvl w:val="0"/>
          <w:numId w:val="1"/>
        </w:numPr>
        <w:spacing w:line="360" w:lineRule="auto"/>
        <w:jc w:val="both"/>
        <w:rPr>
          <w:rFonts w:eastAsia="Times New Roman"/>
          <w:lang w:val="en-GB"/>
        </w:rPr>
      </w:pPr>
      <w:r w:rsidRPr="00EF61B3">
        <w:rPr>
          <w:rFonts w:eastAsia="Times New Roman"/>
          <w:lang w:val="en-GB"/>
        </w:rPr>
        <w:t xml:space="preserve">Women are often </w:t>
      </w:r>
      <w:proofErr w:type="gramStart"/>
      <w:r w:rsidRPr="00EF61B3">
        <w:rPr>
          <w:rFonts w:eastAsia="Times New Roman"/>
          <w:lang w:val="en-GB"/>
        </w:rPr>
        <w:t>low-paid</w:t>
      </w:r>
      <w:proofErr w:type="gramEnd"/>
      <w:r w:rsidRPr="00EF61B3">
        <w:rPr>
          <w:rFonts w:eastAsia="Times New Roman"/>
          <w:lang w:val="en-GB"/>
        </w:rPr>
        <w:t xml:space="preserve"> in the workplace, though sometimes they are more educated, more legible than men. </w:t>
      </w:r>
    </w:p>
    <w:p w14:paraId="00000016" w14:textId="77777777" w:rsidR="00416361" w:rsidRPr="00EF61B3" w:rsidRDefault="003E2989" w:rsidP="00EF61B3">
      <w:pPr>
        <w:pStyle w:val="ListParagraph"/>
        <w:numPr>
          <w:ilvl w:val="0"/>
          <w:numId w:val="1"/>
        </w:numPr>
        <w:spacing w:line="360" w:lineRule="auto"/>
        <w:jc w:val="both"/>
        <w:rPr>
          <w:rFonts w:eastAsia="Times New Roman"/>
          <w:lang w:val="en-GB"/>
        </w:rPr>
      </w:pPr>
      <w:r w:rsidRPr="00EF61B3">
        <w:rPr>
          <w:rFonts w:eastAsia="Times New Roman"/>
          <w:lang w:val="en-GB"/>
        </w:rPr>
        <w:t>Recognitions in the workplace are not at all consistent for women, it's no matter their eligibility.</w:t>
      </w:r>
    </w:p>
    <w:p w14:paraId="00000017" w14:textId="77777777" w:rsidR="00416361" w:rsidRPr="00EF61B3" w:rsidRDefault="003E2989" w:rsidP="00EF61B3">
      <w:pPr>
        <w:pStyle w:val="ListParagraph"/>
        <w:numPr>
          <w:ilvl w:val="0"/>
          <w:numId w:val="1"/>
        </w:numPr>
        <w:spacing w:line="360" w:lineRule="auto"/>
        <w:jc w:val="both"/>
        <w:rPr>
          <w:rFonts w:eastAsia="Times New Roman"/>
          <w:lang w:val="en-GB"/>
        </w:rPr>
      </w:pPr>
      <w:r w:rsidRPr="00EF61B3">
        <w:rPr>
          <w:rFonts w:eastAsia="Times New Roman"/>
          <w:lang w:val="en-GB"/>
        </w:rPr>
        <w:t xml:space="preserve">Racism plays majorly in the workplace for women as compensation and treatment. </w:t>
      </w:r>
    </w:p>
    <w:p w14:paraId="00000018" w14:textId="77777777" w:rsidR="00416361" w:rsidRPr="00EF61B3" w:rsidRDefault="003E2989" w:rsidP="00EF61B3">
      <w:pPr>
        <w:pStyle w:val="ListParagraph"/>
        <w:numPr>
          <w:ilvl w:val="0"/>
          <w:numId w:val="1"/>
        </w:numPr>
        <w:spacing w:line="360" w:lineRule="auto"/>
        <w:jc w:val="both"/>
        <w:rPr>
          <w:rFonts w:eastAsia="Times New Roman"/>
          <w:lang w:val="en-GB"/>
        </w:rPr>
      </w:pPr>
      <w:r w:rsidRPr="00EF61B3">
        <w:rPr>
          <w:rFonts w:eastAsia="Times New Roman"/>
          <w:lang w:val="en-GB"/>
        </w:rPr>
        <w:t>Apart from all, a major obstacle for women facing harassment sexually (Lott, 2020). They are mistreated.</w:t>
      </w:r>
    </w:p>
    <w:p w14:paraId="00000019" w14:textId="77777777" w:rsidR="00416361" w:rsidRPr="00EF61B3" w:rsidRDefault="003E2989" w:rsidP="00EF61B3">
      <w:pPr>
        <w:pStyle w:val="ListParagraph"/>
        <w:numPr>
          <w:ilvl w:val="0"/>
          <w:numId w:val="1"/>
        </w:numPr>
        <w:spacing w:line="360" w:lineRule="auto"/>
        <w:jc w:val="both"/>
        <w:rPr>
          <w:rFonts w:eastAsia="Times New Roman"/>
          <w:lang w:val="en-GB"/>
        </w:rPr>
      </w:pPr>
      <w:r w:rsidRPr="00EF61B3">
        <w:rPr>
          <w:rFonts w:eastAsia="Times New Roman"/>
          <w:lang w:val="en-GB"/>
        </w:rPr>
        <w:t>Education for girls is so much affected by this inequality.</w:t>
      </w:r>
    </w:p>
    <w:p w14:paraId="0000001A" w14:textId="77777777" w:rsidR="00416361" w:rsidRPr="00EF61B3" w:rsidRDefault="003E2989" w:rsidP="00EF61B3">
      <w:pPr>
        <w:pStyle w:val="ListParagraph"/>
        <w:numPr>
          <w:ilvl w:val="0"/>
          <w:numId w:val="1"/>
        </w:numPr>
        <w:spacing w:line="360" w:lineRule="auto"/>
        <w:jc w:val="both"/>
        <w:rPr>
          <w:rFonts w:eastAsia="Times New Roman"/>
          <w:lang w:val="en-GB"/>
        </w:rPr>
      </w:pPr>
      <w:r w:rsidRPr="00EF61B3">
        <w:rPr>
          <w:rFonts w:eastAsia="Times New Roman"/>
          <w:lang w:val="en-GB"/>
        </w:rPr>
        <w:t>Child marriage is a major setback in this society due to this unfair ancient prejudice.</w:t>
      </w:r>
    </w:p>
    <w:p w14:paraId="0000001B" w14:textId="77777777" w:rsidR="00416361" w:rsidRPr="00EF61B3" w:rsidRDefault="003E2989" w:rsidP="00EF61B3">
      <w:pPr>
        <w:pStyle w:val="ListParagraph"/>
        <w:numPr>
          <w:ilvl w:val="0"/>
          <w:numId w:val="1"/>
        </w:numPr>
        <w:spacing w:line="360" w:lineRule="auto"/>
        <w:jc w:val="both"/>
        <w:rPr>
          <w:rFonts w:eastAsia="Times New Roman"/>
          <w:lang w:val="en-GB"/>
        </w:rPr>
      </w:pPr>
      <w:r w:rsidRPr="00EF61B3">
        <w:rPr>
          <w:rFonts w:eastAsia="Times New Roman"/>
          <w:lang w:val="en-GB"/>
        </w:rPr>
        <w:t>Child labour is also noticed due to the adverse effect of inequality in society.</w:t>
      </w:r>
    </w:p>
    <w:p w14:paraId="0000001C" w14:textId="219734D7" w:rsidR="00416361" w:rsidRPr="00EF61B3" w:rsidRDefault="00627A64" w:rsidP="00EF61B3">
      <w:pPr>
        <w:spacing w:line="360" w:lineRule="auto"/>
        <w:jc w:val="both"/>
        <w:rPr>
          <w:rFonts w:eastAsia="Times New Roman"/>
          <w:lang w:val="en-GB"/>
        </w:rPr>
      </w:pPr>
      <w:r w:rsidRPr="00EF61B3">
        <w:rPr>
          <w:rFonts w:eastAsia="Times New Roman"/>
          <w:lang w:val="en-GB"/>
        </w:rPr>
        <w:lastRenderedPageBreak/>
        <w:t>However,</w:t>
      </w:r>
      <w:r w:rsidR="003E2989" w:rsidRPr="00EF61B3">
        <w:rPr>
          <w:rFonts w:eastAsia="Times New Roman"/>
          <w:lang w:val="en-GB"/>
        </w:rPr>
        <w:t xml:space="preserve"> transgender is also facing extreme problems to establish themselves in society in every way physically and emotionally.</w:t>
      </w:r>
    </w:p>
    <w:p w14:paraId="2300AA72" w14:textId="5388A6A0" w:rsidR="00234675" w:rsidRPr="00EF61B3" w:rsidRDefault="00234675" w:rsidP="00EF61B3">
      <w:pPr>
        <w:spacing w:line="360" w:lineRule="auto"/>
        <w:jc w:val="both"/>
        <w:rPr>
          <w:rFonts w:eastAsia="Times New Roman"/>
          <w:b/>
          <w:bCs/>
          <w:lang w:val="en-GB"/>
        </w:rPr>
      </w:pPr>
      <w:r w:rsidRPr="00EF61B3">
        <w:rPr>
          <w:rFonts w:eastAsia="Times New Roman"/>
          <w:b/>
          <w:bCs/>
          <w:lang w:val="en-GB"/>
        </w:rPr>
        <w:t>Flexible working is controlled by workers</w:t>
      </w:r>
    </w:p>
    <w:p w14:paraId="0000001D" w14:textId="3248841A"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Flexible working is very much controlled by workers in especially industrialized countries. The workers can only decide where and when they can work. Nowadays it's becoming trending among the newer generation. Shortly, flexible working may become the norm in many areas of the job. </w:t>
      </w:r>
    </w:p>
    <w:p w14:paraId="0000001E"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This type of working nature is maximally used as a positive way in productive nature, generally for women, those who are balancing their work with their family needs. Earlier flexible working allows women to continue their work after delivering their child. Instead of taking special leave for a long time for this issue, women can balance their work and life by working flexibly (Wainwright et al., 2019). In this way, this way of working may be a fruitful way to enhance equality of gender in society. </w:t>
      </w:r>
    </w:p>
    <w:p w14:paraId="7D706E27" w14:textId="5A1FF70F" w:rsidR="00952245" w:rsidRPr="00EF61B3" w:rsidRDefault="00952245" w:rsidP="00EF61B3">
      <w:pPr>
        <w:spacing w:line="360" w:lineRule="auto"/>
        <w:jc w:val="both"/>
        <w:rPr>
          <w:rFonts w:eastAsia="Times New Roman"/>
          <w:b/>
          <w:bCs/>
          <w:lang w:val="en-GB"/>
        </w:rPr>
      </w:pPr>
      <w:r w:rsidRPr="00EF61B3">
        <w:rPr>
          <w:rFonts w:eastAsia="Times New Roman"/>
          <w:b/>
          <w:bCs/>
          <w:lang w:val="en-GB"/>
        </w:rPr>
        <w:t>Benefits of flexible working</w:t>
      </w:r>
    </w:p>
    <w:p w14:paraId="0000001F" w14:textId="171E38A9" w:rsidR="00416361" w:rsidRPr="00EF61B3" w:rsidRDefault="00234675" w:rsidP="00EF61B3">
      <w:pPr>
        <w:spacing w:line="360" w:lineRule="auto"/>
        <w:jc w:val="both"/>
        <w:rPr>
          <w:rFonts w:eastAsia="Times New Roman"/>
          <w:lang w:val="en-GB"/>
        </w:rPr>
      </w:pPr>
      <w:r w:rsidRPr="00EF61B3">
        <w:rPr>
          <w:rFonts w:eastAsia="Times New Roman"/>
          <w:lang w:val="en-GB"/>
        </w:rPr>
        <w:t>However, practically</w:t>
      </w:r>
      <w:r w:rsidR="003E2989" w:rsidRPr="00EF61B3">
        <w:rPr>
          <w:rFonts w:eastAsia="Times New Roman"/>
          <w:lang w:val="en-GB"/>
        </w:rPr>
        <w:t>, according to society's previously set point of view, totally different from expectations. The benefits of flexible working for men increase their performance through intensive productive working hours, unfortunately, this may increase conflict between work and family due to the expansion of time off work. Same as women, they feel overloaded due to the increase in family responsibility.  In the end, after giving so much hard work, men are not at all rewarded.</w:t>
      </w:r>
    </w:p>
    <w:p w14:paraId="00000020"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Flexible working hours are now diversified in many ways, like flexible (work from home), and flexitime (part-time, job sharing, term time). </w:t>
      </w:r>
    </w:p>
    <w:p w14:paraId="00000021" w14:textId="7CBFC5F3" w:rsidR="00416361" w:rsidRPr="00EF61B3" w:rsidRDefault="003E2989" w:rsidP="00EF61B3">
      <w:pPr>
        <w:spacing w:line="360" w:lineRule="auto"/>
        <w:jc w:val="both"/>
        <w:rPr>
          <w:rFonts w:eastAsia="Times New Roman"/>
          <w:lang w:val="en-GB"/>
        </w:rPr>
      </w:pPr>
      <w:r w:rsidRPr="00EF61B3">
        <w:rPr>
          <w:rFonts w:eastAsia="Times New Roman"/>
          <w:lang w:val="en-GB"/>
        </w:rPr>
        <w:t>Due to recent scenarios, gender differences are very much noticeable in terms of work control in scheduled ways (</w:t>
      </w:r>
      <w:proofErr w:type="spellStart"/>
      <w:r w:rsidRPr="00EF61B3">
        <w:rPr>
          <w:rFonts w:eastAsia="Times New Roman"/>
          <w:lang w:val="en-GB"/>
        </w:rPr>
        <w:t>Chandola</w:t>
      </w:r>
      <w:proofErr w:type="spellEnd"/>
      <w:r w:rsidRPr="00EF61B3">
        <w:rPr>
          <w:rFonts w:eastAsia="Times New Roman"/>
          <w:lang w:val="en-GB"/>
        </w:rPr>
        <w:t xml:space="preserve"> e</w:t>
      </w:r>
      <w:r w:rsidR="00952245" w:rsidRPr="00EF61B3">
        <w:rPr>
          <w:rFonts w:eastAsia="Times New Roman"/>
          <w:lang w:val="en-GB"/>
        </w:rPr>
        <w:t>t</w:t>
      </w:r>
      <w:r w:rsidRPr="00EF61B3">
        <w:rPr>
          <w:rFonts w:eastAsia="Times New Roman"/>
          <w:lang w:val="en-GB"/>
        </w:rPr>
        <w:t xml:space="preserve"> al., 2019). Men are on the higher side and women prefer working from home. But it depends on different countries.</w:t>
      </w:r>
    </w:p>
    <w:p w14:paraId="00000022" w14:textId="460EC7F0" w:rsidR="00416361" w:rsidRPr="00EF61B3" w:rsidRDefault="003E2989" w:rsidP="00EF61B3">
      <w:pPr>
        <w:pStyle w:val="Heading1"/>
        <w:spacing w:line="360" w:lineRule="auto"/>
        <w:rPr>
          <w:rFonts w:ascii="Arial" w:eastAsia="Times New Roman" w:hAnsi="Arial"/>
          <w:sz w:val="22"/>
          <w:szCs w:val="22"/>
          <w:lang w:val="en-GB"/>
        </w:rPr>
      </w:pPr>
      <w:bookmarkStart w:id="4" w:name="_Toc100264757"/>
      <w:r w:rsidRPr="00EF61B3">
        <w:rPr>
          <w:rFonts w:ascii="Arial" w:hAnsi="Arial"/>
          <w:sz w:val="22"/>
          <w:szCs w:val="22"/>
          <w:lang w:val="en-GB"/>
        </w:rPr>
        <w:t>The role of Human Resources in addressing the concerns of inequality</w:t>
      </w:r>
      <w:bookmarkEnd w:id="4"/>
      <w:r w:rsidRPr="00EF61B3">
        <w:rPr>
          <w:rFonts w:ascii="Arial" w:hAnsi="Arial"/>
          <w:sz w:val="22"/>
          <w:szCs w:val="22"/>
          <w:lang w:val="en-GB"/>
        </w:rPr>
        <w:t xml:space="preserve"> </w:t>
      </w:r>
    </w:p>
    <w:p w14:paraId="00000023" w14:textId="5816354C"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In any organization, gender inequality is a complex one. It's reflected in organizational </w:t>
      </w:r>
      <w:r w:rsidR="00234675" w:rsidRPr="00EF61B3">
        <w:rPr>
          <w:rFonts w:eastAsia="Times New Roman"/>
          <w:lang w:val="en-GB"/>
        </w:rPr>
        <w:t xml:space="preserve">practices, </w:t>
      </w:r>
      <w:proofErr w:type="gramStart"/>
      <w:r w:rsidR="00234675" w:rsidRPr="00EF61B3">
        <w:rPr>
          <w:rFonts w:eastAsia="Times New Roman"/>
          <w:lang w:val="en-GB"/>
        </w:rPr>
        <w:t>structures</w:t>
      </w:r>
      <w:proofErr w:type="gramEnd"/>
      <w:r w:rsidRPr="00EF61B3">
        <w:rPr>
          <w:rFonts w:eastAsia="Times New Roman"/>
          <w:lang w:val="en-GB"/>
        </w:rPr>
        <w:t xml:space="preserve"> and processes. This happens to practices of the human resource team and their making policies and decisions for hiring, paying salaries, and giving training and promotions to women. These discriminations may affect leadership, strategy, the climate of the organization, the culture of the institution and the policies of HR.  It’s also reflected in decisions made by HR and their practice. </w:t>
      </w:r>
    </w:p>
    <w:p w14:paraId="593918D3" w14:textId="77777777" w:rsidR="00952245" w:rsidRPr="00EF61B3" w:rsidRDefault="003E2989" w:rsidP="00EF61B3">
      <w:pPr>
        <w:spacing w:line="360" w:lineRule="auto"/>
        <w:jc w:val="both"/>
        <w:rPr>
          <w:rFonts w:eastAsia="Times New Roman"/>
          <w:lang w:val="en-GB"/>
        </w:rPr>
      </w:pPr>
      <w:r w:rsidRPr="00EF61B3">
        <w:rPr>
          <w:rFonts w:eastAsia="Times New Roman"/>
          <w:lang w:val="en-GB"/>
        </w:rPr>
        <w:lastRenderedPageBreak/>
        <w:t xml:space="preserve">In an overall way, this ancient discrimination not only </w:t>
      </w:r>
      <w:r w:rsidR="00952245" w:rsidRPr="00EF61B3">
        <w:rPr>
          <w:rFonts w:eastAsia="Times New Roman"/>
          <w:lang w:val="en-GB"/>
        </w:rPr>
        <w:t>effects</w:t>
      </w:r>
      <w:r w:rsidRPr="00EF61B3">
        <w:rPr>
          <w:rFonts w:eastAsia="Times New Roman"/>
          <w:lang w:val="en-GB"/>
        </w:rPr>
        <w:t xml:space="preserve"> on practices of HR, socializing part of the decision-making team of organizations of benevolent and hostile sexism (</w:t>
      </w:r>
      <w:proofErr w:type="spellStart"/>
      <w:r w:rsidRPr="00EF61B3">
        <w:rPr>
          <w:rFonts w:eastAsia="Times New Roman"/>
          <w:lang w:val="en-GB"/>
        </w:rPr>
        <w:t>Strah</w:t>
      </w:r>
      <w:proofErr w:type="spellEnd"/>
      <w:r w:rsidRPr="00EF61B3">
        <w:rPr>
          <w:rFonts w:eastAsia="Times New Roman"/>
          <w:lang w:val="en-GB"/>
        </w:rPr>
        <w:t xml:space="preserve"> et al., 2022). </w:t>
      </w:r>
    </w:p>
    <w:p w14:paraId="316C5A65" w14:textId="0DEFBE25" w:rsidR="00952245" w:rsidRPr="00EF61B3" w:rsidRDefault="009325F6" w:rsidP="00EF61B3">
      <w:pPr>
        <w:spacing w:line="360" w:lineRule="auto"/>
        <w:jc w:val="both"/>
        <w:rPr>
          <w:rFonts w:eastAsia="Times New Roman"/>
          <w:b/>
          <w:bCs/>
          <w:lang w:val="en-GB"/>
        </w:rPr>
      </w:pPr>
      <w:r w:rsidRPr="00EF61B3">
        <w:rPr>
          <w:rFonts w:eastAsia="Times New Roman"/>
          <w:b/>
          <w:bCs/>
          <w:lang w:val="en-GB"/>
        </w:rPr>
        <w:t>Discrimination in the workplace</w:t>
      </w:r>
    </w:p>
    <w:p w14:paraId="00000024" w14:textId="7E7A35BC"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Lots of examples are available of negative parts of inequality like opportunity, earnings, leadership, and career advancement of women. This discrimination in the workplace makes a huge contribution to the lower economic and social status of women as well as the security part also. </w:t>
      </w:r>
    </w:p>
    <w:p w14:paraId="00000025"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This negative attribution is made by the policies and decision-making practices of HR only. </w:t>
      </w:r>
    </w:p>
    <w:p w14:paraId="00000026"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The disadvantages of objective parts are women’s low salary paid, working opportunities, and social status. The disadvantages of subjective parts are women’s physical, and psychological </w:t>
      </w:r>
      <w:proofErr w:type="gramStart"/>
      <w:r w:rsidRPr="00EF61B3">
        <w:rPr>
          <w:rFonts w:eastAsia="Times New Roman"/>
          <w:lang w:val="en-GB"/>
        </w:rPr>
        <w:t>stress;</w:t>
      </w:r>
      <w:proofErr w:type="gramEnd"/>
      <w:r w:rsidRPr="00EF61B3">
        <w:rPr>
          <w:rFonts w:eastAsia="Times New Roman"/>
          <w:lang w:val="en-GB"/>
        </w:rPr>
        <w:t xml:space="preserve"> physical and mental health and last but not least stigmatized.</w:t>
      </w:r>
    </w:p>
    <w:p w14:paraId="00000027"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The role of human resources in addressing the concern of inequality is very important (Gong et al., 2018). To reduce inequality in the organization, all the policies, structures, and practices, that are linked with the matter, should be </w:t>
      </w:r>
      <w:proofErr w:type="gramStart"/>
      <w:r w:rsidRPr="00EF61B3">
        <w:rPr>
          <w:rFonts w:eastAsia="Times New Roman"/>
          <w:lang w:val="en-GB"/>
        </w:rPr>
        <w:t>rectified</w:t>
      </w:r>
      <w:proofErr w:type="gramEnd"/>
      <w:r w:rsidRPr="00EF61B3">
        <w:rPr>
          <w:rFonts w:eastAsia="Times New Roman"/>
          <w:lang w:val="en-GB"/>
        </w:rPr>
        <w:t xml:space="preserve"> and take different approaches. </w:t>
      </w:r>
    </w:p>
    <w:p w14:paraId="00000028"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Interactivity in diversification in terms of recruiting candidates from each group. Promotion to reward to training appraisal should be taken care of by the human resource team in a general view of employees' productivity and appearances only not by gender. </w:t>
      </w:r>
    </w:p>
    <w:p w14:paraId="7CAB8A32" w14:textId="5BE1A22A" w:rsidR="009325F6" w:rsidRPr="00EF61B3" w:rsidRDefault="009325F6" w:rsidP="00EF61B3">
      <w:pPr>
        <w:spacing w:line="360" w:lineRule="auto"/>
        <w:jc w:val="both"/>
        <w:rPr>
          <w:rFonts w:eastAsia="Times New Roman"/>
          <w:b/>
          <w:bCs/>
          <w:lang w:val="en-GB"/>
        </w:rPr>
      </w:pPr>
      <w:r w:rsidRPr="00EF61B3">
        <w:rPr>
          <w:rFonts w:eastAsia="Times New Roman"/>
          <w:b/>
          <w:bCs/>
          <w:lang w:val="en-GB"/>
        </w:rPr>
        <w:t>HR support</w:t>
      </w:r>
    </w:p>
    <w:p w14:paraId="00000029" w14:textId="04C46035" w:rsidR="00416361" w:rsidRPr="00EF61B3" w:rsidRDefault="003E2989" w:rsidP="00EF61B3">
      <w:pPr>
        <w:spacing w:line="360" w:lineRule="auto"/>
        <w:jc w:val="both"/>
        <w:rPr>
          <w:rFonts w:eastAsia="Times New Roman"/>
          <w:lang w:val="en-GB"/>
        </w:rPr>
      </w:pPr>
      <w:r w:rsidRPr="00EF61B3">
        <w:rPr>
          <w:rFonts w:eastAsia="Times New Roman"/>
          <w:lang w:val="en-GB"/>
        </w:rPr>
        <w:t>Increasing the recruitment of women candidates and developing a well successful team by giving all the HR support like adequate training, climate, parks, and respect from other teammates.</w:t>
      </w:r>
    </w:p>
    <w:p w14:paraId="0000002A" w14:textId="6C5F5E29"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This diversification may have a positive impact on the social and </w:t>
      </w:r>
      <w:r w:rsidR="00234675" w:rsidRPr="00EF61B3">
        <w:rPr>
          <w:rFonts w:eastAsia="Times New Roman"/>
          <w:lang w:val="en-GB"/>
        </w:rPr>
        <w:t>economic</w:t>
      </w:r>
      <w:r w:rsidRPr="00EF61B3">
        <w:rPr>
          <w:rFonts w:eastAsia="Times New Roman"/>
          <w:lang w:val="en-GB"/>
        </w:rPr>
        <w:t xml:space="preserve"> structure of the society. </w:t>
      </w:r>
      <w:r w:rsidR="00234675" w:rsidRPr="00EF61B3">
        <w:rPr>
          <w:rFonts w:eastAsia="Times New Roman"/>
          <w:lang w:val="en-GB"/>
        </w:rPr>
        <w:t>Also,</w:t>
      </w:r>
      <w:r w:rsidRPr="00EF61B3">
        <w:rPr>
          <w:rFonts w:eastAsia="Times New Roman"/>
          <w:lang w:val="en-GB"/>
        </w:rPr>
        <w:t xml:space="preserve"> in terms of the organizational part, this initiative can serve a better prospective clientele. </w:t>
      </w:r>
    </w:p>
    <w:p w14:paraId="0000002B"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The HR of family-work conflict should also be taken care of. This is the type of conflict that employees experienced mostly with women. This crisis arose from the demands of work versus the demand for family roles (</w:t>
      </w:r>
      <w:proofErr w:type="spellStart"/>
      <w:r w:rsidRPr="00EF61B3">
        <w:rPr>
          <w:rFonts w:eastAsia="Times New Roman"/>
          <w:lang w:val="en-GB"/>
        </w:rPr>
        <w:t>Kelliher</w:t>
      </w:r>
      <w:proofErr w:type="spellEnd"/>
      <w:r w:rsidRPr="00EF61B3">
        <w:rPr>
          <w:rFonts w:eastAsia="Times New Roman"/>
          <w:lang w:val="en-GB"/>
        </w:rPr>
        <w:t xml:space="preserve"> and De Menezes, 2019). The illness and stress of employees are the cause of this conflict. During evaluations in the organization, HR should focus on working hours and potentiality during that period. </w:t>
      </w:r>
    </w:p>
    <w:p w14:paraId="0000002C"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t xml:space="preserve">In terms of flexible working hours, the formal rules and regulations should be followed generally for all with certain </w:t>
      </w:r>
      <w:proofErr w:type="gramStart"/>
      <w:r w:rsidRPr="00EF61B3">
        <w:rPr>
          <w:rFonts w:eastAsia="Times New Roman"/>
          <w:lang w:val="en-GB"/>
        </w:rPr>
        <w:t>flexi-time</w:t>
      </w:r>
      <w:proofErr w:type="gramEnd"/>
      <w:r w:rsidRPr="00EF61B3">
        <w:rPr>
          <w:rFonts w:eastAsia="Times New Roman"/>
          <w:lang w:val="en-GB"/>
        </w:rPr>
        <w:t xml:space="preserve"> during core working hours but should be informed prior and regularized in such a way that nothing will be hampered.</w:t>
      </w:r>
    </w:p>
    <w:p w14:paraId="0000002D" w14:textId="77777777" w:rsidR="00416361" w:rsidRPr="00EF61B3" w:rsidRDefault="003E2989" w:rsidP="00EF61B3">
      <w:pPr>
        <w:spacing w:line="360" w:lineRule="auto"/>
        <w:jc w:val="both"/>
        <w:rPr>
          <w:rFonts w:eastAsia="Times New Roman"/>
          <w:lang w:val="en-GB"/>
        </w:rPr>
      </w:pPr>
      <w:r w:rsidRPr="00EF61B3">
        <w:rPr>
          <w:rFonts w:eastAsia="Times New Roman"/>
          <w:lang w:val="en-GB"/>
        </w:rPr>
        <w:lastRenderedPageBreak/>
        <w:t>Employee awareness in the organization is most important. Collectively giving petitions, taking unitary action against injustice or any inequality in the organizations. In this process HR and decision-makers, leaders also can join the movement against the inequality of institutional prejudice, which may help the good better-developed society for all.</w:t>
      </w:r>
    </w:p>
    <w:p w14:paraId="0000002F" w14:textId="09F20BF1" w:rsidR="00416361" w:rsidRPr="00EF61B3" w:rsidRDefault="003E2989" w:rsidP="00EF61B3">
      <w:pPr>
        <w:pStyle w:val="Heading1"/>
        <w:spacing w:line="360" w:lineRule="auto"/>
        <w:rPr>
          <w:rFonts w:ascii="Arial" w:hAnsi="Arial"/>
          <w:sz w:val="22"/>
          <w:szCs w:val="22"/>
          <w:lang w:val="en-GB"/>
        </w:rPr>
      </w:pPr>
      <w:bookmarkStart w:id="5" w:name="_Toc100264758"/>
      <w:r w:rsidRPr="00EF61B3">
        <w:rPr>
          <w:rFonts w:ascii="Arial" w:hAnsi="Arial"/>
          <w:sz w:val="22"/>
          <w:szCs w:val="22"/>
          <w:lang w:val="en-GB"/>
        </w:rPr>
        <w:t>Conclusion</w:t>
      </w:r>
      <w:bookmarkEnd w:id="5"/>
    </w:p>
    <w:p w14:paraId="00000031" w14:textId="266D0083" w:rsidR="00416361" w:rsidRPr="00EF61B3" w:rsidRDefault="003E2989" w:rsidP="00EF61B3">
      <w:pPr>
        <w:spacing w:line="360" w:lineRule="auto"/>
        <w:jc w:val="both"/>
        <w:rPr>
          <w:lang w:val="en-GB"/>
        </w:rPr>
      </w:pPr>
      <w:r w:rsidRPr="00EF61B3">
        <w:rPr>
          <w:lang w:val="en-GB"/>
        </w:rPr>
        <w:t xml:space="preserve">The findings of this paper conclude that flexible working can help people achieve better work-life harmony and family living. However, while counting the repercussions of flexible working, gender counts. Flexible working is used differently by men and women, resulting in diverse outcomes. Also, companies often encounter challenges when it comes to designing and implementing diversity, </w:t>
      </w:r>
      <w:proofErr w:type="gramStart"/>
      <w:r w:rsidRPr="00EF61B3">
        <w:rPr>
          <w:lang w:val="en-GB"/>
        </w:rPr>
        <w:t>equality</w:t>
      </w:r>
      <w:proofErr w:type="gramEnd"/>
      <w:r w:rsidRPr="00EF61B3">
        <w:rPr>
          <w:lang w:val="en-GB"/>
        </w:rPr>
        <w:t xml:space="preserve"> and inclusion policy in the workplace. These days there is a significant increase in flexible working in most developed countries. Furthermore, there is a growing need for flexible jobs, particularly among the young generation. Top companies embrace diversity and inclusion as fundamental business strategies. They put a lot of effort into creating settings that allow their employees to flourish. Diverse workforces move businesses forward into a brighter future. Companies can gain a competitive advantage by embracing diversity and inclusion in global marketplaces. HR professionals have a significant role in creating and empowering a diverse culture through management. Inclusion does not occur just because one has employed a diverse group of people. It requires real effort to create an inclusive workplace.</w:t>
      </w:r>
    </w:p>
    <w:p w14:paraId="5725FCB5" w14:textId="77777777" w:rsidR="00FE6F6B" w:rsidRPr="00EF61B3" w:rsidRDefault="003E2989" w:rsidP="00EF61B3">
      <w:pPr>
        <w:spacing w:line="360" w:lineRule="auto"/>
        <w:rPr>
          <w:b/>
          <w:lang w:val="en-GB"/>
        </w:rPr>
      </w:pPr>
      <w:r w:rsidRPr="00EF61B3">
        <w:rPr>
          <w:b/>
          <w:lang w:val="en-GB"/>
        </w:rPr>
        <w:br w:type="page"/>
      </w:r>
    </w:p>
    <w:p w14:paraId="00000032" w14:textId="02D5979C" w:rsidR="00416361" w:rsidRPr="00EF61B3" w:rsidRDefault="003E2989" w:rsidP="00EF61B3">
      <w:pPr>
        <w:pStyle w:val="Heading1"/>
        <w:spacing w:line="360" w:lineRule="auto"/>
        <w:rPr>
          <w:rFonts w:ascii="Arial" w:hAnsi="Arial"/>
          <w:sz w:val="22"/>
          <w:szCs w:val="22"/>
          <w:lang w:val="en-GB"/>
        </w:rPr>
      </w:pPr>
      <w:bookmarkStart w:id="6" w:name="_Toc100264759"/>
      <w:r w:rsidRPr="00EF61B3">
        <w:rPr>
          <w:rFonts w:ascii="Arial" w:hAnsi="Arial"/>
          <w:sz w:val="22"/>
          <w:szCs w:val="22"/>
          <w:lang w:val="en-GB"/>
        </w:rPr>
        <w:lastRenderedPageBreak/>
        <w:t>References</w:t>
      </w:r>
      <w:bookmarkEnd w:id="6"/>
    </w:p>
    <w:p w14:paraId="4D75D1B4" w14:textId="77777777" w:rsidR="00FE6F6B" w:rsidRPr="00EF61B3" w:rsidRDefault="003E2989" w:rsidP="00EF61B3">
      <w:pPr>
        <w:spacing w:line="360" w:lineRule="auto"/>
        <w:jc w:val="both"/>
        <w:rPr>
          <w:color w:val="222222"/>
          <w:highlight w:val="white"/>
          <w:lang w:val="en-GB"/>
        </w:rPr>
      </w:pPr>
      <w:proofErr w:type="spellStart"/>
      <w:r w:rsidRPr="00EF61B3">
        <w:rPr>
          <w:color w:val="222222"/>
          <w:highlight w:val="white"/>
          <w:lang w:val="en-GB"/>
        </w:rPr>
        <w:t>Annabi</w:t>
      </w:r>
      <w:proofErr w:type="spellEnd"/>
      <w:r w:rsidRPr="00EF61B3">
        <w:rPr>
          <w:color w:val="222222"/>
          <w:highlight w:val="white"/>
          <w:lang w:val="en-GB"/>
        </w:rPr>
        <w:t xml:space="preserve">, H. and Lebovitz, S., 2018. Improving the retention of women in the IT workforce: An investigation of gender diversity interventions in the USA. </w:t>
      </w:r>
      <w:r w:rsidRPr="00EF61B3">
        <w:rPr>
          <w:i/>
          <w:color w:val="222222"/>
          <w:highlight w:val="white"/>
          <w:lang w:val="en-GB"/>
        </w:rPr>
        <w:t>Information Systems Journal</w:t>
      </w:r>
      <w:r w:rsidRPr="00EF61B3">
        <w:rPr>
          <w:color w:val="222222"/>
          <w:highlight w:val="white"/>
          <w:lang w:val="en-GB"/>
        </w:rPr>
        <w:t xml:space="preserve">, </w:t>
      </w:r>
      <w:r w:rsidRPr="00EF61B3">
        <w:rPr>
          <w:i/>
          <w:color w:val="222222"/>
          <w:highlight w:val="white"/>
          <w:lang w:val="en-GB"/>
        </w:rPr>
        <w:t>28</w:t>
      </w:r>
      <w:r w:rsidRPr="00EF61B3">
        <w:rPr>
          <w:color w:val="222222"/>
          <w:highlight w:val="white"/>
          <w:lang w:val="en-GB"/>
        </w:rPr>
        <w:t>(6), pp.1049-1081.</w:t>
      </w:r>
    </w:p>
    <w:p w14:paraId="3BFACD6C"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t xml:space="preserve">Beige, M., </w:t>
      </w:r>
      <w:proofErr w:type="spellStart"/>
      <w:r w:rsidRPr="00EF61B3">
        <w:rPr>
          <w:color w:val="222222"/>
          <w:highlight w:val="white"/>
          <w:lang w:val="en-GB"/>
        </w:rPr>
        <w:t>Shirmohammadi</w:t>
      </w:r>
      <w:proofErr w:type="spellEnd"/>
      <w:r w:rsidRPr="00EF61B3">
        <w:rPr>
          <w:color w:val="222222"/>
          <w:highlight w:val="white"/>
          <w:lang w:val="en-GB"/>
        </w:rPr>
        <w:t xml:space="preserve">, M. and Stewart, J., 2018. Flexible work arrangements and work-family conflict: A meta-synthesis of qualitative studies among academics. </w:t>
      </w:r>
      <w:r w:rsidRPr="00EF61B3">
        <w:rPr>
          <w:i/>
          <w:color w:val="222222"/>
          <w:highlight w:val="white"/>
          <w:lang w:val="en-GB"/>
        </w:rPr>
        <w:t>Human Resource Development Review</w:t>
      </w:r>
      <w:r w:rsidRPr="00EF61B3">
        <w:rPr>
          <w:color w:val="222222"/>
          <w:highlight w:val="white"/>
          <w:lang w:val="en-GB"/>
        </w:rPr>
        <w:t xml:space="preserve">, </w:t>
      </w:r>
      <w:r w:rsidRPr="00EF61B3">
        <w:rPr>
          <w:i/>
          <w:color w:val="222222"/>
          <w:highlight w:val="white"/>
          <w:lang w:val="en-GB"/>
        </w:rPr>
        <w:t>17</w:t>
      </w:r>
      <w:r w:rsidRPr="00EF61B3">
        <w:rPr>
          <w:color w:val="222222"/>
          <w:highlight w:val="white"/>
          <w:lang w:val="en-GB"/>
        </w:rPr>
        <w:t>(3), pp.314-336.</w:t>
      </w:r>
    </w:p>
    <w:p w14:paraId="1FA76959" w14:textId="77777777" w:rsidR="00FE6F6B" w:rsidRPr="00EF61B3" w:rsidRDefault="003E2989" w:rsidP="00EF61B3">
      <w:pPr>
        <w:spacing w:line="360" w:lineRule="auto"/>
        <w:jc w:val="both"/>
        <w:rPr>
          <w:color w:val="222222"/>
          <w:highlight w:val="white"/>
          <w:lang w:val="en-GB"/>
        </w:rPr>
      </w:pPr>
      <w:proofErr w:type="spellStart"/>
      <w:r w:rsidRPr="00EF61B3">
        <w:rPr>
          <w:color w:val="222222"/>
          <w:highlight w:val="white"/>
          <w:lang w:val="en-GB"/>
        </w:rPr>
        <w:t>Chandola</w:t>
      </w:r>
      <w:proofErr w:type="spellEnd"/>
      <w:r w:rsidRPr="00EF61B3">
        <w:rPr>
          <w:color w:val="222222"/>
          <w:highlight w:val="white"/>
          <w:lang w:val="en-GB"/>
        </w:rPr>
        <w:t xml:space="preserve">, T., Booker, C.L., Kumari, M. and </w:t>
      </w:r>
      <w:proofErr w:type="spellStart"/>
      <w:r w:rsidRPr="00EF61B3">
        <w:rPr>
          <w:color w:val="222222"/>
          <w:highlight w:val="white"/>
          <w:lang w:val="en-GB"/>
        </w:rPr>
        <w:t>Benzeval</w:t>
      </w:r>
      <w:proofErr w:type="spellEnd"/>
      <w:r w:rsidRPr="00EF61B3">
        <w:rPr>
          <w:color w:val="222222"/>
          <w:highlight w:val="white"/>
          <w:lang w:val="en-GB"/>
        </w:rPr>
        <w:t xml:space="preserve">, M., 2019. Are flexible work arrangements associated with lower levels of chronic stress-related biomarkers? A study of 6025 employees in the UK household longitudinal study. </w:t>
      </w:r>
      <w:r w:rsidRPr="00EF61B3">
        <w:rPr>
          <w:i/>
          <w:color w:val="222222"/>
          <w:highlight w:val="white"/>
          <w:lang w:val="en-GB"/>
        </w:rPr>
        <w:t>Sociology</w:t>
      </w:r>
      <w:r w:rsidRPr="00EF61B3">
        <w:rPr>
          <w:color w:val="222222"/>
          <w:highlight w:val="white"/>
          <w:lang w:val="en-GB"/>
        </w:rPr>
        <w:t xml:space="preserve">, </w:t>
      </w:r>
      <w:r w:rsidRPr="00EF61B3">
        <w:rPr>
          <w:i/>
          <w:color w:val="222222"/>
          <w:highlight w:val="white"/>
          <w:lang w:val="en-GB"/>
        </w:rPr>
        <w:t>53</w:t>
      </w:r>
      <w:r w:rsidRPr="00EF61B3">
        <w:rPr>
          <w:color w:val="222222"/>
          <w:highlight w:val="white"/>
          <w:lang w:val="en-GB"/>
        </w:rPr>
        <w:t>(4), pp.779-799.</w:t>
      </w:r>
    </w:p>
    <w:p w14:paraId="74814F40"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t xml:space="preserve">Chung, H. and Van der Lippe, T., 2020. Flexible working, work-life balance, and gender equality: Introduction. </w:t>
      </w:r>
      <w:r w:rsidRPr="00EF61B3">
        <w:rPr>
          <w:i/>
          <w:color w:val="222222"/>
          <w:highlight w:val="white"/>
          <w:lang w:val="en-GB"/>
        </w:rPr>
        <w:t>Social Indicators Research</w:t>
      </w:r>
      <w:r w:rsidRPr="00EF61B3">
        <w:rPr>
          <w:color w:val="222222"/>
          <w:highlight w:val="white"/>
          <w:lang w:val="en-GB"/>
        </w:rPr>
        <w:t xml:space="preserve">, </w:t>
      </w:r>
      <w:r w:rsidRPr="00EF61B3">
        <w:rPr>
          <w:i/>
          <w:color w:val="222222"/>
          <w:highlight w:val="white"/>
          <w:lang w:val="en-GB"/>
        </w:rPr>
        <w:t>151</w:t>
      </w:r>
      <w:r w:rsidRPr="00EF61B3">
        <w:rPr>
          <w:color w:val="222222"/>
          <w:highlight w:val="white"/>
          <w:lang w:val="en-GB"/>
        </w:rPr>
        <w:t>(2), pp.365-381. Retrieved from: https://link.springer.com/article/10.1007/s11205-018-2025-x [Accessed on: 2nd April 2022]</w:t>
      </w:r>
    </w:p>
    <w:p w14:paraId="1FCA34E0"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t xml:space="preserve">Frangieh, C.G. and </w:t>
      </w:r>
      <w:proofErr w:type="spellStart"/>
      <w:r w:rsidRPr="00EF61B3">
        <w:rPr>
          <w:color w:val="222222"/>
          <w:highlight w:val="white"/>
          <w:lang w:val="en-GB"/>
        </w:rPr>
        <w:t>Yaacoub</w:t>
      </w:r>
      <w:proofErr w:type="spellEnd"/>
      <w:r w:rsidRPr="00EF61B3">
        <w:rPr>
          <w:color w:val="222222"/>
          <w:highlight w:val="white"/>
          <w:lang w:val="en-GB"/>
        </w:rPr>
        <w:t xml:space="preserve">, H.K., 2018. Socially responsible human resource practices: disclosures of the world’s best multinational workplaces. </w:t>
      </w:r>
      <w:r w:rsidRPr="00EF61B3">
        <w:rPr>
          <w:i/>
          <w:color w:val="222222"/>
          <w:highlight w:val="white"/>
          <w:lang w:val="en-GB"/>
        </w:rPr>
        <w:t>Social Responsibility Journal</w:t>
      </w:r>
      <w:r w:rsidRPr="00EF61B3">
        <w:rPr>
          <w:color w:val="222222"/>
          <w:highlight w:val="white"/>
          <w:lang w:val="en-GB"/>
        </w:rPr>
        <w:t>.</w:t>
      </w:r>
    </w:p>
    <w:p w14:paraId="2B5B3B23"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t xml:space="preserve">Fuller, S. and Hirsh, C.E., 2019. “Family-friendly” jobs and motherhood pay penalties: The impact of flexible work arrangements across the educational spectrum. </w:t>
      </w:r>
      <w:r w:rsidRPr="00EF61B3">
        <w:rPr>
          <w:i/>
          <w:color w:val="222222"/>
          <w:highlight w:val="white"/>
          <w:lang w:val="en-GB"/>
        </w:rPr>
        <w:t>Work and Occupations</w:t>
      </w:r>
      <w:r w:rsidRPr="00EF61B3">
        <w:rPr>
          <w:color w:val="222222"/>
          <w:highlight w:val="white"/>
          <w:lang w:val="en-GB"/>
        </w:rPr>
        <w:t xml:space="preserve">, </w:t>
      </w:r>
      <w:r w:rsidRPr="00EF61B3">
        <w:rPr>
          <w:i/>
          <w:color w:val="222222"/>
          <w:highlight w:val="white"/>
          <w:lang w:val="en-GB"/>
        </w:rPr>
        <w:t>46</w:t>
      </w:r>
      <w:r w:rsidRPr="00EF61B3">
        <w:rPr>
          <w:color w:val="222222"/>
          <w:highlight w:val="white"/>
          <w:lang w:val="en-GB"/>
        </w:rPr>
        <w:t>(1), pp.3-44.</w:t>
      </w:r>
    </w:p>
    <w:p w14:paraId="65F8654F"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t xml:space="preserve">Gong, G., Deng, Q., Gong, X., Liu, W. and Ren, Q., 2018. A new double flexible job-shop scheduling problem integrating processing time, green production, and human factor indicators. </w:t>
      </w:r>
      <w:r w:rsidRPr="00EF61B3">
        <w:rPr>
          <w:i/>
          <w:color w:val="222222"/>
          <w:highlight w:val="white"/>
          <w:lang w:val="en-GB"/>
        </w:rPr>
        <w:t>Journal of Cleaner Production</w:t>
      </w:r>
      <w:r w:rsidRPr="00EF61B3">
        <w:rPr>
          <w:color w:val="222222"/>
          <w:highlight w:val="white"/>
          <w:lang w:val="en-GB"/>
        </w:rPr>
        <w:t xml:space="preserve">, </w:t>
      </w:r>
      <w:r w:rsidRPr="00EF61B3">
        <w:rPr>
          <w:i/>
          <w:color w:val="222222"/>
          <w:highlight w:val="white"/>
          <w:lang w:val="en-GB"/>
        </w:rPr>
        <w:t>174</w:t>
      </w:r>
      <w:r w:rsidRPr="00EF61B3">
        <w:rPr>
          <w:color w:val="222222"/>
          <w:highlight w:val="white"/>
          <w:lang w:val="en-GB"/>
        </w:rPr>
        <w:t>, pp.560-576.</w:t>
      </w:r>
    </w:p>
    <w:p w14:paraId="05537F5D" w14:textId="77777777" w:rsidR="00FE6F6B" w:rsidRPr="00EF61B3" w:rsidRDefault="003E2989" w:rsidP="00EF61B3">
      <w:pPr>
        <w:spacing w:line="360" w:lineRule="auto"/>
        <w:jc w:val="both"/>
        <w:rPr>
          <w:color w:val="222222"/>
          <w:highlight w:val="white"/>
          <w:lang w:val="en-GB"/>
        </w:rPr>
      </w:pPr>
      <w:proofErr w:type="spellStart"/>
      <w:r w:rsidRPr="00EF61B3">
        <w:rPr>
          <w:color w:val="222222"/>
          <w:highlight w:val="white"/>
          <w:lang w:val="en-GB"/>
        </w:rPr>
        <w:t>Kelliher</w:t>
      </w:r>
      <w:proofErr w:type="spellEnd"/>
      <w:r w:rsidRPr="00EF61B3">
        <w:rPr>
          <w:color w:val="222222"/>
          <w:highlight w:val="white"/>
          <w:lang w:val="en-GB"/>
        </w:rPr>
        <w:t xml:space="preserve">, C. and De Menezes, L.M., 2019. Flexible working in organisations: A research overview. </w:t>
      </w:r>
    </w:p>
    <w:p w14:paraId="6F49C955"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t xml:space="preserve">Lott, Y., 2020. Does flexibility help employees switch off from work? Flexible working-time arrangements and cognitive work-to-home </w:t>
      </w:r>
      <w:proofErr w:type="spellStart"/>
      <w:r w:rsidRPr="00EF61B3">
        <w:rPr>
          <w:color w:val="222222"/>
          <w:highlight w:val="white"/>
          <w:lang w:val="en-GB"/>
        </w:rPr>
        <w:t>spillover</w:t>
      </w:r>
      <w:proofErr w:type="spellEnd"/>
      <w:r w:rsidRPr="00EF61B3">
        <w:rPr>
          <w:color w:val="222222"/>
          <w:highlight w:val="white"/>
          <w:lang w:val="en-GB"/>
        </w:rPr>
        <w:t xml:space="preserve"> for women and men in Germany. </w:t>
      </w:r>
      <w:r w:rsidRPr="00EF61B3">
        <w:rPr>
          <w:i/>
          <w:color w:val="222222"/>
          <w:highlight w:val="white"/>
          <w:lang w:val="en-GB"/>
        </w:rPr>
        <w:t>Social Indicators Research</w:t>
      </w:r>
      <w:r w:rsidRPr="00EF61B3">
        <w:rPr>
          <w:color w:val="222222"/>
          <w:highlight w:val="white"/>
          <w:lang w:val="en-GB"/>
        </w:rPr>
        <w:t xml:space="preserve">, </w:t>
      </w:r>
      <w:r w:rsidRPr="00EF61B3">
        <w:rPr>
          <w:i/>
          <w:color w:val="222222"/>
          <w:highlight w:val="white"/>
          <w:lang w:val="en-GB"/>
        </w:rPr>
        <w:t>151</w:t>
      </w:r>
      <w:r w:rsidRPr="00EF61B3">
        <w:rPr>
          <w:color w:val="222222"/>
          <w:highlight w:val="white"/>
          <w:lang w:val="en-GB"/>
        </w:rPr>
        <w:t>(2), pp.471-494.</w:t>
      </w:r>
    </w:p>
    <w:p w14:paraId="7CBDA4B5"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t xml:space="preserve">Stahl, G.K., Brewster, C.J., Collings, D.G. and Harjo, A., 2020. Enhancing the role of human resource management in corporate sustainability and social responsibility: A multi-stakeholder, multidimensional approach to HRM. </w:t>
      </w:r>
      <w:r w:rsidRPr="00EF61B3">
        <w:rPr>
          <w:i/>
          <w:color w:val="222222"/>
          <w:highlight w:val="white"/>
          <w:lang w:val="en-GB"/>
        </w:rPr>
        <w:t>Human Resource Management Review</w:t>
      </w:r>
      <w:r w:rsidRPr="00EF61B3">
        <w:rPr>
          <w:color w:val="222222"/>
          <w:highlight w:val="white"/>
          <w:lang w:val="en-GB"/>
        </w:rPr>
        <w:t xml:space="preserve">, </w:t>
      </w:r>
      <w:r w:rsidRPr="00EF61B3">
        <w:rPr>
          <w:i/>
          <w:color w:val="222222"/>
          <w:highlight w:val="white"/>
          <w:lang w:val="en-GB"/>
        </w:rPr>
        <w:t>30</w:t>
      </w:r>
      <w:r w:rsidRPr="00EF61B3">
        <w:rPr>
          <w:color w:val="222222"/>
          <w:highlight w:val="white"/>
          <w:lang w:val="en-GB"/>
        </w:rPr>
        <w:t>(3), p.100708.</w:t>
      </w:r>
    </w:p>
    <w:p w14:paraId="1264A413" w14:textId="77777777" w:rsidR="00FE6F6B" w:rsidRPr="00EF61B3" w:rsidRDefault="003E2989" w:rsidP="00EF61B3">
      <w:pPr>
        <w:spacing w:line="360" w:lineRule="auto"/>
        <w:jc w:val="both"/>
        <w:rPr>
          <w:color w:val="222222"/>
          <w:highlight w:val="white"/>
          <w:lang w:val="en-GB"/>
        </w:rPr>
      </w:pPr>
      <w:proofErr w:type="spellStart"/>
      <w:r w:rsidRPr="00EF61B3">
        <w:rPr>
          <w:color w:val="222222"/>
          <w:highlight w:val="white"/>
          <w:lang w:val="en-GB"/>
        </w:rPr>
        <w:t>Strah</w:t>
      </w:r>
      <w:proofErr w:type="spellEnd"/>
      <w:r w:rsidRPr="00EF61B3">
        <w:rPr>
          <w:color w:val="222222"/>
          <w:highlight w:val="white"/>
          <w:lang w:val="en-GB"/>
        </w:rPr>
        <w:t xml:space="preserve">, N., Rupp, D.E. and Morris, S.B., 2022. Job analysis and job classification for addressing pay inequality in organizations: Adjusting our methods within a shifting legal landscape. </w:t>
      </w:r>
      <w:r w:rsidRPr="00EF61B3">
        <w:rPr>
          <w:i/>
          <w:color w:val="222222"/>
          <w:highlight w:val="white"/>
          <w:lang w:val="en-GB"/>
        </w:rPr>
        <w:t>Industrial and Organizational Psychology</w:t>
      </w:r>
      <w:r w:rsidRPr="00EF61B3">
        <w:rPr>
          <w:color w:val="222222"/>
          <w:highlight w:val="white"/>
          <w:lang w:val="en-GB"/>
        </w:rPr>
        <w:t xml:space="preserve">, </w:t>
      </w:r>
      <w:r w:rsidRPr="00EF61B3">
        <w:rPr>
          <w:i/>
          <w:color w:val="222222"/>
          <w:highlight w:val="white"/>
          <w:lang w:val="en-GB"/>
        </w:rPr>
        <w:t>15</w:t>
      </w:r>
      <w:r w:rsidRPr="00EF61B3">
        <w:rPr>
          <w:color w:val="222222"/>
          <w:highlight w:val="white"/>
          <w:lang w:val="en-GB"/>
        </w:rPr>
        <w:t>(1), pp.1-45.</w:t>
      </w:r>
    </w:p>
    <w:p w14:paraId="39F72B2B" w14:textId="77777777" w:rsidR="00FE6F6B" w:rsidRPr="00EF61B3" w:rsidRDefault="003E2989" w:rsidP="00EF61B3">
      <w:pPr>
        <w:spacing w:line="360" w:lineRule="auto"/>
        <w:jc w:val="both"/>
        <w:rPr>
          <w:color w:val="222222"/>
          <w:highlight w:val="white"/>
          <w:lang w:val="en-GB"/>
        </w:rPr>
      </w:pPr>
      <w:r w:rsidRPr="00EF61B3">
        <w:rPr>
          <w:color w:val="222222"/>
          <w:highlight w:val="white"/>
          <w:lang w:val="en-GB"/>
        </w:rPr>
        <w:lastRenderedPageBreak/>
        <w:t xml:space="preserve">Wainwright, D., Crawford, J., Loretto, W., Phillipson, C., Robinson, M., Shepherd, S., </w:t>
      </w:r>
      <w:proofErr w:type="spellStart"/>
      <w:r w:rsidRPr="00EF61B3">
        <w:rPr>
          <w:color w:val="222222"/>
          <w:highlight w:val="white"/>
          <w:lang w:val="en-GB"/>
        </w:rPr>
        <w:t>Vickerstaff</w:t>
      </w:r>
      <w:proofErr w:type="spellEnd"/>
      <w:r w:rsidRPr="00EF61B3">
        <w:rPr>
          <w:color w:val="222222"/>
          <w:highlight w:val="white"/>
          <w:lang w:val="en-GB"/>
        </w:rPr>
        <w:t xml:space="preserve">, S. and </w:t>
      </w:r>
      <w:proofErr w:type="spellStart"/>
      <w:r w:rsidRPr="00EF61B3">
        <w:rPr>
          <w:color w:val="222222"/>
          <w:highlight w:val="white"/>
          <w:lang w:val="en-GB"/>
        </w:rPr>
        <w:t>Weyman</w:t>
      </w:r>
      <w:proofErr w:type="spellEnd"/>
      <w:r w:rsidRPr="00EF61B3">
        <w:rPr>
          <w:color w:val="222222"/>
          <w:highlight w:val="white"/>
          <w:lang w:val="en-GB"/>
        </w:rPr>
        <w:t xml:space="preserve">, A., 2019. Extending working life and the management of change. Is the workplace ready for the ageing </w:t>
      </w:r>
      <w:proofErr w:type="gramStart"/>
      <w:r w:rsidRPr="00EF61B3">
        <w:rPr>
          <w:color w:val="222222"/>
          <w:highlight w:val="white"/>
          <w:lang w:val="en-GB"/>
        </w:rPr>
        <w:t>worker?.</w:t>
      </w:r>
      <w:proofErr w:type="gramEnd"/>
      <w:r w:rsidRPr="00EF61B3">
        <w:rPr>
          <w:color w:val="222222"/>
          <w:highlight w:val="white"/>
          <w:lang w:val="en-GB"/>
        </w:rPr>
        <w:t xml:space="preserve"> </w:t>
      </w:r>
      <w:r w:rsidRPr="00EF61B3">
        <w:rPr>
          <w:i/>
          <w:color w:val="222222"/>
          <w:highlight w:val="white"/>
          <w:lang w:val="en-GB"/>
        </w:rPr>
        <w:t>Ageing &amp; Society</w:t>
      </w:r>
      <w:r w:rsidRPr="00EF61B3">
        <w:rPr>
          <w:color w:val="222222"/>
          <w:highlight w:val="white"/>
          <w:lang w:val="en-GB"/>
        </w:rPr>
        <w:t xml:space="preserve">, </w:t>
      </w:r>
      <w:r w:rsidRPr="00EF61B3">
        <w:rPr>
          <w:i/>
          <w:color w:val="222222"/>
          <w:highlight w:val="white"/>
          <w:lang w:val="en-GB"/>
        </w:rPr>
        <w:t>39</w:t>
      </w:r>
      <w:r w:rsidRPr="00EF61B3">
        <w:rPr>
          <w:color w:val="222222"/>
          <w:highlight w:val="white"/>
          <w:lang w:val="en-GB"/>
        </w:rPr>
        <w:t>(11), pp.2397-2419.</w:t>
      </w:r>
    </w:p>
    <w:sectPr w:rsidR="00FE6F6B" w:rsidRPr="00EF61B3" w:rsidSect="00EF61B3">
      <w:footerReference w:type="default" r:id="rId8"/>
      <w:pgSz w:w="12240" w:h="15840"/>
      <w:pgMar w:top="1418" w:right="1814" w:bottom="1418" w:left="1814"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E236E" w14:textId="77777777" w:rsidR="00CC60BA" w:rsidRDefault="00CC60BA">
      <w:pPr>
        <w:spacing w:line="240" w:lineRule="auto"/>
      </w:pPr>
      <w:r>
        <w:separator/>
      </w:r>
    </w:p>
  </w:endnote>
  <w:endnote w:type="continuationSeparator" w:id="0">
    <w:p w14:paraId="51AB2DA5" w14:textId="77777777" w:rsidR="00CC60BA" w:rsidRDefault="00CC60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83672"/>
      <w:docPartObj>
        <w:docPartGallery w:val="Page Numbers (Bottom of Page)"/>
        <w:docPartUnique/>
      </w:docPartObj>
    </w:sdtPr>
    <w:sdtEndPr>
      <w:rPr>
        <w:rFonts w:ascii="Times New Roman" w:hAnsi="Times New Roman" w:cs="Times New Roman"/>
        <w:noProof/>
        <w:sz w:val="24"/>
        <w:szCs w:val="24"/>
      </w:rPr>
    </w:sdtEndPr>
    <w:sdtContent>
      <w:p w14:paraId="6677AA1A" w14:textId="02A58249" w:rsidR="00FE6F6B" w:rsidRPr="00FE6F6B" w:rsidRDefault="003E2989">
        <w:pPr>
          <w:pStyle w:val="Footer"/>
          <w:jc w:val="right"/>
          <w:rPr>
            <w:rFonts w:ascii="Times New Roman" w:hAnsi="Times New Roman" w:cs="Times New Roman"/>
            <w:sz w:val="24"/>
            <w:szCs w:val="24"/>
          </w:rPr>
        </w:pPr>
        <w:r w:rsidRPr="00FE6F6B">
          <w:rPr>
            <w:rFonts w:ascii="Times New Roman" w:hAnsi="Times New Roman" w:cs="Times New Roman"/>
            <w:sz w:val="24"/>
            <w:szCs w:val="24"/>
          </w:rPr>
          <w:fldChar w:fldCharType="begin"/>
        </w:r>
        <w:r w:rsidRPr="00FE6F6B">
          <w:rPr>
            <w:rFonts w:ascii="Times New Roman" w:hAnsi="Times New Roman" w:cs="Times New Roman"/>
            <w:sz w:val="24"/>
            <w:szCs w:val="24"/>
          </w:rPr>
          <w:instrText xml:space="preserve"> PAGE   \* MERGEFORMAT </w:instrText>
        </w:r>
        <w:r w:rsidRPr="00FE6F6B">
          <w:rPr>
            <w:rFonts w:ascii="Times New Roman" w:hAnsi="Times New Roman" w:cs="Times New Roman"/>
            <w:sz w:val="24"/>
            <w:szCs w:val="24"/>
          </w:rPr>
          <w:fldChar w:fldCharType="separate"/>
        </w:r>
        <w:r>
          <w:rPr>
            <w:rFonts w:ascii="Times New Roman" w:hAnsi="Times New Roman" w:cs="Times New Roman"/>
            <w:noProof/>
            <w:sz w:val="24"/>
            <w:szCs w:val="24"/>
          </w:rPr>
          <w:t>1</w:t>
        </w:r>
        <w:r w:rsidRPr="00FE6F6B">
          <w:rPr>
            <w:rFonts w:ascii="Times New Roman" w:hAnsi="Times New Roman" w:cs="Times New Roman"/>
            <w:noProof/>
            <w:sz w:val="24"/>
            <w:szCs w:val="24"/>
          </w:rPr>
          <w:fldChar w:fldCharType="end"/>
        </w:r>
      </w:p>
    </w:sdtContent>
  </w:sdt>
  <w:p w14:paraId="329D622C" w14:textId="77777777" w:rsidR="00FE6F6B" w:rsidRDefault="00FE6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2356F" w14:textId="77777777" w:rsidR="00CC60BA" w:rsidRDefault="00CC60BA">
      <w:pPr>
        <w:spacing w:line="240" w:lineRule="auto"/>
      </w:pPr>
      <w:r>
        <w:separator/>
      </w:r>
    </w:p>
  </w:footnote>
  <w:footnote w:type="continuationSeparator" w:id="0">
    <w:p w14:paraId="5E17AAEA" w14:textId="77777777" w:rsidR="00CC60BA" w:rsidRDefault="00CC60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C75396"/>
    <w:multiLevelType w:val="hybridMultilevel"/>
    <w:tmpl w:val="B1C6A7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53706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361"/>
    <w:rsid w:val="00150D98"/>
    <w:rsid w:val="00234675"/>
    <w:rsid w:val="003E2989"/>
    <w:rsid w:val="00416361"/>
    <w:rsid w:val="00452D01"/>
    <w:rsid w:val="004625AC"/>
    <w:rsid w:val="00627A64"/>
    <w:rsid w:val="006F7B3D"/>
    <w:rsid w:val="00752532"/>
    <w:rsid w:val="007C6603"/>
    <w:rsid w:val="009325F6"/>
    <w:rsid w:val="00952245"/>
    <w:rsid w:val="00993C67"/>
    <w:rsid w:val="00C46F7B"/>
    <w:rsid w:val="00C54699"/>
    <w:rsid w:val="00CC60BA"/>
    <w:rsid w:val="00EF61B3"/>
    <w:rsid w:val="00F527FD"/>
    <w:rsid w:val="00F5728A"/>
    <w:rsid w:val="00FE6F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F1FFE"/>
  <w15:docId w15:val="{2E72C763-00F9-450B-867D-9E5750E8E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E6F6B"/>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E6F6B"/>
    <w:pPr>
      <w:tabs>
        <w:tab w:val="center" w:pos="4513"/>
        <w:tab w:val="right" w:pos="9026"/>
      </w:tabs>
      <w:spacing w:line="240" w:lineRule="auto"/>
    </w:pPr>
  </w:style>
  <w:style w:type="character" w:customStyle="1" w:styleId="HeaderChar">
    <w:name w:val="Header Char"/>
    <w:basedOn w:val="DefaultParagraphFont"/>
    <w:link w:val="Header"/>
    <w:uiPriority w:val="99"/>
    <w:rsid w:val="00FE6F6B"/>
  </w:style>
  <w:style w:type="paragraph" w:styleId="Footer">
    <w:name w:val="footer"/>
    <w:basedOn w:val="Normal"/>
    <w:link w:val="FooterChar"/>
    <w:uiPriority w:val="99"/>
    <w:unhideWhenUsed/>
    <w:rsid w:val="00FE6F6B"/>
    <w:pPr>
      <w:tabs>
        <w:tab w:val="center" w:pos="4513"/>
        <w:tab w:val="right" w:pos="9026"/>
      </w:tabs>
      <w:spacing w:line="240" w:lineRule="auto"/>
    </w:pPr>
  </w:style>
  <w:style w:type="character" w:customStyle="1" w:styleId="FooterChar">
    <w:name w:val="Footer Char"/>
    <w:basedOn w:val="DefaultParagraphFont"/>
    <w:link w:val="Footer"/>
    <w:uiPriority w:val="99"/>
    <w:rsid w:val="00FE6F6B"/>
  </w:style>
  <w:style w:type="paragraph" w:styleId="TOCHeading">
    <w:name w:val="TOC Heading"/>
    <w:basedOn w:val="Heading1"/>
    <w:next w:val="Normal"/>
    <w:uiPriority w:val="39"/>
    <w:unhideWhenUsed/>
    <w:qFormat/>
    <w:rsid w:val="00FE6F6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E6F6B"/>
    <w:pPr>
      <w:spacing w:after="100"/>
    </w:pPr>
  </w:style>
  <w:style w:type="character" w:styleId="Hyperlink">
    <w:name w:val="Hyperlink"/>
    <w:basedOn w:val="DefaultParagraphFont"/>
    <w:uiPriority w:val="99"/>
    <w:unhideWhenUsed/>
    <w:rsid w:val="00FE6F6B"/>
    <w:rPr>
      <w:color w:val="0000FF" w:themeColor="hyperlink"/>
      <w:u w:val="single"/>
    </w:rPr>
  </w:style>
  <w:style w:type="paragraph" w:styleId="ListParagraph">
    <w:name w:val="List Paragraph"/>
    <w:basedOn w:val="Normal"/>
    <w:uiPriority w:val="34"/>
    <w:qFormat/>
    <w:rsid w:val="00627A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27928A-6764-4FBB-A2AA-96C75FC9C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3090</Words>
  <Characters>17614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2019296@student.uwtsd.ac.uk</dc:creator>
  <cp:lastModifiedBy>Ioana Raira Mosu</cp:lastModifiedBy>
  <cp:revision>4</cp:revision>
  <dcterms:created xsi:type="dcterms:W3CDTF">2022-04-10T08:47:00Z</dcterms:created>
  <dcterms:modified xsi:type="dcterms:W3CDTF">2022-05-01T21:18:00Z</dcterms:modified>
</cp:coreProperties>
</file>