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4CAE6" w14:textId="77777777" w:rsidR="005B55E7" w:rsidRPr="00F762DB" w:rsidRDefault="005B55E7" w:rsidP="00F762DB">
      <w:pPr>
        <w:spacing w:line="360" w:lineRule="auto"/>
        <w:jc w:val="center"/>
        <w:rPr>
          <w:rFonts w:ascii="Arial" w:hAnsi="Arial" w:cs="Arial"/>
          <w:b/>
          <w:bCs/>
          <w:sz w:val="22"/>
          <w:szCs w:val="22"/>
          <w:lang w:eastAsia="en-GB"/>
        </w:rPr>
      </w:pPr>
    </w:p>
    <w:p w14:paraId="6BDEB0F2" w14:textId="77777777" w:rsidR="005B55E7" w:rsidRPr="00F762DB" w:rsidRDefault="005B55E7" w:rsidP="00F762DB">
      <w:pPr>
        <w:spacing w:line="360" w:lineRule="auto"/>
        <w:jc w:val="center"/>
        <w:rPr>
          <w:rFonts w:ascii="Arial" w:hAnsi="Arial" w:cs="Arial"/>
          <w:b/>
          <w:bCs/>
          <w:sz w:val="22"/>
          <w:szCs w:val="22"/>
          <w:lang w:eastAsia="en-GB"/>
        </w:rPr>
      </w:pPr>
    </w:p>
    <w:p w14:paraId="31C98368" w14:textId="77777777" w:rsidR="005B55E7" w:rsidRPr="00F762DB" w:rsidRDefault="005B55E7" w:rsidP="00F762DB">
      <w:pPr>
        <w:spacing w:line="360" w:lineRule="auto"/>
        <w:jc w:val="center"/>
        <w:rPr>
          <w:rFonts w:ascii="Arial" w:hAnsi="Arial" w:cs="Arial"/>
          <w:b/>
          <w:bCs/>
          <w:sz w:val="22"/>
          <w:szCs w:val="22"/>
          <w:lang w:eastAsia="en-GB"/>
        </w:rPr>
      </w:pPr>
    </w:p>
    <w:p w14:paraId="47A26AC5" w14:textId="77777777" w:rsidR="005B55E7" w:rsidRPr="00F762DB" w:rsidRDefault="005B55E7" w:rsidP="00F762DB">
      <w:pPr>
        <w:spacing w:line="360" w:lineRule="auto"/>
        <w:jc w:val="center"/>
        <w:rPr>
          <w:rFonts w:ascii="Arial" w:hAnsi="Arial" w:cs="Arial"/>
          <w:b/>
          <w:bCs/>
          <w:sz w:val="22"/>
          <w:szCs w:val="22"/>
          <w:lang w:eastAsia="en-GB"/>
        </w:rPr>
      </w:pPr>
    </w:p>
    <w:p w14:paraId="0C4C14BF" w14:textId="77777777" w:rsidR="00892ABD" w:rsidRPr="00F762DB" w:rsidRDefault="00892ABD" w:rsidP="00F762DB">
      <w:pPr>
        <w:spacing w:line="360" w:lineRule="auto"/>
        <w:jc w:val="center"/>
        <w:rPr>
          <w:rFonts w:ascii="Arial" w:hAnsi="Arial" w:cs="Arial"/>
          <w:b/>
          <w:bCs/>
          <w:sz w:val="22"/>
          <w:szCs w:val="22"/>
          <w:lang w:eastAsia="en-GB"/>
        </w:rPr>
      </w:pPr>
    </w:p>
    <w:p w14:paraId="5AC5437B" w14:textId="77777777" w:rsidR="00892ABD" w:rsidRPr="00F762DB" w:rsidRDefault="00892ABD" w:rsidP="00F762DB">
      <w:pPr>
        <w:spacing w:line="360" w:lineRule="auto"/>
        <w:jc w:val="center"/>
        <w:rPr>
          <w:rFonts w:ascii="Arial" w:hAnsi="Arial" w:cs="Arial"/>
          <w:b/>
          <w:bCs/>
          <w:sz w:val="22"/>
          <w:szCs w:val="22"/>
          <w:lang w:eastAsia="en-GB"/>
        </w:rPr>
      </w:pPr>
    </w:p>
    <w:p w14:paraId="002D3658" w14:textId="77777777" w:rsidR="00892ABD" w:rsidRPr="00F762DB" w:rsidRDefault="00892ABD" w:rsidP="00F762DB">
      <w:pPr>
        <w:spacing w:line="360" w:lineRule="auto"/>
        <w:jc w:val="center"/>
        <w:rPr>
          <w:rFonts w:ascii="Arial" w:hAnsi="Arial" w:cs="Arial"/>
          <w:b/>
          <w:bCs/>
          <w:sz w:val="22"/>
          <w:szCs w:val="22"/>
          <w:lang w:eastAsia="en-GB"/>
        </w:rPr>
      </w:pPr>
    </w:p>
    <w:p w14:paraId="7F2E924A" w14:textId="77777777" w:rsidR="005B55E7" w:rsidRPr="00F762DB" w:rsidRDefault="005B55E7" w:rsidP="00F762DB">
      <w:pPr>
        <w:spacing w:line="360" w:lineRule="auto"/>
        <w:jc w:val="center"/>
        <w:rPr>
          <w:rFonts w:ascii="Arial" w:hAnsi="Arial" w:cs="Arial"/>
          <w:b/>
          <w:bCs/>
          <w:sz w:val="22"/>
          <w:szCs w:val="22"/>
          <w:lang w:eastAsia="en-GB"/>
        </w:rPr>
      </w:pPr>
    </w:p>
    <w:p w14:paraId="28B7B4B4" w14:textId="3CE6D963" w:rsidR="000B5A13" w:rsidRPr="00F762DB" w:rsidRDefault="000B5A13" w:rsidP="00F762DB">
      <w:pPr>
        <w:spacing w:line="360" w:lineRule="auto"/>
        <w:jc w:val="center"/>
        <w:rPr>
          <w:rFonts w:ascii="Arial" w:hAnsi="Arial" w:cs="Arial"/>
          <w:b/>
          <w:bCs/>
          <w:sz w:val="22"/>
          <w:szCs w:val="22"/>
          <w:lang w:eastAsia="en-GB"/>
        </w:rPr>
      </w:pPr>
      <w:r w:rsidRPr="00F762DB">
        <w:rPr>
          <w:rFonts w:ascii="Arial" w:hAnsi="Arial" w:cs="Arial"/>
          <w:b/>
          <w:bCs/>
          <w:sz w:val="22"/>
          <w:szCs w:val="22"/>
          <w:lang w:eastAsia="en-GB"/>
        </w:rPr>
        <w:t>Case Study Report: Management and Education of Patients with Type 2 Diabetes</w:t>
      </w:r>
    </w:p>
    <w:p w14:paraId="1BCB72F9" w14:textId="77777777" w:rsidR="000B5A13" w:rsidRPr="00F762DB" w:rsidRDefault="000B5A13" w:rsidP="00F762DB">
      <w:pPr>
        <w:spacing w:line="360" w:lineRule="auto"/>
        <w:jc w:val="center"/>
        <w:rPr>
          <w:rFonts w:ascii="Arial" w:hAnsi="Arial" w:cs="Arial"/>
          <w:kern w:val="0"/>
          <w:sz w:val="22"/>
          <w:szCs w:val="22"/>
          <w:lang w:eastAsia="en-GB"/>
        </w:rPr>
      </w:pPr>
      <w:r w:rsidRPr="00F762DB">
        <w:rPr>
          <w:rFonts w:ascii="Arial" w:hAnsi="Arial" w:cs="Arial"/>
          <w:b/>
          <w:bCs/>
          <w:kern w:val="0"/>
          <w:sz w:val="22"/>
          <w:szCs w:val="22"/>
          <w:bdr w:val="none" w:sz="0" w:space="0" w:color="auto" w:frame="1"/>
          <w:lang w:eastAsia="en-GB"/>
        </w:rPr>
        <w:t>Assignment Title:</w:t>
      </w:r>
      <w:r w:rsidRPr="00F762DB">
        <w:rPr>
          <w:rFonts w:ascii="Arial" w:hAnsi="Arial" w:cs="Arial"/>
          <w:kern w:val="0"/>
          <w:sz w:val="22"/>
          <w:szCs w:val="22"/>
          <w:lang w:eastAsia="en-GB"/>
        </w:rPr>
        <w:t xml:space="preserve"> Case Study 1: Diabetes Management in Primary Care</w:t>
      </w:r>
    </w:p>
    <w:p w14:paraId="403A1386" w14:textId="3874DB02" w:rsidR="005B55E7" w:rsidRPr="00F762DB" w:rsidRDefault="00F761EA" w:rsidP="00F762DB">
      <w:pPr>
        <w:spacing w:line="360" w:lineRule="auto"/>
        <w:jc w:val="center"/>
        <w:rPr>
          <w:rFonts w:ascii="Arial" w:hAnsi="Arial" w:cs="Arial"/>
          <w:kern w:val="0"/>
          <w:sz w:val="22"/>
          <w:szCs w:val="22"/>
          <w:lang w:eastAsia="en-GB"/>
        </w:rPr>
      </w:pPr>
      <w:r>
        <w:rPr>
          <w:rFonts w:ascii="Arial" w:hAnsi="Arial" w:cs="Arial"/>
          <w:kern w:val="0"/>
          <w:sz w:val="22"/>
          <w:szCs w:val="22"/>
          <w:lang w:eastAsia="en-GB"/>
        </w:rPr>
        <w:t>Mariam Karim</w:t>
      </w:r>
    </w:p>
    <w:p w14:paraId="52AA5678" w14:textId="119611C0" w:rsidR="005B55E7" w:rsidRPr="00F762DB" w:rsidRDefault="00F761EA" w:rsidP="00F762DB">
      <w:pPr>
        <w:spacing w:line="360" w:lineRule="auto"/>
        <w:jc w:val="center"/>
        <w:rPr>
          <w:rFonts w:ascii="Arial" w:hAnsi="Arial" w:cs="Arial"/>
          <w:kern w:val="0"/>
          <w:sz w:val="22"/>
          <w:szCs w:val="22"/>
          <w:lang w:eastAsia="en-GB"/>
        </w:rPr>
      </w:pPr>
      <w:r>
        <w:rPr>
          <w:rFonts w:ascii="Arial" w:hAnsi="Arial" w:cs="Arial"/>
          <w:kern w:val="0"/>
          <w:sz w:val="22"/>
          <w:szCs w:val="22"/>
          <w:lang w:eastAsia="en-GB"/>
        </w:rPr>
        <w:t>2407469</w:t>
      </w:r>
    </w:p>
    <w:p w14:paraId="108818A4" w14:textId="77777777" w:rsidR="000B5A13" w:rsidRPr="00F762DB" w:rsidRDefault="000B5A13" w:rsidP="00F762DB">
      <w:pPr>
        <w:spacing w:line="360" w:lineRule="auto"/>
        <w:jc w:val="center"/>
        <w:rPr>
          <w:rFonts w:ascii="Arial" w:hAnsi="Arial" w:cs="Arial"/>
          <w:kern w:val="0"/>
          <w:sz w:val="22"/>
          <w:szCs w:val="22"/>
          <w:lang w:eastAsia="en-GB"/>
        </w:rPr>
      </w:pPr>
      <w:r w:rsidRPr="00F762DB">
        <w:rPr>
          <w:rFonts w:ascii="Arial" w:hAnsi="Arial" w:cs="Arial"/>
          <w:kern w:val="0"/>
          <w:sz w:val="22"/>
          <w:szCs w:val="22"/>
          <w:lang w:eastAsia="en-GB"/>
        </w:rPr>
        <w:br w:type="page"/>
      </w:r>
    </w:p>
    <w:sdt>
      <w:sdtPr>
        <w:rPr>
          <w:rFonts w:ascii="Arial" w:eastAsiaTheme="minorHAnsi" w:hAnsi="Arial" w:cs="Arial"/>
          <w:color w:val="auto"/>
          <w:kern w:val="2"/>
          <w:sz w:val="22"/>
          <w:szCs w:val="22"/>
          <w:lang w:val="en-GB"/>
          <w14:ligatures w14:val="standardContextual"/>
        </w:rPr>
        <w:id w:val="598683417"/>
        <w:docPartObj>
          <w:docPartGallery w:val="Table of Contents"/>
          <w:docPartUnique/>
        </w:docPartObj>
      </w:sdtPr>
      <w:sdtEndPr>
        <w:rPr>
          <w:b/>
          <w:bCs/>
          <w:noProof/>
        </w:rPr>
      </w:sdtEndPr>
      <w:sdtContent>
        <w:p w14:paraId="2570AB6E" w14:textId="59A3ED35" w:rsidR="00F761EA" w:rsidRDefault="00F761EA" w:rsidP="00F761EA">
          <w:pPr>
            <w:pStyle w:val="TOCHeading"/>
            <w:spacing w:line="360" w:lineRule="auto"/>
            <w:jc w:val="center"/>
          </w:pPr>
        </w:p>
        <w:p w14:paraId="6E6D6DC1" w14:textId="682CCAB5" w:rsidR="005B55E7" w:rsidRPr="00F762DB" w:rsidRDefault="00000000" w:rsidP="00F762DB">
          <w:pPr>
            <w:spacing w:line="360" w:lineRule="auto"/>
            <w:rPr>
              <w:rFonts w:ascii="Arial" w:hAnsi="Arial" w:cs="Arial"/>
              <w:sz w:val="22"/>
              <w:szCs w:val="22"/>
            </w:rPr>
          </w:pPr>
        </w:p>
      </w:sdtContent>
    </w:sdt>
    <w:p w14:paraId="547CA753" w14:textId="77777777" w:rsidR="005B55E7" w:rsidRPr="00F762DB" w:rsidRDefault="005B55E7" w:rsidP="00F762DB">
      <w:pPr>
        <w:spacing w:line="360" w:lineRule="auto"/>
        <w:rPr>
          <w:rFonts w:ascii="Arial" w:eastAsia="Times New Roman" w:hAnsi="Arial" w:cs="Arial"/>
          <w:b/>
          <w:bCs/>
          <w:color w:val="1F1F1F"/>
          <w:kern w:val="0"/>
          <w:sz w:val="22"/>
          <w:szCs w:val="22"/>
          <w:lang w:eastAsia="en-GB"/>
          <w14:ligatures w14:val="none"/>
        </w:rPr>
      </w:pPr>
      <w:r w:rsidRPr="00F762DB">
        <w:rPr>
          <w:rFonts w:ascii="Arial" w:eastAsia="Times New Roman" w:hAnsi="Arial" w:cs="Arial"/>
          <w:b/>
          <w:bCs/>
          <w:color w:val="1F1F1F"/>
          <w:kern w:val="0"/>
          <w:sz w:val="22"/>
          <w:szCs w:val="22"/>
          <w:lang w:eastAsia="en-GB"/>
          <w14:ligatures w14:val="none"/>
        </w:rPr>
        <w:br w:type="page"/>
      </w:r>
    </w:p>
    <w:p w14:paraId="67067127" w14:textId="7A02B23C" w:rsidR="000B5A13" w:rsidRPr="00F762DB" w:rsidRDefault="000B5A13" w:rsidP="00F762DB">
      <w:pPr>
        <w:spacing w:after="120" w:line="360" w:lineRule="auto"/>
        <w:jc w:val="both"/>
        <w:outlineLvl w:val="1"/>
        <w:rPr>
          <w:rFonts w:ascii="Arial" w:eastAsia="Times New Roman" w:hAnsi="Arial" w:cs="Arial"/>
          <w:b/>
          <w:bCs/>
          <w:color w:val="1F1F1F"/>
          <w:kern w:val="0"/>
          <w:sz w:val="22"/>
          <w:szCs w:val="22"/>
          <w:lang w:eastAsia="en-GB"/>
          <w14:ligatures w14:val="none"/>
        </w:rPr>
      </w:pPr>
      <w:bookmarkStart w:id="0" w:name="_Toc220716389"/>
      <w:r w:rsidRPr="00F762DB">
        <w:rPr>
          <w:rFonts w:ascii="Arial" w:eastAsia="Times New Roman" w:hAnsi="Arial" w:cs="Arial"/>
          <w:b/>
          <w:bCs/>
          <w:color w:val="1F1F1F"/>
          <w:kern w:val="0"/>
          <w:sz w:val="22"/>
          <w:szCs w:val="22"/>
          <w:lang w:eastAsia="en-GB"/>
          <w14:ligatures w14:val="none"/>
        </w:rPr>
        <w:lastRenderedPageBreak/>
        <w:t>1. Introduction</w:t>
      </w:r>
      <w:bookmarkEnd w:id="0"/>
    </w:p>
    <w:p w14:paraId="2FF1EF14" w14:textId="3299B4C1" w:rsidR="005B55E7" w:rsidRPr="00F762DB" w:rsidRDefault="005B55E7" w:rsidP="00F762DB">
      <w:pPr>
        <w:spacing w:after="240" w:line="360" w:lineRule="auto"/>
        <w:ind w:firstLine="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 xml:space="preserve">Diabetes Mellitus is a highly serious health concern of the twenty first century globally, which is manifested in chronic metabolic dysfunction and unremitting </w:t>
      </w:r>
      <w:proofErr w:type="spellStart"/>
      <w:r w:rsidRPr="00F762DB">
        <w:rPr>
          <w:rFonts w:ascii="Arial" w:eastAsia="Times New Roman" w:hAnsi="Arial" w:cs="Arial"/>
          <w:color w:val="1F1F1F"/>
          <w:kern w:val="0"/>
          <w:sz w:val="22"/>
          <w:szCs w:val="22"/>
          <w:lang w:eastAsia="en-GB"/>
          <w14:ligatures w14:val="none"/>
        </w:rPr>
        <w:t>hyperglycemia</w:t>
      </w:r>
      <w:proofErr w:type="spellEnd"/>
      <w:r w:rsidRPr="00F762DB">
        <w:rPr>
          <w:rFonts w:ascii="Arial" w:eastAsia="Times New Roman" w:hAnsi="Arial" w:cs="Arial"/>
          <w:color w:val="1F1F1F"/>
          <w:kern w:val="0"/>
          <w:sz w:val="22"/>
          <w:szCs w:val="22"/>
          <w:lang w:eastAsia="en-GB"/>
          <w14:ligatures w14:val="none"/>
        </w:rPr>
        <w:t>. According to the World Health Organi</w:t>
      </w:r>
      <w:r w:rsidR="00636A92" w:rsidRPr="00F762DB">
        <w:rPr>
          <w:rFonts w:ascii="Arial" w:eastAsia="Times New Roman" w:hAnsi="Arial" w:cs="Arial"/>
          <w:color w:val="1F1F1F"/>
          <w:kern w:val="0"/>
          <w:sz w:val="22"/>
          <w:szCs w:val="22"/>
          <w:lang w:eastAsia="en-GB"/>
          <w14:ligatures w14:val="none"/>
        </w:rPr>
        <w:t>s</w:t>
      </w:r>
      <w:r w:rsidRPr="00F762DB">
        <w:rPr>
          <w:rFonts w:ascii="Arial" w:eastAsia="Times New Roman" w:hAnsi="Arial" w:cs="Arial"/>
          <w:color w:val="1F1F1F"/>
          <w:kern w:val="0"/>
          <w:sz w:val="22"/>
          <w:szCs w:val="22"/>
          <w:lang w:eastAsia="en-GB"/>
          <w14:ligatures w14:val="none"/>
        </w:rPr>
        <w:t>ation (202</w:t>
      </w:r>
      <w:r w:rsidR="0057663F" w:rsidRPr="00F762DB">
        <w:rPr>
          <w:rFonts w:ascii="Arial" w:eastAsia="Times New Roman" w:hAnsi="Arial" w:cs="Arial"/>
          <w:color w:val="1F1F1F"/>
          <w:kern w:val="0"/>
          <w:sz w:val="22"/>
          <w:szCs w:val="22"/>
          <w:lang w:eastAsia="en-GB"/>
          <w14:ligatures w14:val="none"/>
        </w:rPr>
        <w:t>2</w:t>
      </w:r>
      <w:r w:rsidRPr="00F762DB">
        <w:rPr>
          <w:rFonts w:ascii="Arial" w:eastAsia="Times New Roman" w:hAnsi="Arial" w:cs="Arial"/>
          <w:color w:val="1F1F1F"/>
          <w:kern w:val="0"/>
          <w:sz w:val="22"/>
          <w:szCs w:val="22"/>
          <w:lang w:eastAsia="en-GB"/>
          <w14:ligatures w14:val="none"/>
        </w:rPr>
        <w:t>), the number of individuals diagnosed with this condition is increasing very fast, especially in the middle-income nations. Type 2 Diabetes Mellitus (T2DM) can be the major preoccupation in the clinical setting of a local GP surgery. T2DM is also marked by progressive resistance to insulin action complemented by a subsequent reduction of the pancreatic secretin pool as opposed to Type 1 diabetes, which is normally characteri</w:t>
      </w:r>
      <w:r w:rsidR="00636A92" w:rsidRPr="00F762DB">
        <w:rPr>
          <w:rFonts w:ascii="Arial" w:eastAsia="Times New Roman" w:hAnsi="Arial" w:cs="Arial"/>
          <w:color w:val="1F1F1F"/>
          <w:kern w:val="0"/>
          <w:sz w:val="22"/>
          <w:szCs w:val="22"/>
          <w:lang w:eastAsia="en-GB"/>
          <w14:ligatures w14:val="none"/>
        </w:rPr>
        <w:t>s</w:t>
      </w:r>
      <w:r w:rsidRPr="00F762DB">
        <w:rPr>
          <w:rFonts w:ascii="Arial" w:eastAsia="Times New Roman" w:hAnsi="Arial" w:cs="Arial"/>
          <w:color w:val="1F1F1F"/>
          <w:kern w:val="0"/>
          <w:sz w:val="22"/>
          <w:szCs w:val="22"/>
          <w:lang w:eastAsia="en-GB"/>
          <w14:ligatures w14:val="none"/>
        </w:rPr>
        <w:t>ed by an absolute lack of insulin through the effect of the autoimmune destruction of pancreatic beta cells (</w:t>
      </w:r>
      <w:r w:rsidR="009F6E47" w:rsidRPr="00F762DB">
        <w:rPr>
          <w:rFonts w:ascii="Arial" w:eastAsia="Times New Roman" w:hAnsi="Arial" w:cs="Arial"/>
          <w:color w:val="1F1F1F"/>
          <w:kern w:val="0"/>
          <w:sz w:val="22"/>
          <w:szCs w:val="22"/>
          <w:lang w:eastAsia="en-GB"/>
          <w14:ligatures w14:val="none"/>
        </w:rPr>
        <w:t>Magliano et al.</w:t>
      </w:r>
      <w:r w:rsidRPr="00F762DB">
        <w:rPr>
          <w:rFonts w:ascii="Arial" w:eastAsia="Times New Roman" w:hAnsi="Arial" w:cs="Arial"/>
          <w:color w:val="1F1F1F"/>
          <w:kern w:val="0"/>
          <w:sz w:val="22"/>
          <w:szCs w:val="22"/>
          <w:lang w:eastAsia="en-GB"/>
          <w14:ligatures w14:val="none"/>
        </w:rPr>
        <w:t>, 2021). This condition of metabolism causes an increase in blood glucose that with uncontrolled conditions causes grievous microvascular and macrovascular emergencies.</w:t>
      </w:r>
    </w:p>
    <w:p w14:paraId="2F2F19D3" w14:textId="63357DD9" w:rsidR="000B5A13" w:rsidRPr="00F762DB" w:rsidRDefault="005B55E7" w:rsidP="00F762DB">
      <w:pPr>
        <w:spacing w:after="240" w:line="360" w:lineRule="auto"/>
        <w:ind w:firstLine="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T2DM is a complex multifactorial condition that requires the complex interaction between genetic predisposition and environmental risks. Public Health England (20</w:t>
      </w:r>
      <w:r w:rsidR="0057663F" w:rsidRPr="00F762DB">
        <w:rPr>
          <w:rFonts w:ascii="Arial" w:eastAsia="Times New Roman" w:hAnsi="Arial" w:cs="Arial"/>
          <w:color w:val="1F1F1F"/>
          <w:kern w:val="0"/>
          <w:sz w:val="22"/>
          <w:szCs w:val="22"/>
          <w:lang w:eastAsia="en-GB"/>
          <w14:ligatures w14:val="none"/>
        </w:rPr>
        <w:t>17</w:t>
      </w:r>
      <w:r w:rsidRPr="00F762DB">
        <w:rPr>
          <w:rFonts w:ascii="Arial" w:eastAsia="Times New Roman" w:hAnsi="Arial" w:cs="Arial"/>
          <w:color w:val="1F1F1F"/>
          <w:kern w:val="0"/>
          <w:sz w:val="22"/>
          <w:szCs w:val="22"/>
          <w:lang w:eastAsia="en-GB"/>
          <w14:ligatures w14:val="none"/>
        </w:rPr>
        <w:t>) notes that obesity is the only factor as a modifiable risk factor that is highly significant because the excess adipose tissue produces pro-inflammatory cytokines that disrupt the insulin-signalling pathways. Moreover, lack of exercise and the excessive intake of ultra-processed and energy-rich diets have increased the rates of diagnosis in populations of younger age. The ethnicity is also significant you usually find people of South Asian and African-Caribbean origin being diagnosed with the condition at a lower Body Mass Index (BMI) than their Caucasian counterparts (Diabetes UK, 2023). Another factor associated with the risk profile is ageing, since physiological variation in glucose tolerance is a natural occurrence over time, but the recent trend of T2DM in younger people is pointing towards the fact that lifestyle factors are gaining traction at the expense of biological ageing (</w:t>
      </w:r>
      <w:r w:rsidR="009F6E47" w:rsidRPr="00F762DB">
        <w:rPr>
          <w:rFonts w:ascii="Arial" w:eastAsia="Times New Roman" w:hAnsi="Arial" w:cs="Arial"/>
          <w:color w:val="1F1F1F"/>
          <w:kern w:val="0"/>
          <w:sz w:val="22"/>
          <w:szCs w:val="22"/>
          <w:lang w:eastAsia="en-GB"/>
          <w14:ligatures w14:val="none"/>
        </w:rPr>
        <w:t xml:space="preserve">Minari </w:t>
      </w:r>
      <w:r w:rsidRPr="00F762DB">
        <w:rPr>
          <w:rFonts w:ascii="Arial" w:eastAsia="Times New Roman" w:hAnsi="Arial" w:cs="Arial"/>
          <w:color w:val="1F1F1F"/>
          <w:kern w:val="0"/>
          <w:sz w:val="22"/>
          <w:szCs w:val="22"/>
          <w:lang w:eastAsia="en-GB"/>
          <w14:ligatures w14:val="none"/>
        </w:rPr>
        <w:t>et al., 20</w:t>
      </w:r>
      <w:r w:rsidR="009F6E47" w:rsidRPr="00F762DB">
        <w:rPr>
          <w:rFonts w:ascii="Arial" w:eastAsia="Times New Roman" w:hAnsi="Arial" w:cs="Arial"/>
          <w:color w:val="1F1F1F"/>
          <w:kern w:val="0"/>
          <w:sz w:val="22"/>
          <w:szCs w:val="22"/>
          <w:lang w:eastAsia="en-GB"/>
          <w14:ligatures w14:val="none"/>
        </w:rPr>
        <w:t>23</w:t>
      </w:r>
      <w:r w:rsidR="000B5A13" w:rsidRPr="00F762DB">
        <w:rPr>
          <w:rFonts w:ascii="Arial" w:eastAsia="Times New Roman" w:hAnsi="Arial" w:cs="Arial"/>
          <w:color w:val="1F1F1F"/>
          <w:kern w:val="0"/>
          <w:sz w:val="22"/>
          <w:szCs w:val="22"/>
          <w:lang w:eastAsia="en-GB"/>
          <w14:ligatures w14:val="none"/>
        </w:rPr>
        <w:t>).</w:t>
      </w:r>
    </w:p>
    <w:p w14:paraId="194AFA1E" w14:textId="77777777" w:rsidR="00A665EB" w:rsidRPr="00F762DB" w:rsidRDefault="00A665EB" w:rsidP="00F762DB">
      <w:pPr>
        <w:keepNext/>
        <w:spacing w:after="240" w:line="360" w:lineRule="auto"/>
        <w:jc w:val="center"/>
        <w:rPr>
          <w:rFonts w:ascii="Arial" w:hAnsi="Arial" w:cs="Arial"/>
          <w:sz w:val="22"/>
          <w:szCs w:val="22"/>
        </w:rPr>
      </w:pPr>
      <w:r w:rsidRPr="00F762DB">
        <w:rPr>
          <w:rFonts w:ascii="Arial" w:hAnsi="Arial" w:cs="Arial"/>
          <w:noProof/>
          <w:sz w:val="22"/>
          <w:szCs w:val="22"/>
        </w:rPr>
        <w:lastRenderedPageBreak/>
        <w:drawing>
          <wp:inline distT="0" distB="0" distL="0" distR="0" wp14:anchorId="7CECBDBD" wp14:editId="71953450">
            <wp:extent cx="4116466" cy="2634702"/>
            <wp:effectExtent l="0" t="0" r="0" b="0"/>
            <wp:docPr id="1152059284" name="Picture 2" descr="Type 2 Diabetes - The DANII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ype 2 Diabetes - The DANII Found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7294" cy="2635232"/>
                    </a:xfrm>
                    <a:prstGeom prst="rect">
                      <a:avLst/>
                    </a:prstGeom>
                    <a:noFill/>
                    <a:ln>
                      <a:noFill/>
                    </a:ln>
                  </pic:spPr>
                </pic:pic>
              </a:graphicData>
            </a:graphic>
          </wp:inline>
        </w:drawing>
      </w:r>
    </w:p>
    <w:p w14:paraId="3C03A5F3" w14:textId="4FFD79E6" w:rsidR="00A665EB" w:rsidRPr="00F762DB" w:rsidRDefault="00A665EB" w:rsidP="00F762DB">
      <w:pPr>
        <w:pStyle w:val="Caption"/>
        <w:spacing w:line="360" w:lineRule="auto"/>
        <w:jc w:val="center"/>
        <w:rPr>
          <w:rFonts w:ascii="Arial" w:hAnsi="Arial" w:cs="Arial"/>
          <w:sz w:val="22"/>
          <w:szCs w:val="22"/>
        </w:rPr>
      </w:pPr>
      <w:r w:rsidRPr="00F762DB">
        <w:rPr>
          <w:rFonts w:ascii="Arial" w:hAnsi="Arial" w:cs="Arial"/>
          <w:sz w:val="22"/>
          <w:szCs w:val="22"/>
        </w:rPr>
        <w:t xml:space="preserve">Figure </w:t>
      </w:r>
      <w:r w:rsidRPr="00F762DB">
        <w:rPr>
          <w:rFonts w:ascii="Arial" w:hAnsi="Arial" w:cs="Arial"/>
          <w:sz w:val="22"/>
          <w:szCs w:val="22"/>
        </w:rPr>
        <w:fldChar w:fldCharType="begin"/>
      </w:r>
      <w:r w:rsidRPr="00F762DB">
        <w:rPr>
          <w:rFonts w:ascii="Arial" w:hAnsi="Arial" w:cs="Arial"/>
          <w:sz w:val="22"/>
          <w:szCs w:val="22"/>
        </w:rPr>
        <w:instrText xml:space="preserve"> SEQ Figure \* ARABIC </w:instrText>
      </w:r>
      <w:r w:rsidRPr="00F762DB">
        <w:rPr>
          <w:rFonts w:ascii="Arial" w:hAnsi="Arial" w:cs="Arial"/>
          <w:sz w:val="22"/>
          <w:szCs w:val="22"/>
        </w:rPr>
        <w:fldChar w:fldCharType="separate"/>
      </w:r>
      <w:r w:rsidRPr="00F762DB">
        <w:rPr>
          <w:rFonts w:ascii="Arial" w:hAnsi="Arial" w:cs="Arial"/>
          <w:noProof/>
          <w:sz w:val="22"/>
          <w:szCs w:val="22"/>
        </w:rPr>
        <w:t>1</w:t>
      </w:r>
      <w:r w:rsidRPr="00F762DB">
        <w:rPr>
          <w:rFonts w:ascii="Arial" w:hAnsi="Arial" w:cs="Arial"/>
          <w:sz w:val="22"/>
          <w:szCs w:val="22"/>
        </w:rPr>
        <w:fldChar w:fldCharType="end"/>
      </w:r>
      <w:r w:rsidRPr="00F762DB">
        <w:rPr>
          <w:rFonts w:ascii="Arial" w:hAnsi="Arial" w:cs="Arial"/>
          <w:sz w:val="22"/>
          <w:szCs w:val="22"/>
        </w:rPr>
        <w:t xml:space="preserve">: Type 2 Diabetes Mellitus (T2DM) Overview </w:t>
      </w:r>
    </w:p>
    <w:p w14:paraId="44D0BE97" w14:textId="0BF4739B" w:rsidR="00A665EB" w:rsidRPr="00F762DB" w:rsidRDefault="00A665EB" w:rsidP="00F762DB">
      <w:pPr>
        <w:pStyle w:val="Caption"/>
        <w:spacing w:line="360" w:lineRule="auto"/>
        <w:jc w:val="center"/>
        <w:rPr>
          <w:rFonts w:ascii="Arial" w:eastAsia="Times New Roman" w:hAnsi="Arial" w:cs="Arial"/>
          <w:color w:val="1F1F1F"/>
          <w:kern w:val="0"/>
          <w:sz w:val="22"/>
          <w:szCs w:val="22"/>
          <w:lang w:eastAsia="en-GB"/>
          <w14:ligatures w14:val="none"/>
        </w:rPr>
      </w:pPr>
      <w:r w:rsidRPr="00F762DB">
        <w:rPr>
          <w:rFonts w:ascii="Arial" w:hAnsi="Arial" w:cs="Arial"/>
          <w:sz w:val="22"/>
          <w:szCs w:val="22"/>
        </w:rPr>
        <w:t>Source: https://danii.org.au/type-2-diabetes/</w:t>
      </w:r>
    </w:p>
    <w:p w14:paraId="5586CFB5" w14:textId="77777777" w:rsidR="005B55E7" w:rsidRPr="00F762DB" w:rsidRDefault="005B55E7" w:rsidP="00F762DB">
      <w:pPr>
        <w:spacing w:after="240" w:line="360" w:lineRule="auto"/>
        <w:jc w:val="both"/>
        <w:rPr>
          <w:rFonts w:ascii="Arial" w:eastAsia="Times New Roman" w:hAnsi="Arial" w:cs="Arial"/>
          <w:color w:val="1F1F1F"/>
          <w:kern w:val="0"/>
          <w:sz w:val="22"/>
          <w:szCs w:val="22"/>
          <w:lang w:eastAsia="en-GB"/>
          <w14:ligatures w14:val="none"/>
        </w:rPr>
      </w:pPr>
    </w:p>
    <w:p w14:paraId="3CFE91FD" w14:textId="77777777" w:rsidR="000B5A13" w:rsidRPr="00F762DB" w:rsidRDefault="000B5A13" w:rsidP="00F762DB">
      <w:pPr>
        <w:spacing w:after="120" w:line="360" w:lineRule="auto"/>
        <w:jc w:val="both"/>
        <w:outlineLvl w:val="1"/>
        <w:rPr>
          <w:rFonts w:ascii="Arial" w:eastAsia="Times New Roman" w:hAnsi="Arial" w:cs="Arial"/>
          <w:b/>
          <w:bCs/>
          <w:color w:val="1F1F1F"/>
          <w:kern w:val="0"/>
          <w:sz w:val="22"/>
          <w:szCs w:val="22"/>
          <w:lang w:eastAsia="en-GB"/>
          <w14:ligatures w14:val="none"/>
        </w:rPr>
      </w:pPr>
      <w:bookmarkStart w:id="1" w:name="_Toc220716390"/>
      <w:r w:rsidRPr="00F762DB">
        <w:rPr>
          <w:rFonts w:ascii="Arial" w:eastAsia="Times New Roman" w:hAnsi="Arial" w:cs="Arial"/>
          <w:b/>
          <w:bCs/>
          <w:color w:val="1F1F1F"/>
          <w:kern w:val="0"/>
          <w:sz w:val="22"/>
          <w:szCs w:val="22"/>
          <w:lang w:eastAsia="en-GB"/>
          <w14:ligatures w14:val="none"/>
        </w:rPr>
        <w:t>2. Maintenance of Blood Sugar Levels</w:t>
      </w:r>
      <w:bookmarkEnd w:id="1"/>
    </w:p>
    <w:p w14:paraId="0D3364B0" w14:textId="77777777" w:rsidR="000B5A13" w:rsidRPr="00F762DB" w:rsidRDefault="000B5A13" w:rsidP="00F762DB">
      <w:pPr>
        <w:spacing w:after="0" w:line="360" w:lineRule="auto"/>
        <w:jc w:val="both"/>
        <w:outlineLvl w:val="2"/>
        <w:rPr>
          <w:rFonts w:ascii="Arial" w:eastAsia="Times New Roman" w:hAnsi="Arial" w:cs="Arial"/>
          <w:b/>
          <w:bCs/>
          <w:color w:val="1F1F1F"/>
          <w:kern w:val="0"/>
          <w:sz w:val="22"/>
          <w:szCs w:val="22"/>
          <w:lang w:eastAsia="en-GB"/>
          <w14:ligatures w14:val="none"/>
        </w:rPr>
      </w:pPr>
      <w:bookmarkStart w:id="2" w:name="_Toc220716391"/>
      <w:r w:rsidRPr="00F762DB">
        <w:rPr>
          <w:rFonts w:ascii="Arial" w:eastAsia="Times New Roman" w:hAnsi="Arial" w:cs="Arial"/>
          <w:b/>
          <w:bCs/>
          <w:color w:val="1F1F1F"/>
          <w:kern w:val="0"/>
          <w:sz w:val="22"/>
          <w:szCs w:val="22"/>
          <w:bdr w:val="none" w:sz="0" w:space="0" w:color="auto" w:frame="1"/>
          <w:lang w:eastAsia="en-GB"/>
          <w14:ligatures w14:val="none"/>
        </w:rPr>
        <w:t>2.1 The Endocrine Role of the Pancreas</w:t>
      </w:r>
      <w:bookmarkEnd w:id="2"/>
    </w:p>
    <w:p w14:paraId="07AA7C3F" w14:textId="22050B32" w:rsidR="000B5A13" w:rsidRPr="00F762DB" w:rsidRDefault="005B55E7" w:rsidP="00F762DB">
      <w:pPr>
        <w:spacing w:after="240" w:line="360" w:lineRule="auto"/>
        <w:ind w:firstLine="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Blood glucose homeostasis is a core process of the human body that needs to maintain the constant availability of energy to the brain and peripheral tissues. In a healthy patient the normal range of fasting blood glucose is carefully closed to a range of 4.0and 7.0 mmol/L. The pancreatic endocrine functions regulating this are mainly those of the Islets of Langerhans that is a glucose sensor of the body. Tortora and Derrickson (201</w:t>
      </w:r>
      <w:r w:rsidR="0057663F" w:rsidRPr="00F762DB">
        <w:rPr>
          <w:rFonts w:ascii="Arial" w:eastAsia="Times New Roman" w:hAnsi="Arial" w:cs="Arial"/>
          <w:color w:val="1F1F1F"/>
          <w:kern w:val="0"/>
          <w:sz w:val="22"/>
          <w:szCs w:val="22"/>
          <w:lang w:eastAsia="en-GB"/>
          <w14:ligatures w14:val="none"/>
        </w:rPr>
        <w:t>8</w:t>
      </w:r>
      <w:r w:rsidRPr="00F762DB">
        <w:rPr>
          <w:rFonts w:ascii="Arial" w:eastAsia="Times New Roman" w:hAnsi="Arial" w:cs="Arial"/>
          <w:color w:val="1F1F1F"/>
          <w:kern w:val="0"/>
          <w:sz w:val="22"/>
          <w:szCs w:val="22"/>
          <w:lang w:eastAsia="en-GB"/>
          <w14:ligatures w14:val="none"/>
        </w:rPr>
        <w:t xml:space="preserve">) state that the mechanism of </w:t>
      </w:r>
      <w:proofErr w:type="gramStart"/>
      <w:r w:rsidRPr="00F762DB">
        <w:rPr>
          <w:rFonts w:ascii="Arial" w:eastAsia="Times New Roman" w:hAnsi="Arial" w:cs="Arial"/>
          <w:color w:val="1F1F1F"/>
          <w:kern w:val="0"/>
          <w:sz w:val="22"/>
          <w:szCs w:val="22"/>
          <w:lang w:eastAsia="en-GB"/>
          <w14:ligatures w14:val="none"/>
        </w:rPr>
        <w:t>a negative feedback</w:t>
      </w:r>
      <w:proofErr w:type="gramEnd"/>
      <w:r w:rsidRPr="00F762DB">
        <w:rPr>
          <w:rFonts w:ascii="Arial" w:eastAsia="Times New Roman" w:hAnsi="Arial" w:cs="Arial"/>
          <w:color w:val="1F1F1F"/>
          <w:kern w:val="0"/>
          <w:sz w:val="22"/>
          <w:szCs w:val="22"/>
          <w:lang w:eastAsia="en-GB"/>
          <w14:ligatures w14:val="none"/>
        </w:rPr>
        <w:t xml:space="preserve"> helps the body to avoid the too large changes in the glucose levels that otherwise result in acute crisis, e.g., diabetic ketoacidosis or hyperglycaemic hyperosmolar state</w:t>
      </w:r>
      <w:r w:rsidR="000B5A13" w:rsidRPr="00F762DB">
        <w:rPr>
          <w:rFonts w:ascii="Arial" w:eastAsia="Times New Roman" w:hAnsi="Arial" w:cs="Arial"/>
          <w:color w:val="1F1F1F"/>
          <w:kern w:val="0"/>
          <w:sz w:val="22"/>
          <w:szCs w:val="22"/>
          <w:lang w:eastAsia="en-GB"/>
          <w14:ligatures w14:val="none"/>
        </w:rPr>
        <w:t>.</w:t>
      </w:r>
    </w:p>
    <w:p w14:paraId="7B66CF1E" w14:textId="77777777" w:rsidR="005B55E7" w:rsidRPr="00F762DB" w:rsidRDefault="005B55E7" w:rsidP="00F762DB">
      <w:pPr>
        <w:spacing w:after="240" w:line="360" w:lineRule="auto"/>
        <w:jc w:val="both"/>
        <w:rPr>
          <w:rFonts w:ascii="Arial" w:eastAsia="Times New Roman" w:hAnsi="Arial" w:cs="Arial"/>
          <w:color w:val="1F1F1F"/>
          <w:kern w:val="0"/>
          <w:sz w:val="22"/>
          <w:szCs w:val="22"/>
          <w:lang w:eastAsia="en-GB"/>
          <w14:ligatures w14:val="none"/>
        </w:rPr>
      </w:pPr>
    </w:p>
    <w:p w14:paraId="326D3B3A" w14:textId="77777777" w:rsidR="000B5A13" w:rsidRPr="00F762DB" w:rsidRDefault="000B5A13" w:rsidP="00F762DB">
      <w:pPr>
        <w:spacing w:after="0" w:line="360" w:lineRule="auto"/>
        <w:jc w:val="both"/>
        <w:outlineLvl w:val="2"/>
        <w:rPr>
          <w:rFonts w:ascii="Arial" w:eastAsia="Times New Roman" w:hAnsi="Arial" w:cs="Arial"/>
          <w:b/>
          <w:bCs/>
          <w:color w:val="1F1F1F"/>
          <w:kern w:val="0"/>
          <w:sz w:val="22"/>
          <w:szCs w:val="22"/>
          <w:lang w:eastAsia="en-GB"/>
          <w14:ligatures w14:val="none"/>
        </w:rPr>
      </w:pPr>
      <w:bookmarkStart w:id="3" w:name="_Toc220716392"/>
      <w:r w:rsidRPr="00F762DB">
        <w:rPr>
          <w:rFonts w:ascii="Arial" w:eastAsia="Times New Roman" w:hAnsi="Arial" w:cs="Arial"/>
          <w:b/>
          <w:bCs/>
          <w:color w:val="1F1F1F"/>
          <w:kern w:val="0"/>
          <w:sz w:val="22"/>
          <w:szCs w:val="22"/>
          <w:bdr w:val="none" w:sz="0" w:space="0" w:color="auto" w:frame="1"/>
          <w:lang w:eastAsia="en-GB"/>
          <w14:ligatures w14:val="none"/>
        </w:rPr>
        <w:t>2.2 Hormonal Regulation and Insulin Action</w:t>
      </w:r>
      <w:bookmarkEnd w:id="3"/>
    </w:p>
    <w:p w14:paraId="2385FEB5" w14:textId="1DCCF6A1" w:rsidR="000B5A13" w:rsidRPr="00F762DB" w:rsidRDefault="005B55E7" w:rsidP="00F762DB">
      <w:pPr>
        <w:spacing w:after="0" w:line="360" w:lineRule="auto"/>
        <w:ind w:firstLine="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 xml:space="preserve">The beta cell of the pancreas release insulin into the blood when the level of glucose in the blood increases after the breakdown of carbohydrates. Insulin is known to promote glucose uptake to insulin sensitive tissue including skeletal muscle and adipose tissue by inducing the translocation of GLUT4 transporters to the cell membrane. Also, insulin stimulates glycogen production in the liver whereby the surplus glucose is stored as glycogen. On the other hand, the glucagon secretion is produced by the alpha cells of the pancreas during the </w:t>
      </w:r>
      <w:r w:rsidRPr="00F762DB">
        <w:rPr>
          <w:rFonts w:ascii="Arial" w:eastAsia="Times New Roman" w:hAnsi="Arial" w:cs="Arial"/>
          <w:color w:val="1F1F1F"/>
          <w:kern w:val="0"/>
          <w:sz w:val="22"/>
          <w:szCs w:val="22"/>
          <w:lang w:eastAsia="en-GB"/>
          <w14:ligatures w14:val="none"/>
        </w:rPr>
        <w:lastRenderedPageBreak/>
        <w:t xml:space="preserve">fasting or strenuous physical activity. </w:t>
      </w:r>
      <w:r w:rsidR="009F6E47" w:rsidRPr="00F762DB">
        <w:rPr>
          <w:rFonts w:ascii="Arial" w:eastAsia="Times New Roman" w:hAnsi="Arial" w:cs="Arial"/>
          <w:color w:val="1F1F1F"/>
          <w:kern w:val="0"/>
          <w:sz w:val="22"/>
          <w:szCs w:val="22"/>
          <w:lang w:eastAsia="en-GB"/>
          <w14:ligatures w14:val="none"/>
        </w:rPr>
        <w:t>Holt and Flyvbjerg, (2024</w:t>
      </w:r>
      <w:r w:rsidRPr="00F762DB">
        <w:rPr>
          <w:rFonts w:ascii="Arial" w:eastAsia="Times New Roman" w:hAnsi="Arial" w:cs="Arial"/>
          <w:color w:val="1F1F1F"/>
          <w:kern w:val="0"/>
          <w:sz w:val="22"/>
          <w:szCs w:val="22"/>
          <w:lang w:eastAsia="en-GB"/>
          <w14:ligatures w14:val="none"/>
        </w:rPr>
        <w:t>) explain that glucagon activates the liver into glycogenolysis and gluconeogenesis to maintain the flow of blood glucose within a healthy level. This delicate balance is not maintained in patients with T2DM. To put it in other words, insulin resistance implies that when insulin is present, the reaction of cells to it is weakened, resulting in the state of blood saturation with glucose that cannot be effectively used by the cells</w:t>
      </w:r>
      <w:r w:rsidR="000B5A13" w:rsidRPr="00F762DB">
        <w:rPr>
          <w:rFonts w:ascii="Arial" w:eastAsia="Times New Roman" w:hAnsi="Arial" w:cs="Arial"/>
          <w:color w:val="1F1F1F"/>
          <w:kern w:val="0"/>
          <w:sz w:val="22"/>
          <w:szCs w:val="22"/>
          <w:lang w:eastAsia="en-GB"/>
          <w14:ligatures w14:val="none"/>
        </w:rPr>
        <w:t>.</w:t>
      </w:r>
    </w:p>
    <w:p w14:paraId="1DF3652F" w14:textId="77777777" w:rsidR="005B55E7" w:rsidRPr="00F762DB" w:rsidRDefault="005B55E7" w:rsidP="00F762DB">
      <w:pPr>
        <w:spacing w:after="0" w:line="360" w:lineRule="auto"/>
        <w:jc w:val="both"/>
        <w:rPr>
          <w:rFonts w:ascii="Arial" w:eastAsia="Times New Roman" w:hAnsi="Arial" w:cs="Arial"/>
          <w:color w:val="1F1F1F"/>
          <w:kern w:val="0"/>
          <w:sz w:val="22"/>
          <w:szCs w:val="22"/>
          <w:lang w:eastAsia="en-GB"/>
          <w14:ligatures w14:val="none"/>
        </w:rPr>
      </w:pPr>
    </w:p>
    <w:p w14:paraId="6689290A" w14:textId="77777777" w:rsidR="000B5A13" w:rsidRPr="00F762DB" w:rsidRDefault="000B5A13" w:rsidP="00F762DB">
      <w:pPr>
        <w:spacing w:after="0" w:line="360" w:lineRule="auto"/>
        <w:jc w:val="both"/>
        <w:outlineLvl w:val="2"/>
        <w:rPr>
          <w:rFonts w:ascii="Arial" w:eastAsia="Times New Roman" w:hAnsi="Arial" w:cs="Arial"/>
          <w:b/>
          <w:bCs/>
          <w:color w:val="1F1F1F"/>
          <w:kern w:val="0"/>
          <w:sz w:val="22"/>
          <w:szCs w:val="22"/>
          <w:lang w:eastAsia="en-GB"/>
          <w14:ligatures w14:val="none"/>
        </w:rPr>
      </w:pPr>
      <w:bookmarkStart w:id="4" w:name="_Toc220716393"/>
      <w:r w:rsidRPr="00F762DB">
        <w:rPr>
          <w:rFonts w:ascii="Arial" w:eastAsia="Times New Roman" w:hAnsi="Arial" w:cs="Arial"/>
          <w:b/>
          <w:bCs/>
          <w:color w:val="1F1F1F"/>
          <w:kern w:val="0"/>
          <w:sz w:val="22"/>
          <w:szCs w:val="22"/>
          <w:bdr w:val="none" w:sz="0" w:space="0" w:color="auto" w:frame="1"/>
          <w:lang w:eastAsia="en-GB"/>
          <w14:ligatures w14:val="none"/>
        </w:rPr>
        <w:t>2.3 Pathophysiology of Insulin Resistance</w:t>
      </w:r>
      <w:bookmarkEnd w:id="4"/>
    </w:p>
    <w:p w14:paraId="36F842D2" w14:textId="28A4FB90" w:rsidR="000B5A13" w:rsidRPr="00F762DB" w:rsidRDefault="005B55E7" w:rsidP="00F762DB">
      <w:pPr>
        <w:spacing w:after="0" w:line="360" w:lineRule="auto"/>
        <w:ind w:firstLine="720"/>
        <w:jc w:val="both"/>
        <w:rPr>
          <w:rFonts w:ascii="Arial" w:eastAsia="Times New Roman" w:hAnsi="Arial" w:cs="Arial"/>
          <w:color w:val="1F1F1F"/>
          <w:kern w:val="0"/>
          <w:sz w:val="22"/>
          <w:szCs w:val="22"/>
          <w:bdr w:val="none" w:sz="0" w:space="0" w:color="auto" w:frame="1"/>
          <w:lang w:eastAsia="en-GB"/>
          <w14:ligatures w14:val="none"/>
        </w:rPr>
      </w:pPr>
      <w:r w:rsidRPr="00F762DB">
        <w:rPr>
          <w:rFonts w:ascii="Arial" w:eastAsia="Times New Roman" w:hAnsi="Arial" w:cs="Arial"/>
          <w:color w:val="1F1F1F"/>
          <w:kern w:val="0"/>
          <w:sz w:val="22"/>
          <w:szCs w:val="22"/>
          <w:bdr w:val="none" w:sz="0" w:space="0" w:color="auto" w:frame="1"/>
          <w:lang w:eastAsia="en-GB"/>
          <w14:ligatures w14:val="none"/>
        </w:rPr>
        <w:t>When it comes to T2DM, simple glucose is not the only pathophysiological process. Over-nutrition and obesity which occur chronically cause the deposition of lipid in the non-adipose tissues, including the liver and the skeletal muscles. That ectopic fat build up induces cellular stress responses disrupting the signal transduction of insulin receptors. The first clinical phase, as Powers</w:t>
      </w:r>
      <w:r w:rsidR="0057663F" w:rsidRPr="00F762DB">
        <w:rPr>
          <w:rFonts w:ascii="Arial" w:eastAsia="Times New Roman" w:hAnsi="Arial" w:cs="Arial"/>
          <w:color w:val="1F1F1F"/>
          <w:kern w:val="0"/>
          <w:sz w:val="22"/>
          <w:szCs w:val="22"/>
          <w:bdr w:val="none" w:sz="0" w:space="0" w:color="auto" w:frame="1"/>
          <w:lang w:eastAsia="en-GB"/>
          <w14:ligatures w14:val="none"/>
        </w:rPr>
        <w:t xml:space="preserve"> et al.,</w:t>
      </w:r>
      <w:r w:rsidRPr="00F762DB">
        <w:rPr>
          <w:rFonts w:ascii="Arial" w:eastAsia="Times New Roman" w:hAnsi="Arial" w:cs="Arial"/>
          <w:color w:val="1F1F1F"/>
          <w:kern w:val="0"/>
          <w:sz w:val="22"/>
          <w:szCs w:val="22"/>
          <w:bdr w:val="none" w:sz="0" w:space="0" w:color="auto" w:frame="1"/>
          <w:lang w:eastAsia="en-GB"/>
          <w14:ligatures w14:val="none"/>
        </w:rPr>
        <w:t xml:space="preserve"> (202</w:t>
      </w:r>
      <w:r w:rsidR="0057663F" w:rsidRPr="00F762DB">
        <w:rPr>
          <w:rFonts w:ascii="Arial" w:eastAsia="Times New Roman" w:hAnsi="Arial" w:cs="Arial"/>
          <w:color w:val="1F1F1F"/>
          <w:kern w:val="0"/>
          <w:sz w:val="22"/>
          <w:szCs w:val="22"/>
          <w:bdr w:val="none" w:sz="0" w:space="0" w:color="auto" w:frame="1"/>
          <w:lang w:eastAsia="en-GB"/>
          <w14:ligatures w14:val="none"/>
        </w:rPr>
        <w:t>2</w:t>
      </w:r>
      <w:r w:rsidRPr="00F762DB">
        <w:rPr>
          <w:rFonts w:ascii="Arial" w:eastAsia="Times New Roman" w:hAnsi="Arial" w:cs="Arial"/>
          <w:color w:val="1F1F1F"/>
          <w:kern w:val="0"/>
          <w:sz w:val="22"/>
          <w:szCs w:val="22"/>
          <w:bdr w:val="none" w:sz="0" w:space="0" w:color="auto" w:frame="1"/>
          <w:lang w:eastAsia="en-GB"/>
          <w14:ligatures w14:val="none"/>
        </w:rPr>
        <w:t xml:space="preserve">) recognizes, is usually the compensatory hyperinsulinemia in which the pancreas overworks to create more insulin </w:t>
      </w:r>
      <w:proofErr w:type="gramStart"/>
      <w:r w:rsidRPr="00F762DB">
        <w:rPr>
          <w:rFonts w:ascii="Arial" w:eastAsia="Times New Roman" w:hAnsi="Arial" w:cs="Arial"/>
          <w:color w:val="1F1F1F"/>
          <w:kern w:val="0"/>
          <w:sz w:val="22"/>
          <w:szCs w:val="22"/>
          <w:bdr w:val="none" w:sz="0" w:space="0" w:color="auto" w:frame="1"/>
          <w:lang w:eastAsia="en-GB"/>
          <w14:ligatures w14:val="none"/>
        </w:rPr>
        <w:t>in order to</w:t>
      </w:r>
      <w:proofErr w:type="gramEnd"/>
      <w:r w:rsidRPr="00F762DB">
        <w:rPr>
          <w:rFonts w:ascii="Arial" w:eastAsia="Times New Roman" w:hAnsi="Arial" w:cs="Arial"/>
          <w:color w:val="1F1F1F"/>
          <w:kern w:val="0"/>
          <w:sz w:val="22"/>
          <w:szCs w:val="22"/>
          <w:bdr w:val="none" w:sz="0" w:space="0" w:color="auto" w:frame="1"/>
          <w:lang w:eastAsia="en-GB"/>
          <w14:ligatures w14:val="none"/>
        </w:rPr>
        <w:t xml:space="preserve"> neutrali</w:t>
      </w:r>
      <w:r w:rsidR="00636A92" w:rsidRPr="00F762DB">
        <w:rPr>
          <w:rFonts w:ascii="Arial" w:eastAsia="Times New Roman" w:hAnsi="Arial" w:cs="Arial"/>
          <w:color w:val="1F1F1F"/>
          <w:kern w:val="0"/>
          <w:sz w:val="22"/>
          <w:szCs w:val="22"/>
          <w:bdr w:val="none" w:sz="0" w:space="0" w:color="auto" w:frame="1"/>
          <w:lang w:eastAsia="en-GB"/>
          <w14:ligatures w14:val="none"/>
        </w:rPr>
        <w:t>s</w:t>
      </w:r>
      <w:r w:rsidRPr="00F762DB">
        <w:rPr>
          <w:rFonts w:ascii="Arial" w:eastAsia="Times New Roman" w:hAnsi="Arial" w:cs="Arial"/>
          <w:color w:val="1F1F1F"/>
          <w:kern w:val="0"/>
          <w:sz w:val="22"/>
          <w:szCs w:val="22"/>
          <w:bdr w:val="none" w:sz="0" w:space="0" w:color="auto" w:frame="1"/>
          <w:lang w:eastAsia="en-GB"/>
          <w14:ligatures w14:val="none"/>
        </w:rPr>
        <w:t>e resistance. The beta cells eventually become so exhausted that they are unable to produce as required and the clinical stage of T2DM ensues. This development highlights the importance of primary care intervention at an early age to maintain left-over beta-cell activity</w:t>
      </w:r>
      <w:r w:rsidR="000B5A13" w:rsidRPr="00F762DB">
        <w:rPr>
          <w:rFonts w:ascii="Arial" w:eastAsia="Times New Roman" w:hAnsi="Arial" w:cs="Arial"/>
          <w:color w:val="1F1F1F"/>
          <w:kern w:val="0"/>
          <w:sz w:val="22"/>
          <w:szCs w:val="22"/>
          <w:bdr w:val="none" w:sz="0" w:space="0" w:color="auto" w:frame="1"/>
          <w:lang w:eastAsia="en-GB"/>
          <w14:ligatures w14:val="none"/>
        </w:rPr>
        <w:t>.</w:t>
      </w:r>
    </w:p>
    <w:p w14:paraId="3DBAC734" w14:textId="77777777" w:rsidR="005B55E7" w:rsidRPr="00F762DB" w:rsidRDefault="005B55E7" w:rsidP="00F762DB">
      <w:pPr>
        <w:spacing w:after="0" w:line="360" w:lineRule="auto"/>
        <w:ind w:firstLine="720"/>
        <w:jc w:val="both"/>
        <w:rPr>
          <w:rFonts w:ascii="Arial" w:eastAsia="Times New Roman" w:hAnsi="Arial" w:cs="Arial"/>
          <w:color w:val="1F1F1F"/>
          <w:kern w:val="0"/>
          <w:sz w:val="22"/>
          <w:szCs w:val="22"/>
          <w:lang w:eastAsia="en-GB"/>
          <w14:ligatures w14:val="none"/>
        </w:rPr>
      </w:pPr>
    </w:p>
    <w:p w14:paraId="6D283220" w14:textId="77777777" w:rsidR="000B5A13" w:rsidRPr="00F762DB" w:rsidRDefault="000B5A13" w:rsidP="00F762DB">
      <w:pPr>
        <w:spacing w:after="120" w:line="360" w:lineRule="auto"/>
        <w:jc w:val="both"/>
        <w:outlineLvl w:val="1"/>
        <w:rPr>
          <w:rFonts w:ascii="Arial" w:eastAsia="Times New Roman" w:hAnsi="Arial" w:cs="Arial"/>
          <w:b/>
          <w:bCs/>
          <w:color w:val="1F1F1F"/>
          <w:kern w:val="0"/>
          <w:sz w:val="22"/>
          <w:szCs w:val="22"/>
          <w:lang w:eastAsia="en-GB"/>
          <w14:ligatures w14:val="none"/>
        </w:rPr>
      </w:pPr>
      <w:bookmarkStart w:id="5" w:name="_Toc220716394"/>
      <w:r w:rsidRPr="00F762DB">
        <w:rPr>
          <w:rFonts w:ascii="Arial" w:eastAsia="Times New Roman" w:hAnsi="Arial" w:cs="Arial"/>
          <w:b/>
          <w:bCs/>
          <w:color w:val="1F1F1F"/>
          <w:kern w:val="0"/>
          <w:sz w:val="22"/>
          <w:szCs w:val="22"/>
          <w:lang w:eastAsia="en-GB"/>
          <w14:ligatures w14:val="none"/>
        </w:rPr>
        <w:t>3. Cell Metabolism: The Use of Oxygen and Glucose</w:t>
      </w:r>
      <w:bookmarkEnd w:id="5"/>
    </w:p>
    <w:p w14:paraId="3A17EC89" w14:textId="77777777" w:rsidR="000B5A13" w:rsidRPr="00F762DB" w:rsidRDefault="000B5A13" w:rsidP="00F762DB">
      <w:pPr>
        <w:spacing w:after="0" w:line="360" w:lineRule="auto"/>
        <w:jc w:val="both"/>
        <w:outlineLvl w:val="2"/>
        <w:rPr>
          <w:rFonts w:ascii="Arial" w:eastAsia="Times New Roman" w:hAnsi="Arial" w:cs="Arial"/>
          <w:b/>
          <w:bCs/>
          <w:color w:val="1F1F1F"/>
          <w:kern w:val="0"/>
          <w:sz w:val="22"/>
          <w:szCs w:val="22"/>
          <w:lang w:eastAsia="en-GB"/>
          <w14:ligatures w14:val="none"/>
        </w:rPr>
      </w:pPr>
      <w:bookmarkStart w:id="6" w:name="_Toc220716395"/>
      <w:r w:rsidRPr="00F762DB">
        <w:rPr>
          <w:rFonts w:ascii="Arial" w:eastAsia="Times New Roman" w:hAnsi="Arial" w:cs="Arial"/>
          <w:b/>
          <w:bCs/>
          <w:color w:val="1F1F1F"/>
          <w:kern w:val="0"/>
          <w:sz w:val="22"/>
          <w:szCs w:val="22"/>
          <w:bdr w:val="none" w:sz="0" w:space="0" w:color="auto" w:frame="1"/>
          <w:lang w:eastAsia="en-GB"/>
          <w14:ligatures w14:val="none"/>
        </w:rPr>
        <w:t>3.1 The Foundations of Cellular Respiration</w:t>
      </w:r>
      <w:bookmarkEnd w:id="6"/>
    </w:p>
    <w:p w14:paraId="4933DCB2" w14:textId="0B3A1B74" w:rsidR="005B55E7" w:rsidRPr="00F762DB" w:rsidRDefault="005B55E7" w:rsidP="00F762DB">
      <w:pPr>
        <w:spacing w:after="240" w:line="360" w:lineRule="auto"/>
        <w:ind w:firstLine="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 xml:space="preserve">The major goal of the cellular metabolism is the synthesis of the universal currency of biological </w:t>
      </w:r>
      <w:proofErr w:type="spellStart"/>
      <w:r w:rsidRPr="00F762DB">
        <w:rPr>
          <w:rFonts w:ascii="Arial" w:eastAsia="Times New Roman" w:hAnsi="Arial" w:cs="Arial"/>
          <w:color w:val="1F1F1F"/>
          <w:kern w:val="0"/>
          <w:sz w:val="22"/>
          <w:szCs w:val="22"/>
          <w:lang w:eastAsia="en-GB"/>
          <w14:ligatures w14:val="none"/>
        </w:rPr>
        <w:t>labor</w:t>
      </w:r>
      <w:proofErr w:type="spellEnd"/>
      <w:r w:rsidRPr="00F762DB">
        <w:rPr>
          <w:rFonts w:ascii="Arial" w:eastAsia="Times New Roman" w:hAnsi="Arial" w:cs="Arial"/>
          <w:color w:val="1F1F1F"/>
          <w:kern w:val="0"/>
          <w:sz w:val="22"/>
          <w:szCs w:val="22"/>
          <w:lang w:eastAsia="en-GB"/>
          <w14:ligatures w14:val="none"/>
        </w:rPr>
        <w:t xml:space="preserve"> Adenosine Triphosphate (ATP). This is a process, referred to as aerobic cellular respiration, which needs a steady periodical supply of glucose as well as oxygen</w:t>
      </w:r>
      <w:r w:rsidR="000B5A13" w:rsidRPr="00F762DB">
        <w:rPr>
          <w:rFonts w:ascii="Arial" w:eastAsia="Times New Roman" w:hAnsi="Arial" w:cs="Arial"/>
          <w:color w:val="1F1F1F"/>
          <w:kern w:val="0"/>
          <w:sz w:val="22"/>
          <w:szCs w:val="22"/>
          <w:lang w:eastAsia="en-GB"/>
          <w14:ligatures w14:val="none"/>
        </w:rPr>
        <w:t>. The chemical foundation of this process is summari</w:t>
      </w:r>
      <w:r w:rsidR="00636A92" w:rsidRPr="00F762DB">
        <w:rPr>
          <w:rFonts w:ascii="Arial" w:eastAsia="Times New Roman" w:hAnsi="Arial" w:cs="Arial"/>
          <w:color w:val="1F1F1F"/>
          <w:kern w:val="0"/>
          <w:sz w:val="22"/>
          <w:szCs w:val="22"/>
          <w:lang w:eastAsia="en-GB"/>
          <w14:ligatures w14:val="none"/>
        </w:rPr>
        <w:t>s</w:t>
      </w:r>
      <w:r w:rsidR="000B5A13" w:rsidRPr="00F762DB">
        <w:rPr>
          <w:rFonts w:ascii="Arial" w:eastAsia="Times New Roman" w:hAnsi="Arial" w:cs="Arial"/>
          <w:color w:val="1F1F1F"/>
          <w:kern w:val="0"/>
          <w:sz w:val="22"/>
          <w:szCs w:val="22"/>
          <w:lang w:eastAsia="en-GB"/>
          <w14:ligatures w14:val="none"/>
        </w:rPr>
        <w:t xml:space="preserve">ed by the equation: </w:t>
      </w:r>
    </w:p>
    <w:p w14:paraId="51D10DCA" w14:textId="77777777" w:rsidR="005B55E7" w:rsidRPr="00F762DB" w:rsidRDefault="005B55E7" w:rsidP="00F762DB">
      <w:pPr>
        <w:spacing w:after="0" w:line="360" w:lineRule="auto"/>
        <w:rPr>
          <w:rFonts w:ascii="Arial" w:eastAsia="Times New Roman" w:hAnsi="Arial" w:cs="Arial"/>
          <w:kern w:val="0"/>
          <w:sz w:val="22"/>
          <w:szCs w:val="22"/>
          <w:lang w:eastAsia="en-GB"/>
          <w14:ligatures w14:val="none"/>
        </w:rPr>
      </w:pPr>
      <w:r w:rsidRPr="00F762DB">
        <w:rPr>
          <w:rFonts w:ascii="Arial" w:eastAsia="Times New Roman" w:hAnsi="Arial" w:cs="Arial"/>
          <w:noProof/>
          <w:kern w:val="0"/>
          <w:sz w:val="22"/>
          <w:szCs w:val="22"/>
          <w:lang w:eastAsia="en-GB"/>
          <w14:ligatures w14:val="none"/>
        </w:rPr>
        <w:drawing>
          <wp:inline distT="0" distB="0" distL="0" distR="0" wp14:anchorId="46A10F5C" wp14:editId="2BD727A5">
            <wp:extent cx="12065" cy="1206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p w14:paraId="500B46FB" w14:textId="5BAED9C8" w:rsidR="005B55E7" w:rsidRPr="00F762DB" w:rsidRDefault="00000000" w:rsidP="00F762DB">
      <w:pPr>
        <w:spacing w:after="0" w:line="360" w:lineRule="auto"/>
        <w:rPr>
          <w:rFonts w:ascii="Arial" w:eastAsia="Times New Roman" w:hAnsi="Arial" w:cs="Arial"/>
          <w:kern w:val="0"/>
          <w:sz w:val="22"/>
          <w:szCs w:val="22"/>
          <w:lang w:eastAsia="en-GB"/>
          <w14:ligatures w14:val="none"/>
        </w:rPr>
      </w:pPr>
      <m:oMathPara>
        <m:oMath>
          <m:sSub>
            <m:sSubPr>
              <m:ctrlPr>
                <w:rPr>
                  <w:rFonts w:ascii="Cambria Math" w:eastAsia="Times New Roman" w:hAnsi="Cambria Math" w:cs="Arial"/>
                  <w:kern w:val="0"/>
                  <w:sz w:val="22"/>
                  <w:szCs w:val="22"/>
                  <w:lang w:eastAsia="en-GB"/>
                  <w14:ligatures w14:val="none"/>
                </w:rPr>
              </m:ctrlPr>
            </m:sSubPr>
            <m:e>
              <m:r>
                <m:rPr>
                  <m:nor/>
                </m:rPr>
                <w:rPr>
                  <w:rFonts w:ascii="Arial" w:eastAsia="Times New Roman" w:hAnsi="Arial" w:cs="Arial"/>
                  <w:kern w:val="0"/>
                  <w:sz w:val="22"/>
                  <w:szCs w:val="22"/>
                  <w:lang w:eastAsia="en-GB"/>
                  <w14:ligatures w14:val="none"/>
                </w:rPr>
                <m:t>C</m:t>
              </m:r>
            </m:e>
            <m:sub>
              <m:r>
                <w:rPr>
                  <w:rFonts w:ascii="Cambria Math" w:eastAsia="Times New Roman" w:hAnsi="Cambria Math" w:cs="Arial"/>
                  <w:kern w:val="0"/>
                  <w:sz w:val="22"/>
                  <w:szCs w:val="22"/>
                  <w:lang w:eastAsia="en-GB"/>
                  <w14:ligatures w14:val="none"/>
                </w:rPr>
                <m:t>6</m:t>
              </m:r>
            </m:sub>
          </m:sSub>
          <m:sSub>
            <m:sSubPr>
              <m:ctrlPr>
                <w:rPr>
                  <w:rFonts w:ascii="Cambria Math" w:eastAsia="Times New Roman" w:hAnsi="Cambria Math" w:cs="Arial"/>
                  <w:kern w:val="0"/>
                  <w:sz w:val="22"/>
                  <w:szCs w:val="22"/>
                  <w:lang w:eastAsia="en-GB"/>
                  <w14:ligatures w14:val="none"/>
                </w:rPr>
              </m:ctrlPr>
            </m:sSubPr>
            <m:e>
              <m:r>
                <m:rPr>
                  <m:nor/>
                </m:rPr>
                <w:rPr>
                  <w:rFonts w:ascii="Arial" w:eastAsia="Times New Roman" w:hAnsi="Arial" w:cs="Arial"/>
                  <w:kern w:val="0"/>
                  <w:sz w:val="22"/>
                  <w:szCs w:val="22"/>
                  <w:lang w:eastAsia="en-GB"/>
                  <w14:ligatures w14:val="none"/>
                </w:rPr>
                <m:t>H</m:t>
              </m:r>
            </m:e>
            <m:sub>
              <m:r>
                <w:rPr>
                  <w:rFonts w:ascii="Cambria Math" w:eastAsia="Times New Roman" w:hAnsi="Cambria Math" w:cs="Arial"/>
                  <w:kern w:val="0"/>
                  <w:sz w:val="22"/>
                  <w:szCs w:val="22"/>
                  <w:lang w:eastAsia="en-GB"/>
                  <w14:ligatures w14:val="none"/>
                </w:rPr>
                <m:t>12</m:t>
              </m:r>
            </m:sub>
          </m:sSub>
          <m:sSub>
            <m:sSubPr>
              <m:ctrlPr>
                <w:rPr>
                  <w:rFonts w:ascii="Cambria Math" w:eastAsia="Times New Roman" w:hAnsi="Cambria Math" w:cs="Arial"/>
                  <w:kern w:val="0"/>
                  <w:sz w:val="22"/>
                  <w:szCs w:val="22"/>
                  <w:lang w:eastAsia="en-GB"/>
                  <w14:ligatures w14:val="none"/>
                </w:rPr>
              </m:ctrlPr>
            </m:sSubPr>
            <m:e>
              <m:r>
                <m:rPr>
                  <m:nor/>
                </m:rPr>
                <w:rPr>
                  <w:rFonts w:ascii="Arial" w:eastAsia="Times New Roman" w:hAnsi="Arial" w:cs="Arial"/>
                  <w:kern w:val="0"/>
                  <w:sz w:val="22"/>
                  <w:szCs w:val="22"/>
                  <w:lang w:eastAsia="en-GB"/>
                  <w14:ligatures w14:val="none"/>
                </w:rPr>
                <m:t>O</m:t>
              </m:r>
            </m:e>
            <m:sub>
              <m:r>
                <w:rPr>
                  <w:rFonts w:ascii="Cambria Math" w:eastAsia="Times New Roman" w:hAnsi="Cambria Math" w:cs="Arial"/>
                  <w:kern w:val="0"/>
                  <w:sz w:val="22"/>
                  <w:szCs w:val="22"/>
                  <w:lang w:eastAsia="en-GB"/>
                  <w14:ligatures w14:val="none"/>
                </w:rPr>
                <m:t>6</m:t>
              </m:r>
            </m:sub>
          </m:sSub>
          <m:r>
            <w:rPr>
              <w:rFonts w:ascii="Cambria Math" w:eastAsia="Times New Roman" w:hAnsi="Cambria Math" w:cs="Arial"/>
              <w:kern w:val="0"/>
              <w:sz w:val="22"/>
              <w:szCs w:val="22"/>
              <w:lang w:eastAsia="en-GB"/>
              <w14:ligatures w14:val="none"/>
            </w:rPr>
            <m:t>+6</m:t>
          </m:r>
          <m:sSub>
            <m:sSubPr>
              <m:ctrlPr>
                <w:rPr>
                  <w:rFonts w:ascii="Cambria Math" w:eastAsia="Times New Roman" w:hAnsi="Cambria Math" w:cs="Arial"/>
                  <w:kern w:val="0"/>
                  <w:sz w:val="22"/>
                  <w:szCs w:val="22"/>
                  <w:lang w:eastAsia="en-GB"/>
                  <w14:ligatures w14:val="none"/>
                </w:rPr>
              </m:ctrlPr>
            </m:sSubPr>
            <m:e>
              <m:r>
                <m:rPr>
                  <m:nor/>
                </m:rPr>
                <w:rPr>
                  <w:rFonts w:ascii="Arial" w:eastAsia="Times New Roman" w:hAnsi="Arial" w:cs="Arial"/>
                  <w:kern w:val="0"/>
                  <w:sz w:val="22"/>
                  <w:szCs w:val="22"/>
                  <w:lang w:eastAsia="en-GB"/>
                  <w14:ligatures w14:val="none"/>
                </w:rPr>
                <m:t>O</m:t>
              </m:r>
            </m:e>
            <m:sub>
              <m:r>
                <w:rPr>
                  <w:rFonts w:ascii="Cambria Math" w:eastAsia="Times New Roman" w:hAnsi="Cambria Math" w:cs="Arial"/>
                  <w:kern w:val="0"/>
                  <w:sz w:val="22"/>
                  <w:szCs w:val="22"/>
                  <w:lang w:eastAsia="en-GB"/>
                  <w14:ligatures w14:val="none"/>
                </w:rPr>
                <m:t>2</m:t>
              </m:r>
            </m:sub>
          </m:sSub>
          <m:r>
            <w:rPr>
              <w:rFonts w:ascii="Cambria Math" w:eastAsia="Times New Roman" w:hAnsi="Cambria Math" w:cs="Arial"/>
              <w:kern w:val="0"/>
              <w:sz w:val="22"/>
              <w:szCs w:val="22"/>
              <w:lang w:eastAsia="en-GB"/>
              <w14:ligatures w14:val="none"/>
            </w:rPr>
            <m:t>→6</m:t>
          </m:r>
          <m:sSub>
            <m:sSubPr>
              <m:ctrlPr>
                <w:rPr>
                  <w:rFonts w:ascii="Cambria Math" w:eastAsia="Times New Roman" w:hAnsi="Cambria Math" w:cs="Arial"/>
                  <w:kern w:val="0"/>
                  <w:sz w:val="22"/>
                  <w:szCs w:val="22"/>
                  <w:lang w:eastAsia="en-GB"/>
                  <w14:ligatures w14:val="none"/>
                </w:rPr>
              </m:ctrlPr>
            </m:sSubPr>
            <m:e>
              <m:r>
                <m:rPr>
                  <m:nor/>
                </m:rPr>
                <w:rPr>
                  <w:rFonts w:ascii="Arial" w:eastAsia="Times New Roman" w:hAnsi="Arial" w:cs="Arial"/>
                  <w:kern w:val="0"/>
                  <w:sz w:val="22"/>
                  <w:szCs w:val="22"/>
                  <w:lang w:eastAsia="en-GB"/>
                  <w14:ligatures w14:val="none"/>
                </w:rPr>
                <m:t>CO</m:t>
              </m:r>
            </m:e>
            <m:sub>
              <m:r>
                <w:rPr>
                  <w:rFonts w:ascii="Cambria Math" w:eastAsia="Times New Roman" w:hAnsi="Cambria Math" w:cs="Arial"/>
                  <w:kern w:val="0"/>
                  <w:sz w:val="22"/>
                  <w:szCs w:val="22"/>
                  <w:lang w:eastAsia="en-GB"/>
                  <w14:ligatures w14:val="none"/>
                </w:rPr>
                <m:t>2</m:t>
              </m:r>
            </m:sub>
          </m:sSub>
          <m:r>
            <w:rPr>
              <w:rFonts w:ascii="Cambria Math" w:eastAsia="Times New Roman" w:hAnsi="Cambria Math" w:cs="Arial"/>
              <w:kern w:val="0"/>
              <w:sz w:val="22"/>
              <w:szCs w:val="22"/>
              <w:lang w:eastAsia="en-GB"/>
              <w14:ligatures w14:val="none"/>
            </w:rPr>
            <m:t>+6</m:t>
          </m:r>
          <m:sSub>
            <m:sSubPr>
              <m:ctrlPr>
                <w:rPr>
                  <w:rFonts w:ascii="Cambria Math" w:eastAsia="Times New Roman" w:hAnsi="Cambria Math" w:cs="Arial"/>
                  <w:kern w:val="0"/>
                  <w:sz w:val="22"/>
                  <w:szCs w:val="22"/>
                  <w:lang w:eastAsia="en-GB"/>
                  <w14:ligatures w14:val="none"/>
                </w:rPr>
              </m:ctrlPr>
            </m:sSubPr>
            <m:e>
              <m:r>
                <m:rPr>
                  <m:nor/>
                </m:rPr>
                <w:rPr>
                  <w:rFonts w:ascii="Arial" w:eastAsia="Times New Roman" w:hAnsi="Arial" w:cs="Arial"/>
                  <w:kern w:val="0"/>
                  <w:sz w:val="22"/>
                  <w:szCs w:val="22"/>
                  <w:lang w:eastAsia="en-GB"/>
                  <w14:ligatures w14:val="none"/>
                </w:rPr>
                <m:t>H</m:t>
              </m:r>
            </m:e>
            <m:sub>
              <m:r>
                <w:rPr>
                  <w:rFonts w:ascii="Cambria Math" w:eastAsia="Times New Roman" w:hAnsi="Cambria Math" w:cs="Arial"/>
                  <w:kern w:val="0"/>
                  <w:sz w:val="22"/>
                  <w:szCs w:val="22"/>
                  <w:lang w:eastAsia="en-GB"/>
                  <w14:ligatures w14:val="none"/>
                </w:rPr>
                <m:t>2</m:t>
              </m:r>
            </m:sub>
          </m:sSub>
          <m:r>
            <m:rPr>
              <m:nor/>
            </m:rPr>
            <w:rPr>
              <w:rFonts w:ascii="Arial" w:eastAsia="Times New Roman" w:hAnsi="Arial" w:cs="Arial"/>
              <w:kern w:val="0"/>
              <w:sz w:val="22"/>
              <w:szCs w:val="22"/>
              <w:lang w:eastAsia="en-GB"/>
              <w14:ligatures w14:val="none"/>
            </w:rPr>
            <m:t>O</m:t>
          </m:r>
          <m:r>
            <w:rPr>
              <w:rFonts w:ascii="Cambria Math" w:eastAsia="Times New Roman" w:hAnsi="Cambria Math" w:cs="Arial"/>
              <w:kern w:val="0"/>
              <w:sz w:val="22"/>
              <w:szCs w:val="22"/>
              <w:lang w:eastAsia="en-GB"/>
              <w14:ligatures w14:val="none"/>
            </w:rPr>
            <m:t>+</m:t>
          </m:r>
          <m:r>
            <m:rPr>
              <m:nor/>
            </m:rPr>
            <w:rPr>
              <w:rFonts w:ascii="Arial" w:eastAsia="Times New Roman" w:hAnsi="Arial" w:cs="Arial"/>
              <w:kern w:val="0"/>
              <w:sz w:val="22"/>
              <w:szCs w:val="22"/>
              <w:lang w:eastAsia="en-GB"/>
              <w14:ligatures w14:val="none"/>
            </w:rPr>
            <m:t>Chemical Energy (ATP)</m:t>
          </m:r>
        </m:oMath>
      </m:oMathPara>
    </w:p>
    <w:p w14:paraId="27BE5330" w14:textId="77777777" w:rsidR="005B55E7" w:rsidRPr="00F762DB" w:rsidRDefault="005B55E7" w:rsidP="00F762DB">
      <w:pPr>
        <w:spacing w:after="0" w:line="360" w:lineRule="auto"/>
        <w:rPr>
          <w:rFonts w:ascii="Arial" w:eastAsia="Times New Roman" w:hAnsi="Arial" w:cs="Arial"/>
          <w:kern w:val="0"/>
          <w:sz w:val="22"/>
          <w:szCs w:val="22"/>
          <w:lang w:eastAsia="en-GB"/>
          <w14:ligatures w14:val="none"/>
        </w:rPr>
      </w:pPr>
    </w:p>
    <w:p w14:paraId="42DA27CD" w14:textId="3505A407" w:rsidR="000B5A13" w:rsidRPr="00F762DB" w:rsidRDefault="005B55E7" w:rsidP="00F762DB">
      <w:pPr>
        <w:spacing w:after="240" w:line="360" w:lineRule="auto"/>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 xml:space="preserve">This metabolic pathway, according to </w:t>
      </w:r>
      <w:r w:rsidR="009F6E47" w:rsidRPr="00F762DB">
        <w:rPr>
          <w:rFonts w:ascii="Arial" w:eastAsia="Times New Roman" w:hAnsi="Arial" w:cs="Arial"/>
          <w:color w:val="1F1F1F"/>
          <w:kern w:val="0"/>
          <w:sz w:val="22"/>
          <w:szCs w:val="22"/>
          <w:lang w:eastAsia="en-GB"/>
          <w14:ligatures w14:val="none"/>
        </w:rPr>
        <w:t>Skull, (2022</w:t>
      </w:r>
      <w:r w:rsidRPr="00F762DB">
        <w:rPr>
          <w:rFonts w:ascii="Arial" w:eastAsia="Times New Roman" w:hAnsi="Arial" w:cs="Arial"/>
          <w:color w:val="1F1F1F"/>
          <w:kern w:val="0"/>
          <w:sz w:val="22"/>
          <w:szCs w:val="22"/>
          <w:lang w:eastAsia="en-GB"/>
          <w14:ligatures w14:val="none"/>
        </w:rPr>
        <w:t xml:space="preserve">), consists of </w:t>
      </w:r>
      <w:proofErr w:type="gramStart"/>
      <w:r w:rsidRPr="00F762DB">
        <w:rPr>
          <w:rFonts w:ascii="Arial" w:eastAsia="Times New Roman" w:hAnsi="Arial" w:cs="Arial"/>
          <w:color w:val="1F1F1F"/>
          <w:kern w:val="0"/>
          <w:sz w:val="22"/>
          <w:szCs w:val="22"/>
          <w:lang w:eastAsia="en-GB"/>
          <w14:ligatures w14:val="none"/>
        </w:rPr>
        <w:t>a large number of</w:t>
      </w:r>
      <w:proofErr w:type="gramEnd"/>
      <w:r w:rsidRPr="00F762DB">
        <w:rPr>
          <w:rFonts w:ascii="Arial" w:eastAsia="Times New Roman" w:hAnsi="Arial" w:cs="Arial"/>
          <w:color w:val="1F1F1F"/>
          <w:kern w:val="0"/>
          <w:sz w:val="22"/>
          <w:szCs w:val="22"/>
          <w:lang w:eastAsia="en-GB"/>
          <w14:ligatures w14:val="none"/>
        </w:rPr>
        <w:t xml:space="preserve"> separate steps with the initial one developing in the </w:t>
      </w:r>
      <w:proofErr w:type="spellStart"/>
      <w:r w:rsidRPr="00F762DB">
        <w:rPr>
          <w:rFonts w:ascii="Arial" w:eastAsia="Times New Roman" w:hAnsi="Arial" w:cs="Arial"/>
          <w:color w:val="1F1F1F"/>
          <w:kern w:val="0"/>
          <w:sz w:val="22"/>
          <w:szCs w:val="22"/>
          <w:lang w:eastAsia="en-GB"/>
          <w14:ligatures w14:val="none"/>
        </w:rPr>
        <w:t>cytosole</w:t>
      </w:r>
      <w:proofErr w:type="spellEnd"/>
      <w:r w:rsidRPr="00F762DB">
        <w:rPr>
          <w:rFonts w:ascii="Arial" w:eastAsia="Times New Roman" w:hAnsi="Arial" w:cs="Arial"/>
          <w:color w:val="1F1F1F"/>
          <w:kern w:val="0"/>
          <w:sz w:val="22"/>
          <w:szCs w:val="22"/>
          <w:lang w:eastAsia="en-GB"/>
          <w14:ligatures w14:val="none"/>
        </w:rPr>
        <w:t xml:space="preserve"> with the glucose conversion into pyruvate, which produces a low concentration of ATP</w:t>
      </w:r>
      <w:r w:rsidR="000B5A13" w:rsidRPr="00F762DB">
        <w:rPr>
          <w:rFonts w:ascii="Arial" w:eastAsia="Times New Roman" w:hAnsi="Arial" w:cs="Arial"/>
          <w:color w:val="1F1F1F"/>
          <w:kern w:val="0"/>
          <w:sz w:val="22"/>
          <w:szCs w:val="22"/>
          <w:lang w:eastAsia="en-GB"/>
          <w14:ligatures w14:val="none"/>
        </w:rPr>
        <w:t>.</w:t>
      </w:r>
    </w:p>
    <w:p w14:paraId="3AFD38FE" w14:textId="77777777" w:rsidR="00A665EB" w:rsidRPr="00F762DB" w:rsidRDefault="00A665EB" w:rsidP="00F762DB">
      <w:pPr>
        <w:keepNext/>
        <w:spacing w:after="240" w:line="360" w:lineRule="auto"/>
        <w:jc w:val="center"/>
        <w:rPr>
          <w:rFonts w:ascii="Arial" w:hAnsi="Arial" w:cs="Arial"/>
          <w:sz w:val="22"/>
          <w:szCs w:val="22"/>
        </w:rPr>
      </w:pPr>
      <w:r w:rsidRPr="00F762DB">
        <w:rPr>
          <w:rFonts w:ascii="Arial" w:hAnsi="Arial" w:cs="Arial"/>
          <w:noProof/>
          <w:sz w:val="22"/>
          <w:szCs w:val="22"/>
        </w:rPr>
        <w:lastRenderedPageBreak/>
        <w:drawing>
          <wp:inline distT="0" distB="0" distL="0" distR="0" wp14:anchorId="37182497" wp14:editId="5484FD2C">
            <wp:extent cx="5731510" cy="3820795"/>
            <wp:effectExtent l="0" t="0" r="2540" b="8255"/>
            <wp:docPr id="120587889" name="Picture 3" descr="Cellular respiration - Definition and Examples - Biology Online Dicti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ellular respiration - Definition and Examples - Biology Online Dictiona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6F8DA576" w14:textId="44E7DE57" w:rsidR="00A665EB" w:rsidRPr="00F762DB" w:rsidRDefault="00A665EB" w:rsidP="00F762DB">
      <w:pPr>
        <w:pStyle w:val="Caption"/>
        <w:spacing w:line="360" w:lineRule="auto"/>
        <w:jc w:val="center"/>
        <w:rPr>
          <w:rFonts w:ascii="Arial" w:hAnsi="Arial" w:cs="Arial"/>
          <w:sz w:val="22"/>
          <w:szCs w:val="22"/>
        </w:rPr>
      </w:pPr>
      <w:r w:rsidRPr="00F762DB">
        <w:rPr>
          <w:rFonts w:ascii="Arial" w:hAnsi="Arial" w:cs="Arial"/>
          <w:sz w:val="22"/>
          <w:szCs w:val="22"/>
        </w:rPr>
        <w:t xml:space="preserve">Figure </w:t>
      </w:r>
      <w:r w:rsidRPr="00F762DB">
        <w:rPr>
          <w:rFonts w:ascii="Arial" w:hAnsi="Arial" w:cs="Arial"/>
          <w:sz w:val="22"/>
          <w:szCs w:val="22"/>
        </w:rPr>
        <w:fldChar w:fldCharType="begin"/>
      </w:r>
      <w:r w:rsidRPr="00F762DB">
        <w:rPr>
          <w:rFonts w:ascii="Arial" w:hAnsi="Arial" w:cs="Arial"/>
          <w:sz w:val="22"/>
          <w:szCs w:val="22"/>
        </w:rPr>
        <w:instrText xml:space="preserve"> SEQ Figure \* ARABIC </w:instrText>
      </w:r>
      <w:r w:rsidRPr="00F762DB">
        <w:rPr>
          <w:rFonts w:ascii="Arial" w:hAnsi="Arial" w:cs="Arial"/>
          <w:sz w:val="22"/>
          <w:szCs w:val="22"/>
        </w:rPr>
        <w:fldChar w:fldCharType="separate"/>
      </w:r>
      <w:r w:rsidRPr="00F762DB">
        <w:rPr>
          <w:rFonts w:ascii="Arial" w:hAnsi="Arial" w:cs="Arial"/>
          <w:noProof/>
          <w:sz w:val="22"/>
          <w:szCs w:val="22"/>
        </w:rPr>
        <w:t>2</w:t>
      </w:r>
      <w:r w:rsidRPr="00F762DB">
        <w:rPr>
          <w:rFonts w:ascii="Arial" w:hAnsi="Arial" w:cs="Arial"/>
          <w:sz w:val="22"/>
          <w:szCs w:val="22"/>
        </w:rPr>
        <w:fldChar w:fldCharType="end"/>
      </w:r>
      <w:r w:rsidRPr="00F762DB">
        <w:rPr>
          <w:rFonts w:ascii="Arial" w:hAnsi="Arial" w:cs="Arial"/>
          <w:sz w:val="22"/>
          <w:szCs w:val="22"/>
        </w:rPr>
        <w:t xml:space="preserve">: Cellular Respiration </w:t>
      </w:r>
    </w:p>
    <w:p w14:paraId="4EB37BAA" w14:textId="443AD54E" w:rsidR="005B55E7" w:rsidRPr="00F762DB" w:rsidRDefault="00A665EB" w:rsidP="00F762DB">
      <w:pPr>
        <w:pStyle w:val="Caption"/>
        <w:spacing w:line="360" w:lineRule="auto"/>
        <w:jc w:val="center"/>
        <w:rPr>
          <w:rFonts w:ascii="Arial" w:hAnsi="Arial" w:cs="Arial"/>
          <w:sz w:val="22"/>
          <w:szCs w:val="22"/>
        </w:rPr>
      </w:pPr>
      <w:r w:rsidRPr="00F762DB">
        <w:rPr>
          <w:rFonts w:ascii="Arial" w:hAnsi="Arial" w:cs="Arial"/>
          <w:sz w:val="22"/>
          <w:szCs w:val="22"/>
        </w:rPr>
        <w:t xml:space="preserve">Source: </w:t>
      </w:r>
      <w:hyperlink r:id="rId11" w:history="1">
        <w:r w:rsidRPr="00F762DB">
          <w:rPr>
            <w:rStyle w:val="Hyperlink"/>
            <w:rFonts w:ascii="Arial" w:hAnsi="Arial" w:cs="Arial"/>
            <w:sz w:val="22"/>
            <w:szCs w:val="22"/>
          </w:rPr>
          <w:t>https://www.biologyonline.com/dictionary/cellular-respiration</w:t>
        </w:r>
      </w:hyperlink>
    </w:p>
    <w:p w14:paraId="465F0DE9" w14:textId="77777777" w:rsidR="00A665EB" w:rsidRPr="00F762DB" w:rsidRDefault="00A665EB" w:rsidP="00F762DB">
      <w:pPr>
        <w:spacing w:line="360" w:lineRule="auto"/>
        <w:rPr>
          <w:rFonts w:ascii="Arial" w:hAnsi="Arial" w:cs="Arial"/>
          <w:sz w:val="22"/>
          <w:szCs w:val="22"/>
          <w:lang w:eastAsia="en-GB"/>
        </w:rPr>
      </w:pPr>
    </w:p>
    <w:p w14:paraId="4635A9C1" w14:textId="77777777" w:rsidR="000B5A13" w:rsidRPr="00F762DB" w:rsidRDefault="000B5A13" w:rsidP="00F762DB">
      <w:pPr>
        <w:spacing w:after="0" w:line="360" w:lineRule="auto"/>
        <w:jc w:val="both"/>
        <w:outlineLvl w:val="2"/>
        <w:rPr>
          <w:rFonts w:ascii="Arial" w:eastAsia="Times New Roman" w:hAnsi="Arial" w:cs="Arial"/>
          <w:b/>
          <w:bCs/>
          <w:color w:val="1F1F1F"/>
          <w:kern w:val="0"/>
          <w:sz w:val="22"/>
          <w:szCs w:val="22"/>
          <w:lang w:eastAsia="en-GB"/>
          <w14:ligatures w14:val="none"/>
        </w:rPr>
      </w:pPr>
      <w:bookmarkStart w:id="7" w:name="_Toc220716396"/>
      <w:r w:rsidRPr="00F762DB">
        <w:rPr>
          <w:rFonts w:ascii="Arial" w:eastAsia="Times New Roman" w:hAnsi="Arial" w:cs="Arial"/>
          <w:b/>
          <w:bCs/>
          <w:color w:val="1F1F1F"/>
          <w:kern w:val="0"/>
          <w:sz w:val="22"/>
          <w:szCs w:val="22"/>
          <w:bdr w:val="none" w:sz="0" w:space="0" w:color="auto" w:frame="1"/>
          <w:lang w:eastAsia="en-GB"/>
          <w14:ligatures w14:val="none"/>
        </w:rPr>
        <w:t>3.2 Mitochondria and Oxidative Phosphorylation</w:t>
      </w:r>
      <w:bookmarkEnd w:id="7"/>
    </w:p>
    <w:p w14:paraId="13BE397E" w14:textId="462065B1" w:rsidR="000B5A13" w:rsidRPr="00F762DB" w:rsidRDefault="005B55E7" w:rsidP="00F762DB">
      <w:pPr>
        <w:spacing w:after="0" w:line="360" w:lineRule="auto"/>
        <w:ind w:firstLine="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 xml:space="preserve">After glycolysis, the pyruvate gets into the mitochondria to be subjected to the Krebs Cycle and the Electron Transport Chain. It is at these stages that most of the ATP is produced by oxidative phosphorylation. Oxygen is the last electron donor in the electron transport chain, its absence would stop this process, and anaerobic fermentation would be left to support the cell, much less efficient and resulting in the </w:t>
      </w:r>
      <w:proofErr w:type="spellStart"/>
      <w:r w:rsidRPr="00F762DB">
        <w:rPr>
          <w:rFonts w:ascii="Arial" w:eastAsia="Times New Roman" w:hAnsi="Arial" w:cs="Arial"/>
          <w:color w:val="1F1F1F"/>
          <w:kern w:val="0"/>
          <w:sz w:val="22"/>
          <w:szCs w:val="22"/>
          <w:lang w:eastAsia="en-GB"/>
          <w14:ligatures w14:val="none"/>
        </w:rPr>
        <w:t>build up</w:t>
      </w:r>
      <w:proofErr w:type="spellEnd"/>
      <w:r w:rsidRPr="00F762DB">
        <w:rPr>
          <w:rFonts w:ascii="Arial" w:eastAsia="Times New Roman" w:hAnsi="Arial" w:cs="Arial"/>
          <w:color w:val="1F1F1F"/>
          <w:kern w:val="0"/>
          <w:sz w:val="22"/>
          <w:szCs w:val="22"/>
          <w:lang w:eastAsia="en-GB"/>
          <w14:ligatures w14:val="none"/>
        </w:rPr>
        <w:t xml:space="preserve"> of lactic acid. According to Scanlon and Sanders (2018), the effectiveness of such a process largely regions on the presence of glucose in the mitochondrial matrix. With diabetes, the energy production cannot be maximi</w:t>
      </w:r>
      <w:r w:rsidR="00636A92" w:rsidRPr="00F762DB">
        <w:rPr>
          <w:rFonts w:ascii="Arial" w:eastAsia="Times New Roman" w:hAnsi="Arial" w:cs="Arial"/>
          <w:color w:val="1F1F1F"/>
          <w:kern w:val="0"/>
          <w:sz w:val="22"/>
          <w:szCs w:val="22"/>
          <w:lang w:eastAsia="en-GB"/>
          <w14:ligatures w14:val="none"/>
        </w:rPr>
        <w:t>s</w:t>
      </w:r>
      <w:r w:rsidRPr="00F762DB">
        <w:rPr>
          <w:rFonts w:ascii="Arial" w:eastAsia="Times New Roman" w:hAnsi="Arial" w:cs="Arial"/>
          <w:color w:val="1F1F1F"/>
          <w:kern w:val="0"/>
          <w:sz w:val="22"/>
          <w:szCs w:val="22"/>
          <w:lang w:eastAsia="en-GB"/>
          <w14:ligatures w14:val="none"/>
        </w:rPr>
        <w:t xml:space="preserve">ed in the cell due to the inefficiency of the glucose transport into the mitochondria (Baynes and </w:t>
      </w:r>
      <w:proofErr w:type="spellStart"/>
      <w:r w:rsidRPr="00F762DB">
        <w:rPr>
          <w:rFonts w:ascii="Arial" w:eastAsia="Times New Roman" w:hAnsi="Arial" w:cs="Arial"/>
          <w:color w:val="1F1F1F"/>
          <w:kern w:val="0"/>
          <w:sz w:val="22"/>
          <w:szCs w:val="22"/>
          <w:lang w:eastAsia="en-GB"/>
          <w14:ligatures w14:val="none"/>
        </w:rPr>
        <w:t>Dominiczak</w:t>
      </w:r>
      <w:proofErr w:type="spellEnd"/>
      <w:r w:rsidRPr="00F762DB">
        <w:rPr>
          <w:rFonts w:ascii="Arial" w:eastAsia="Times New Roman" w:hAnsi="Arial" w:cs="Arial"/>
          <w:color w:val="1F1F1F"/>
          <w:kern w:val="0"/>
          <w:sz w:val="22"/>
          <w:szCs w:val="22"/>
          <w:lang w:eastAsia="en-GB"/>
          <w14:ligatures w14:val="none"/>
        </w:rPr>
        <w:t>, 2018</w:t>
      </w:r>
      <w:r w:rsidR="000B5A13" w:rsidRPr="00F762DB">
        <w:rPr>
          <w:rFonts w:ascii="Arial" w:eastAsia="Times New Roman" w:hAnsi="Arial" w:cs="Arial"/>
          <w:color w:val="1F1F1F"/>
          <w:kern w:val="0"/>
          <w:sz w:val="22"/>
          <w:szCs w:val="22"/>
          <w:lang w:eastAsia="en-GB"/>
          <w14:ligatures w14:val="none"/>
        </w:rPr>
        <w:t>).</w:t>
      </w:r>
    </w:p>
    <w:p w14:paraId="3185B6B5" w14:textId="77777777" w:rsidR="005B55E7" w:rsidRPr="00F762DB" w:rsidRDefault="005B55E7" w:rsidP="00F762DB">
      <w:pPr>
        <w:spacing w:after="0" w:line="360" w:lineRule="auto"/>
        <w:ind w:firstLine="720"/>
        <w:jc w:val="both"/>
        <w:rPr>
          <w:rFonts w:ascii="Arial" w:eastAsia="Times New Roman" w:hAnsi="Arial" w:cs="Arial"/>
          <w:color w:val="1F1F1F"/>
          <w:kern w:val="0"/>
          <w:sz w:val="22"/>
          <w:szCs w:val="22"/>
          <w:lang w:eastAsia="en-GB"/>
          <w14:ligatures w14:val="none"/>
        </w:rPr>
      </w:pPr>
    </w:p>
    <w:p w14:paraId="03B04B3A" w14:textId="77777777" w:rsidR="000B5A13" w:rsidRPr="00F762DB" w:rsidRDefault="000B5A13" w:rsidP="00F762DB">
      <w:pPr>
        <w:spacing w:after="0" w:line="360" w:lineRule="auto"/>
        <w:jc w:val="both"/>
        <w:outlineLvl w:val="2"/>
        <w:rPr>
          <w:rFonts w:ascii="Arial" w:eastAsia="Times New Roman" w:hAnsi="Arial" w:cs="Arial"/>
          <w:b/>
          <w:bCs/>
          <w:color w:val="1F1F1F"/>
          <w:kern w:val="0"/>
          <w:sz w:val="22"/>
          <w:szCs w:val="22"/>
          <w:lang w:eastAsia="en-GB"/>
          <w14:ligatures w14:val="none"/>
        </w:rPr>
      </w:pPr>
      <w:bookmarkStart w:id="8" w:name="_Toc220716397"/>
      <w:r w:rsidRPr="00F762DB">
        <w:rPr>
          <w:rFonts w:ascii="Arial" w:eastAsia="Times New Roman" w:hAnsi="Arial" w:cs="Arial"/>
          <w:b/>
          <w:bCs/>
          <w:color w:val="1F1F1F"/>
          <w:kern w:val="0"/>
          <w:sz w:val="22"/>
          <w:szCs w:val="22"/>
          <w:bdr w:val="none" w:sz="0" w:space="0" w:color="auto" w:frame="1"/>
          <w:lang w:eastAsia="en-GB"/>
          <w14:ligatures w14:val="none"/>
        </w:rPr>
        <w:t>3.3 Metabolic Failure and Clinical Symptoms</w:t>
      </w:r>
      <w:bookmarkEnd w:id="8"/>
    </w:p>
    <w:p w14:paraId="1D42A93E" w14:textId="69500E01" w:rsidR="000B5A13" w:rsidRPr="00F762DB" w:rsidRDefault="005B55E7" w:rsidP="00F762DB">
      <w:pPr>
        <w:spacing w:after="0" w:line="360" w:lineRule="auto"/>
        <w:ind w:firstLine="720"/>
        <w:jc w:val="both"/>
        <w:rPr>
          <w:rFonts w:ascii="Arial" w:eastAsia="Times New Roman" w:hAnsi="Arial" w:cs="Arial"/>
          <w:color w:val="1F1F1F"/>
          <w:kern w:val="0"/>
          <w:sz w:val="22"/>
          <w:szCs w:val="22"/>
          <w:bdr w:val="none" w:sz="0" w:space="0" w:color="auto" w:frame="1"/>
          <w:lang w:eastAsia="en-GB"/>
          <w14:ligatures w14:val="none"/>
        </w:rPr>
      </w:pPr>
      <w:r w:rsidRPr="00F762DB">
        <w:rPr>
          <w:rFonts w:ascii="Arial" w:eastAsia="Times New Roman" w:hAnsi="Arial" w:cs="Arial"/>
          <w:color w:val="1F1F1F"/>
          <w:kern w:val="0"/>
          <w:sz w:val="22"/>
          <w:szCs w:val="22"/>
          <w:bdr w:val="none" w:sz="0" w:space="0" w:color="auto" w:frame="1"/>
          <w:lang w:eastAsia="en-GB"/>
          <w14:ligatures w14:val="none"/>
        </w:rPr>
        <w:t xml:space="preserve">This is a biochemical breakdown that describes the persistent feeling of lethargy and even fatigue reported by the patients at the clinic. Since the glucose does not get into the cells (the location of the mitochondria) where the energy production takes place; instead of the </w:t>
      </w:r>
      <w:r w:rsidRPr="00F762DB">
        <w:rPr>
          <w:rFonts w:ascii="Arial" w:eastAsia="Times New Roman" w:hAnsi="Arial" w:cs="Arial"/>
          <w:color w:val="1F1F1F"/>
          <w:kern w:val="0"/>
          <w:sz w:val="22"/>
          <w:szCs w:val="22"/>
          <w:bdr w:val="none" w:sz="0" w:space="0" w:color="auto" w:frame="1"/>
          <w:lang w:eastAsia="en-GB"/>
          <w14:ligatures w14:val="none"/>
        </w:rPr>
        <w:lastRenderedPageBreak/>
        <w:t>glucose getting into the cells, it stays in the extracellular fluid (the blood) where the glucose is located in large amounts; the patient develops a paradox of high fuel content and low energy output. Moreover, in the event of glucose being unable to serve the purpose it can result in the body trying to break down fats faster, resulting in the generation of ketone bodies and causing the acidity of the blood to shift (</w:t>
      </w:r>
      <w:r w:rsidR="0057663F" w:rsidRPr="00F762DB">
        <w:rPr>
          <w:rFonts w:ascii="Arial" w:eastAsia="Times New Roman" w:hAnsi="Arial" w:cs="Arial"/>
          <w:color w:val="1F1F1F"/>
          <w:kern w:val="0"/>
          <w:sz w:val="22"/>
          <w:szCs w:val="22"/>
          <w:bdr w:val="none" w:sz="0" w:space="0" w:color="auto" w:frame="1"/>
          <w:lang w:eastAsia="en-GB"/>
          <w14:ligatures w14:val="none"/>
        </w:rPr>
        <w:t>Whittlesea and Hodson, 2018</w:t>
      </w:r>
      <w:r w:rsidRPr="00F762DB">
        <w:rPr>
          <w:rFonts w:ascii="Arial" w:eastAsia="Times New Roman" w:hAnsi="Arial" w:cs="Arial"/>
          <w:color w:val="1F1F1F"/>
          <w:kern w:val="0"/>
          <w:sz w:val="22"/>
          <w:szCs w:val="22"/>
          <w:bdr w:val="none" w:sz="0" w:space="0" w:color="auto" w:frame="1"/>
          <w:lang w:eastAsia="en-GB"/>
          <w14:ligatures w14:val="none"/>
        </w:rPr>
        <w:t>). The nurse needs to know about this metabolic traffic jam, which would explain to patients why they feel tired despite having regular meals</w:t>
      </w:r>
      <w:r w:rsidR="000B5A13" w:rsidRPr="00F762DB">
        <w:rPr>
          <w:rFonts w:ascii="Arial" w:eastAsia="Times New Roman" w:hAnsi="Arial" w:cs="Arial"/>
          <w:color w:val="1F1F1F"/>
          <w:kern w:val="0"/>
          <w:sz w:val="22"/>
          <w:szCs w:val="22"/>
          <w:bdr w:val="none" w:sz="0" w:space="0" w:color="auto" w:frame="1"/>
          <w:lang w:eastAsia="en-GB"/>
          <w14:ligatures w14:val="none"/>
        </w:rPr>
        <w:t>.</w:t>
      </w:r>
    </w:p>
    <w:p w14:paraId="6AA0E5AD" w14:textId="77777777" w:rsidR="005B55E7" w:rsidRPr="00F762DB" w:rsidRDefault="005B55E7" w:rsidP="00F762DB">
      <w:pPr>
        <w:spacing w:after="0" w:line="360" w:lineRule="auto"/>
        <w:ind w:firstLine="720"/>
        <w:jc w:val="both"/>
        <w:rPr>
          <w:rFonts w:ascii="Arial" w:eastAsia="Times New Roman" w:hAnsi="Arial" w:cs="Arial"/>
          <w:color w:val="1F1F1F"/>
          <w:kern w:val="0"/>
          <w:sz w:val="22"/>
          <w:szCs w:val="22"/>
          <w:lang w:eastAsia="en-GB"/>
          <w14:ligatures w14:val="none"/>
        </w:rPr>
      </w:pPr>
    </w:p>
    <w:p w14:paraId="216379B4" w14:textId="77777777" w:rsidR="000B5A13" w:rsidRPr="00F762DB" w:rsidRDefault="000B5A13" w:rsidP="00F762DB">
      <w:pPr>
        <w:spacing w:after="120" w:line="360" w:lineRule="auto"/>
        <w:jc w:val="both"/>
        <w:outlineLvl w:val="1"/>
        <w:rPr>
          <w:rFonts w:ascii="Arial" w:eastAsia="Times New Roman" w:hAnsi="Arial" w:cs="Arial"/>
          <w:b/>
          <w:bCs/>
          <w:color w:val="1F1F1F"/>
          <w:kern w:val="0"/>
          <w:sz w:val="22"/>
          <w:szCs w:val="22"/>
          <w:lang w:eastAsia="en-GB"/>
          <w14:ligatures w14:val="none"/>
        </w:rPr>
      </w:pPr>
      <w:bookmarkStart w:id="9" w:name="_Toc220716398"/>
      <w:r w:rsidRPr="00F762DB">
        <w:rPr>
          <w:rFonts w:ascii="Arial" w:eastAsia="Times New Roman" w:hAnsi="Arial" w:cs="Arial"/>
          <w:b/>
          <w:bCs/>
          <w:color w:val="1F1F1F"/>
          <w:kern w:val="0"/>
          <w:sz w:val="22"/>
          <w:szCs w:val="22"/>
          <w:lang w:eastAsia="en-GB"/>
          <w14:ligatures w14:val="none"/>
        </w:rPr>
        <w:t>4. Recording and Tracking Blood Sugar Levels</w:t>
      </w:r>
      <w:bookmarkEnd w:id="9"/>
    </w:p>
    <w:p w14:paraId="0040C17E" w14:textId="77777777" w:rsidR="000B5A13" w:rsidRPr="00F762DB" w:rsidRDefault="000B5A13" w:rsidP="00F762DB">
      <w:pPr>
        <w:spacing w:after="0" w:line="360" w:lineRule="auto"/>
        <w:jc w:val="both"/>
        <w:outlineLvl w:val="2"/>
        <w:rPr>
          <w:rFonts w:ascii="Arial" w:eastAsia="Times New Roman" w:hAnsi="Arial" w:cs="Arial"/>
          <w:b/>
          <w:bCs/>
          <w:color w:val="1F1F1F"/>
          <w:kern w:val="0"/>
          <w:sz w:val="22"/>
          <w:szCs w:val="22"/>
          <w:lang w:eastAsia="en-GB"/>
          <w14:ligatures w14:val="none"/>
        </w:rPr>
      </w:pPr>
      <w:bookmarkStart w:id="10" w:name="_Toc220716399"/>
      <w:r w:rsidRPr="00F762DB">
        <w:rPr>
          <w:rFonts w:ascii="Arial" w:eastAsia="Times New Roman" w:hAnsi="Arial" w:cs="Arial"/>
          <w:b/>
          <w:bCs/>
          <w:color w:val="1F1F1F"/>
          <w:kern w:val="0"/>
          <w:sz w:val="22"/>
          <w:szCs w:val="22"/>
          <w:bdr w:val="none" w:sz="0" w:space="0" w:color="auto" w:frame="1"/>
          <w:lang w:eastAsia="en-GB"/>
          <w14:ligatures w14:val="none"/>
        </w:rPr>
        <w:t>4.1 Strategies for Glucose Monitoring</w:t>
      </w:r>
      <w:bookmarkEnd w:id="10"/>
    </w:p>
    <w:p w14:paraId="4F4B9CBF" w14:textId="15ECA7D6" w:rsidR="000B5A13" w:rsidRPr="00F762DB" w:rsidRDefault="005B55E7" w:rsidP="00F762DB">
      <w:pPr>
        <w:spacing w:after="240" w:line="360" w:lineRule="auto"/>
        <w:ind w:firstLine="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 xml:space="preserve">The regular documentation and monitoring of the blood glucose data are the important elements of self-management in cases of individuals living with T2DM. There is preventive value in monitoring which eliminates acute complications and long-term complications. National Institute for Health and Care Excellence (NICE, 2022) also mentions that the early detection of </w:t>
      </w:r>
      <w:proofErr w:type="spellStart"/>
      <w:r w:rsidRPr="00F762DB">
        <w:rPr>
          <w:rFonts w:ascii="Arial" w:eastAsia="Times New Roman" w:hAnsi="Arial" w:cs="Arial"/>
          <w:color w:val="1F1F1F"/>
          <w:kern w:val="0"/>
          <w:sz w:val="22"/>
          <w:szCs w:val="22"/>
          <w:lang w:eastAsia="en-GB"/>
          <w14:ligatures w14:val="none"/>
        </w:rPr>
        <w:t>hypoglycemia</w:t>
      </w:r>
      <w:proofErr w:type="spellEnd"/>
      <w:r w:rsidRPr="00F762DB">
        <w:rPr>
          <w:rFonts w:ascii="Arial" w:eastAsia="Times New Roman" w:hAnsi="Arial" w:cs="Arial"/>
          <w:color w:val="1F1F1F"/>
          <w:kern w:val="0"/>
          <w:sz w:val="22"/>
          <w:szCs w:val="22"/>
          <w:lang w:eastAsia="en-GB"/>
          <w14:ligatures w14:val="none"/>
        </w:rPr>
        <w:t xml:space="preserve"> may be ensured through regular monitoring and includes the factors that may potentially lead to instant cognitive impairment and physical harm, i.e., a drop in the blood glucose levels to less than 4.0mmol/L. Moreover, tracking can be used to inhibit long-term proliferation of </w:t>
      </w:r>
      <w:proofErr w:type="spellStart"/>
      <w:r w:rsidRPr="00F762DB">
        <w:rPr>
          <w:rFonts w:ascii="Arial" w:eastAsia="Times New Roman" w:hAnsi="Arial" w:cs="Arial"/>
          <w:color w:val="1F1F1F"/>
          <w:kern w:val="0"/>
          <w:sz w:val="22"/>
          <w:szCs w:val="22"/>
          <w:lang w:eastAsia="en-GB"/>
          <w14:ligatures w14:val="none"/>
        </w:rPr>
        <w:t>hyperglycemia</w:t>
      </w:r>
      <w:proofErr w:type="spellEnd"/>
      <w:r w:rsidRPr="00F762DB">
        <w:rPr>
          <w:rFonts w:ascii="Arial" w:eastAsia="Times New Roman" w:hAnsi="Arial" w:cs="Arial"/>
          <w:color w:val="1F1F1F"/>
          <w:kern w:val="0"/>
          <w:sz w:val="22"/>
          <w:szCs w:val="22"/>
          <w:lang w:eastAsia="en-GB"/>
          <w14:ligatures w14:val="none"/>
        </w:rPr>
        <w:t xml:space="preserve"> that is the leading cause of diabetic retinopathy, nephropathy, and peripheral neuropathy</w:t>
      </w:r>
      <w:r w:rsidR="000B5A13" w:rsidRPr="00F762DB">
        <w:rPr>
          <w:rFonts w:ascii="Arial" w:eastAsia="Times New Roman" w:hAnsi="Arial" w:cs="Arial"/>
          <w:color w:val="1F1F1F"/>
          <w:kern w:val="0"/>
          <w:sz w:val="22"/>
          <w:szCs w:val="22"/>
          <w:lang w:eastAsia="en-GB"/>
          <w14:ligatures w14:val="none"/>
        </w:rPr>
        <w:t>.</w:t>
      </w:r>
    </w:p>
    <w:p w14:paraId="4ACDEE24" w14:textId="77777777" w:rsidR="005B55E7" w:rsidRPr="00F762DB" w:rsidRDefault="005B55E7" w:rsidP="00F762DB">
      <w:pPr>
        <w:spacing w:after="240" w:line="360" w:lineRule="auto"/>
        <w:jc w:val="both"/>
        <w:rPr>
          <w:rFonts w:ascii="Arial" w:eastAsia="Times New Roman" w:hAnsi="Arial" w:cs="Arial"/>
          <w:color w:val="1F1F1F"/>
          <w:kern w:val="0"/>
          <w:sz w:val="22"/>
          <w:szCs w:val="22"/>
          <w:lang w:eastAsia="en-GB"/>
          <w14:ligatures w14:val="none"/>
        </w:rPr>
      </w:pPr>
    </w:p>
    <w:p w14:paraId="22C9180B" w14:textId="77777777" w:rsidR="000B5A13" w:rsidRPr="00F762DB" w:rsidRDefault="000B5A13" w:rsidP="00F762DB">
      <w:pPr>
        <w:spacing w:after="0" w:line="360" w:lineRule="auto"/>
        <w:jc w:val="both"/>
        <w:outlineLvl w:val="2"/>
        <w:rPr>
          <w:rFonts w:ascii="Arial" w:eastAsia="Times New Roman" w:hAnsi="Arial" w:cs="Arial"/>
          <w:b/>
          <w:bCs/>
          <w:color w:val="1F1F1F"/>
          <w:kern w:val="0"/>
          <w:sz w:val="22"/>
          <w:szCs w:val="22"/>
          <w:lang w:eastAsia="en-GB"/>
          <w14:ligatures w14:val="none"/>
        </w:rPr>
      </w:pPr>
      <w:bookmarkStart w:id="11" w:name="_Toc220716400"/>
      <w:r w:rsidRPr="00F762DB">
        <w:rPr>
          <w:rFonts w:ascii="Arial" w:eastAsia="Times New Roman" w:hAnsi="Arial" w:cs="Arial"/>
          <w:b/>
          <w:bCs/>
          <w:color w:val="1F1F1F"/>
          <w:kern w:val="0"/>
          <w:sz w:val="22"/>
          <w:szCs w:val="22"/>
          <w:bdr w:val="none" w:sz="0" w:space="0" w:color="auto" w:frame="1"/>
          <w:lang w:eastAsia="en-GB"/>
          <w14:ligatures w14:val="none"/>
        </w:rPr>
        <w:t>4.2 HbA1c vs. Self-Monitoring</w:t>
      </w:r>
      <w:bookmarkEnd w:id="11"/>
    </w:p>
    <w:p w14:paraId="17AC18E4" w14:textId="4D95BAA9" w:rsidR="000B5A13" w:rsidRPr="00F762DB" w:rsidRDefault="00A665EB" w:rsidP="00F762DB">
      <w:pPr>
        <w:spacing w:after="0" w:line="360" w:lineRule="auto"/>
        <w:ind w:firstLine="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 xml:space="preserve">HbA1c testing offers a wider clinical picture since it addresses the glycation of the </w:t>
      </w:r>
      <w:proofErr w:type="spellStart"/>
      <w:r w:rsidRPr="00F762DB">
        <w:rPr>
          <w:rFonts w:ascii="Arial" w:eastAsia="Times New Roman" w:hAnsi="Arial" w:cs="Arial"/>
          <w:color w:val="1F1F1F"/>
          <w:kern w:val="0"/>
          <w:sz w:val="22"/>
          <w:szCs w:val="22"/>
          <w:lang w:eastAsia="en-GB"/>
          <w14:ligatures w14:val="none"/>
        </w:rPr>
        <w:t>hemoglobin</w:t>
      </w:r>
      <w:proofErr w:type="spellEnd"/>
      <w:r w:rsidRPr="00F762DB">
        <w:rPr>
          <w:rFonts w:ascii="Arial" w:eastAsia="Times New Roman" w:hAnsi="Arial" w:cs="Arial"/>
          <w:color w:val="1F1F1F"/>
          <w:kern w:val="0"/>
          <w:sz w:val="22"/>
          <w:szCs w:val="22"/>
          <w:lang w:eastAsia="en-GB"/>
          <w14:ligatures w14:val="none"/>
        </w:rPr>
        <w:t xml:space="preserve"> in the past two to three months. HbA1c reflects average blood glucose over 3 months: ≤5.7% normal, 5.7–6.3% pre-diabetes, ≥6.3% diabetes. Nevertheless, real-time feedback on the impact of </w:t>
      </w:r>
      <w:proofErr w:type="gramStart"/>
      <w:r w:rsidRPr="00F762DB">
        <w:rPr>
          <w:rFonts w:ascii="Arial" w:eastAsia="Times New Roman" w:hAnsi="Arial" w:cs="Arial"/>
          <w:color w:val="1F1F1F"/>
          <w:kern w:val="0"/>
          <w:sz w:val="22"/>
          <w:szCs w:val="22"/>
          <w:lang w:eastAsia="en-GB"/>
          <w14:ligatures w14:val="none"/>
        </w:rPr>
        <w:t>particular lifestyle</w:t>
      </w:r>
      <w:proofErr w:type="gramEnd"/>
      <w:r w:rsidRPr="00F762DB">
        <w:rPr>
          <w:rFonts w:ascii="Arial" w:eastAsia="Times New Roman" w:hAnsi="Arial" w:cs="Arial"/>
          <w:color w:val="1F1F1F"/>
          <w:kern w:val="0"/>
          <w:sz w:val="22"/>
          <w:szCs w:val="22"/>
          <w:lang w:eastAsia="en-GB"/>
          <w14:ligatures w14:val="none"/>
        </w:rPr>
        <w:t xml:space="preserve"> decisions on </w:t>
      </w:r>
      <w:proofErr w:type="spellStart"/>
      <w:r w:rsidRPr="00F762DB">
        <w:rPr>
          <w:rFonts w:ascii="Arial" w:eastAsia="Times New Roman" w:hAnsi="Arial" w:cs="Arial"/>
          <w:color w:val="1F1F1F"/>
          <w:kern w:val="0"/>
          <w:sz w:val="22"/>
          <w:szCs w:val="22"/>
          <w:lang w:eastAsia="en-GB"/>
          <w14:ligatures w14:val="none"/>
        </w:rPr>
        <w:t>glycemic</w:t>
      </w:r>
      <w:proofErr w:type="spellEnd"/>
      <w:r w:rsidRPr="00F762DB">
        <w:rPr>
          <w:rFonts w:ascii="Arial" w:eastAsia="Times New Roman" w:hAnsi="Arial" w:cs="Arial"/>
          <w:color w:val="1F1F1F"/>
          <w:kern w:val="0"/>
          <w:sz w:val="22"/>
          <w:szCs w:val="22"/>
          <w:lang w:eastAsia="en-GB"/>
          <w14:ligatures w14:val="none"/>
        </w:rPr>
        <w:t xml:space="preserve"> stability can be obtained by daily self-monitoring (either by the conventional capillary blood glucose or Continuous Glucose Monitoring (CGM)). According to the evidence presented by Wilding </w:t>
      </w:r>
      <w:r w:rsidR="0057663F" w:rsidRPr="00F762DB">
        <w:rPr>
          <w:rFonts w:ascii="Arial" w:eastAsia="Times New Roman" w:hAnsi="Arial" w:cs="Arial"/>
          <w:color w:val="1F1F1F"/>
          <w:kern w:val="0"/>
          <w:sz w:val="22"/>
          <w:szCs w:val="22"/>
          <w:lang w:eastAsia="en-GB"/>
          <w14:ligatures w14:val="none"/>
        </w:rPr>
        <w:t xml:space="preserve">et al., </w:t>
      </w:r>
      <w:r w:rsidRPr="00F762DB">
        <w:rPr>
          <w:rFonts w:ascii="Arial" w:eastAsia="Times New Roman" w:hAnsi="Arial" w:cs="Arial"/>
          <w:color w:val="1F1F1F"/>
          <w:kern w:val="0"/>
          <w:sz w:val="22"/>
          <w:szCs w:val="22"/>
          <w:lang w:eastAsia="en-GB"/>
          <w14:ligatures w14:val="none"/>
        </w:rPr>
        <w:t>(20</w:t>
      </w:r>
      <w:r w:rsidR="0057663F" w:rsidRPr="00F762DB">
        <w:rPr>
          <w:rFonts w:ascii="Arial" w:eastAsia="Times New Roman" w:hAnsi="Arial" w:cs="Arial"/>
          <w:color w:val="1F1F1F"/>
          <w:kern w:val="0"/>
          <w:sz w:val="22"/>
          <w:szCs w:val="22"/>
          <w:lang w:eastAsia="en-GB"/>
          <w14:ligatures w14:val="none"/>
        </w:rPr>
        <w:t>22</w:t>
      </w:r>
      <w:r w:rsidRPr="00F762DB">
        <w:rPr>
          <w:rFonts w:ascii="Arial" w:eastAsia="Times New Roman" w:hAnsi="Arial" w:cs="Arial"/>
          <w:color w:val="1F1F1F"/>
          <w:kern w:val="0"/>
          <w:sz w:val="22"/>
          <w:szCs w:val="22"/>
          <w:lang w:eastAsia="en-GB"/>
          <w14:ligatures w14:val="none"/>
        </w:rPr>
        <w:t>), the patients who keep a detailed record of their readings and note down the dietary and activity patterns start having a more prominent sense of health literacy. This will enable the patient to engage in the shared decision-making with medical professionals, shifting toward the former paternalistic care model to the collaborative one that enhances clinical results in the long term (</w:t>
      </w:r>
      <w:r w:rsidR="0057663F" w:rsidRPr="00F762DB">
        <w:rPr>
          <w:rFonts w:ascii="Arial" w:eastAsia="Times New Roman" w:hAnsi="Arial" w:cs="Arial"/>
          <w:color w:val="1F1F1F"/>
          <w:kern w:val="0"/>
          <w:sz w:val="22"/>
          <w:szCs w:val="22"/>
          <w:lang w:eastAsia="en-GB"/>
          <w14:ligatures w14:val="none"/>
        </w:rPr>
        <w:t>Fischer et al.</w:t>
      </w:r>
      <w:r w:rsidRPr="00F762DB">
        <w:rPr>
          <w:rFonts w:ascii="Arial" w:eastAsia="Times New Roman" w:hAnsi="Arial" w:cs="Arial"/>
          <w:color w:val="1F1F1F"/>
          <w:kern w:val="0"/>
          <w:sz w:val="22"/>
          <w:szCs w:val="22"/>
          <w:lang w:eastAsia="en-GB"/>
          <w14:ligatures w14:val="none"/>
        </w:rPr>
        <w:t>, 202</w:t>
      </w:r>
      <w:r w:rsidR="0057663F" w:rsidRPr="00F762DB">
        <w:rPr>
          <w:rFonts w:ascii="Arial" w:eastAsia="Times New Roman" w:hAnsi="Arial" w:cs="Arial"/>
          <w:color w:val="1F1F1F"/>
          <w:kern w:val="0"/>
          <w:sz w:val="22"/>
          <w:szCs w:val="22"/>
          <w:lang w:eastAsia="en-GB"/>
          <w14:ligatures w14:val="none"/>
        </w:rPr>
        <w:t>4</w:t>
      </w:r>
      <w:r w:rsidR="000B5A13" w:rsidRPr="00F762DB">
        <w:rPr>
          <w:rFonts w:ascii="Arial" w:eastAsia="Times New Roman" w:hAnsi="Arial" w:cs="Arial"/>
          <w:color w:val="1F1F1F"/>
          <w:kern w:val="0"/>
          <w:sz w:val="22"/>
          <w:szCs w:val="22"/>
          <w:lang w:eastAsia="en-GB"/>
          <w14:ligatures w14:val="none"/>
        </w:rPr>
        <w:t>).</w:t>
      </w:r>
    </w:p>
    <w:p w14:paraId="7A2BD481" w14:textId="77777777" w:rsidR="00A665EB" w:rsidRPr="00F762DB" w:rsidRDefault="00A665EB" w:rsidP="00F762DB">
      <w:pPr>
        <w:keepNext/>
        <w:spacing w:after="0" w:line="360" w:lineRule="auto"/>
        <w:jc w:val="center"/>
        <w:rPr>
          <w:rFonts w:ascii="Arial" w:hAnsi="Arial" w:cs="Arial"/>
          <w:sz w:val="22"/>
          <w:szCs w:val="22"/>
        </w:rPr>
      </w:pPr>
      <w:r w:rsidRPr="00F762DB">
        <w:rPr>
          <w:rFonts w:ascii="Arial" w:hAnsi="Arial" w:cs="Arial"/>
          <w:noProof/>
          <w:sz w:val="22"/>
          <w:szCs w:val="22"/>
        </w:rPr>
        <w:lastRenderedPageBreak/>
        <w:drawing>
          <wp:inline distT="0" distB="0" distL="0" distR="0" wp14:anchorId="29CF9557" wp14:editId="19D78142">
            <wp:extent cx="5399001" cy="3611098"/>
            <wp:effectExtent l="0" t="0" r="0" b="8890"/>
            <wp:docPr id="730974370" name="Picture 4" descr="HbA1c or Self-Monitor My Blood Sugar? | CARiNG Pharm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bA1c or Self-Monitor My Blood Sugar? | CARiNG Pharmac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64" cy="3611809"/>
                    </a:xfrm>
                    <a:prstGeom prst="rect">
                      <a:avLst/>
                    </a:prstGeom>
                    <a:noFill/>
                    <a:ln>
                      <a:noFill/>
                    </a:ln>
                  </pic:spPr>
                </pic:pic>
              </a:graphicData>
            </a:graphic>
          </wp:inline>
        </w:drawing>
      </w:r>
    </w:p>
    <w:p w14:paraId="64B70E0A" w14:textId="0006488B" w:rsidR="00A665EB" w:rsidRPr="00F762DB" w:rsidRDefault="00A665EB" w:rsidP="00F762DB">
      <w:pPr>
        <w:pStyle w:val="Caption"/>
        <w:spacing w:line="360" w:lineRule="auto"/>
        <w:jc w:val="center"/>
        <w:rPr>
          <w:rFonts w:ascii="Arial" w:hAnsi="Arial" w:cs="Arial"/>
          <w:sz w:val="22"/>
          <w:szCs w:val="22"/>
        </w:rPr>
      </w:pPr>
      <w:r w:rsidRPr="00F762DB">
        <w:rPr>
          <w:rFonts w:ascii="Arial" w:hAnsi="Arial" w:cs="Arial"/>
          <w:sz w:val="22"/>
          <w:szCs w:val="22"/>
        </w:rPr>
        <w:t xml:space="preserve">Figure </w:t>
      </w:r>
      <w:r w:rsidRPr="00F762DB">
        <w:rPr>
          <w:rFonts w:ascii="Arial" w:hAnsi="Arial" w:cs="Arial"/>
          <w:sz w:val="22"/>
          <w:szCs w:val="22"/>
        </w:rPr>
        <w:fldChar w:fldCharType="begin"/>
      </w:r>
      <w:r w:rsidRPr="00F762DB">
        <w:rPr>
          <w:rFonts w:ascii="Arial" w:hAnsi="Arial" w:cs="Arial"/>
          <w:sz w:val="22"/>
          <w:szCs w:val="22"/>
        </w:rPr>
        <w:instrText xml:space="preserve"> SEQ Figure \* ARABIC </w:instrText>
      </w:r>
      <w:r w:rsidRPr="00F762DB">
        <w:rPr>
          <w:rFonts w:ascii="Arial" w:hAnsi="Arial" w:cs="Arial"/>
          <w:sz w:val="22"/>
          <w:szCs w:val="22"/>
        </w:rPr>
        <w:fldChar w:fldCharType="separate"/>
      </w:r>
      <w:r w:rsidRPr="00F762DB">
        <w:rPr>
          <w:rFonts w:ascii="Arial" w:hAnsi="Arial" w:cs="Arial"/>
          <w:noProof/>
          <w:sz w:val="22"/>
          <w:szCs w:val="22"/>
        </w:rPr>
        <w:t>3</w:t>
      </w:r>
      <w:r w:rsidRPr="00F762DB">
        <w:rPr>
          <w:rFonts w:ascii="Arial" w:hAnsi="Arial" w:cs="Arial"/>
          <w:sz w:val="22"/>
          <w:szCs w:val="22"/>
        </w:rPr>
        <w:fldChar w:fldCharType="end"/>
      </w:r>
      <w:r w:rsidRPr="00F762DB">
        <w:rPr>
          <w:rFonts w:ascii="Arial" w:hAnsi="Arial" w:cs="Arial"/>
          <w:sz w:val="22"/>
          <w:szCs w:val="22"/>
        </w:rPr>
        <w:t xml:space="preserve">: HbA1c </w:t>
      </w:r>
    </w:p>
    <w:p w14:paraId="35DEEA51" w14:textId="41D0075B" w:rsidR="00A665EB" w:rsidRPr="00F762DB" w:rsidRDefault="00A665EB" w:rsidP="00F762DB">
      <w:pPr>
        <w:pStyle w:val="Caption"/>
        <w:spacing w:line="360" w:lineRule="auto"/>
        <w:jc w:val="center"/>
        <w:rPr>
          <w:rFonts w:ascii="Arial" w:eastAsia="Times New Roman" w:hAnsi="Arial" w:cs="Arial"/>
          <w:color w:val="1F1F1F"/>
          <w:kern w:val="0"/>
          <w:sz w:val="22"/>
          <w:szCs w:val="22"/>
          <w:lang w:eastAsia="en-GB"/>
          <w14:ligatures w14:val="none"/>
        </w:rPr>
      </w:pPr>
      <w:r w:rsidRPr="00F762DB">
        <w:rPr>
          <w:rFonts w:ascii="Arial" w:hAnsi="Arial" w:cs="Arial"/>
          <w:sz w:val="22"/>
          <w:szCs w:val="22"/>
        </w:rPr>
        <w:t>Source: https://www.caring2u.com/health-center/health-info/hba1c-or-self-monitor-my-blood-sugar/</w:t>
      </w:r>
    </w:p>
    <w:p w14:paraId="19A3D1DE" w14:textId="77777777" w:rsidR="00A665EB" w:rsidRPr="00F762DB" w:rsidRDefault="00A665EB" w:rsidP="00F762DB">
      <w:pPr>
        <w:spacing w:after="0" w:line="360" w:lineRule="auto"/>
        <w:jc w:val="both"/>
        <w:rPr>
          <w:rFonts w:ascii="Arial" w:eastAsia="Times New Roman" w:hAnsi="Arial" w:cs="Arial"/>
          <w:color w:val="1F1F1F"/>
          <w:kern w:val="0"/>
          <w:sz w:val="22"/>
          <w:szCs w:val="22"/>
          <w:lang w:eastAsia="en-GB"/>
          <w14:ligatures w14:val="none"/>
        </w:rPr>
      </w:pPr>
    </w:p>
    <w:p w14:paraId="0B630551" w14:textId="77777777" w:rsidR="00A665EB" w:rsidRPr="00F762DB" w:rsidRDefault="00A665EB" w:rsidP="00F762DB">
      <w:pPr>
        <w:keepNext/>
        <w:spacing w:after="0" w:line="360" w:lineRule="auto"/>
        <w:jc w:val="center"/>
        <w:rPr>
          <w:rFonts w:ascii="Arial" w:hAnsi="Arial" w:cs="Arial"/>
          <w:sz w:val="22"/>
          <w:szCs w:val="22"/>
        </w:rPr>
      </w:pPr>
      <w:r w:rsidRPr="00F762DB">
        <w:rPr>
          <w:rFonts w:ascii="Arial" w:hAnsi="Arial" w:cs="Arial"/>
          <w:noProof/>
          <w:sz w:val="22"/>
          <w:szCs w:val="22"/>
        </w:rPr>
        <w:drawing>
          <wp:inline distT="0" distB="0" distL="0" distR="0" wp14:anchorId="6DFF72AF" wp14:editId="64C00C01">
            <wp:extent cx="5731510" cy="3398520"/>
            <wp:effectExtent l="0" t="0" r="2540" b="0"/>
            <wp:docPr id="911434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34523" name=""/>
                    <pic:cNvPicPr/>
                  </pic:nvPicPr>
                  <pic:blipFill>
                    <a:blip r:embed="rId13"/>
                    <a:stretch>
                      <a:fillRect/>
                    </a:stretch>
                  </pic:blipFill>
                  <pic:spPr>
                    <a:xfrm>
                      <a:off x="0" y="0"/>
                      <a:ext cx="5731510" cy="3398520"/>
                    </a:xfrm>
                    <a:prstGeom prst="rect">
                      <a:avLst/>
                    </a:prstGeom>
                  </pic:spPr>
                </pic:pic>
              </a:graphicData>
            </a:graphic>
          </wp:inline>
        </w:drawing>
      </w:r>
    </w:p>
    <w:p w14:paraId="217D030B" w14:textId="77777777" w:rsidR="00A665EB" w:rsidRPr="00F762DB" w:rsidRDefault="00A665EB" w:rsidP="00F762DB">
      <w:pPr>
        <w:pStyle w:val="Caption"/>
        <w:spacing w:line="360" w:lineRule="auto"/>
        <w:jc w:val="center"/>
        <w:rPr>
          <w:rFonts w:ascii="Arial" w:hAnsi="Arial" w:cs="Arial"/>
          <w:sz w:val="22"/>
          <w:szCs w:val="22"/>
        </w:rPr>
      </w:pPr>
      <w:r w:rsidRPr="00F762DB">
        <w:rPr>
          <w:rFonts w:ascii="Arial" w:hAnsi="Arial" w:cs="Arial"/>
          <w:sz w:val="22"/>
          <w:szCs w:val="22"/>
        </w:rPr>
        <w:t xml:space="preserve">Figure </w:t>
      </w:r>
      <w:r w:rsidRPr="00F762DB">
        <w:rPr>
          <w:rFonts w:ascii="Arial" w:hAnsi="Arial" w:cs="Arial"/>
          <w:sz w:val="22"/>
          <w:szCs w:val="22"/>
        </w:rPr>
        <w:fldChar w:fldCharType="begin"/>
      </w:r>
      <w:r w:rsidRPr="00F762DB">
        <w:rPr>
          <w:rFonts w:ascii="Arial" w:hAnsi="Arial" w:cs="Arial"/>
          <w:sz w:val="22"/>
          <w:szCs w:val="22"/>
        </w:rPr>
        <w:instrText xml:space="preserve"> SEQ Figure \* ARABIC </w:instrText>
      </w:r>
      <w:r w:rsidRPr="00F762DB">
        <w:rPr>
          <w:rFonts w:ascii="Arial" w:hAnsi="Arial" w:cs="Arial"/>
          <w:sz w:val="22"/>
          <w:szCs w:val="22"/>
        </w:rPr>
        <w:fldChar w:fldCharType="separate"/>
      </w:r>
      <w:r w:rsidRPr="00F762DB">
        <w:rPr>
          <w:rFonts w:ascii="Arial" w:hAnsi="Arial" w:cs="Arial"/>
          <w:noProof/>
          <w:sz w:val="22"/>
          <w:szCs w:val="22"/>
        </w:rPr>
        <w:t>4</w:t>
      </w:r>
      <w:r w:rsidRPr="00F762DB">
        <w:rPr>
          <w:rFonts w:ascii="Arial" w:hAnsi="Arial" w:cs="Arial"/>
          <w:sz w:val="22"/>
          <w:szCs w:val="22"/>
        </w:rPr>
        <w:fldChar w:fldCharType="end"/>
      </w:r>
      <w:r w:rsidRPr="00F762DB">
        <w:rPr>
          <w:rFonts w:ascii="Arial" w:hAnsi="Arial" w:cs="Arial"/>
          <w:sz w:val="22"/>
          <w:szCs w:val="22"/>
        </w:rPr>
        <w:t xml:space="preserve">: HbA1c vs. Self-Monitoring </w:t>
      </w:r>
    </w:p>
    <w:p w14:paraId="6BD220B2" w14:textId="43DD7276" w:rsidR="00A665EB" w:rsidRPr="00F762DB" w:rsidRDefault="00A665EB" w:rsidP="00F762DB">
      <w:pPr>
        <w:pStyle w:val="Caption"/>
        <w:spacing w:line="360" w:lineRule="auto"/>
        <w:jc w:val="center"/>
        <w:rPr>
          <w:rFonts w:ascii="Arial" w:eastAsia="Times New Roman" w:hAnsi="Arial" w:cs="Arial"/>
          <w:color w:val="1F1F1F"/>
          <w:kern w:val="0"/>
          <w:sz w:val="22"/>
          <w:szCs w:val="22"/>
          <w:lang w:eastAsia="en-GB"/>
          <w14:ligatures w14:val="none"/>
        </w:rPr>
      </w:pPr>
      <w:r w:rsidRPr="00F762DB">
        <w:rPr>
          <w:rFonts w:ascii="Arial" w:hAnsi="Arial" w:cs="Arial"/>
          <w:sz w:val="22"/>
          <w:szCs w:val="22"/>
        </w:rPr>
        <w:lastRenderedPageBreak/>
        <w:t>Source: https://www.caring2u.com/health-center/health-info/hba1c-or-self-monitor-my-blood-sugar/</w:t>
      </w:r>
    </w:p>
    <w:p w14:paraId="654693C7" w14:textId="77777777" w:rsidR="00A665EB" w:rsidRPr="00F762DB" w:rsidRDefault="00A665EB" w:rsidP="00F762DB">
      <w:pPr>
        <w:spacing w:after="0" w:line="360" w:lineRule="auto"/>
        <w:ind w:firstLine="720"/>
        <w:jc w:val="both"/>
        <w:rPr>
          <w:rFonts w:ascii="Arial" w:eastAsia="Times New Roman" w:hAnsi="Arial" w:cs="Arial"/>
          <w:color w:val="1F1F1F"/>
          <w:kern w:val="0"/>
          <w:sz w:val="22"/>
          <w:szCs w:val="22"/>
          <w:lang w:eastAsia="en-GB"/>
          <w14:ligatures w14:val="none"/>
        </w:rPr>
      </w:pPr>
    </w:p>
    <w:p w14:paraId="4043B3D3" w14:textId="77777777" w:rsidR="000B5A13" w:rsidRPr="00F762DB" w:rsidRDefault="000B5A13" w:rsidP="00F762DB">
      <w:pPr>
        <w:spacing w:after="0" w:line="360" w:lineRule="auto"/>
        <w:jc w:val="both"/>
        <w:outlineLvl w:val="2"/>
        <w:rPr>
          <w:rFonts w:ascii="Arial" w:eastAsia="Times New Roman" w:hAnsi="Arial" w:cs="Arial"/>
          <w:b/>
          <w:bCs/>
          <w:color w:val="1F1F1F"/>
          <w:kern w:val="0"/>
          <w:sz w:val="22"/>
          <w:szCs w:val="22"/>
          <w:lang w:eastAsia="en-GB"/>
          <w14:ligatures w14:val="none"/>
        </w:rPr>
      </w:pPr>
      <w:bookmarkStart w:id="12" w:name="_Toc220716401"/>
      <w:r w:rsidRPr="00F762DB">
        <w:rPr>
          <w:rFonts w:ascii="Arial" w:eastAsia="Times New Roman" w:hAnsi="Arial" w:cs="Arial"/>
          <w:b/>
          <w:bCs/>
          <w:color w:val="1F1F1F"/>
          <w:kern w:val="0"/>
          <w:sz w:val="22"/>
          <w:szCs w:val="22"/>
          <w:bdr w:val="none" w:sz="0" w:space="0" w:color="auto" w:frame="1"/>
          <w:lang w:eastAsia="en-GB"/>
          <w14:ligatures w14:val="none"/>
        </w:rPr>
        <w:t>4.3 Patient Education and Psychological Impact</w:t>
      </w:r>
      <w:bookmarkEnd w:id="12"/>
    </w:p>
    <w:p w14:paraId="00568D0F" w14:textId="2841057D" w:rsidR="000B5A13" w:rsidRPr="00F762DB" w:rsidRDefault="00A665EB" w:rsidP="00F762DB">
      <w:pPr>
        <w:spacing w:after="0" w:line="360" w:lineRule="auto"/>
        <w:ind w:firstLine="720"/>
        <w:jc w:val="both"/>
        <w:rPr>
          <w:rFonts w:ascii="Arial" w:eastAsia="Times New Roman" w:hAnsi="Arial" w:cs="Arial"/>
          <w:color w:val="1F1F1F"/>
          <w:kern w:val="0"/>
          <w:sz w:val="22"/>
          <w:szCs w:val="22"/>
          <w:bdr w:val="none" w:sz="0" w:space="0" w:color="auto" w:frame="1"/>
          <w:lang w:eastAsia="en-GB"/>
          <w14:ligatures w14:val="none"/>
        </w:rPr>
      </w:pPr>
      <w:r w:rsidRPr="00F762DB">
        <w:rPr>
          <w:rFonts w:ascii="Arial" w:eastAsia="Times New Roman" w:hAnsi="Arial" w:cs="Arial"/>
          <w:color w:val="1F1F1F"/>
          <w:kern w:val="0"/>
          <w:sz w:val="22"/>
          <w:szCs w:val="22"/>
          <w:bdr w:val="none" w:sz="0" w:space="0" w:color="auto" w:frame="1"/>
          <w:lang w:eastAsia="en-GB"/>
          <w14:ligatures w14:val="none"/>
        </w:rPr>
        <w:t xml:space="preserve">The issue of psychological burden of tracking should also be discussed by the practice nurse. Patients are mainly judged by numbers. Education should therefore shift the focus to letting people know that blood sugar readings are not an indicator of their </w:t>
      </w:r>
      <w:proofErr w:type="gramStart"/>
      <w:r w:rsidRPr="00F762DB">
        <w:rPr>
          <w:rFonts w:ascii="Arial" w:eastAsia="Times New Roman" w:hAnsi="Arial" w:cs="Arial"/>
          <w:color w:val="1F1F1F"/>
          <w:kern w:val="0"/>
          <w:sz w:val="22"/>
          <w:szCs w:val="22"/>
          <w:bdr w:val="none" w:sz="0" w:space="0" w:color="auto" w:frame="1"/>
          <w:lang w:eastAsia="en-GB"/>
          <w14:ligatures w14:val="none"/>
        </w:rPr>
        <w:t>failure</w:t>
      </w:r>
      <w:proofErr w:type="gramEnd"/>
      <w:r w:rsidRPr="00F762DB">
        <w:rPr>
          <w:rFonts w:ascii="Arial" w:eastAsia="Times New Roman" w:hAnsi="Arial" w:cs="Arial"/>
          <w:color w:val="1F1F1F"/>
          <w:kern w:val="0"/>
          <w:sz w:val="22"/>
          <w:szCs w:val="22"/>
          <w:bdr w:val="none" w:sz="0" w:space="0" w:color="auto" w:frame="1"/>
          <w:lang w:eastAsia="en-GB"/>
          <w14:ligatures w14:val="none"/>
        </w:rPr>
        <w:t xml:space="preserve"> but this is a figure that creates an opportunity to adjust the treatment plan. According to </w:t>
      </w:r>
      <w:proofErr w:type="spellStart"/>
      <w:r w:rsidR="00636A92" w:rsidRPr="00F762DB">
        <w:rPr>
          <w:rFonts w:ascii="Arial" w:eastAsia="Times New Roman" w:hAnsi="Arial" w:cs="Arial"/>
          <w:color w:val="1F1F1F"/>
          <w:kern w:val="0"/>
          <w:sz w:val="22"/>
          <w:szCs w:val="22"/>
          <w:bdr w:val="none" w:sz="0" w:space="0" w:color="auto" w:frame="1"/>
          <w:lang w:eastAsia="en-GB"/>
          <w14:ligatures w14:val="none"/>
        </w:rPr>
        <w:t>Chiauzzi</w:t>
      </w:r>
      <w:proofErr w:type="spellEnd"/>
      <w:r w:rsidR="00636A92" w:rsidRPr="00F762DB">
        <w:rPr>
          <w:rFonts w:ascii="Arial" w:eastAsia="Times New Roman" w:hAnsi="Arial" w:cs="Arial"/>
          <w:color w:val="1F1F1F"/>
          <w:kern w:val="0"/>
          <w:sz w:val="22"/>
          <w:szCs w:val="22"/>
          <w:bdr w:val="none" w:sz="0" w:space="0" w:color="auto" w:frame="1"/>
          <w:lang w:eastAsia="en-GB"/>
          <w14:ligatures w14:val="none"/>
        </w:rPr>
        <w:t xml:space="preserve"> </w:t>
      </w:r>
      <w:r w:rsidRPr="00F762DB">
        <w:rPr>
          <w:rFonts w:ascii="Arial" w:eastAsia="Times New Roman" w:hAnsi="Arial" w:cs="Arial"/>
          <w:color w:val="1F1F1F"/>
          <w:kern w:val="0"/>
          <w:sz w:val="22"/>
          <w:szCs w:val="22"/>
          <w:bdr w:val="none" w:sz="0" w:space="0" w:color="auto" w:frame="1"/>
          <w:lang w:eastAsia="en-GB"/>
          <w14:ligatures w14:val="none"/>
        </w:rPr>
        <w:t>et al. (2015), the applicability of a patient-</w:t>
      </w:r>
      <w:proofErr w:type="spellStart"/>
      <w:r w:rsidRPr="00F762DB">
        <w:rPr>
          <w:rFonts w:ascii="Arial" w:eastAsia="Times New Roman" w:hAnsi="Arial" w:cs="Arial"/>
          <w:color w:val="1F1F1F"/>
          <w:kern w:val="0"/>
          <w:sz w:val="22"/>
          <w:szCs w:val="22"/>
          <w:bdr w:val="none" w:sz="0" w:space="0" w:color="auto" w:frame="1"/>
          <w:lang w:eastAsia="en-GB"/>
          <w14:ligatures w14:val="none"/>
        </w:rPr>
        <w:t>centered</w:t>
      </w:r>
      <w:proofErr w:type="spellEnd"/>
      <w:r w:rsidRPr="00F762DB">
        <w:rPr>
          <w:rFonts w:ascii="Arial" w:eastAsia="Times New Roman" w:hAnsi="Arial" w:cs="Arial"/>
          <w:color w:val="1F1F1F"/>
          <w:kern w:val="0"/>
          <w:sz w:val="22"/>
          <w:szCs w:val="22"/>
          <w:bdr w:val="none" w:sz="0" w:space="0" w:color="auto" w:frame="1"/>
          <w:lang w:eastAsia="en-GB"/>
          <w14:ligatures w14:val="none"/>
        </w:rPr>
        <w:t xml:space="preserve"> approach to monitoring consists of the establishment of personali</w:t>
      </w:r>
      <w:r w:rsidR="00636A92" w:rsidRPr="00F762DB">
        <w:rPr>
          <w:rFonts w:ascii="Arial" w:eastAsia="Times New Roman" w:hAnsi="Arial" w:cs="Arial"/>
          <w:color w:val="1F1F1F"/>
          <w:kern w:val="0"/>
          <w:sz w:val="22"/>
          <w:szCs w:val="22"/>
          <w:bdr w:val="none" w:sz="0" w:space="0" w:color="auto" w:frame="1"/>
          <w:lang w:eastAsia="en-GB"/>
          <w14:ligatures w14:val="none"/>
        </w:rPr>
        <w:t>s</w:t>
      </w:r>
      <w:r w:rsidRPr="00F762DB">
        <w:rPr>
          <w:rFonts w:ascii="Arial" w:eastAsia="Times New Roman" w:hAnsi="Arial" w:cs="Arial"/>
          <w:color w:val="1F1F1F"/>
          <w:kern w:val="0"/>
          <w:sz w:val="22"/>
          <w:szCs w:val="22"/>
          <w:bdr w:val="none" w:sz="0" w:space="0" w:color="auto" w:frame="1"/>
          <w:lang w:eastAsia="en-GB"/>
          <w14:ligatures w14:val="none"/>
        </w:rPr>
        <w:t xml:space="preserve">ed goals based on the age, comorbidity, and risk of </w:t>
      </w:r>
      <w:proofErr w:type="spellStart"/>
      <w:r w:rsidRPr="00F762DB">
        <w:rPr>
          <w:rFonts w:ascii="Arial" w:eastAsia="Times New Roman" w:hAnsi="Arial" w:cs="Arial"/>
          <w:color w:val="1F1F1F"/>
          <w:kern w:val="0"/>
          <w:sz w:val="22"/>
          <w:szCs w:val="22"/>
          <w:bdr w:val="none" w:sz="0" w:space="0" w:color="auto" w:frame="1"/>
          <w:lang w:eastAsia="en-GB"/>
          <w14:ligatures w14:val="none"/>
        </w:rPr>
        <w:t>hypoglycemia</w:t>
      </w:r>
      <w:proofErr w:type="spellEnd"/>
      <w:r w:rsidRPr="00F762DB">
        <w:rPr>
          <w:rFonts w:ascii="Arial" w:eastAsia="Times New Roman" w:hAnsi="Arial" w:cs="Arial"/>
          <w:color w:val="1F1F1F"/>
          <w:kern w:val="0"/>
          <w:sz w:val="22"/>
          <w:szCs w:val="22"/>
          <w:bdr w:val="none" w:sz="0" w:space="0" w:color="auto" w:frame="1"/>
          <w:lang w:eastAsia="en-GB"/>
          <w14:ligatures w14:val="none"/>
        </w:rPr>
        <w:t xml:space="preserve"> of the patient. The nurse will be able to demystify the numbers and make the patient feel that she is in control rather than controlled by the disease</w:t>
      </w:r>
      <w:r w:rsidR="000B5A13" w:rsidRPr="00F762DB">
        <w:rPr>
          <w:rFonts w:ascii="Arial" w:eastAsia="Times New Roman" w:hAnsi="Arial" w:cs="Arial"/>
          <w:color w:val="1F1F1F"/>
          <w:kern w:val="0"/>
          <w:sz w:val="22"/>
          <w:szCs w:val="22"/>
          <w:bdr w:val="none" w:sz="0" w:space="0" w:color="auto" w:frame="1"/>
          <w:lang w:eastAsia="en-GB"/>
          <w14:ligatures w14:val="none"/>
        </w:rPr>
        <w:t>.</w:t>
      </w:r>
    </w:p>
    <w:p w14:paraId="3AF67412" w14:textId="77777777" w:rsidR="00A665EB" w:rsidRPr="00F762DB" w:rsidRDefault="00A665EB" w:rsidP="00F762DB">
      <w:pPr>
        <w:spacing w:after="0" w:line="360" w:lineRule="auto"/>
        <w:ind w:firstLine="720"/>
        <w:jc w:val="both"/>
        <w:rPr>
          <w:rFonts w:ascii="Arial" w:eastAsia="Times New Roman" w:hAnsi="Arial" w:cs="Arial"/>
          <w:color w:val="1F1F1F"/>
          <w:kern w:val="0"/>
          <w:sz w:val="22"/>
          <w:szCs w:val="22"/>
          <w:lang w:eastAsia="en-GB"/>
          <w14:ligatures w14:val="none"/>
        </w:rPr>
      </w:pPr>
    </w:p>
    <w:p w14:paraId="136E1F0A" w14:textId="77777777" w:rsidR="000B5A13" w:rsidRPr="00F762DB" w:rsidRDefault="000B5A13" w:rsidP="00F762DB">
      <w:pPr>
        <w:spacing w:after="120" w:line="360" w:lineRule="auto"/>
        <w:jc w:val="both"/>
        <w:outlineLvl w:val="1"/>
        <w:rPr>
          <w:rFonts w:ascii="Arial" w:eastAsia="Times New Roman" w:hAnsi="Arial" w:cs="Arial"/>
          <w:b/>
          <w:bCs/>
          <w:color w:val="1F1F1F"/>
          <w:kern w:val="0"/>
          <w:sz w:val="22"/>
          <w:szCs w:val="22"/>
          <w:lang w:eastAsia="en-GB"/>
          <w14:ligatures w14:val="none"/>
        </w:rPr>
      </w:pPr>
      <w:bookmarkStart w:id="13" w:name="_Toc220716402"/>
      <w:r w:rsidRPr="00F762DB">
        <w:rPr>
          <w:rFonts w:ascii="Arial" w:eastAsia="Times New Roman" w:hAnsi="Arial" w:cs="Arial"/>
          <w:b/>
          <w:bCs/>
          <w:color w:val="1F1F1F"/>
          <w:kern w:val="0"/>
          <w:sz w:val="22"/>
          <w:szCs w:val="22"/>
          <w:lang w:eastAsia="en-GB"/>
          <w14:ligatures w14:val="none"/>
        </w:rPr>
        <w:t>5. Evidence-Based Lifestyle Recommendations</w:t>
      </w:r>
      <w:bookmarkEnd w:id="13"/>
    </w:p>
    <w:p w14:paraId="4A1248ED" w14:textId="77777777" w:rsidR="00892ABD" w:rsidRPr="00F762DB" w:rsidRDefault="000B5A13" w:rsidP="00F762DB">
      <w:pPr>
        <w:spacing w:after="0" w:line="360" w:lineRule="auto"/>
        <w:jc w:val="both"/>
        <w:outlineLvl w:val="2"/>
        <w:rPr>
          <w:rFonts w:ascii="Arial" w:eastAsia="Times New Roman" w:hAnsi="Arial" w:cs="Arial"/>
          <w:b/>
          <w:bCs/>
          <w:color w:val="1F1F1F"/>
          <w:kern w:val="0"/>
          <w:sz w:val="22"/>
          <w:szCs w:val="22"/>
          <w:bdr w:val="none" w:sz="0" w:space="0" w:color="auto" w:frame="1"/>
          <w:lang w:eastAsia="en-GB"/>
          <w14:ligatures w14:val="none"/>
        </w:rPr>
      </w:pPr>
      <w:bookmarkStart w:id="14" w:name="_Toc220716403"/>
      <w:r w:rsidRPr="00F762DB">
        <w:rPr>
          <w:rFonts w:ascii="Arial" w:eastAsia="Times New Roman" w:hAnsi="Arial" w:cs="Arial"/>
          <w:b/>
          <w:bCs/>
          <w:color w:val="1F1F1F"/>
          <w:kern w:val="0"/>
          <w:sz w:val="22"/>
          <w:szCs w:val="22"/>
          <w:bdr w:val="none" w:sz="0" w:space="0" w:color="auto" w:frame="1"/>
          <w:lang w:eastAsia="en-GB"/>
          <w14:ligatures w14:val="none"/>
        </w:rPr>
        <w:t xml:space="preserve">5.1 Nutritional Management and the </w:t>
      </w:r>
      <w:proofErr w:type="spellStart"/>
      <w:r w:rsidRPr="00F762DB">
        <w:rPr>
          <w:rFonts w:ascii="Arial" w:eastAsia="Times New Roman" w:hAnsi="Arial" w:cs="Arial"/>
          <w:b/>
          <w:bCs/>
          <w:color w:val="1F1F1F"/>
          <w:kern w:val="0"/>
          <w:sz w:val="22"/>
          <w:szCs w:val="22"/>
          <w:bdr w:val="none" w:sz="0" w:space="0" w:color="auto" w:frame="1"/>
          <w:lang w:eastAsia="en-GB"/>
          <w14:ligatures w14:val="none"/>
        </w:rPr>
        <w:t>Glyce</w:t>
      </w:r>
      <w:bookmarkEnd w:id="14"/>
      <w:proofErr w:type="spellEnd"/>
    </w:p>
    <w:p w14:paraId="02A98B05" w14:textId="5A4FFFB9" w:rsidR="000B5A13" w:rsidRPr="00F762DB" w:rsidRDefault="000B5A13" w:rsidP="00F762DB">
      <w:pPr>
        <w:spacing w:after="0" w:line="360" w:lineRule="auto"/>
        <w:jc w:val="both"/>
        <w:outlineLvl w:val="2"/>
        <w:rPr>
          <w:rFonts w:ascii="Arial" w:eastAsia="Times New Roman" w:hAnsi="Arial" w:cs="Arial"/>
          <w:b/>
          <w:bCs/>
          <w:color w:val="1F1F1F"/>
          <w:kern w:val="0"/>
          <w:sz w:val="22"/>
          <w:szCs w:val="22"/>
          <w:lang w:eastAsia="en-GB"/>
          <w14:ligatures w14:val="none"/>
        </w:rPr>
      </w:pPr>
      <w:bookmarkStart w:id="15" w:name="_Toc220716404"/>
      <w:r w:rsidRPr="00F762DB">
        <w:rPr>
          <w:rFonts w:ascii="Arial" w:eastAsia="Times New Roman" w:hAnsi="Arial" w:cs="Arial"/>
          <w:b/>
          <w:bCs/>
          <w:color w:val="1F1F1F"/>
          <w:kern w:val="0"/>
          <w:sz w:val="22"/>
          <w:szCs w:val="22"/>
          <w:bdr w:val="none" w:sz="0" w:space="0" w:color="auto" w:frame="1"/>
          <w:lang w:eastAsia="en-GB"/>
          <w14:ligatures w14:val="none"/>
        </w:rPr>
        <w:t>mic Index</w:t>
      </w:r>
      <w:bookmarkEnd w:id="15"/>
    </w:p>
    <w:p w14:paraId="3D46EC21" w14:textId="2635BAC0" w:rsidR="000B5A13" w:rsidRPr="00F762DB" w:rsidRDefault="00A665EB" w:rsidP="00F762DB">
      <w:pPr>
        <w:spacing w:after="0" w:line="360" w:lineRule="auto"/>
        <w:ind w:firstLine="720"/>
        <w:jc w:val="both"/>
        <w:rPr>
          <w:rFonts w:ascii="Arial" w:eastAsia="Times New Roman" w:hAnsi="Arial" w:cs="Arial"/>
          <w:color w:val="1F1F1F"/>
          <w:kern w:val="0"/>
          <w:sz w:val="22"/>
          <w:szCs w:val="22"/>
          <w:bdr w:val="none" w:sz="0" w:space="0" w:color="auto" w:frame="1"/>
          <w:lang w:eastAsia="en-GB"/>
          <w14:ligatures w14:val="none"/>
        </w:rPr>
      </w:pPr>
      <w:r w:rsidRPr="00F762DB">
        <w:rPr>
          <w:rFonts w:ascii="Arial" w:eastAsia="Times New Roman" w:hAnsi="Arial" w:cs="Arial"/>
          <w:color w:val="1F1F1F"/>
          <w:kern w:val="0"/>
          <w:sz w:val="22"/>
          <w:szCs w:val="22"/>
          <w:lang w:eastAsia="en-GB"/>
          <w14:ligatures w14:val="none"/>
        </w:rPr>
        <w:t>The primary source of T2DM treatment has always been lifestyle intervention, and in many cases, it can be as effective as pharmacological therapy during the initial phases of the disease. The changes in the diet must be associated with the quality of carbohydrates and not just a quantity. The Mediterranean has had its fully healthy grains, legumes, fruits, and vegetables diet that, in addition, incorporates healthy monounsaturated fats found in olive oil, and the diet has undergone extensive validation in the clinical literature on its capacity to reduce HbA1c and improve cardiovascular health (</w:t>
      </w:r>
      <w:r w:rsidR="0057663F" w:rsidRPr="00F762DB">
        <w:rPr>
          <w:rFonts w:ascii="Arial" w:eastAsia="Times New Roman" w:hAnsi="Arial" w:cs="Arial"/>
          <w:color w:val="1F1F1F"/>
          <w:kern w:val="0"/>
          <w:sz w:val="22"/>
          <w:szCs w:val="22"/>
          <w:lang w:eastAsia="en-GB"/>
          <w14:ligatures w14:val="none"/>
        </w:rPr>
        <w:t xml:space="preserve">Martín-Peláez </w:t>
      </w:r>
      <w:r w:rsidRPr="00F762DB">
        <w:rPr>
          <w:rFonts w:ascii="Arial" w:eastAsia="Times New Roman" w:hAnsi="Arial" w:cs="Arial"/>
          <w:color w:val="1F1F1F"/>
          <w:kern w:val="0"/>
          <w:sz w:val="22"/>
          <w:szCs w:val="22"/>
          <w:lang w:eastAsia="en-GB"/>
          <w14:ligatures w14:val="none"/>
        </w:rPr>
        <w:t>et al., 20</w:t>
      </w:r>
      <w:r w:rsidR="00636A92" w:rsidRPr="00F762DB">
        <w:rPr>
          <w:rFonts w:ascii="Arial" w:eastAsia="Times New Roman" w:hAnsi="Arial" w:cs="Arial"/>
          <w:color w:val="1F1F1F"/>
          <w:kern w:val="0"/>
          <w:sz w:val="22"/>
          <w:szCs w:val="22"/>
          <w:lang w:eastAsia="en-GB"/>
          <w14:ligatures w14:val="none"/>
        </w:rPr>
        <w:t>20</w:t>
      </w:r>
      <w:r w:rsidRPr="00F762DB">
        <w:rPr>
          <w:rFonts w:ascii="Arial" w:eastAsia="Times New Roman" w:hAnsi="Arial" w:cs="Arial"/>
          <w:color w:val="1F1F1F"/>
          <w:kern w:val="0"/>
          <w:sz w:val="22"/>
          <w:szCs w:val="22"/>
          <w:lang w:eastAsia="en-GB"/>
          <w14:ligatures w14:val="none"/>
        </w:rPr>
        <w:t>). Patients have been advised to ensure that the foods they consume have low-</w:t>
      </w:r>
      <w:proofErr w:type="spellStart"/>
      <w:r w:rsidRPr="00F762DB">
        <w:rPr>
          <w:rFonts w:ascii="Arial" w:eastAsia="Times New Roman" w:hAnsi="Arial" w:cs="Arial"/>
          <w:color w:val="1F1F1F"/>
          <w:kern w:val="0"/>
          <w:sz w:val="22"/>
          <w:szCs w:val="22"/>
          <w:lang w:eastAsia="en-GB"/>
          <w14:ligatures w14:val="none"/>
        </w:rPr>
        <w:t>glycemic</w:t>
      </w:r>
      <w:proofErr w:type="spellEnd"/>
      <w:r w:rsidRPr="00F762DB">
        <w:rPr>
          <w:rFonts w:ascii="Arial" w:eastAsia="Times New Roman" w:hAnsi="Arial" w:cs="Arial"/>
          <w:color w:val="1F1F1F"/>
          <w:kern w:val="0"/>
          <w:sz w:val="22"/>
          <w:szCs w:val="22"/>
          <w:lang w:eastAsia="en-GB"/>
          <w14:ligatures w14:val="none"/>
        </w:rPr>
        <w:t xml:space="preserve"> index, and this leads to a slow and prolonged release of the glucose into the blood, and this goes a long way in lowering the strain on the already crippled pancreatic beta cells</w:t>
      </w:r>
      <w:r w:rsidR="000B5A13" w:rsidRPr="00F762DB">
        <w:rPr>
          <w:rFonts w:ascii="Arial" w:eastAsia="Times New Roman" w:hAnsi="Arial" w:cs="Arial"/>
          <w:color w:val="1F1F1F"/>
          <w:kern w:val="0"/>
          <w:sz w:val="22"/>
          <w:szCs w:val="22"/>
          <w:bdr w:val="none" w:sz="0" w:space="0" w:color="auto" w:frame="1"/>
          <w:lang w:eastAsia="en-GB"/>
          <w14:ligatures w14:val="none"/>
        </w:rPr>
        <w:t>.</w:t>
      </w:r>
    </w:p>
    <w:p w14:paraId="60EF68BB" w14:textId="77777777" w:rsidR="00A665EB" w:rsidRPr="00F762DB" w:rsidRDefault="00A665EB" w:rsidP="00F762DB">
      <w:pPr>
        <w:spacing w:after="0" w:line="360" w:lineRule="auto"/>
        <w:ind w:firstLine="720"/>
        <w:jc w:val="both"/>
        <w:rPr>
          <w:rFonts w:ascii="Arial" w:eastAsia="Times New Roman" w:hAnsi="Arial" w:cs="Arial"/>
          <w:color w:val="1F1F1F"/>
          <w:kern w:val="0"/>
          <w:sz w:val="22"/>
          <w:szCs w:val="22"/>
          <w:lang w:eastAsia="en-GB"/>
          <w14:ligatures w14:val="none"/>
        </w:rPr>
      </w:pPr>
    </w:p>
    <w:p w14:paraId="64DD8B8E" w14:textId="77777777" w:rsidR="000B5A13" w:rsidRPr="00F762DB" w:rsidRDefault="000B5A13" w:rsidP="00F762DB">
      <w:pPr>
        <w:spacing w:after="0" w:line="360" w:lineRule="auto"/>
        <w:jc w:val="both"/>
        <w:outlineLvl w:val="2"/>
        <w:rPr>
          <w:rFonts w:ascii="Arial" w:eastAsia="Times New Roman" w:hAnsi="Arial" w:cs="Arial"/>
          <w:b/>
          <w:bCs/>
          <w:color w:val="1F1F1F"/>
          <w:kern w:val="0"/>
          <w:sz w:val="22"/>
          <w:szCs w:val="22"/>
          <w:lang w:eastAsia="en-GB"/>
          <w14:ligatures w14:val="none"/>
        </w:rPr>
      </w:pPr>
      <w:bookmarkStart w:id="16" w:name="_Toc220716405"/>
      <w:r w:rsidRPr="00F762DB">
        <w:rPr>
          <w:rFonts w:ascii="Arial" w:eastAsia="Times New Roman" w:hAnsi="Arial" w:cs="Arial"/>
          <w:b/>
          <w:bCs/>
          <w:color w:val="1F1F1F"/>
          <w:kern w:val="0"/>
          <w:sz w:val="22"/>
          <w:szCs w:val="22"/>
          <w:bdr w:val="none" w:sz="0" w:space="0" w:color="auto" w:frame="1"/>
          <w:lang w:eastAsia="en-GB"/>
          <w14:ligatures w14:val="none"/>
        </w:rPr>
        <w:t>5.2 Physical Activity and Insulin Sensitivity</w:t>
      </w:r>
      <w:bookmarkEnd w:id="16"/>
    </w:p>
    <w:p w14:paraId="223FBA47" w14:textId="0CA7B4C9" w:rsidR="000B5A13" w:rsidRPr="00F762DB" w:rsidRDefault="00A665EB" w:rsidP="00F762DB">
      <w:pPr>
        <w:spacing w:after="0" w:line="360" w:lineRule="auto"/>
        <w:ind w:firstLine="720"/>
        <w:jc w:val="both"/>
        <w:rPr>
          <w:rFonts w:ascii="Arial" w:eastAsia="Times New Roman" w:hAnsi="Arial" w:cs="Arial"/>
          <w:color w:val="1F1F1F"/>
          <w:kern w:val="0"/>
          <w:sz w:val="22"/>
          <w:szCs w:val="22"/>
          <w:bdr w:val="none" w:sz="0" w:space="0" w:color="auto" w:frame="1"/>
          <w:lang w:eastAsia="en-GB"/>
          <w14:ligatures w14:val="none"/>
        </w:rPr>
      </w:pPr>
      <w:r w:rsidRPr="00F762DB">
        <w:rPr>
          <w:rFonts w:ascii="Arial" w:eastAsia="Times New Roman" w:hAnsi="Arial" w:cs="Arial"/>
          <w:color w:val="1F1F1F"/>
          <w:kern w:val="0"/>
          <w:sz w:val="22"/>
          <w:szCs w:val="22"/>
          <w:lang w:eastAsia="en-GB"/>
          <w14:ligatures w14:val="none"/>
        </w:rPr>
        <w:t xml:space="preserve">Exercise is also essential, as it is a non-drug approach to the promotion of insulin sensitivity. The skeletal muscles use glucose through an insulin-independent pathway during exercise that is, the body </w:t>
      </w:r>
      <w:proofErr w:type="gramStart"/>
      <w:r w:rsidRPr="00F762DB">
        <w:rPr>
          <w:rFonts w:ascii="Arial" w:eastAsia="Times New Roman" w:hAnsi="Arial" w:cs="Arial"/>
          <w:color w:val="1F1F1F"/>
          <w:kern w:val="0"/>
          <w:sz w:val="22"/>
          <w:szCs w:val="22"/>
          <w:lang w:eastAsia="en-GB"/>
          <w14:ligatures w14:val="none"/>
        </w:rPr>
        <w:t>is capable of reducing</w:t>
      </w:r>
      <w:proofErr w:type="gramEnd"/>
      <w:r w:rsidRPr="00F762DB">
        <w:rPr>
          <w:rFonts w:ascii="Arial" w:eastAsia="Times New Roman" w:hAnsi="Arial" w:cs="Arial"/>
          <w:color w:val="1F1F1F"/>
          <w:kern w:val="0"/>
          <w:sz w:val="22"/>
          <w:szCs w:val="22"/>
          <w:lang w:eastAsia="en-GB"/>
          <w14:ligatures w14:val="none"/>
        </w:rPr>
        <w:t xml:space="preserve"> the level of glucose in the blood even in cases of high insulin resistance. According to the guidelines of the current UK Chief Medical Officers, no less than 150 minutes of moderate-intensity aerobic exercises is recommended every week, whether they are combined with muscle-strengthening exercises on not fewer than two days (Department of Health and Social Care, 2019). </w:t>
      </w:r>
      <w:r w:rsidR="009F6E47" w:rsidRPr="00F762DB">
        <w:rPr>
          <w:rFonts w:ascii="Arial" w:eastAsia="Times New Roman" w:hAnsi="Arial" w:cs="Arial"/>
          <w:color w:val="1F1F1F"/>
          <w:kern w:val="0"/>
          <w:sz w:val="22"/>
          <w:szCs w:val="22"/>
          <w:lang w:eastAsia="en-GB"/>
          <w14:ligatures w14:val="none"/>
        </w:rPr>
        <w:t xml:space="preserve">Rodríguez-Gutiérrez </w:t>
      </w:r>
      <w:r w:rsidRPr="00F762DB">
        <w:rPr>
          <w:rFonts w:ascii="Arial" w:eastAsia="Times New Roman" w:hAnsi="Arial" w:cs="Arial"/>
          <w:color w:val="1F1F1F"/>
          <w:kern w:val="0"/>
          <w:sz w:val="22"/>
          <w:szCs w:val="22"/>
          <w:lang w:eastAsia="en-GB"/>
          <w14:ligatures w14:val="none"/>
        </w:rPr>
        <w:t>et al. (20</w:t>
      </w:r>
      <w:r w:rsidR="009F6E47" w:rsidRPr="00F762DB">
        <w:rPr>
          <w:rFonts w:ascii="Arial" w:eastAsia="Times New Roman" w:hAnsi="Arial" w:cs="Arial"/>
          <w:color w:val="1F1F1F"/>
          <w:kern w:val="0"/>
          <w:sz w:val="22"/>
          <w:szCs w:val="22"/>
          <w:lang w:eastAsia="en-GB"/>
          <w14:ligatures w14:val="none"/>
        </w:rPr>
        <w:t>21</w:t>
      </w:r>
      <w:r w:rsidRPr="00F762DB">
        <w:rPr>
          <w:rFonts w:ascii="Arial" w:eastAsia="Times New Roman" w:hAnsi="Arial" w:cs="Arial"/>
          <w:color w:val="1F1F1F"/>
          <w:kern w:val="0"/>
          <w:sz w:val="22"/>
          <w:szCs w:val="22"/>
          <w:lang w:eastAsia="en-GB"/>
          <w14:ligatures w14:val="none"/>
        </w:rPr>
        <w:t xml:space="preserve">) have famously shown that intensive lifestyle modifications have the potential to mitigate the </w:t>
      </w:r>
      <w:r w:rsidRPr="00F762DB">
        <w:rPr>
          <w:rFonts w:ascii="Arial" w:eastAsia="Times New Roman" w:hAnsi="Arial" w:cs="Arial"/>
          <w:color w:val="1F1F1F"/>
          <w:kern w:val="0"/>
          <w:sz w:val="22"/>
          <w:szCs w:val="22"/>
          <w:lang w:eastAsia="en-GB"/>
          <w14:ligatures w14:val="none"/>
        </w:rPr>
        <w:lastRenderedPageBreak/>
        <w:t>progression of pre-diabetes into T2DM by up to 58%, a clear manifestation of the power of movement as a medicine</w:t>
      </w:r>
      <w:r w:rsidR="000B5A13" w:rsidRPr="00F762DB">
        <w:rPr>
          <w:rFonts w:ascii="Arial" w:eastAsia="Times New Roman" w:hAnsi="Arial" w:cs="Arial"/>
          <w:color w:val="1F1F1F"/>
          <w:kern w:val="0"/>
          <w:sz w:val="22"/>
          <w:szCs w:val="22"/>
          <w:bdr w:val="none" w:sz="0" w:space="0" w:color="auto" w:frame="1"/>
          <w:lang w:eastAsia="en-GB"/>
          <w14:ligatures w14:val="none"/>
        </w:rPr>
        <w:t>.</w:t>
      </w:r>
    </w:p>
    <w:p w14:paraId="0456D2FA" w14:textId="77777777" w:rsidR="00A665EB" w:rsidRPr="00F762DB" w:rsidRDefault="00A665EB" w:rsidP="00F762DB">
      <w:pPr>
        <w:spacing w:after="0" w:line="360" w:lineRule="auto"/>
        <w:ind w:firstLine="720"/>
        <w:jc w:val="both"/>
        <w:rPr>
          <w:rFonts w:ascii="Arial" w:eastAsia="Times New Roman" w:hAnsi="Arial" w:cs="Arial"/>
          <w:color w:val="1F1F1F"/>
          <w:kern w:val="0"/>
          <w:sz w:val="22"/>
          <w:szCs w:val="22"/>
          <w:lang w:eastAsia="en-GB"/>
          <w14:ligatures w14:val="none"/>
        </w:rPr>
      </w:pPr>
    </w:p>
    <w:p w14:paraId="01D9FAA8" w14:textId="77777777" w:rsidR="000B5A13" w:rsidRPr="00F762DB" w:rsidRDefault="000B5A13" w:rsidP="00F762DB">
      <w:pPr>
        <w:spacing w:after="0" w:line="360" w:lineRule="auto"/>
        <w:jc w:val="both"/>
        <w:outlineLvl w:val="2"/>
        <w:rPr>
          <w:rFonts w:ascii="Arial" w:eastAsia="Times New Roman" w:hAnsi="Arial" w:cs="Arial"/>
          <w:b/>
          <w:bCs/>
          <w:color w:val="1F1F1F"/>
          <w:kern w:val="0"/>
          <w:sz w:val="22"/>
          <w:szCs w:val="22"/>
          <w:lang w:eastAsia="en-GB"/>
          <w14:ligatures w14:val="none"/>
        </w:rPr>
      </w:pPr>
      <w:bookmarkStart w:id="17" w:name="_Toc220716406"/>
      <w:r w:rsidRPr="00F762DB">
        <w:rPr>
          <w:rFonts w:ascii="Arial" w:eastAsia="Times New Roman" w:hAnsi="Arial" w:cs="Arial"/>
          <w:b/>
          <w:bCs/>
          <w:color w:val="1F1F1F"/>
          <w:kern w:val="0"/>
          <w:sz w:val="22"/>
          <w:szCs w:val="22"/>
          <w:bdr w:val="none" w:sz="0" w:space="0" w:color="auto" w:frame="1"/>
          <w:lang w:eastAsia="en-GB"/>
          <w14:ligatures w14:val="none"/>
        </w:rPr>
        <w:t>5.3 Smoking, Vaping, and Vascular Protection</w:t>
      </w:r>
      <w:bookmarkEnd w:id="17"/>
    </w:p>
    <w:p w14:paraId="2271AFBD" w14:textId="76AD5287" w:rsidR="000B5A13" w:rsidRPr="00F762DB" w:rsidRDefault="00A665EB" w:rsidP="00F762DB">
      <w:pPr>
        <w:spacing w:after="0" w:line="360" w:lineRule="auto"/>
        <w:ind w:firstLine="720"/>
        <w:jc w:val="both"/>
        <w:rPr>
          <w:rFonts w:ascii="Arial" w:eastAsia="Times New Roman" w:hAnsi="Arial" w:cs="Arial"/>
          <w:color w:val="1F1F1F"/>
          <w:kern w:val="0"/>
          <w:sz w:val="22"/>
          <w:szCs w:val="22"/>
          <w:bdr w:val="none" w:sz="0" w:space="0" w:color="auto" w:frame="1"/>
          <w:lang w:eastAsia="en-GB"/>
          <w14:ligatures w14:val="none"/>
        </w:rPr>
      </w:pPr>
      <w:r w:rsidRPr="00F762DB">
        <w:rPr>
          <w:rFonts w:ascii="Arial" w:eastAsia="Times New Roman" w:hAnsi="Arial" w:cs="Arial"/>
          <w:color w:val="1F1F1F"/>
          <w:kern w:val="0"/>
          <w:sz w:val="22"/>
          <w:szCs w:val="22"/>
          <w:bdr w:val="none" w:sz="0" w:space="0" w:color="auto" w:frame="1"/>
          <w:lang w:eastAsia="en-GB"/>
          <w14:ligatures w14:val="none"/>
        </w:rPr>
        <w:t>Moreover, the diabetic patient cannot compromise on the issue of quitting smokers and vapers. Macrovascular complications such as myocardial infarction and stroke are strongly predisposed by smoking, which has been found to deteriorate insulin resistance directly (</w:t>
      </w:r>
      <w:proofErr w:type="spellStart"/>
      <w:r w:rsidRPr="00F762DB">
        <w:rPr>
          <w:rFonts w:ascii="Arial" w:eastAsia="Times New Roman" w:hAnsi="Arial" w:cs="Arial"/>
          <w:color w:val="1F1F1F"/>
          <w:kern w:val="0"/>
          <w:sz w:val="22"/>
          <w:szCs w:val="22"/>
          <w:bdr w:val="none" w:sz="0" w:space="0" w:color="auto" w:frame="1"/>
          <w:lang w:eastAsia="en-GB"/>
          <w14:ligatures w14:val="none"/>
        </w:rPr>
        <w:t>Maddatu</w:t>
      </w:r>
      <w:proofErr w:type="spellEnd"/>
      <w:r w:rsidRPr="00F762DB">
        <w:rPr>
          <w:rFonts w:ascii="Arial" w:eastAsia="Times New Roman" w:hAnsi="Arial" w:cs="Arial"/>
          <w:color w:val="1F1F1F"/>
          <w:kern w:val="0"/>
          <w:sz w:val="22"/>
          <w:szCs w:val="22"/>
          <w:bdr w:val="none" w:sz="0" w:space="0" w:color="auto" w:frame="1"/>
          <w:lang w:eastAsia="en-GB"/>
          <w14:ligatures w14:val="none"/>
        </w:rPr>
        <w:t xml:space="preserve"> et al., 2017). Nicotine is a vasoconstrictor and elevates stress hormone (such as cortisol) levels that further elevate the amount of blood glucose. To a patient with an already risky circulation state in threat of nerve damage, smoking is a major jump-start toward amputations of limbs and heart failure</w:t>
      </w:r>
      <w:r w:rsidR="000B5A13" w:rsidRPr="00F762DB">
        <w:rPr>
          <w:rFonts w:ascii="Arial" w:eastAsia="Times New Roman" w:hAnsi="Arial" w:cs="Arial"/>
          <w:color w:val="1F1F1F"/>
          <w:kern w:val="0"/>
          <w:sz w:val="22"/>
          <w:szCs w:val="22"/>
          <w:bdr w:val="none" w:sz="0" w:space="0" w:color="auto" w:frame="1"/>
          <w:lang w:eastAsia="en-GB"/>
          <w14:ligatures w14:val="none"/>
        </w:rPr>
        <w:t>.</w:t>
      </w:r>
    </w:p>
    <w:p w14:paraId="340350CF" w14:textId="77777777" w:rsidR="00A665EB" w:rsidRPr="00F762DB" w:rsidRDefault="00A665EB" w:rsidP="00F762DB">
      <w:pPr>
        <w:spacing w:after="0" w:line="360" w:lineRule="auto"/>
        <w:ind w:firstLine="720"/>
        <w:jc w:val="both"/>
        <w:rPr>
          <w:rFonts w:ascii="Arial" w:eastAsia="Times New Roman" w:hAnsi="Arial" w:cs="Arial"/>
          <w:color w:val="1F1F1F"/>
          <w:kern w:val="0"/>
          <w:sz w:val="22"/>
          <w:szCs w:val="22"/>
          <w:lang w:eastAsia="en-GB"/>
          <w14:ligatures w14:val="none"/>
        </w:rPr>
      </w:pPr>
    </w:p>
    <w:p w14:paraId="7E6F9BAF" w14:textId="77777777" w:rsidR="000B5A13" w:rsidRPr="00F762DB" w:rsidRDefault="000B5A13" w:rsidP="00F762DB">
      <w:pPr>
        <w:spacing w:after="120" w:line="360" w:lineRule="auto"/>
        <w:jc w:val="both"/>
        <w:outlineLvl w:val="1"/>
        <w:rPr>
          <w:rFonts w:ascii="Arial" w:eastAsia="Times New Roman" w:hAnsi="Arial" w:cs="Arial"/>
          <w:b/>
          <w:bCs/>
          <w:color w:val="1F1F1F"/>
          <w:kern w:val="0"/>
          <w:sz w:val="22"/>
          <w:szCs w:val="22"/>
          <w:lang w:eastAsia="en-GB"/>
          <w14:ligatures w14:val="none"/>
        </w:rPr>
      </w:pPr>
      <w:bookmarkStart w:id="18" w:name="_Toc220716407"/>
      <w:r w:rsidRPr="00F762DB">
        <w:rPr>
          <w:rFonts w:ascii="Arial" w:eastAsia="Times New Roman" w:hAnsi="Arial" w:cs="Arial"/>
          <w:b/>
          <w:bCs/>
          <w:color w:val="1F1F1F"/>
          <w:kern w:val="0"/>
          <w:sz w:val="22"/>
          <w:szCs w:val="22"/>
          <w:lang w:eastAsia="en-GB"/>
          <w14:ligatures w14:val="none"/>
        </w:rPr>
        <w:t>6. Conclusion</w:t>
      </w:r>
      <w:bookmarkEnd w:id="18"/>
    </w:p>
    <w:p w14:paraId="1AB477FF" w14:textId="54F8AD58" w:rsidR="000B5A13" w:rsidRPr="00F762DB" w:rsidRDefault="00A665EB" w:rsidP="00F762DB">
      <w:pPr>
        <w:spacing w:after="0" w:line="360" w:lineRule="auto"/>
        <w:ind w:firstLine="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It is important to conclude that Type 2 Diabetes Mellitus is a multifactorial and complicated condition that needs to be managed in a holistic and informed manner. Having the knowledge of the basic physiology of glucose regulation, and biochemical needs of the cell metabolism, patients can be more appreciative of the need of clinical interventions. The practice nurse should be able to mediate this reali</w:t>
      </w:r>
      <w:r w:rsidR="00636A92" w:rsidRPr="00F762DB">
        <w:rPr>
          <w:rFonts w:ascii="Arial" w:eastAsia="Times New Roman" w:hAnsi="Arial" w:cs="Arial"/>
          <w:color w:val="1F1F1F"/>
          <w:kern w:val="0"/>
          <w:sz w:val="22"/>
          <w:szCs w:val="22"/>
          <w:lang w:eastAsia="en-GB"/>
          <w14:ligatures w14:val="none"/>
        </w:rPr>
        <w:t>s</w:t>
      </w:r>
      <w:r w:rsidRPr="00F762DB">
        <w:rPr>
          <w:rFonts w:ascii="Arial" w:eastAsia="Times New Roman" w:hAnsi="Arial" w:cs="Arial"/>
          <w:color w:val="1F1F1F"/>
          <w:kern w:val="0"/>
          <w:sz w:val="22"/>
          <w:szCs w:val="22"/>
          <w:lang w:eastAsia="en-GB"/>
          <w14:ligatures w14:val="none"/>
        </w:rPr>
        <w:t>ation, which is accomplished by offering the necessary education that ensures the affected patients are able to monitor their health information efficiently and make long-term lifestyle modifications. This education should also be based on empathy and joint decision making to make sure that it is long-term. By means of the combination of evidence-based eating, routine physical activities, and avoiding dangerous habits, such as smoking, the patients will keep the energy level high, avoid debilitating complications and provide a high standard of life even with the diagnosis</w:t>
      </w:r>
      <w:r w:rsidR="000B5A13" w:rsidRPr="00F762DB">
        <w:rPr>
          <w:rFonts w:ascii="Arial" w:eastAsia="Times New Roman" w:hAnsi="Arial" w:cs="Arial"/>
          <w:color w:val="1F1F1F"/>
          <w:kern w:val="0"/>
          <w:sz w:val="22"/>
          <w:szCs w:val="22"/>
          <w:lang w:eastAsia="en-GB"/>
          <w14:ligatures w14:val="none"/>
        </w:rPr>
        <w:t>.</w:t>
      </w:r>
    </w:p>
    <w:p w14:paraId="4C8DF252" w14:textId="77777777" w:rsidR="000B5A13" w:rsidRPr="00F762DB" w:rsidRDefault="000B5A13" w:rsidP="00F762DB">
      <w:pPr>
        <w:spacing w:line="360" w:lineRule="auto"/>
        <w:jc w:val="both"/>
        <w:rPr>
          <w:rFonts w:ascii="Arial" w:eastAsia="Times New Roman" w:hAnsi="Arial" w:cs="Arial"/>
          <w:b/>
          <w:bCs/>
          <w:color w:val="1F1F1F"/>
          <w:kern w:val="0"/>
          <w:sz w:val="22"/>
          <w:szCs w:val="22"/>
          <w:lang w:eastAsia="en-GB"/>
          <w14:ligatures w14:val="none"/>
        </w:rPr>
      </w:pPr>
      <w:r w:rsidRPr="00F762DB">
        <w:rPr>
          <w:rFonts w:ascii="Arial" w:eastAsia="Times New Roman" w:hAnsi="Arial" w:cs="Arial"/>
          <w:b/>
          <w:bCs/>
          <w:color w:val="1F1F1F"/>
          <w:kern w:val="0"/>
          <w:sz w:val="22"/>
          <w:szCs w:val="22"/>
          <w:lang w:eastAsia="en-GB"/>
          <w14:ligatures w14:val="none"/>
        </w:rPr>
        <w:br w:type="page"/>
      </w:r>
    </w:p>
    <w:p w14:paraId="186C2903" w14:textId="5C1FD728" w:rsidR="000B5A13" w:rsidRPr="00F762DB" w:rsidRDefault="000B5A13" w:rsidP="00F762DB">
      <w:pPr>
        <w:spacing w:after="120" w:line="360" w:lineRule="auto"/>
        <w:jc w:val="both"/>
        <w:outlineLvl w:val="1"/>
        <w:rPr>
          <w:rFonts w:ascii="Arial" w:eastAsia="Times New Roman" w:hAnsi="Arial" w:cs="Arial"/>
          <w:b/>
          <w:bCs/>
          <w:color w:val="1F1F1F"/>
          <w:kern w:val="0"/>
          <w:sz w:val="22"/>
          <w:szCs w:val="22"/>
          <w:lang w:eastAsia="en-GB"/>
          <w14:ligatures w14:val="none"/>
        </w:rPr>
      </w:pPr>
      <w:bookmarkStart w:id="19" w:name="_Toc220716408"/>
      <w:r w:rsidRPr="00F762DB">
        <w:rPr>
          <w:rFonts w:ascii="Arial" w:eastAsia="Times New Roman" w:hAnsi="Arial" w:cs="Arial"/>
          <w:b/>
          <w:bCs/>
          <w:color w:val="1F1F1F"/>
          <w:kern w:val="0"/>
          <w:sz w:val="22"/>
          <w:szCs w:val="22"/>
          <w:lang w:eastAsia="en-GB"/>
          <w14:ligatures w14:val="none"/>
        </w:rPr>
        <w:lastRenderedPageBreak/>
        <w:t>7. Reference List</w:t>
      </w:r>
      <w:bookmarkEnd w:id="19"/>
    </w:p>
    <w:p w14:paraId="70E1520F"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 xml:space="preserve">Baynes, J.W. and Dominiczak, M.H., 2018. Anaerobic metabolism of carbohydrates in the red blood cell. Medical </w:t>
      </w:r>
      <w:proofErr w:type="gramStart"/>
      <w:r w:rsidRPr="00F762DB">
        <w:rPr>
          <w:rFonts w:ascii="Arial" w:eastAsia="Times New Roman" w:hAnsi="Arial" w:cs="Arial"/>
          <w:color w:val="1F1F1F"/>
          <w:kern w:val="0"/>
          <w:sz w:val="22"/>
          <w:szCs w:val="22"/>
          <w:lang w:eastAsia="en-GB"/>
          <w14:ligatures w14:val="none"/>
        </w:rPr>
        <w:t>Biochemistry,,</w:t>
      </w:r>
      <w:proofErr w:type="gramEnd"/>
      <w:r w:rsidRPr="00F762DB">
        <w:rPr>
          <w:rFonts w:ascii="Arial" w:eastAsia="Times New Roman" w:hAnsi="Arial" w:cs="Arial"/>
          <w:color w:val="1F1F1F"/>
          <w:kern w:val="0"/>
          <w:sz w:val="22"/>
          <w:szCs w:val="22"/>
          <w:lang w:eastAsia="en-GB"/>
          <w14:ligatures w14:val="none"/>
        </w:rPr>
        <w:t xml:space="preserve"> pp.111-124.</w:t>
      </w:r>
    </w:p>
    <w:p w14:paraId="133162CC" w14:textId="39151CC4" w:rsidR="00636A92" w:rsidRPr="00F762DB" w:rsidRDefault="00636A92"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 xml:space="preserve">Chiauzzi, E., Rodarte, C. and </w:t>
      </w:r>
      <w:proofErr w:type="spellStart"/>
      <w:r w:rsidRPr="00F762DB">
        <w:rPr>
          <w:rFonts w:ascii="Arial" w:eastAsia="Times New Roman" w:hAnsi="Arial" w:cs="Arial"/>
          <w:color w:val="1F1F1F"/>
          <w:kern w:val="0"/>
          <w:sz w:val="22"/>
          <w:szCs w:val="22"/>
          <w:lang w:eastAsia="en-GB"/>
          <w14:ligatures w14:val="none"/>
        </w:rPr>
        <w:t>DasMahapatra</w:t>
      </w:r>
      <w:proofErr w:type="spellEnd"/>
      <w:r w:rsidRPr="00F762DB">
        <w:rPr>
          <w:rFonts w:ascii="Arial" w:eastAsia="Times New Roman" w:hAnsi="Arial" w:cs="Arial"/>
          <w:color w:val="1F1F1F"/>
          <w:kern w:val="0"/>
          <w:sz w:val="22"/>
          <w:szCs w:val="22"/>
          <w:lang w:eastAsia="en-GB"/>
          <w14:ligatures w14:val="none"/>
        </w:rPr>
        <w:t>, P., 2015. Patient-</w:t>
      </w:r>
      <w:proofErr w:type="spellStart"/>
      <w:r w:rsidRPr="00F762DB">
        <w:rPr>
          <w:rFonts w:ascii="Arial" w:eastAsia="Times New Roman" w:hAnsi="Arial" w:cs="Arial"/>
          <w:color w:val="1F1F1F"/>
          <w:kern w:val="0"/>
          <w:sz w:val="22"/>
          <w:szCs w:val="22"/>
          <w:lang w:eastAsia="en-GB"/>
          <w14:ligatures w14:val="none"/>
        </w:rPr>
        <w:t>centered</w:t>
      </w:r>
      <w:proofErr w:type="spellEnd"/>
      <w:r w:rsidRPr="00F762DB">
        <w:rPr>
          <w:rFonts w:ascii="Arial" w:eastAsia="Times New Roman" w:hAnsi="Arial" w:cs="Arial"/>
          <w:color w:val="1F1F1F"/>
          <w:kern w:val="0"/>
          <w:sz w:val="22"/>
          <w:szCs w:val="22"/>
          <w:lang w:eastAsia="en-GB"/>
          <w14:ligatures w14:val="none"/>
        </w:rPr>
        <w:t xml:space="preserve"> activity monitoring in the self-management of chronic health conditions. BMC medicine, 13(1), p.77.</w:t>
      </w:r>
    </w:p>
    <w:p w14:paraId="0F160CE0"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 xml:space="preserve">Department of Health and Social Care (2019) </w:t>
      </w:r>
      <w:r w:rsidRPr="00F762DB">
        <w:rPr>
          <w:rFonts w:ascii="Arial" w:eastAsia="Times New Roman" w:hAnsi="Arial" w:cs="Arial"/>
          <w:i/>
          <w:iCs/>
          <w:color w:val="1F1F1F"/>
          <w:kern w:val="0"/>
          <w:sz w:val="22"/>
          <w:szCs w:val="22"/>
          <w:bdr w:val="none" w:sz="0" w:space="0" w:color="auto" w:frame="1"/>
          <w:lang w:eastAsia="en-GB"/>
          <w14:ligatures w14:val="none"/>
        </w:rPr>
        <w:t>UK Chief Medical Officers' Physical Activity Guidelines</w:t>
      </w:r>
      <w:r w:rsidRPr="00F762DB">
        <w:rPr>
          <w:rFonts w:ascii="Arial" w:eastAsia="Times New Roman" w:hAnsi="Arial" w:cs="Arial"/>
          <w:color w:val="1F1F1F"/>
          <w:kern w:val="0"/>
          <w:sz w:val="22"/>
          <w:szCs w:val="22"/>
          <w:lang w:eastAsia="en-GB"/>
          <w14:ligatures w14:val="none"/>
        </w:rPr>
        <w:t xml:space="preserve">. London: HM Government. Available at: </w:t>
      </w:r>
      <w:hyperlink r:id="rId14" w:history="1">
        <w:r w:rsidRPr="00F762DB">
          <w:rPr>
            <w:rStyle w:val="Hyperlink"/>
            <w:rFonts w:ascii="Arial" w:eastAsia="Times New Roman" w:hAnsi="Arial" w:cs="Arial"/>
            <w:kern w:val="0"/>
            <w:sz w:val="22"/>
            <w:szCs w:val="22"/>
            <w:lang w:eastAsia="en-GB"/>
            <w14:ligatures w14:val="none"/>
          </w:rPr>
          <w:t>https://www.gov.uk/government/publications/physical-activity-guidelines-uk-chief-medical-officers-report</w:t>
        </w:r>
      </w:hyperlink>
    </w:p>
    <w:p w14:paraId="5BF8B7ED"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 xml:space="preserve">Diabetes UK (2023) </w:t>
      </w:r>
      <w:r w:rsidRPr="00F762DB">
        <w:rPr>
          <w:rFonts w:ascii="Arial" w:eastAsia="Times New Roman" w:hAnsi="Arial" w:cs="Arial"/>
          <w:i/>
          <w:iCs/>
          <w:color w:val="1F1F1F"/>
          <w:kern w:val="0"/>
          <w:sz w:val="22"/>
          <w:szCs w:val="22"/>
          <w:bdr w:val="none" w:sz="0" w:space="0" w:color="auto" w:frame="1"/>
          <w:lang w:eastAsia="en-GB"/>
          <w14:ligatures w14:val="none"/>
        </w:rPr>
        <w:t>How many people in the UK have diabetes?</w:t>
      </w:r>
      <w:r w:rsidRPr="00F762DB">
        <w:rPr>
          <w:rFonts w:ascii="Arial" w:eastAsia="Times New Roman" w:hAnsi="Arial" w:cs="Arial"/>
          <w:color w:val="1F1F1F"/>
          <w:kern w:val="0"/>
          <w:sz w:val="22"/>
          <w:szCs w:val="22"/>
          <w:lang w:eastAsia="en-GB"/>
          <w14:ligatures w14:val="none"/>
        </w:rPr>
        <w:t xml:space="preserve"> Available at: </w:t>
      </w:r>
      <w:hyperlink r:id="rId15" w:history="1">
        <w:r w:rsidRPr="00F762DB">
          <w:rPr>
            <w:rStyle w:val="Hyperlink"/>
            <w:rFonts w:ascii="Arial" w:eastAsia="Times New Roman" w:hAnsi="Arial" w:cs="Arial"/>
            <w:kern w:val="0"/>
            <w:sz w:val="22"/>
            <w:szCs w:val="22"/>
            <w:lang w:eastAsia="en-GB"/>
            <w14:ligatures w14:val="none"/>
          </w:rPr>
          <w:t>https://www.diabetes.org.uk/about-us/about-the-charity/our-strategy/statistics</w:t>
        </w:r>
      </w:hyperlink>
    </w:p>
    <w:p w14:paraId="6FB4F508"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val="de-DE" w:eastAsia="en-GB"/>
          <w14:ligatures w14:val="none"/>
        </w:rPr>
        <w:t xml:space="preserve">Fischer, L., Scheibler, F., Schaefer, C., Karge, T., Langer, T., Schewe, L.V., Florez, I.D., Hutchinson, A., Li, S., Maes-Carballo, M. and Munn, Z., 2024. </w:t>
      </w:r>
      <w:r w:rsidRPr="00F762DB">
        <w:rPr>
          <w:rFonts w:ascii="Arial" w:eastAsia="Times New Roman" w:hAnsi="Arial" w:cs="Arial"/>
          <w:color w:val="1F1F1F"/>
          <w:kern w:val="0"/>
          <w:sz w:val="22"/>
          <w:szCs w:val="22"/>
          <w:lang w:eastAsia="en-GB"/>
          <w14:ligatures w14:val="none"/>
        </w:rPr>
        <w:t>Fostering shared decision-making between patients and health care professionals in clinical practice guidelines: protocol for a project to develop and test a tool for guideline developers. JMIR Research Protocols, 13(1), p.e57611.</w:t>
      </w:r>
    </w:p>
    <w:p w14:paraId="0C29305E"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Holt, R.I. and Flyvbjerg, A. eds., 2024. Textbook of diabetes. John Wiley &amp; Sons.</w:t>
      </w:r>
    </w:p>
    <w:p w14:paraId="23312E63"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proofErr w:type="spellStart"/>
      <w:r w:rsidRPr="00F762DB">
        <w:rPr>
          <w:rFonts w:ascii="Arial" w:eastAsia="Times New Roman" w:hAnsi="Arial" w:cs="Arial"/>
          <w:color w:val="1F1F1F"/>
          <w:kern w:val="0"/>
          <w:sz w:val="22"/>
          <w:szCs w:val="22"/>
          <w:lang w:eastAsia="en-GB"/>
          <w14:ligatures w14:val="none"/>
        </w:rPr>
        <w:t>Maddatu</w:t>
      </w:r>
      <w:proofErr w:type="spellEnd"/>
      <w:r w:rsidRPr="00F762DB">
        <w:rPr>
          <w:rFonts w:ascii="Arial" w:eastAsia="Times New Roman" w:hAnsi="Arial" w:cs="Arial"/>
          <w:color w:val="1F1F1F"/>
          <w:kern w:val="0"/>
          <w:sz w:val="22"/>
          <w:szCs w:val="22"/>
          <w:lang w:eastAsia="en-GB"/>
          <w14:ligatures w14:val="none"/>
        </w:rPr>
        <w:t>, J., Anderson-Baucum, E. and Evans-Molina, C., 2017. Smoking and the risk of type 2 diabetes. Translational Research, 184, pp.101-107.</w:t>
      </w:r>
    </w:p>
    <w:p w14:paraId="30CD5432"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 xml:space="preserve">Magliano, D. J., Boyko, E. J., and IDF Diabetes Atlas 10th edition scientific </w:t>
      </w:r>
      <w:proofErr w:type="gramStart"/>
      <w:r w:rsidRPr="00F762DB">
        <w:rPr>
          <w:rFonts w:ascii="Arial" w:eastAsia="Times New Roman" w:hAnsi="Arial" w:cs="Arial"/>
          <w:color w:val="1F1F1F"/>
          <w:kern w:val="0"/>
          <w:sz w:val="22"/>
          <w:szCs w:val="22"/>
          <w:lang w:eastAsia="en-GB"/>
          <w14:ligatures w14:val="none"/>
        </w:rPr>
        <w:t>committee .</w:t>
      </w:r>
      <w:proofErr w:type="gramEnd"/>
      <w:r w:rsidRPr="00F762DB">
        <w:rPr>
          <w:rFonts w:ascii="Arial" w:eastAsia="Times New Roman" w:hAnsi="Arial" w:cs="Arial"/>
          <w:color w:val="1F1F1F"/>
          <w:kern w:val="0"/>
          <w:sz w:val="22"/>
          <w:szCs w:val="22"/>
          <w:lang w:eastAsia="en-GB"/>
          <w14:ligatures w14:val="none"/>
        </w:rPr>
        <w:t xml:space="preserve"> (2021). IDF DIABETES ATLAS. (10th ed.). International Diabetes Federation.</w:t>
      </w:r>
    </w:p>
    <w:p w14:paraId="5023DFE6"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Martín-Peláez, S., Fito, M. and Castaner, O., 2020. Mediterranean diet effects on type 2 diabetes prevention, disease progression, and related mechanisms. A review. Nutrients, 12(8), p.2236.</w:t>
      </w:r>
    </w:p>
    <w:p w14:paraId="0B515D50"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Minari, T.P., Tácito, L.H.B., Yugar, L.B.T., Ferreira-Melo, S.E., Manzano, C.F., Pires, A.C., Moreno, H., Vilela-Martin, J.F., Cosenso-Martin, L.N. and Yugar-Toledo, J.C., 2023. Nutritional strategies for the management of type 2 diabetes mellitus: a narrative review. Nutrients, 15(24), p.5096.</w:t>
      </w:r>
    </w:p>
    <w:p w14:paraId="4B7588F9"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bdr w:val="none" w:sz="0" w:space="0" w:color="auto" w:frame="1"/>
          <w:lang w:eastAsia="en-GB"/>
          <w14:ligatures w14:val="none"/>
        </w:rPr>
      </w:pPr>
      <w:r w:rsidRPr="00F762DB">
        <w:rPr>
          <w:rFonts w:ascii="Arial" w:eastAsia="Times New Roman" w:hAnsi="Arial" w:cs="Arial"/>
          <w:color w:val="1F1F1F"/>
          <w:kern w:val="0"/>
          <w:sz w:val="22"/>
          <w:szCs w:val="22"/>
          <w:lang w:eastAsia="en-GB"/>
          <w14:ligatures w14:val="none"/>
        </w:rPr>
        <w:t xml:space="preserve">National Institute for Health and Care Excellence (NICE) (2022) </w:t>
      </w:r>
      <w:r w:rsidRPr="00F762DB">
        <w:rPr>
          <w:rFonts w:ascii="Arial" w:eastAsia="Times New Roman" w:hAnsi="Arial" w:cs="Arial"/>
          <w:i/>
          <w:iCs/>
          <w:color w:val="1F1F1F"/>
          <w:kern w:val="0"/>
          <w:sz w:val="22"/>
          <w:szCs w:val="22"/>
          <w:bdr w:val="none" w:sz="0" w:space="0" w:color="auto" w:frame="1"/>
          <w:lang w:eastAsia="en-GB"/>
          <w14:ligatures w14:val="none"/>
        </w:rPr>
        <w:t>Type 2 diabetes in adults: management</w:t>
      </w:r>
      <w:r w:rsidRPr="00F762DB">
        <w:rPr>
          <w:rFonts w:ascii="Arial" w:eastAsia="Times New Roman" w:hAnsi="Arial" w:cs="Arial"/>
          <w:color w:val="1F1F1F"/>
          <w:kern w:val="0"/>
          <w:sz w:val="22"/>
          <w:szCs w:val="22"/>
          <w:lang w:eastAsia="en-GB"/>
          <w14:ligatures w14:val="none"/>
        </w:rPr>
        <w:t>.</w:t>
      </w:r>
      <w:r w:rsidRPr="00F762DB">
        <w:rPr>
          <w:rFonts w:ascii="Arial" w:eastAsia="Times New Roman" w:hAnsi="Arial" w:cs="Arial"/>
          <w:color w:val="1F1F1F"/>
          <w:kern w:val="0"/>
          <w:sz w:val="22"/>
          <w:szCs w:val="22"/>
          <w:bdr w:val="none" w:sz="0" w:space="0" w:color="auto" w:frame="1"/>
          <w:lang w:eastAsia="en-GB"/>
          <w14:ligatures w14:val="none"/>
        </w:rPr>
        <w:t xml:space="preserve"> Available at: </w:t>
      </w:r>
      <w:hyperlink r:id="rId16" w:history="1">
        <w:r w:rsidRPr="00F762DB">
          <w:rPr>
            <w:rStyle w:val="Hyperlink"/>
            <w:rFonts w:ascii="Arial" w:eastAsia="Times New Roman" w:hAnsi="Arial" w:cs="Arial"/>
            <w:kern w:val="0"/>
            <w:sz w:val="22"/>
            <w:szCs w:val="22"/>
            <w:bdr w:val="none" w:sz="0" w:space="0" w:color="auto" w:frame="1"/>
            <w:lang w:eastAsia="en-GB"/>
            <w14:ligatures w14:val="none"/>
          </w:rPr>
          <w:t>https://www.nice.org.uk/guidance/ng28</w:t>
        </w:r>
      </w:hyperlink>
    </w:p>
    <w:p w14:paraId="77149A29"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Powers, A.C., Niswender, K.D. and Evans-Molina, C., 2022. Diabetes mellitus: diagnosis, classification, and pathophysiology. Diabetes, 1000, p.415.</w:t>
      </w:r>
    </w:p>
    <w:p w14:paraId="6C6B11B3"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 xml:space="preserve">Public Health England (2017) </w:t>
      </w:r>
      <w:r w:rsidRPr="00F762DB">
        <w:rPr>
          <w:rFonts w:ascii="Arial" w:eastAsia="Times New Roman" w:hAnsi="Arial" w:cs="Arial"/>
          <w:i/>
          <w:iCs/>
          <w:color w:val="1F1F1F"/>
          <w:kern w:val="0"/>
          <w:sz w:val="22"/>
          <w:szCs w:val="22"/>
          <w:bdr w:val="none" w:sz="0" w:space="0" w:color="auto" w:frame="1"/>
          <w:lang w:eastAsia="en-GB"/>
          <w14:ligatures w14:val="none"/>
        </w:rPr>
        <w:t>Health matters: obesity and the food environment</w:t>
      </w:r>
      <w:r w:rsidRPr="00F762DB">
        <w:rPr>
          <w:rFonts w:ascii="Arial" w:eastAsia="Times New Roman" w:hAnsi="Arial" w:cs="Arial"/>
          <w:color w:val="1F1F1F"/>
          <w:kern w:val="0"/>
          <w:sz w:val="22"/>
          <w:szCs w:val="22"/>
          <w:lang w:eastAsia="en-GB"/>
          <w14:ligatures w14:val="none"/>
        </w:rPr>
        <w:t xml:space="preserve">. London: PHE. Available at: </w:t>
      </w:r>
      <w:hyperlink r:id="rId17" w:history="1">
        <w:r w:rsidRPr="00F762DB">
          <w:rPr>
            <w:rStyle w:val="Hyperlink"/>
            <w:rFonts w:ascii="Arial" w:eastAsia="Times New Roman" w:hAnsi="Arial" w:cs="Arial"/>
            <w:kern w:val="0"/>
            <w:sz w:val="22"/>
            <w:szCs w:val="22"/>
            <w:lang w:eastAsia="en-GB"/>
            <w14:ligatures w14:val="none"/>
          </w:rPr>
          <w:t>https://www.gov.uk/government/publications/health-matters-obesity-and-the-food-environment/health-matters-obesity-and-the-food-environment--2</w:t>
        </w:r>
      </w:hyperlink>
    </w:p>
    <w:p w14:paraId="6292F523"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lastRenderedPageBreak/>
        <w:t>Rodríguez-Gutiérrez, R., Millan-Alanis, J.M., Barrera, F.J. and McCoy, R.G., 2021. Value of patient-</w:t>
      </w:r>
      <w:proofErr w:type="spellStart"/>
      <w:r w:rsidRPr="00F762DB">
        <w:rPr>
          <w:rFonts w:ascii="Arial" w:eastAsia="Times New Roman" w:hAnsi="Arial" w:cs="Arial"/>
          <w:color w:val="1F1F1F"/>
          <w:kern w:val="0"/>
          <w:sz w:val="22"/>
          <w:szCs w:val="22"/>
          <w:lang w:eastAsia="en-GB"/>
          <w14:ligatures w14:val="none"/>
        </w:rPr>
        <w:t>centered</w:t>
      </w:r>
      <w:proofErr w:type="spellEnd"/>
      <w:r w:rsidRPr="00F762DB">
        <w:rPr>
          <w:rFonts w:ascii="Arial" w:eastAsia="Times New Roman" w:hAnsi="Arial" w:cs="Arial"/>
          <w:color w:val="1F1F1F"/>
          <w:kern w:val="0"/>
          <w:sz w:val="22"/>
          <w:szCs w:val="22"/>
          <w:lang w:eastAsia="en-GB"/>
          <w14:ligatures w14:val="none"/>
        </w:rPr>
        <w:t xml:space="preserve"> </w:t>
      </w:r>
      <w:proofErr w:type="spellStart"/>
      <w:r w:rsidRPr="00F762DB">
        <w:rPr>
          <w:rFonts w:ascii="Arial" w:eastAsia="Times New Roman" w:hAnsi="Arial" w:cs="Arial"/>
          <w:color w:val="1F1F1F"/>
          <w:kern w:val="0"/>
          <w:sz w:val="22"/>
          <w:szCs w:val="22"/>
          <w:lang w:eastAsia="en-GB"/>
          <w14:ligatures w14:val="none"/>
        </w:rPr>
        <w:t>glycemic</w:t>
      </w:r>
      <w:proofErr w:type="spellEnd"/>
      <w:r w:rsidRPr="00F762DB">
        <w:rPr>
          <w:rFonts w:ascii="Arial" w:eastAsia="Times New Roman" w:hAnsi="Arial" w:cs="Arial"/>
          <w:color w:val="1F1F1F"/>
          <w:kern w:val="0"/>
          <w:sz w:val="22"/>
          <w:szCs w:val="22"/>
          <w:lang w:eastAsia="en-GB"/>
          <w14:ligatures w14:val="none"/>
        </w:rPr>
        <w:t xml:space="preserve"> control in patients with type 2 diabetes. Current diabetes reports, 21(12), p.63.</w:t>
      </w:r>
    </w:p>
    <w:p w14:paraId="3AD33C52"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Scanlon, V.C. and Sanders, T., 2018. Essentials of anatomy and physiology. FA Davis.</w:t>
      </w:r>
    </w:p>
    <w:p w14:paraId="54BDF240"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Skull, A.L.I.C.E., 2022. Circulation-anatomy, physiology and pathophysiology. McGloin S, Skull A. Principles of acute care nursing. SAGE Publications, p.86.</w:t>
      </w:r>
    </w:p>
    <w:p w14:paraId="160360A3"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 xml:space="preserve">Tortora, G.J. and Derrickson, B.H., 2018. Principles of anatomy and physiology. John </w:t>
      </w:r>
      <w:proofErr w:type="spellStart"/>
      <w:r w:rsidRPr="00F762DB">
        <w:rPr>
          <w:rFonts w:ascii="Arial" w:eastAsia="Times New Roman" w:hAnsi="Arial" w:cs="Arial"/>
          <w:color w:val="1F1F1F"/>
          <w:kern w:val="0"/>
          <w:sz w:val="22"/>
          <w:szCs w:val="22"/>
          <w:lang w:eastAsia="en-GB"/>
          <w14:ligatures w14:val="none"/>
        </w:rPr>
        <w:t>wiley</w:t>
      </w:r>
      <w:proofErr w:type="spellEnd"/>
      <w:r w:rsidRPr="00F762DB">
        <w:rPr>
          <w:rFonts w:ascii="Arial" w:eastAsia="Times New Roman" w:hAnsi="Arial" w:cs="Arial"/>
          <w:color w:val="1F1F1F"/>
          <w:kern w:val="0"/>
          <w:sz w:val="22"/>
          <w:szCs w:val="22"/>
          <w:lang w:eastAsia="en-GB"/>
          <w14:ligatures w14:val="none"/>
        </w:rPr>
        <w:t xml:space="preserve"> &amp; sons.</w:t>
      </w:r>
    </w:p>
    <w:p w14:paraId="1A9F0976"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Whittlesea, C. and Hodson, K. eds., 2018. Clinical pharmacy and therapeutics e-book: Clinical pharmacy and therapeutics e-book. Elsevier Health Sciences.</w:t>
      </w:r>
    </w:p>
    <w:p w14:paraId="623AA8D7"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Wilding, J.P., Evans, M., Fernando, K., Gorriz, J.L., Cebrian, A., Diggle, J., Hicks, D., James, J., Newland-Jones, P., Ali, A. and Bain, S., 2022. The place and value of sodium-glucose cotransporter 2 inhibitors in the evolving treatment paradigm for type 2 diabetes mellitus: a narrative review. Diabetes Therapy, 13(5), pp.847-872.</w:t>
      </w:r>
    </w:p>
    <w:p w14:paraId="7F6C2A0D" w14:textId="77777777" w:rsidR="0057663F" w:rsidRPr="00F762DB" w:rsidRDefault="0057663F" w:rsidP="00F762DB">
      <w:pPr>
        <w:spacing w:after="0" w:line="360" w:lineRule="auto"/>
        <w:ind w:left="720" w:hanging="720"/>
        <w:jc w:val="both"/>
        <w:rPr>
          <w:rFonts w:ascii="Arial" w:eastAsia="Times New Roman" w:hAnsi="Arial" w:cs="Arial"/>
          <w:color w:val="1F1F1F"/>
          <w:kern w:val="0"/>
          <w:sz w:val="22"/>
          <w:szCs w:val="22"/>
          <w:lang w:eastAsia="en-GB"/>
          <w14:ligatures w14:val="none"/>
        </w:rPr>
      </w:pPr>
      <w:r w:rsidRPr="00F762DB">
        <w:rPr>
          <w:rFonts w:ascii="Arial" w:eastAsia="Times New Roman" w:hAnsi="Arial" w:cs="Arial"/>
          <w:color w:val="1F1F1F"/>
          <w:kern w:val="0"/>
          <w:sz w:val="22"/>
          <w:szCs w:val="22"/>
          <w:lang w:eastAsia="en-GB"/>
          <w14:ligatures w14:val="none"/>
        </w:rPr>
        <w:t xml:space="preserve">World Health Organization (2022) </w:t>
      </w:r>
      <w:r w:rsidRPr="00F762DB">
        <w:rPr>
          <w:rFonts w:ascii="Arial" w:eastAsia="Times New Roman" w:hAnsi="Arial" w:cs="Arial"/>
          <w:i/>
          <w:iCs/>
          <w:color w:val="1F1F1F"/>
          <w:kern w:val="0"/>
          <w:sz w:val="22"/>
          <w:szCs w:val="22"/>
          <w:bdr w:val="none" w:sz="0" w:space="0" w:color="auto" w:frame="1"/>
          <w:lang w:eastAsia="en-GB"/>
          <w14:ligatures w14:val="none"/>
        </w:rPr>
        <w:t>Diabetes: Key Facts</w:t>
      </w:r>
      <w:r w:rsidRPr="00F762DB">
        <w:rPr>
          <w:rFonts w:ascii="Arial" w:eastAsia="Times New Roman" w:hAnsi="Arial" w:cs="Arial"/>
          <w:color w:val="1F1F1F"/>
          <w:kern w:val="0"/>
          <w:sz w:val="22"/>
          <w:szCs w:val="22"/>
          <w:lang w:eastAsia="en-GB"/>
          <w14:ligatures w14:val="none"/>
        </w:rPr>
        <w:t xml:space="preserve">. Available at: </w:t>
      </w:r>
      <w:hyperlink r:id="rId18" w:history="1">
        <w:r w:rsidRPr="00F762DB">
          <w:rPr>
            <w:rStyle w:val="Hyperlink"/>
            <w:rFonts w:ascii="Arial" w:eastAsia="Times New Roman" w:hAnsi="Arial" w:cs="Arial"/>
            <w:kern w:val="0"/>
            <w:sz w:val="22"/>
            <w:szCs w:val="22"/>
            <w:lang w:eastAsia="en-GB"/>
            <w14:ligatures w14:val="none"/>
          </w:rPr>
          <w:t>https://www.who.int/news-room/fact-sheets/detail/diabetes</w:t>
        </w:r>
      </w:hyperlink>
    </w:p>
    <w:sectPr w:rsidR="0057663F" w:rsidRPr="00F762DB" w:rsidSect="00F762DB">
      <w:headerReference w:type="default" r:id="rId19"/>
      <w:pgSz w:w="11906" w:h="16838"/>
      <w:pgMar w:top="1440" w:right="1440" w:bottom="1440" w:left="1440" w:header="708" w:footer="708" w:gutter="0"/>
      <w:pgBorders w:display="firstPage" w:offsetFrom="page">
        <w:top w:val="thinThickThinSmallGap" w:sz="24" w:space="24" w:color="auto"/>
        <w:left w:val="thinThickThinSmallGap" w:sz="24" w:space="24" w:color="auto"/>
        <w:bottom w:val="thinThickThinSmallGap" w:sz="24" w:space="24" w:color="auto"/>
        <w:right w:val="thinThickThinSmall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8FAB4" w14:textId="77777777" w:rsidR="00B82FF0" w:rsidRDefault="00B82FF0" w:rsidP="00F762DB">
      <w:pPr>
        <w:spacing w:after="0" w:line="240" w:lineRule="auto"/>
      </w:pPr>
      <w:r>
        <w:separator/>
      </w:r>
    </w:p>
  </w:endnote>
  <w:endnote w:type="continuationSeparator" w:id="0">
    <w:p w14:paraId="2A618971" w14:textId="77777777" w:rsidR="00B82FF0" w:rsidRDefault="00B82FF0" w:rsidP="00F76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890FD" w14:textId="77777777" w:rsidR="00B82FF0" w:rsidRDefault="00B82FF0" w:rsidP="00F762DB">
      <w:pPr>
        <w:spacing w:after="0" w:line="240" w:lineRule="auto"/>
      </w:pPr>
      <w:r>
        <w:separator/>
      </w:r>
    </w:p>
  </w:footnote>
  <w:footnote w:type="continuationSeparator" w:id="0">
    <w:p w14:paraId="1081C0C1" w14:textId="77777777" w:rsidR="00B82FF0" w:rsidRDefault="00B82FF0" w:rsidP="00F762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szCs w:val="22"/>
      </w:rPr>
      <w:id w:val="259188065"/>
      <w:docPartObj>
        <w:docPartGallery w:val="Page Numbers (Top of Page)"/>
        <w:docPartUnique/>
      </w:docPartObj>
    </w:sdtPr>
    <w:sdtEndPr>
      <w:rPr>
        <w:noProof/>
      </w:rPr>
    </w:sdtEndPr>
    <w:sdtContent>
      <w:p w14:paraId="49F9C42B" w14:textId="1B2579AC" w:rsidR="00F762DB" w:rsidRPr="00F762DB" w:rsidRDefault="00F762DB">
        <w:pPr>
          <w:pStyle w:val="Header"/>
          <w:jc w:val="right"/>
          <w:rPr>
            <w:rFonts w:ascii="Arial" w:hAnsi="Arial" w:cs="Arial"/>
            <w:sz w:val="22"/>
            <w:szCs w:val="22"/>
          </w:rPr>
        </w:pPr>
        <w:r w:rsidRPr="00F762DB">
          <w:rPr>
            <w:rFonts w:ascii="Arial" w:hAnsi="Arial" w:cs="Arial"/>
            <w:sz w:val="22"/>
            <w:szCs w:val="22"/>
          </w:rPr>
          <w:fldChar w:fldCharType="begin"/>
        </w:r>
        <w:r w:rsidRPr="00F762DB">
          <w:rPr>
            <w:rFonts w:ascii="Arial" w:hAnsi="Arial" w:cs="Arial"/>
            <w:sz w:val="22"/>
            <w:szCs w:val="22"/>
          </w:rPr>
          <w:instrText xml:space="preserve"> PAGE   \* MERGEFORMAT </w:instrText>
        </w:r>
        <w:r w:rsidRPr="00F762DB">
          <w:rPr>
            <w:rFonts w:ascii="Arial" w:hAnsi="Arial" w:cs="Arial"/>
            <w:sz w:val="22"/>
            <w:szCs w:val="22"/>
          </w:rPr>
          <w:fldChar w:fldCharType="separate"/>
        </w:r>
        <w:r w:rsidRPr="00F762DB">
          <w:rPr>
            <w:rFonts w:ascii="Arial" w:hAnsi="Arial" w:cs="Arial"/>
            <w:noProof/>
            <w:sz w:val="22"/>
            <w:szCs w:val="22"/>
          </w:rPr>
          <w:t>2</w:t>
        </w:r>
        <w:r w:rsidRPr="00F762DB">
          <w:rPr>
            <w:rFonts w:ascii="Arial" w:hAnsi="Arial" w:cs="Arial"/>
            <w:noProof/>
            <w:sz w:val="22"/>
            <w:szCs w:val="22"/>
          </w:rPr>
          <w:fldChar w:fldCharType="end"/>
        </w:r>
      </w:p>
    </w:sdtContent>
  </w:sdt>
  <w:p w14:paraId="75B6B302" w14:textId="77777777" w:rsidR="00F762DB" w:rsidRPr="00F762DB" w:rsidRDefault="00F762DB">
    <w:pPr>
      <w:pStyle w:val="Header"/>
      <w:rPr>
        <w:rFonts w:ascii="Arial" w:hAnsi="Arial" w:cs="Arial"/>
        <w:sz w:val="22"/>
        <w:szCs w:val="22"/>
      </w:rPr>
    </w:pPr>
  </w:p>
  <w:p w14:paraId="05C3D0EE" w14:textId="77777777" w:rsidR="00F762DB" w:rsidRPr="00F762DB" w:rsidRDefault="00F762DB">
    <w:pPr>
      <w:pStyle w:val="Header"/>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C63850"/>
    <w:multiLevelType w:val="multilevel"/>
    <w:tmpl w:val="27F8B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6B3171"/>
    <w:multiLevelType w:val="multilevel"/>
    <w:tmpl w:val="E280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3562459">
    <w:abstractNumId w:val="0"/>
  </w:num>
  <w:num w:numId="2" w16cid:durableId="406462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A13"/>
    <w:rsid w:val="000B5A13"/>
    <w:rsid w:val="0011158E"/>
    <w:rsid w:val="0057663F"/>
    <w:rsid w:val="005B55E7"/>
    <w:rsid w:val="00636A92"/>
    <w:rsid w:val="00672D06"/>
    <w:rsid w:val="006C1DEC"/>
    <w:rsid w:val="008859A2"/>
    <w:rsid w:val="00892ABD"/>
    <w:rsid w:val="009F6E47"/>
    <w:rsid w:val="00A1513C"/>
    <w:rsid w:val="00A665EB"/>
    <w:rsid w:val="00B53BA5"/>
    <w:rsid w:val="00B82FF0"/>
    <w:rsid w:val="00B90076"/>
    <w:rsid w:val="00F0147B"/>
    <w:rsid w:val="00F761EA"/>
    <w:rsid w:val="00F76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01490"/>
  <w15:chartTrackingRefBased/>
  <w15:docId w15:val="{ED4F4683-94C3-4865-8026-FC88F8C2E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5A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B5A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B5A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B5A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B5A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B5A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A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A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A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A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B5A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B5A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B5A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B5A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B5A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A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A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A13"/>
    <w:rPr>
      <w:rFonts w:eastAsiaTheme="majorEastAsia" w:cstheme="majorBidi"/>
      <w:color w:val="272727" w:themeColor="text1" w:themeTint="D8"/>
    </w:rPr>
  </w:style>
  <w:style w:type="paragraph" w:styleId="Title">
    <w:name w:val="Title"/>
    <w:basedOn w:val="Normal"/>
    <w:next w:val="Normal"/>
    <w:link w:val="TitleChar"/>
    <w:uiPriority w:val="10"/>
    <w:qFormat/>
    <w:rsid w:val="000B5A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A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A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A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A13"/>
    <w:pPr>
      <w:spacing w:before="160"/>
      <w:jc w:val="center"/>
    </w:pPr>
    <w:rPr>
      <w:i/>
      <w:iCs/>
      <w:color w:val="404040" w:themeColor="text1" w:themeTint="BF"/>
    </w:rPr>
  </w:style>
  <w:style w:type="character" w:customStyle="1" w:styleId="QuoteChar">
    <w:name w:val="Quote Char"/>
    <w:basedOn w:val="DefaultParagraphFont"/>
    <w:link w:val="Quote"/>
    <w:uiPriority w:val="29"/>
    <w:rsid w:val="000B5A13"/>
    <w:rPr>
      <w:i/>
      <w:iCs/>
      <w:color w:val="404040" w:themeColor="text1" w:themeTint="BF"/>
    </w:rPr>
  </w:style>
  <w:style w:type="paragraph" w:styleId="ListParagraph">
    <w:name w:val="List Paragraph"/>
    <w:basedOn w:val="Normal"/>
    <w:uiPriority w:val="34"/>
    <w:qFormat/>
    <w:rsid w:val="000B5A13"/>
    <w:pPr>
      <w:ind w:left="720"/>
      <w:contextualSpacing/>
    </w:pPr>
  </w:style>
  <w:style w:type="character" w:styleId="IntenseEmphasis">
    <w:name w:val="Intense Emphasis"/>
    <w:basedOn w:val="DefaultParagraphFont"/>
    <w:uiPriority w:val="21"/>
    <w:qFormat/>
    <w:rsid w:val="000B5A13"/>
    <w:rPr>
      <w:i/>
      <w:iCs/>
      <w:color w:val="2F5496" w:themeColor="accent1" w:themeShade="BF"/>
    </w:rPr>
  </w:style>
  <w:style w:type="paragraph" w:styleId="IntenseQuote">
    <w:name w:val="Intense Quote"/>
    <w:basedOn w:val="Normal"/>
    <w:next w:val="Normal"/>
    <w:link w:val="IntenseQuoteChar"/>
    <w:uiPriority w:val="30"/>
    <w:qFormat/>
    <w:rsid w:val="000B5A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5A13"/>
    <w:rPr>
      <w:i/>
      <w:iCs/>
      <w:color w:val="2F5496" w:themeColor="accent1" w:themeShade="BF"/>
    </w:rPr>
  </w:style>
  <w:style w:type="character" w:styleId="IntenseReference">
    <w:name w:val="Intense Reference"/>
    <w:basedOn w:val="DefaultParagraphFont"/>
    <w:uiPriority w:val="32"/>
    <w:qFormat/>
    <w:rsid w:val="000B5A13"/>
    <w:rPr>
      <w:b/>
      <w:bCs/>
      <w:smallCaps/>
      <w:color w:val="2F5496" w:themeColor="accent1" w:themeShade="BF"/>
      <w:spacing w:val="5"/>
    </w:rPr>
  </w:style>
  <w:style w:type="paragraph" w:styleId="TOCHeading">
    <w:name w:val="TOC Heading"/>
    <w:basedOn w:val="Heading1"/>
    <w:next w:val="Normal"/>
    <w:uiPriority w:val="39"/>
    <w:unhideWhenUsed/>
    <w:qFormat/>
    <w:rsid w:val="005B55E7"/>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5B55E7"/>
    <w:pPr>
      <w:spacing w:after="100"/>
      <w:ind w:left="240"/>
    </w:pPr>
  </w:style>
  <w:style w:type="paragraph" w:styleId="TOC3">
    <w:name w:val="toc 3"/>
    <w:basedOn w:val="Normal"/>
    <w:next w:val="Normal"/>
    <w:autoRedefine/>
    <w:uiPriority w:val="39"/>
    <w:unhideWhenUsed/>
    <w:rsid w:val="005B55E7"/>
    <w:pPr>
      <w:spacing w:after="100"/>
      <w:ind w:left="480"/>
    </w:pPr>
  </w:style>
  <w:style w:type="character" w:styleId="Hyperlink">
    <w:name w:val="Hyperlink"/>
    <w:basedOn w:val="DefaultParagraphFont"/>
    <w:uiPriority w:val="99"/>
    <w:unhideWhenUsed/>
    <w:rsid w:val="005B55E7"/>
    <w:rPr>
      <w:color w:val="0563C1" w:themeColor="hyperlink"/>
      <w:u w:val="single"/>
    </w:rPr>
  </w:style>
  <w:style w:type="paragraph" w:styleId="Caption">
    <w:name w:val="caption"/>
    <w:basedOn w:val="Normal"/>
    <w:next w:val="Normal"/>
    <w:uiPriority w:val="35"/>
    <w:unhideWhenUsed/>
    <w:qFormat/>
    <w:rsid w:val="00A665EB"/>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A665EB"/>
    <w:rPr>
      <w:color w:val="605E5C"/>
      <w:shd w:val="clear" w:color="auto" w:fill="E1DFDD"/>
    </w:rPr>
  </w:style>
  <w:style w:type="paragraph" w:styleId="Header">
    <w:name w:val="header"/>
    <w:basedOn w:val="Normal"/>
    <w:link w:val="HeaderChar"/>
    <w:uiPriority w:val="99"/>
    <w:unhideWhenUsed/>
    <w:rsid w:val="00F762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2DB"/>
  </w:style>
  <w:style w:type="paragraph" w:styleId="Footer">
    <w:name w:val="footer"/>
    <w:basedOn w:val="Normal"/>
    <w:link w:val="FooterChar"/>
    <w:uiPriority w:val="99"/>
    <w:unhideWhenUsed/>
    <w:rsid w:val="00F762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2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www.who.int/news-room/fact-sheets/detail/diabete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gov.uk/government/publications/health-matters-obesity-and-the-food-environment/health-matters-obesity-and-the-food-environment--2" TargetMode="External"/><Relationship Id="rId2" Type="http://schemas.openxmlformats.org/officeDocument/2006/relationships/numbering" Target="numbering.xml"/><Relationship Id="rId16" Type="http://schemas.openxmlformats.org/officeDocument/2006/relationships/hyperlink" Target="https://www.nice.org.uk/guidance/ng2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ologyonline.com/dictionary/cellular-respiration" TargetMode="External"/><Relationship Id="rId5" Type="http://schemas.openxmlformats.org/officeDocument/2006/relationships/webSettings" Target="webSettings.xml"/><Relationship Id="rId15" Type="http://schemas.openxmlformats.org/officeDocument/2006/relationships/hyperlink" Target="https://www.diabetes.org.uk/about-us/about-the-charity/our-strategy/statistics" TargetMode="Externa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s://www.gov.uk/government/publications/physical-activity-guidelines-uk-chief-medical-officers-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0C740-0352-4A1B-BC18-29180CE80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2726</Words>
  <Characters>15542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Muskan Makhija</dc:creator>
  <cp:keywords/>
  <dc:description/>
  <cp:lastModifiedBy>Mariam Karim (2407469)</cp:lastModifiedBy>
  <cp:revision>4</cp:revision>
  <dcterms:created xsi:type="dcterms:W3CDTF">2026-02-11T10:07:00Z</dcterms:created>
  <dcterms:modified xsi:type="dcterms:W3CDTF">2026-02-11T10:08:00Z</dcterms:modified>
</cp:coreProperties>
</file>