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A7A7C" w:rsidRPr="008B5BC2" w:rsidRDefault="009A7A7C" w:rsidP="009A7A7C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/>
          <w:bCs/>
          <w:sz w:val="24"/>
          <w:szCs w:val="24"/>
        </w:rPr>
      </w:pPr>
      <w:r w:rsidRPr="008B5BC2">
        <w:rPr>
          <w:rFonts w:ascii="Trebuchet MS" w:hAnsi="Trebuchet MS" w:cs="Tahoma-Bold"/>
          <w:b/>
          <w:bCs/>
          <w:sz w:val="24"/>
          <w:szCs w:val="24"/>
        </w:rPr>
        <w:t>4.2 Theoretical engagement with New</w:t>
      </w:r>
      <w:r w:rsidR="008B5BC2">
        <w:rPr>
          <w:rFonts w:ascii="Trebuchet MS" w:hAnsi="Trebuchet MS" w:cs="Tahoma-Bold"/>
          <w:b/>
          <w:bCs/>
          <w:sz w:val="24"/>
          <w:szCs w:val="24"/>
        </w:rPr>
        <w:t xml:space="preserve"> </w:t>
      </w:r>
      <w:r w:rsidRPr="008B5BC2">
        <w:rPr>
          <w:rFonts w:ascii="Trebuchet MS" w:hAnsi="Trebuchet MS" w:cs="Tahoma-Bold"/>
          <w:b/>
          <w:bCs/>
          <w:sz w:val="24"/>
          <w:szCs w:val="24"/>
        </w:rPr>
        <w:t>Age and neo-paganism</w:t>
      </w:r>
    </w:p>
    <w:p w:rsidR="009A7A7C" w:rsidRPr="008B5BC2" w:rsidRDefault="009A7A7C" w:rsidP="009A7A7C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Prior to the Kendal Project, Paul Heelas wrote a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highly respected study of New Age spiritualities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(Heelas: 1996). He traced the origins of the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movement in exhaustive detail, but what is of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most significance for this present chapter is his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account of distinctive New Age emphases.</w:t>
      </w:r>
      <w:r w:rsidR="008B5BC2"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Where previous studies had described a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smorgasbord of diverse beliefs and practices,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Heelas claimed that an underlying continuity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could be detected. He described New Age as a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variety of forms of ‘self-spirituality’, concerned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with transforming the inner life by unlocking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spiritual potential. This immanent force within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 xml:space="preserve">is variously considered to be constrained by </w:t>
      </w:r>
      <w:r w:rsidR="008B5BC2">
        <w:rPr>
          <w:rFonts w:ascii="Trebuchet MS" w:hAnsi="Trebuchet MS" w:cs="Tahoma"/>
          <w:sz w:val="24"/>
          <w:szCs w:val="24"/>
        </w:rPr>
        <w:t xml:space="preserve">  t</w:t>
      </w:r>
      <w:r w:rsidRPr="008B5BC2">
        <w:rPr>
          <w:rFonts w:ascii="Trebuchet MS" w:hAnsi="Trebuchet MS" w:cs="Tahoma"/>
          <w:sz w:val="24"/>
          <w:szCs w:val="24"/>
        </w:rPr>
        <w:t>he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ego or by capitalist dehumanising excess. The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authority of the self is affirmed, with a strong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emphasis on detraditionalization. The liberation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of untapped higher potential is conceived as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self-discovery and enhancement, rather than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operating with any sense of repentance and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salvation as divine gifts from outside the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human self. The long shadows cast by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Augustine over Western European religion –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the inescapability of human sinfulness,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salvation as a gift from God to the undeserving,</w:t>
      </w:r>
    </w:p>
    <w:p w:rsidR="00C15DD5" w:rsidRPr="008B5BC2" w:rsidRDefault="009A7A7C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no salvation outside the church, submission to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 xml:space="preserve">God as true rest and freedom – have </w:t>
      </w:r>
      <w:r w:rsidR="008B5BC2"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been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swept aside by the new dawn of selfspirituality.</w:t>
      </w:r>
      <w:r w:rsidR="008B5BC2"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Participants are able to achieve selfimprovement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through voluntary</w:t>
      </w:r>
      <w:r w:rsid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experimentation on various spiritual paths.</w:t>
      </w:r>
    </w:p>
    <w:p w:rsidR="009A7A7C" w:rsidRPr="008B5BC2" w:rsidRDefault="009A7A7C" w:rsidP="009A7A7C">
      <w:pPr>
        <w:rPr>
          <w:rFonts w:ascii="Trebuchet MS" w:hAnsi="Trebuchet MS" w:cs="Tahoma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What appeals to Heelas is the emergence of a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positive, life-affirming, eco-aware, feminist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conscious spirituality, that refuses to succumb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to the iron cage of constrictive materialism.</w:t>
      </w:r>
      <w:r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When I have examined New Age promotional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literature and magazine with undergraduates,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some have shared Heelas’ appreciation for the</w:t>
      </w:r>
      <w:r>
        <w:rPr>
          <w:rFonts w:ascii="Trebuchet MS" w:hAnsi="Trebuchet MS" w:cs="Tahoma"/>
          <w:sz w:val="24"/>
          <w:szCs w:val="24"/>
        </w:rPr>
        <w:t xml:space="preserve"> 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counter-cultural assertion of transcendent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values. Others have been more inclined to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dismiss New Age as a plethora of pseudoscientific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assertions combined with a</w:t>
      </w:r>
    </w:p>
    <w:p w:rsidR="009A7A7C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narcissistic, self-indulgent, superficial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spirituality.</w:t>
      </w:r>
      <w:r>
        <w:rPr>
          <w:rFonts w:ascii="Trebuchet MS" w:hAnsi="Trebuchet MS" w:cs="Tahoma"/>
          <w:sz w:val="24"/>
          <w:szCs w:val="24"/>
        </w:rPr>
        <w:t xml:space="preserve"> </w:t>
      </w:r>
    </w:p>
    <w:p w:rsidR="008B5BC2" w:rsidRPr="008B5BC2" w:rsidRDefault="008B5BC2" w:rsidP="008B5BC2">
      <w:pPr>
        <w:rPr>
          <w:rFonts w:ascii="Trebuchet MS" w:hAnsi="Trebuchet MS" w:cs="Tahoma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Christopher Partridge (2004, 2 vols) has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produced a similarly ambitious study of neopaganism.</w:t>
      </w:r>
      <w:r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He employs the phrase ‘ re-enchantment of the West’ to signify the end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Weberian modernity as an age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‘disenchantment’. Partridge argues for the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emergence of a new popular culture,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influenced by the occult – an ‘occulture’ in his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terminology. For Partridge, ‘occult’ signifies not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 specific emphasis on Satanism, but a broad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openness to transcendental realities. This, 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argues, represents a decisive cultural turn for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 xml:space="preserve">the West, in which ancient spiritual 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resources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of Western paganism are synthesised with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Eastern spiritualities and contemporary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emphases on feminism and eco-spirituality.</w:t>
      </w:r>
      <w:r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According to Partridge, while the middle aged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gravitate to New Age spiritualities, young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adults are drawn more often towards neopaganism.</w:t>
      </w:r>
    </w:p>
    <w:p w:rsidR="008B5BC2" w:rsidRPr="008B5BC2" w:rsidRDefault="008B5BC2" w:rsidP="008B5BC2">
      <w:pPr>
        <w:rPr>
          <w:rFonts w:ascii="Trebuchet MS" w:hAnsi="Trebuchet MS" w:cs="Tahoma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Partridge critiques Steve Bruce, arguing that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classical secularization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presents a prescriptive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account of the necessary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demise of religion. Partridge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observes that while Bruce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denies that his analysis is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linear and prescriptive, in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reality both charges are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legitimate. He draws, by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contrast, upon Stark’s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redefinition of secularization as a cyclical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continuum rather than a linear, monolithic and</w:t>
      </w:r>
      <w:r>
        <w:rPr>
          <w:rFonts w:ascii="Trebuchet MS" w:hAnsi="Trebuchet MS" w:cs="Tahoma"/>
          <w:sz w:val="24"/>
          <w:szCs w:val="24"/>
        </w:rPr>
        <w:t xml:space="preserve">  </w:t>
      </w:r>
      <w:r w:rsidRPr="008B5BC2">
        <w:rPr>
          <w:rFonts w:ascii="Trebuchet MS" w:hAnsi="Trebuchet MS" w:cs="Tahoma"/>
          <w:sz w:val="24"/>
          <w:szCs w:val="24"/>
        </w:rPr>
        <w:t>a specific consequence of modernisation:</w:t>
      </w:r>
    </w:p>
    <w:p w:rsid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color w:val="7030A0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  <w:color w:val="7030A0"/>
          <w:sz w:val="24"/>
          <w:szCs w:val="24"/>
        </w:rPr>
      </w:pPr>
      <w:r w:rsidRPr="008B5BC2">
        <w:rPr>
          <w:rFonts w:ascii="Trebuchet MS" w:hAnsi="Trebuchet MS" w:cs="Tahoma"/>
          <w:color w:val="7030A0"/>
          <w:sz w:val="24"/>
          <w:szCs w:val="24"/>
        </w:rPr>
        <w:lastRenderedPageBreak/>
        <w:t>“</w:t>
      </w:r>
      <w:r w:rsidRPr="008B5BC2">
        <w:rPr>
          <w:rFonts w:ascii="Trebuchet MS" w:hAnsi="Trebuchet MS" w:cs="Tahoma"/>
          <w:color w:val="7030A0"/>
          <w:sz w:val="24"/>
          <w:szCs w:val="24"/>
        </w:rPr>
        <w:t>...we argue that secularization is nothing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new, that it is occurring constantly in all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religious economies. Through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secularization, sects are tamed and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transformed into churches. Their initial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otherworldliness is reduced and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worldliness is accommodated... thus we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regard secularization as the primary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dynamic of religious economies, a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self-limiting process that engenders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revival (sect formation) and innovation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color w:val="7030A0"/>
          <w:sz w:val="24"/>
          <w:szCs w:val="24"/>
        </w:rPr>
        <w:t>(cult formation)</w:t>
      </w:r>
      <w:r w:rsidRPr="008B5BC2">
        <w:rPr>
          <w:rFonts w:ascii="Trebuchet MS" w:hAnsi="Trebuchet MS" w:cs="Tahoma"/>
          <w:color w:val="7030A0"/>
          <w:sz w:val="24"/>
          <w:szCs w:val="24"/>
        </w:rPr>
        <w:t xml:space="preserve">” </w:t>
      </w:r>
      <w:r w:rsidRPr="008B5BC2">
        <w:rPr>
          <w:rFonts w:ascii="Trebuchet MS" w:hAnsi="Trebuchet MS" w:cs="Tahoma"/>
          <w:color w:val="7030A0"/>
          <w:sz w:val="24"/>
          <w:szCs w:val="24"/>
        </w:rPr>
        <w:t>(Stark and Bainbridge 1985:429-30)</w:t>
      </w:r>
      <w:r w:rsidRPr="008B5BC2">
        <w:rPr>
          <w:rFonts w:ascii="Trebuchet MS" w:hAnsi="Trebuchet MS" w:cs="Tahoma"/>
          <w:color w:val="7030A0"/>
          <w:sz w:val="24"/>
          <w:szCs w:val="24"/>
        </w:rPr>
        <w:t>.</w:t>
      </w:r>
      <w:r>
        <w:rPr>
          <w:rFonts w:ascii="Trebuchet MS" w:hAnsi="Trebuchet MS" w:cs="Tahoma"/>
          <w:color w:val="7030A0"/>
          <w:sz w:val="24"/>
          <w:szCs w:val="24"/>
        </w:rPr>
        <w:t xml:space="preserve"> 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  <w:color w:val="7030A0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Stark undoubtedly identifies a recurrent trend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among religious organisations, which had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previously been recognised by Weber in terms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 xml:space="preserve">of the ‘routinization of </w:t>
      </w:r>
      <w:r>
        <w:rPr>
          <w:rFonts w:ascii="Trebuchet MS" w:hAnsi="Trebuchet MS" w:cs="Tahoma"/>
          <w:sz w:val="24"/>
          <w:szCs w:val="24"/>
        </w:rPr>
        <w:t>c</w:t>
      </w:r>
      <w:r w:rsidRPr="008B5BC2">
        <w:rPr>
          <w:rFonts w:ascii="Trebuchet MS" w:hAnsi="Trebuchet MS" w:cs="Tahoma"/>
          <w:sz w:val="24"/>
          <w:szCs w:val="24"/>
        </w:rPr>
        <w:t>harisma’. However, it is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misleading or even sententious to describe this</w:t>
      </w:r>
      <w:r w:rsidRPr="008B5BC2"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form of institutional ossification as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‘secularization’. This suggests that the entire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process of religious decline can be understood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in these cyclical terms, and fails to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acknowledge the acute pressures and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transitions that religion has faced in the context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of modernity, particularly in Western Europe. In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reality, there is a cyclical pattern of institutional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decline and religious innovation that runs in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parallel with the impact of rationalisation,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structural differentiation and individualisation.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This new openness to the spiritual, whether in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terms of a spiritual quest culture, paranormal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realities, or a pan-entheistic emphasis upon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divine inter-penetration of the material world,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is, for Partridge, an undeniable reality of</w:t>
      </w:r>
      <w:r>
        <w:rPr>
          <w:rFonts w:ascii="Trebuchet MS" w:hAnsi="Trebuchet MS" w:cs="Tahoma"/>
          <w:sz w:val="24"/>
          <w:szCs w:val="24"/>
        </w:rPr>
        <w:t xml:space="preserve"> 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contemporary popular culture. The study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religion and popular culture has become a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significant centre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academic enquiry in recent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years, notably in the work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of Gordon Lynch (Lynch: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2004; Lynch: 2007b; Lynch: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2007a). In particular,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Partridge examines popular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culture as the locus of reenchantment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– music, TV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and movies all provide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instances of the rising tide of occulture. Some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of this is accidental – the producer of Buffy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Vampire Slayer considered himself an ‘angry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atheist’, but the series opened up a new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interest in the paranormal, particularly among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its young adult viewers.</w:t>
      </w:r>
    </w:p>
    <w:p w:rsid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>
        <w:rPr>
          <w:rFonts w:ascii="Trebuchet MS" w:hAnsi="Trebuchet MS" w:cs="Tahoma"/>
          <w:sz w:val="24"/>
          <w:szCs w:val="24"/>
        </w:rPr>
        <w:t xml:space="preserve"> 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A return of the gods is not the same as a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revitalization of Christianity. For Partridge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Christian faith has become, in the West, too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closely aligned with the power centres of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fading culture of early modernity to achieve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new popularity and influence in the context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the rising occulture. Even though Christianity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has lost much of its former establishment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status, it has become ‘fair game’ and a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legitimate target of denigration. This is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reflected, Partridge argues, in the changing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emphasis of vampire films. In the early to midtwentieth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  <w:r w:rsidRPr="008B5BC2">
        <w:rPr>
          <w:rFonts w:ascii="Trebuchet MS" w:hAnsi="Trebuchet MS" w:cs="Tahoma"/>
          <w:sz w:val="24"/>
          <w:szCs w:val="24"/>
        </w:rPr>
        <w:t>century, the mere brandishing of a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wooden cross was enough to make Dracula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quail. By the late twentieth century, the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Christian symbols were considered impotent or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obsolete in any conflict with the forces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darkness. The new openness to spirituality is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often accompanied by an emphatic dismissal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the value or authentic spiritual significance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institutional Christianity. Partridge concluded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that the evidence he had accrued of an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occultural re-enchantment of the West provides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no basis for any reasonable expectation of</w:t>
      </w:r>
      <w:r>
        <w:rPr>
          <w:rFonts w:ascii="Trebuchet MS" w:hAnsi="Trebuchet MS" w:cs="Tahoma"/>
          <w:sz w:val="24"/>
          <w:szCs w:val="24"/>
        </w:rPr>
        <w:t xml:space="preserve"> </w:t>
      </w:r>
      <w:r w:rsidRPr="008B5BC2">
        <w:rPr>
          <w:rFonts w:ascii="Trebuchet MS" w:hAnsi="Trebuchet MS" w:cs="Tahoma"/>
          <w:sz w:val="24"/>
          <w:szCs w:val="24"/>
        </w:rPr>
        <w:t>Christian revival.</w:t>
      </w: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B5BC2" w:rsidRPr="008B5BC2" w:rsidTr="008B5BC2">
        <w:tc>
          <w:tcPr>
            <w:tcW w:w="9242" w:type="dxa"/>
            <w:tcBorders>
              <w:top w:val="doubleWave" w:sz="6" w:space="0" w:color="7030A0"/>
              <w:left w:val="doubleWave" w:sz="6" w:space="0" w:color="7030A0"/>
              <w:bottom w:val="doubleWave" w:sz="6" w:space="0" w:color="7030A0"/>
              <w:right w:val="doubleWave" w:sz="6" w:space="0" w:color="7030A0"/>
            </w:tcBorders>
          </w:tcPr>
          <w:p w:rsidR="008B5BC2" w:rsidRPr="008B5BC2" w:rsidRDefault="008B5BC2" w:rsidP="008B5BC2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200063"/>
                <w:sz w:val="24"/>
                <w:szCs w:val="24"/>
              </w:rPr>
            </w:pP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…the argument is that the ‘turn’ to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the autonomous self and its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subjectivities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…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favors those forms of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spirituality which resource one’s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subjectivities and treats them as a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fundamental source of significance,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and undermines those forms of</w:t>
            </w:r>
          </w:p>
          <w:p w:rsidR="008B5BC2" w:rsidRPr="008B5BC2" w:rsidRDefault="008B5BC2" w:rsidP="008B5BC2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200063"/>
                <w:sz w:val="24"/>
                <w:szCs w:val="24"/>
              </w:rPr>
            </w:pP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religion which do not…As the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assumptions, beliefs, and values of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the autonomous self oriented toward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the subjective life become more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widespread in Western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lastRenderedPageBreak/>
              <w:t>cultures,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there are progressively fewer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traditionalists, conformists, or</w:t>
            </w:r>
          </w:p>
          <w:p w:rsidR="008B5BC2" w:rsidRPr="008B5BC2" w:rsidRDefault="008B5BC2" w:rsidP="008B5BC2">
            <w:pPr>
              <w:autoSpaceDE w:val="0"/>
              <w:autoSpaceDN w:val="0"/>
              <w:adjustRightInd w:val="0"/>
              <w:rPr>
                <w:rFonts w:ascii="Trebuchet MS" w:hAnsi="Trebuchet MS"/>
                <w:b/>
                <w:color w:val="7030A0"/>
                <w:sz w:val="24"/>
                <w:szCs w:val="24"/>
              </w:rPr>
            </w:pP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conservatives who are willing to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remain with places of religious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worshi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p, let alone to start attending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(Heelas: 2006, 58)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>.</w:t>
            </w:r>
          </w:p>
        </w:tc>
      </w:tr>
    </w:tbl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  <w:color w:val="7030A0"/>
          <w:sz w:val="24"/>
          <w:szCs w:val="24"/>
        </w:rPr>
      </w:pPr>
    </w:p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  <w:color w:val="7030A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B5BC2" w:rsidRPr="008B5BC2" w:rsidTr="008B5BC2">
        <w:tc>
          <w:tcPr>
            <w:tcW w:w="9242" w:type="dxa"/>
            <w:tcBorders>
              <w:top w:val="thinThickSmallGap" w:sz="24" w:space="0" w:color="auto"/>
              <w:left w:val="thinThickSmallGap" w:sz="24" w:space="0" w:color="auto"/>
              <w:bottom w:val="thinThickSmallGap" w:sz="24" w:space="0" w:color="auto"/>
              <w:right w:val="thinThickSmallGap" w:sz="24" w:space="0" w:color="auto"/>
            </w:tcBorders>
          </w:tcPr>
          <w:p w:rsidR="008B5BC2" w:rsidRPr="008B5BC2" w:rsidRDefault="008B5BC2" w:rsidP="008B5BC2">
            <w:pPr>
              <w:autoSpaceDE w:val="0"/>
              <w:autoSpaceDN w:val="0"/>
              <w:adjustRightInd w:val="0"/>
              <w:rPr>
                <w:rFonts w:ascii="Trebuchet MS" w:hAnsi="Trebuchet MS" w:cs="Tahoma"/>
                <w:color w:val="200063"/>
                <w:sz w:val="24"/>
                <w:szCs w:val="24"/>
              </w:rPr>
            </w:pPr>
            <w:bookmarkStart w:id="0" w:name="_GoBack"/>
            <w:bookmarkEnd w:id="0"/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And not only are these individual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religions very common historically,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some people today wonder if they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are not likely to become the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dominant form of religious life, and if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some day the last remaining cult will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be the one that each person freely</w:t>
            </w:r>
          </w:p>
          <w:p w:rsidR="008B5BC2" w:rsidRPr="008B5BC2" w:rsidRDefault="008B5BC2" w:rsidP="008B5BC2">
            <w:pPr>
              <w:autoSpaceDE w:val="0"/>
              <w:autoSpaceDN w:val="0"/>
              <w:adjustRightInd w:val="0"/>
              <w:rPr>
                <w:rFonts w:ascii="Trebuchet MS" w:hAnsi="Trebuchet MS"/>
                <w:color w:val="7030A0"/>
                <w:sz w:val="24"/>
                <w:szCs w:val="24"/>
              </w:rPr>
            </w:pP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practises for himself within his own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 xml:space="preserve"> conscience </w:t>
            </w:r>
            <w:r w:rsidRPr="008B5BC2">
              <w:rPr>
                <w:rFonts w:ascii="Trebuchet MS" w:hAnsi="Trebuchet MS" w:cs="Tahoma"/>
                <w:color w:val="200063"/>
                <w:sz w:val="24"/>
                <w:szCs w:val="24"/>
              </w:rPr>
              <w:t>(Durkheim: 1912, ET 2001, 44)</w:t>
            </w:r>
            <w:r>
              <w:rPr>
                <w:rFonts w:ascii="Trebuchet MS" w:hAnsi="Trebuchet MS" w:cs="Tahoma"/>
                <w:color w:val="200063"/>
                <w:sz w:val="24"/>
                <w:szCs w:val="24"/>
              </w:rPr>
              <w:t>.</w:t>
            </w:r>
          </w:p>
        </w:tc>
      </w:tr>
    </w:tbl>
    <w:p w:rsidR="008B5BC2" w:rsidRPr="008B5BC2" w:rsidRDefault="008B5BC2" w:rsidP="008B5BC2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  <w:color w:val="7030A0"/>
          <w:sz w:val="24"/>
          <w:szCs w:val="24"/>
        </w:rPr>
      </w:pPr>
    </w:p>
    <w:sectPr w:rsidR="008B5BC2" w:rsidRPr="008B5B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7A7C"/>
    <w:rsid w:val="008B5BC2"/>
    <w:rsid w:val="009A7A7C"/>
    <w:rsid w:val="00C15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B5BC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B5BC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1090</Words>
  <Characters>6213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2</cp:revision>
  <dcterms:created xsi:type="dcterms:W3CDTF">2013-04-14T10:40:00Z</dcterms:created>
  <dcterms:modified xsi:type="dcterms:W3CDTF">2013-04-14T10:49:00Z</dcterms:modified>
</cp:coreProperties>
</file>