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0766376E"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002E2DDA">
        <w:rPr>
          <w:rFonts w:asciiTheme="minorBidi" w:hAnsiTheme="minorBidi"/>
          <w:sz w:val="48"/>
          <w:szCs w:val="48"/>
        </w:rPr>
        <w:t>Problem Solving and Innovation</w:t>
      </w:r>
    </w:p>
    <w:p w14:paraId="55E98D60" w14:textId="1851CDAB"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w:t>
      </w:r>
      <w:r w:rsidR="002E2DDA">
        <w:rPr>
          <w:rFonts w:asciiTheme="minorBidi" w:hAnsiTheme="minorBidi"/>
          <w:sz w:val="48"/>
          <w:szCs w:val="48"/>
        </w:rPr>
        <w:t>4</w:t>
      </w:r>
    </w:p>
    <w:p w14:paraId="7BE17FD3" w14:textId="705E6EB8"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1: </w:t>
      </w:r>
      <w:r w:rsidR="00DB3AE7">
        <w:rPr>
          <w:rFonts w:asciiTheme="minorBidi" w:hAnsiTheme="minorBidi"/>
          <w:sz w:val="48"/>
          <w:szCs w:val="48"/>
        </w:rPr>
        <w:t>Reflective Essay</w:t>
      </w:r>
    </w:p>
    <w:p w14:paraId="14F1CDB2" w14:textId="73F8EABC" w:rsidR="00E6780D" w:rsidRPr="002E2DDA" w:rsidRDefault="00E6780D" w:rsidP="00E6780D">
      <w:pPr>
        <w:spacing w:before="3"/>
        <w:rPr>
          <w:rFonts w:asciiTheme="minorBidi" w:hAnsiTheme="minorBidi"/>
          <w:b/>
          <w:sz w:val="48"/>
          <w:szCs w:val="48"/>
        </w:rPr>
      </w:pPr>
      <w:r w:rsidRPr="002E2DDA">
        <w:rPr>
          <w:rFonts w:asciiTheme="minorBidi" w:hAnsiTheme="minorBidi"/>
          <w:b/>
          <w:sz w:val="48"/>
          <w:szCs w:val="48"/>
        </w:rPr>
        <w:t>Student Name:</w:t>
      </w:r>
      <w:r w:rsidR="00EC012B" w:rsidRPr="002E2DDA">
        <w:rPr>
          <w:rFonts w:asciiTheme="minorBidi" w:hAnsiTheme="minorBidi"/>
          <w:b/>
          <w:sz w:val="48"/>
          <w:szCs w:val="48"/>
        </w:rPr>
        <w:t xml:space="preserve"> Ieuan Robson</w:t>
      </w:r>
    </w:p>
    <w:p w14:paraId="1B6CEBE0" w14:textId="262DF0D0" w:rsidR="00E6780D" w:rsidRPr="002E2DDA" w:rsidRDefault="00E6780D" w:rsidP="00E6780D">
      <w:pPr>
        <w:spacing w:before="3"/>
        <w:rPr>
          <w:rFonts w:asciiTheme="minorBidi" w:hAnsiTheme="minorBidi"/>
          <w:b/>
          <w:sz w:val="48"/>
          <w:szCs w:val="48"/>
        </w:rPr>
      </w:pPr>
      <w:r w:rsidRPr="002E2DDA">
        <w:rPr>
          <w:rFonts w:asciiTheme="minorBidi" w:hAnsiTheme="minorBidi"/>
          <w:b/>
          <w:sz w:val="48"/>
          <w:szCs w:val="48"/>
        </w:rPr>
        <w:t>Student Number:</w:t>
      </w:r>
      <w:r w:rsidR="00EC012B" w:rsidRPr="002E2DDA">
        <w:rPr>
          <w:rFonts w:asciiTheme="minorBidi" w:hAnsiTheme="minorBidi"/>
          <w:b/>
          <w:sz w:val="48"/>
          <w:szCs w:val="48"/>
        </w:rPr>
        <w:t xml:space="preserve"> 2510045</w:t>
      </w:r>
    </w:p>
    <w:p w14:paraId="3CA1AB6B" w14:textId="0BB46DB5"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proofErr w:type="spellStart"/>
      <w:r w:rsidR="002E2DDA">
        <w:rPr>
          <w:rFonts w:asciiTheme="minorBidi" w:hAnsiTheme="minorBidi"/>
          <w:bCs/>
          <w:sz w:val="48"/>
          <w:szCs w:val="48"/>
        </w:rPr>
        <w:t>Arpu</w:t>
      </w:r>
      <w:proofErr w:type="spellEnd"/>
      <w:r w:rsidR="002E2DDA">
        <w:rPr>
          <w:rFonts w:asciiTheme="minorBidi" w:hAnsiTheme="minorBidi"/>
          <w:bCs/>
          <w:sz w:val="48"/>
          <w:szCs w:val="48"/>
        </w:rPr>
        <w:t xml:space="preserve"> Kumar</w:t>
      </w:r>
      <w:r w:rsidRPr="0040098D">
        <w:rPr>
          <w:rFonts w:asciiTheme="minorBidi" w:hAnsiTheme="minorBidi"/>
          <w:b/>
          <w:sz w:val="48"/>
          <w:szCs w:val="48"/>
        </w:rPr>
        <w:br/>
        <w:t xml:space="preserve">Deadline: </w:t>
      </w:r>
      <w:r w:rsidR="00E474BA" w:rsidRPr="00E474BA">
        <w:rPr>
          <w:rFonts w:asciiTheme="minorBidi" w:hAnsiTheme="minorBidi"/>
          <w:bCs/>
          <w:sz w:val="48"/>
          <w:szCs w:val="48"/>
        </w:rPr>
        <w:t>2</w:t>
      </w:r>
      <w:r w:rsidR="00056135">
        <w:rPr>
          <w:rFonts w:asciiTheme="minorBidi" w:hAnsiTheme="minorBidi"/>
          <w:bCs/>
          <w:sz w:val="48"/>
          <w:szCs w:val="48"/>
        </w:rPr>
        <w:t>7</w:t>
      </w:r>
      <w:r w:rsidR="00E474BA" w:rsidRPr="00E474BA">
        <w:rPr>
          <w:rFonts w:asciiTheme="minorBidi" w:hAnsiTheme="minorBidi"/>
          <w:bCs/>
          <w:sz w:val="48"/>
          <w:szCs w:val="48"/>
          <w:vertAlign w:val="superscript"/>
        </w:rPr>
        <w:t>th</w:t>
      </w:r>
      <w:r w:rsidR="00E474BA">
        <w:rPr>
          <w:rFonts w:asciiTheme="minorBidi" w:hAnsiTheme="minorBidi"/>
          <w:b/>
          <w:sz w:val="48"/>
          <w:szCs w:val="48"/>
        </w:rPr>
        <w:t xml:space="preserve"> </w:t>
      </w:r>
      <w:r w:rsidR="002E2DDA">
        <w:rPr>
          <w:rFonts w:asciiTheme="minorBidi" w:hAnsiTheme="minorBidi"/>
          <w:bCs/>
          <w:sz w:val="48"/>
          <w:szCs w:val="48"/>
        </w:rPr>
        <w:t xml:space="preserve">February 23:59  </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413DCC8C" w14:textId="77777777" w:rsidR="002E2DDA" w:rsidRDefault="002E2DDA" w:rsidP="00DB3AE7">
      <w:pPr>
        <w:jc w:val="both"/>
        <w:rPr>
          <w:rFonts w:ascii="Aptos" w:hAnsi="Aptos"/>
          <w:b/>
          <w:bCs/>
          <w:sz w:val="32"/>
          <w:szCs w:val="32"/>
        </w:rPr>
      </w:pPr>
    </w:p>
    <w:p w14:paraId="5D479A65" w14:textId="47952F20" w:rsidR="00DB3AE7" w:rsidRPr="00394489" w:rsidRDefault="00DB3AE7" w:rsidP="00DB3AE7">
      <w:pPr>
        <w:jc w:val="both"/>
        <w:rPr>
          <w:rFonts w:ascii="Aptos" w:hAnsi="Aptos"/>
          <w:b/>
          <w:bCs/>
          <w:sz w:val="32"/>
          <w:szCs w:val="32"/>
        </w:rPr>
      </w:pPr>
      <w:r w:rsidRPr="00394489">
        <w:rPr>
          <w:rFonts w:ascii="Aptos" w:hAnsi="Aptos"/>
          <w:b/>
          <w:bCs/>
          <w:sz w:val="32"/>
          <w:szCs w:val="32"/>
        </w:rPr>
        <w:lastRenderedPageBreak/>
        <w:t xml:space="preserve">AI Acknowledgement  </w:t>
      </w:r>
    </w:p>
    <w:p w14:paraId="1EFAECBC" w14:textId="77777777" w:rsidR="00DB3AE7" w:rsidRPr="00BC369C" w:rsidRDefault="00DB3AE7" w:rsidP="00DB3AE7">
      <w:pPr>
        <w:jc w:val="both"/>
        <w:rPr>
          <w:b/>
          <w:bCs/>
          <w:sz w:val="28"/>
          <w:szCs w:val="28"/>
          <w:highlight w:val="yellow"/>
          <w:u w:val="single"/>
        </w:rPr>
      </w:pPr>
      <w:r w:rsidRPr="00BC369C">
        <w:rPr>
          <w:b/>
          <w:bCs/>
          <w:sz w:val="28"/>
          <w:szCs w:val="28"/>
          <w:highlight w:val="yellow"/>
          <w:u w:val="single"/>
        </w:rPr>
        <w:t>Examples of statements If you have not used AI</w:t>
      </w:r>
    </w:p>
    <w:p w14:paraId="1B58AC2F" w14:textId="05FA1802" w:rsidR="00DB3AE7" w:rsidRPr="00BC369C" w:rsidRDefault="00DB3AE7" w:rsidP="00DB3AE7">
      <w:pPr>
        <w:jc w:val="both"/>
        <w:rPr>
          <w:sz w:val="28"/>
          <w:szCs w:val="28"/>
        </w:rPr>
      </w:pPr>
      <w:r w:rsidRPr="00BC369C">
        <w:rPr>
          <w:sz w:val="28"/>
          <w:szCs w:val="28"/>
        </w:rPr>
        <w:t xml:space="preserve">I confirm that I have not presented any </w:t>
      </w:r>
      <w:r w:rsidR="002E2DDA">
        <w:rPr>
          <w:sz w:val="28"/>
          <w:szCs w:val="28"/>
        </w:rPr>
        <w:t>AI-generated</w:t>
      </w:r>
      <w:r w:rsidRPr="00BC369C">
        <w:rPr>
          <w:sz w:val="28"/>
          <w:szCs w:val="28"/>
        </w:rPr>
        <w:t xml:space="preserve"> materials as my own work. </w:t>
      </w:r>
    </w:p>
    <w:p w14:paraId="265E9F64" w14:textId="6A7C3553" w:rsidR="00DB3AE7" w:rsidRDefault="00DB3AE7" w:rsidP="00DB3AE7">
      <w:pPr>
        <w:jc w:val="both"/>
        <w:rPr>
          <w:sz w:val="28"/>
          <w:szCs w:val="28"/>
        </w:rPr>
      </w:pPr>
      <w:r w:rsidRPr="00BC369C">
        <w:rPr>
          <w:sz w:val="28"/>
          <w:szCs w:val="28"/>
        </w:rPr>
        <w:t>I confirm that I have copies of my drafts, notes, and other resources I used, which I may be asked to provide in evidence.</w:t>
      </w:r>
      <w:r w:rsidR="00186FFF">
        <w:rPr>
          <w:sz w:val="28"/>
          <w:szCs w:val="28"/>
        </w:rPr>
        <w:t xml:space="preserve"> </w:t>
      </w:r>
    </w:p>
    <w:p w14:paraId="2A760301" w14:textId="3D8F7908" w:rsidR="00E905A0" w:rsidRDefault="00E905A0" w:rsidP="00E905A0">
      <w:pPr>
        <w:pStyle w:val="NormalWeb"/>
        <w:shd w:val="clear" w:color="auto" w:fill="FFFFFF"/>
        <w:rPr>
          <w:rFonts w:ascii="Arial" w:hAnsi="Arial" w:cs="Arial"/>
          <w:color w:val="222222"/>
        </w:rPr>
      </w:pPr>
      <w:r>
        <w:rPr>
          <w:rFonts w:ascii="Arial" w:hAnsi="Arial" w:cs="Arial"/>
          <w:color w:val="222222"/>
        </w:rPr>
        <w:t xml:space="preserve">Reflection is widely recognised as an essential part of professional development because it moves learning beyond describing events towards analysing why they occurred, what they mean, and what should follow. Over time, I have realised that my experiences have shaped not only my practical skills but also my professional identity and the environment in which I perform best. This reflective account evaluates my transition from the care sector into </w:t>
      </w:r>
      <w:r w:rsidR="00D052DD">
        <w:rPr>
          <w:rFonts w:ascii="Arial" w:hAnsi="Arial" w:cs="Arial"/>
          <w:color w:val="222222"/>
        </w:rPr>
        <w:t xml:space="preserve">my future goals </w:t>
      </w:r>
      <w:r w:rsidR="00100AE5">
        <w:rPr>
          <w:rFonts w:ascii="Arial" w:hAnsi="Arial" w:cs="Arial"/>
          <w:color w:val="222222"/>
        </w:rPr>
        <w:t xml:space="preserve">in </w:t>
      </w:r>
      <w:r>
        <w:rPr>
          <w:rFonts w:ascii="Arial" w:hAnsi="Arial" w:cs="Arial"/>
          <w:color w:val="222222"/>
        </w:rPr>
        <w:t>finance and accounting. I use</w:t>
      </w:r>
      <w:r w:rsidR="00100AE5">
        <w:rPr>
          <w:rFonts w:ascii="Arial" w:hAnsi="Arial" w:cs="Arial"/>
          <w:color w:val="222222"/>
        </w:rPr>
        <w:t xml:space="preserve">d </w:t>
      </w:r>
      <w:r>
        <w:rPr>
          <w:rFonts w:ascii="Arial" w:hAnsi="Arial" w:cs="Arial"/>
          <w:color w:val="222222"/>
        </w:rPr>
        <w:t xml:space="preserve">Gibbs’ reflective cycle to structure my analysis and draw on complementary tools—SWOT analysis, the Johari Window, Myers-Briggs personality theory, and SMART goal setting—to assess whether this direction aligns with my strengths, motivations, and long-term ambitions (Al-Mutawa et al., 2024; Harvey et al., 2025). I began working in elderly care at eighteen without a defined career plan. My priority was financial independence rather than </w:t>
      </w:r>
      <w:r w:rsidR="00EF542F">
        <w:rPr>
          <w:rFonts w:ascii="Arial" w:hAnsi="Arial" w:cs="Arial"/>
          <w:color w:val="222222"/>
        </w:rPr>
        <w:t xml:space="preserve">a </w:t>
      </w:r>
      <w:r>
        <w:rPr>
          <w:rFonts w:ascii="Arial" w:hAnsi="Arial" w:cs="Arial"/>
          <w:color w:val="222222"/>
        </w:rPr>
        <w:t xml:space="preserve">long-term strategy. However, the role required emotional maturity and accountability sooner than expected. Supporting vulnerable adults involved safeguarding awareness, accurate record keeping, and maintaining professionalism when individuals were distressed, unwell, or confused. Completing a Level 3 qualification in adult care reinforced my </w:t>
      </w:r>
      <w:r w:rsidR="00983D94">
        <w:rPr>
          <w:rFonts w:ascii="Arial" w:hAnsi="Arial" w:cs="Arial"/>
          <w:color w:val="222222"/>
        </w:rPr>
        <w:t>commitment</w:t>
      </w:r>
      <w:r>
        <w:rPr>
          <w:rFonts w:ascii="Arial" w:hAnsi="Arial" w:cs="Arial"/>
          <w:color w:val="222222"/>
        </w:rPr>
        <w:t xml:space="preserve"> to structured learning alongside employment and strengthened my sense of responsibility. It also made me more confident </w:t>
      </w:r>
      <w:r w:rsidR="00100AE5">
        <w:rPr>
          <w:rFonts w:ascii="Arial" w:hAnsi="Arial" w:cs="Arial"/>
          <w:color w:val="222222"/>
        </w:rPr>
        <w:t xml:space="preserve">in </w:t>
      </w:r>
      <w:r>
        <w:rPr>
          <w:rFonts w:ascii="Arial" w:hAnsi="Arial" w:cs="Arial"/>
          <w:color w:val="222222"/>
        </w:rPr>
        <w:t>communicating with families and professionals, because I had to explain decisions clearly and document them accurately. I later moved into children’s support work and completed a second Level 3 qualification. This role demanded patience, adaptability, and consistency, as progress with young people is rarely linear and is often influenced by trauma, family dynamics, and education systems. Alongside care work, I worked security at events and nightclubs. That experience strengthened my confidence, situational awareness, and ability to de-escalate conflict calmly. Reflecting on these experiences, I recognise that they developed transferable skills</w:t>
      </w:r>
      <w:r w:rsidR="005C5117">
        <w:rPr>
          <w:rFonts w:ascii="Arial" w:hAnsi="Arial" w:cs="Arial"/>
          <w:color w:val="222222"/>
        </w:rPr>
        <w:t>,</w:t>
      </w:r>
      <w:r>
        <w:rPr>
          <w:rFonts w:ascii="Arial" w:hAnsi="Arial" w:cs="Arial"/>
          <w:color w:val="222222"/>
        </w:rPr>
        <w:t xml:space="preserve"> including communication, resilience, professionalism, and decision-making under pressure. Reflective learning supports the recognition and transfer of such skills across contexts, because it helps people</w:t>
      </w:r>
      <w:r w:rsidR="002C656D">
        <w:rPr>
          <w:rFonts w:ascii="Arial" w:hAnsi="Arial" w:cs="Arial"/>
          <w:color w:val="222222"/>
        </w:rPr>
        <w:t xml:space="preserve"> to </w:t>
      </w:r>
      <w:r>
        <w:rPr>
          <w:rFonts w:ascii="Arial" w:hAnsi="Arial" w:cs="Arial"/>
          <w:color w:val="222222"/>
        </w:rPr>
        <w:t>translate experience into language that employers understand (Mello et al., 2021). My background</w:t>
      </w:r>
      <w:r w:rsidR="00983D94">
        <w:rPr>
          <w:rFonts w:ascii="Arial" w:hAnsi="Arial" w:cs="Arial"/>
          <w:color w:val="222222"/>
        </w:rPr>
        <w:t>,</w:t>
      </w:r>
      <w:r>
        <w:rPr>
          <w:rFonts w:ascii="Arial" w:hAnsi="Arial" w:cs="Arial"/>
          <w:color w:val="222222"/>
        </w:rPr>
        <w:t xml:space="preserve"> therefore</w:t>
      </w:r>
      <w:r w:rsidR="00983D94">
        <w:rPr>
          <w:rFonts w:ascii="Arial" w:hAnsi="Arial" w:cs="Arial"/>
          <w:color w:val="222222"/>
        </w:rPr>
        <w:t>,</w:t>
      </w:r>
      <w:r>
        <w:rPr>
          <w:rFonts w:ascii="Arial" w:hAnsi="Arial" w:cs="Arial"/>
          <w:color w:val="222222"/>
        </w:rPr>
        <w:t xml:space="preserve"> represents a strong professional foundation rather than unrelated experience. My interest in finance did not arise from dissatisfaction. I valued the meaningful aspects of care and remain proud of my qualifications. The shift developed gradually when I noticed I felt most engaged during structured tasks such as reviewing documentation, checking compliance, monitoring incidents, and analysing care plans. I preferred organised problem-solving to constant emotional reactivity, and I enjoyed</w:t>
      </w:r>
      <w:r w:rsidR="004C55DA">
        <w:rPr>
          <w:rFonts w:ascii="Arial" w:hAnsi="Arial" w:cs="Arial"/>
          <w:color w:val="222222"/>
        </w:rPr>
        <w:t xml:space="preserve"> the </w:t>
      </w:r>
      <w:r w:rsidR="005B4E39">
        <w:rPr>
          <w:rFonts w:ascii="Arial" w:hAnsi="Arial" w:cs="Arial"/>
          <w:color w:val="222222"/>
        </w:rPr>
        <w:t>analytical process</w:t>
      </w:r>
      <w:r>
        <w:rPr>
          <w:rFonts w:ascii="Arial" w:hAnsi="Arial" w:cs="Arial"/>
          <w:color w:val="222222"/>
        </w:rPr>
        <w:t xml:space="preserve"> so that the work ran smoothly. This insight suggests alignment between my motivation and analytical work. Research indicates that self-reflection and career exploration can enhance adaptability and </w:t>
      </w:r>
      <w:r w:rsidR="00983D94">
        <w:rPr>
          <w:rFonts w:ascii="Arial" w:hAnsi="Arial" w:cs="Arial"/>
          <w:color w:val="222222"/>
        </w:rPr>
        <w:t>well-being</w:t>
      </w:r>
      <w:r>
        <w:rPr>
          <w:rFonts w:ascii="Arial" w:hAnsi="Arial" w:cs="Arial"/>
          <w:color w:val="222222"/>
        </w:rPr>
        <w:t xml:space="preserve"> during transitions by clarifying</w:t>
      </w:r>
      <w:r w:rsidR="00275F61">
        <w:rPr>
          <w:rFonts w:ascii="Arial" w:hAnsi="Arial" w:cs="Arial"/>
          <w:color w:val="222222"/>
        </w:rPr>
        <w:t xml:space="preserve"> a</w:t>
      </w:r>
      <w:r>
        <w:rPr>
          <w:rFonts w:ascii="Arial" w:hAnsi="Arial" w:cs="Arial"/>
          <w:color w:val="222222"/>
        </w:rPr>
        <w:t xml:space="preserve"> personal fit and increasing confidence in </w:t>
      </w:r>
      <w:r>
        <w:rPr>
          <w:rFonts w:ascii="Arial" w:hAnsi="Arial" w:cs="Arial"/>
          <w:color w:val="222222"/>
        </w:rPr>
        <w:lastRenderedPageBreak/>
        <w:t xml:space="preserve">future choices (Ran et al., 2023). Applying Gibbs’ cycle enabled </w:t>
      </w:r>
      <w:r w:rsidR="00C16E27">
        <w:rPr>
          <w:rFonts w:ascii="Arial" w:hAnsi="Arial" w:cs="Arial"/>
          <w:color w:val="222222"/>
        </w:rPr>
        <w:t xml:space="preserve">a </w:t>
      </w:r>
      <w:r>
        <w:rPr>
          <w:rFonts w:ascii="Arial" w:hAnsi="Arial" w:cs="Arial"/>
          <w:color w:val="222222"/>
        </w:rPr>
        <w:t xml:space="preserve">structured evaluation of this shift (Al-Mutawa et al., 2024). In the description stage, I identified the gradual movement from frontline care to analytical interest. In the feelings stage, I acknowledged both excitement and uncertainty. I was motivated by measurable progression and the idea of developing specialist </w:t>
      </w:r>
      <w:proofErr w:type="gramStart"/>
      <w:r w:rsidR="00B87A25">
        <w:rPr>
          <w:rFonts w:ascii="Arial" w:hAnsi="Arial" w:cs="Arial"/>
          <w:color w:val="222222"/>
        </w:rPr>
        <w:t>skills</w:t>
      </w:r>
      <w:r w:rsidR="005F2D43">
        <w:rPr>
          <w:rFonts w:ascii="Arial" w:hAnsi="Arial" w:cs="Arial"/>
          <w:color w:val="222222"/>
        </w:rPr>
        <w:t>,</w:t>
      </w:r>
      <w:r w:rsidR="00B87A25">
        <w:rPr>
          <w:rFonts w:ascii="Arial" w:hAnsi="Arial" w:cs="Arial"/>
          <w:color w:val="222222"/>
        </w:rPr>
        <w:t xml:space="preserve"> yet</w:t>
      </w:r>
      <w:proofErr w:type="gramEnd"/>
      <w:r>
        <w:rPr>
          <w:rFonts w:ascii="Arial" w:hAnsi="Arial" w:cs="Arial"/>
          <w:color w:val="222222"/>
        </w:rPr>
        <w:t xml:space="preserve"> concerned about leaving a familiar sector and whether employers would take a career change seriously. During evaluation, I recognised that finance aligns with my preference for organisation, pattern recognition, and systematic improvement. I also recognised potential costs: stepping into a new sector may mean starting at a lower level and being judged against candidates with more direct experience. However, this felt like a realistic trade-off for long-term alignment. In the analysis stage, I realised that career satisfaction depends on alignment between strengths and daily responsibilities, not simply competence or comfort. Structured reflection supports intentional career decisions rather than reactive choices, and it helps people justify a change with evidence rather than vague preference (Harvey et al., 2025). It also challenged the assumption that familiarity equals stability. Remaining in one sector for security alone may restrict long-term growth if the work no longer fits. My conclusion is that transitioning into finance represents progression rather than rejection of my care background. My action plan includes completing my Level 4 qualification</w:t>
      </w:r>
      <w:r w:rsidR="00396427">
        <w:rPr>
          <w:rFonts w:ascii="Arial" w:hAnsi="Arial" w:cs="Arial"/>
          <w:color w:val="222222"/>
        </w:rPr>
        <w:t xml:space="preserve"> in </w:t>
      </w:r>
      <w:r w:rsidR="00ED2490">
        <w:rPr>
          <w:rFonts w:ascii="Arial" w:hAnsi="Arial" w:cs="Arial"/>
          <w:color w:val="222222"/>
        </w:rPr>
        <w:t>employability skills</w:t>
      </w:r>
      <w:r>
        <w:rPr>
          <w:rFonts w:ascii="Arial" w:hAnsi="Arial" w:cs="Arial"/>
          <w:color w:val="222222"/>
        </w:rPr>
        <w:t>, progressing onto a finance and accounting degree and securing an entry-level accounting assistant role within twelve months. I also plan to build evidence of competence through targeted training, practical exposure, and feedback,</w:t>
      </w:r>
      <w:r w:rsidR="00DF2B96">
        <w:rPr>
          <w:rFonts w:ascii="Arial" w:hAnsi="Arial" w:cs="Arial"/>
          <w:color w:val="222222"/>
        </w:rPr>
        <w:t xml:space="preserve"> </w:t>
      </w:r>
      <w:r>
        <w:rPr>
          <w:rFonts w:ascii="Arial" w:hAnsi="Arial" w:cs="Arial"/>
          <w:color w:val="222222"/>
        </w:rPr>
        <w:t xml:space="preserve">so I can present my transition as credible rather than speculative. A SWOT analysis further clarified this transition. SWOT distinguishes internal attributes from external factors, enabling strategic planning instead of general worry (Antoniadou and Kanellopoulou, 2024). My strengths include resilience, emotional intelligence, communication skills, and consistent academic commitment. I have worked in high-pressure environments where mistakes have real consequences, which has trained me to be careful, accurate, and </w:t>
      </w:r>
      <w:r w:rsidR="00C16E27">
        <w:rPr>
          <w:rFonts w:ascii="Arial" w:hAnsi="Arial" w:cs="Arial"/>
          <w:color w:val="222222"/>
        </w:rPr>
        <w:t>accountable</w:t>
      </w:r>
      <w:r w:rsidR="00695CF3">
        <w:rPr>
          <w:rFonts w:ascii="Arial" w:hAnsi="Arial" w:cs="Arial"/>
          <w:color w:val="222222"/>
        </w:rPr>
        <w:t>,</w:t>
      </w:r>
      <w:r w:rsidR="00C16E27">
        <w:rPr>
          <w:rFonts w:ascii="Arial" w:hAnsi="Arial" w:cs="Arial"/>
          <w:color w:val="222222"/>
        </w:rPr>
        <w:t xml:space="preserve"> qualities</w:t>
      </w:r>
      <w:r>
        <w:rPr>
          <w:rFonts w:ascii="Arial" w:hAnsi="Arial" w:cs="Arial"/>
          <w:color w:val="222222"/>
        </w:rPr>
        <w:t xml:space="preserve"> that are valuable in finance. My analytical tendency and preference for structured work directly support a finance pathway. Weaknesses include limited accounting experience and advanced Excel proficiency, as well as limited exposure to finance software and reporting cycles. Opportunities involve networking, placement experience, university support services, and professional accreditation routes. Threats include market competition, economic uncertainty, and the possibility of being filtered out in early recruitment stages because my background does not look “traditional” for accounting. Although simplified, SWOT reframed perceived barriers as actionable development areas rather than fixed limitations. It also helped me think practically about how to reduce risk: for example, by strengthening Excel competence, building a portfolio of relevant coursework, and gaining entry-level experience quickly. The Johari Window extended reflection to interpersonal awareness. Finance requires both technical competence and collaboration, especially when translating financial information for colleagues who are not finance specialists. The Johari framework highlights blind spots that can affect teamwork and leadership potential. Research demonstrates that reducing blind areas through feedback improves decision-making and professional relationships (Silva et al., 2025). Feedback from colleagues suggests that while my independence and task focus are strengths, they can sometimes limit collaboration if I do not actively invite input or share my thinking early. This is realistic for me: when I am confident in a task, I can default to “I’ll just handle it,” which is efficient but not always inclusive. </w:t>
      </w:r>
      <w:r>
        <w:rPr>
          <w:rFonts w:ascii="Arial" w:hAnsi="Arial" w:cs="Arial"/>
          <w:color w:val="222222"/>
        </w:rPr>
        <w:lastRenderedPageBreak/>
        <w:t>Recognising this tendency allows targeted improvement through earlier feedback-seeking, transparent communication, and a deliberate effort to involve others before decisions are final. In finance, that matters because accuracy is important, but so is trust and shared understanding across departments. I also applied Myers-Briggs personality theory and identified</w:t>
      </w:r>
      <w:r w:rsidR="00445BE7">
        <w:rPr>
          <w:rFonts w:ascii="Arial" w:hAnsi="Arial" w:cs="Arial"/>
          <w:color w:val="222222"/>
        </w:rPr>
        <w:t xml:space="preserve"> </w:t>
      </w:r>
      <w:r w:rsidR="004805E6">
        <w:rPr>
          <w:rFonts w:ascii="Arial" w:hAnsi="Arial" w:cs="Arial"/>
          <w:color w:val="222222"/>
        </w:rPr>
        <w:t>myself</w:t>
      </w:r>
      <w:r>
        <w:rPr>
          <w:rFonts w:ascii="Arial" w:hAnsi="Arial" w:cs="Arial"/>
          <w:color w:val="222222"/>
        </w:rPr>
        <w:t xml:space="preserve"> as</w:t>
      </w:r>
      <w:r w:rsidR="00445BE7">
        <w:rPr>
          <w:rFonts w:ascii="Arial" w:hAnsi="Arial" w:cs="Arial"/>
          <w:color w:val="222222"/>
        </w:rPr>
        <w:t xml:space="preserve"> </w:t>
      </w:r>
      <w:r w:rsidR="004805E6">
        <w:rPr>
          <w:rFonts w:ascii="Arial" w:hAnsi="Arial" w:cs="Arial"/>
          <w:color w:val="222222"/>
        </w:rPr>
        <w:t>an</w:t>
      </w:r>
      <w:r w:rsidR="00445BE7">
        <w:rPr>
          <w:rFonts w:ascii="Arial" w:hAnsi="Arial" w:cs="Arial"/>
          <w:color w:val="222222"/>
        </w:rPr>
        <w:t xml:space="preserve"> </w:t>
      </w:r>
      <w:r>
        <w:rPr>
          <w:rFonts w:ascii="Arial" w:hAnsi="Arial" w:cs="Arial"/>
          <w:color w:val="222222"/>
        </w:rPr>
        <w:t>INTJ</w:t>
      </w:r>
      <w:r w:rsidR="00B62E45">
        <w:rPr>
          <w:rFonts w:ascii="Arial" w:hAnsi="Arial" w:cs="Arial"/>
          <w:color w:val="222222"/>
        </w:rPr>
        <w:t xml:space="preserve"> personality type</w:t>
      </w:r>
      <w:r>
        <w:rPr>
          <w:rFonts w:ascii="Arial" w:hAnsi="Arial" w:cs="Arial"/>
          <w:color w:val="222222"/>
        </w:rPr>
        <w:t>. I relate strongly to its emphasis on strategic thinking, independence, and long-term planning. These traits align with finance because I am motivated by logical systems, efficiency, and measurable progress, and I enjoy improving processes rather than repeating them. However, personality frameworks should not be viewed as deterministic predictors of success, and research encourages caution in how such tools are interpreted (Zárate-Torres et al., 2023). I therefore treat INTJ as a reflective lens rather than a fixed identity. It highlights strengths such as structured thinking and long-term planning while reminding me to monitor risks, such as becoming overly independent or dismissing collaborative processes. In practice, this means deliberately building habits that support teamwork, such as asking clarifying questions, explaining reasoning, and seeking critique. To ensure practical progression, I established SMART goals. Goal setting is often presented as automatically positive, but research suggests SMART approaches can become restrictive or encourage “box-ticking” if applied mechanically (Pietsch et al., 2024). For me, the value is in using goals as checkpoints while keeping them connected to genuine development. In higher education contexts, goal setting can support motivation when it is aligned with personal values and reviewed regularly, rather than treated as a one-off exercise (Martins and van Jaarsveld, 2025). My goals are to complete an</w:t>
      </w:r>
      <w:r w:rsidR="00653405">
        <w:rPr>
          <w:rFonts w:ascii="Arial" w:hAnsi="Arial" w:cs="Arial"/>
          <w:color w:val="222222"/>
        </w:rPr>
        <w:t xml:space="preserve"> </w:t>
      </w:r>
      <w:r>
        <w:rPr>
          <w:rFonts w:ascii="Arial" w:hAnsi="Arial" w:cs="Arial"/>
          <w:color w:val="222222"/>
        </w:rPr>
        <w:t>Excel certification by September 2026</w:t>
      </w:r>
      <w:r w:rsidR="00472981">
        <w:rPr>
          <w:rFonts w:ascii="Arial" w:hAnsi="Arial" w:cs="Arial"/>
          <w:color w:val="222222"/>
        </w:rPr>
        <w:t>,</w:t>
      </w:r>
      <w:r>
        <w:rPr>
          <w:rFonts w:ascii="Arial" w:hAnsi="Arial" w:cs="Arial"/>
          <w:color w:val="222222"/>
        </w:rPr>
        <w:t xml:space="preserve"> secure an entry-level accounting assistant role within twelve months of completing my Level 4 </w:t>
      </w:r>
      <w:r w:rsidR="0070034A">
        <w:rPr>
          <w:rFonts w:ascii="Arial" w:hAnsi="Arial" w:cs="Arial"/>
          <w:color w:val="222222"/>
        </w:rPr>
        <w:t>qualification and</w:t>
      </w:r>
      <w:r>
        <w:rPr>
          <w:rFonts w:ascii="Arial" w:hAnsi="Arial" w:cs="Arial"/>
          <w:color w:val="222222"/>
        </w:rPr>
        <w:t xml:space="preserve"> connect with at least </w:t>
      </w:r>
      <w:r w:rsidR="00536076">
        <w:rPr>
          <w:rFonts w:ascii="Arial" w:hAnsi="Arial" w:cs="Arial"/>
          <w:color w:val="222222"/>
        </w:rPr>
        <w:t xml:space="preserve">ten to </w:t>
      </w:r>
      <w:r w:rsidR="002C47FC">
        <w:rPr>
          <w:rFonts w:ascii="Arial" w:hAnsi="Arial" w:cs="Arial"/>
          <w:color w:val="222222"/>
        </w:rPr>
        <w:t>fifteen</w:t>
      </w:r>
      <w:r w:rsidR="00536076">
        <w:rPr>
          <w:rFonts w:ascii="Arial" w:hAnsi="Arial" w:cs="Arial"/>
          <w:color w:val="222222"/>
        </w:rPr>
        <w:t xml:space="preserve"> </w:t>
      </w:r>
      <w:r>
        <w:rPr>
          <w:rFonts w:ascii="Arial" w:hAnsi="Arial" w:cs="Arial"/>
          <w:color w:val="222222"/>
        </w:rPr>
        <w:t xml:space="preserve">finance professionals within six months. These targets address skills gaps, employability, and professional exposure in measurable ways. To support these goals, I plan to build a routine of practice (for example, weekly Excel exercises), seek feedback on my CV and interview technique, and use </w:t>
      </w:r>
      <w:r w:rsidR="00493EFA">
        <w:rPr>
          <w:rFonts w:ascii="Arial" w:hAnsi="Arial" w:cs="Arial"/>
          <w:color w:val="222222"/>
        </w:rPr>
        <w:t xml:space="preserve">a </w:t>
      </w:r>
      <w:r>
        <w:rPr>
          <w:rFonts w:ascii="Arial" w:hAnsi="Arial" w:cs="Arial"/>
          <w:color w:val="222222"/>
        </w:rPr>
        <w:t xml:space="preserve">networking </w:t>
      </w:r>
      <w:r w:rsidR="00493EFA">
        <w:rPr>
          <w:rFonts w:ascii="Arial" w:hAnsi="Arial" w:cs="Arial"/>
          <w:color w:val="222222"/>
        </w:rPr>
        <w:t xml:space="preserve">strategy </w:t>
      </w:r>
      <w:r>
        <w:rPr>
          <w:rFonts w:ascii="Arial" w:hAnsi="Arial" w:cs="Arial"/>
          <w:color w:val="222222"/>
        </w:rPr>
        <w:t xml:space="preserve">by attending events, joining professional groups, and following up with contacts. My personal development plan builds on these objectives by strengthening technical knowledge, improving software proficiency, developing professional confidence, and expanding networking capacity. Employability research emphasises aligning skills, identity, and labour market awareness rather than relying solely on academic </w:t>
      </w:r>
      <w:r w:rsidR="003D6753">
        <w:rPr>
          <w:rFonts w:ascii="Arial" w:hAnsi="Arial" w:cs="Arial"/>
          <w:color w:val="222222"/>
        </w:rPr>
        <w:t>qualifications</w:t>
      </w:r>
      <w:r>
        <w:rPr>
          <w:rFonts w:ascii="Arial" w:hAnsi="Arial" w:cs="Arial"/>
          <w:color w:val="222222"/>
        </w:rPr>
        <w:t xml:space="preserve">, because employability is shaped by how well a person can evidence capability and fit (Eimer and Bohndick, 2023). I intend to review my progress quarterly, using feedback and evidence of achievement—certificates, coursework results, applications, and interview reflections—to adjust strategies where necessary. This iterative approach keeps my transition realistic and prevents setbacks from becoming discouraging, because it turns them into data for improvement. Overall, structured reflection has transformed uncertainty into clarity. My background in care developed resilience, accountability, and emotional intelligence—qualities that remain valuable across sectors. Reflection enabled me to recognise that I thrive in structured, analytical environments where progress is measurable. Applying Gibbs’ cycle, SWOT analysis, the Johari Window, MBTI theory, and SMART goal setting provided a multi-dimensional evaluation of my readiness for transition. This move into finance is not </w:t>
      </w:r>
      <w:r w:rsidR="0070034A">
        <w:rPr>
          <w:rFonts w:ascii="Arial" w:hAnsi="Arial" w:cs="Arial"/>
          <w:color w:val="222222"/>
        </w:rPr>
        <w:t>impulsive,</w:t>
      </w:r>
      <w:r>
        <w:rPr>
          <w:rFonts w:ascii="Arial" w:hAnsi="Arial" w:cs="Arial"/>
          <w:color w:val="222222"/>
        </w:rPr>
        <w:t xml:space="preserve"> but a considered progression aligned with my strengths, motivations, and long-term professional ambitions (Harvey et al., 2025; Ran et al., 2023).</w:t>
      </w:r>
    </w:p>
    <w:p w14:paraId="32C0D539" w14:textId="77777777" w:rsidR="00E905A0" w:rsidRDefault="00E905A0" w:rsidP="00DB3AE7">
      <w:pPr>
        <w:jc w:val="both"/>
        <w:rPr>
          <w:sz w:val="28"/>
          <w:szCs w:val="28"/>
        </w:rPr>
      </w:pPr>
    </w:p>
    <w:p w14:paraId="62880E6E" w14:textId="77777777" w:rsidR="00CA346A" w:rsidRPr="00D15D3E" w:rsidRDefault="00CA346A" w:rsidP="00D15D3E">
      <w:pPr>
        <w:pStyle w:val="NormalWeb"/>
        <w:shd w:val="clear" w:color="auto" w:fill="FFFFFF"/>
        <w:jc w:val="center"/>
        <w:rPr>
          <w:rFonts w:asciiTheme="majorHAnsi" w:hAnsiTheme="majorHAnsi" w:cs="Arial"/>
          <w:b/>
          <w:bCs/>
          <w:color w:val="222222"/>
          <w:sz w:val="52"/>
          <w:szCs w:val="52"/>
          <w:u w:val="single"/>
        </w:rPr>
      </w:pPr>
    </w:p>
    <w:p w14:paraId="132F8B67" w14:textId="00AD8A17" w:rsidR="00CA346A" w:rsidRDefault="00D15D3E" w:rsidP="002C102D">
      <w:pPr>
        <w:pStyle w:val="NormalWeb"/>
        <w:shd w:val="clear" w:color="auto" w:fill="FFFFFF"/>
        <w:rPr>
          <w:rFonts w:asciiTheme="majorHAnsi" w:hAnsiTheme="majorHAnsi" w:cs="Arial"/>
          <w:b/>
          <w:bCs/>
          <w:color w:val="222222"/>
          <w:sz w:val="52"/>
          <w:szCs w:val="52"/>
          <w:u w:val="single"/>
        </w:rPr>
      </w:pPr>
      <w:r w:rsidRPr="00D15D3E">
        <w:rPr>
          <w:rFonts w:asciiTheme="majorHAnsi" w:hAnsiTheme="majorHAnsi" w:cs="Arial"/>
          <w:b/>
          <w:bCs/>
          <w:color w:val="222222"/>
          <w:sz w:val="52"/>
          <w:szCs w:val="52"/>
          <w:u w:val="single"/>
        </w:rPr>
        <w:t>Reference</w:t>
      </w:r>
      <w:r>
        <w:rPr>
          <w:rFonts w:asciiTheme="majorHAnsi" w:hAnsiTheme="majorHAnsi" w:cs="Arial"/>
          <w:b/>
          <w:bCs/>
          <w:color w:val="222222"/>
          <w:sz w:val="52"/>
          <w:szCs w:val="52"/>
          <w:u w:val="single"/>
        </w:rPr>
        <w:t xml:space="preserve"> list</w:t>
      </w:r>
    </w:p>
    <w:p w14:paraId="44913144" w14:textId="77777777"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Al-Mutawa, N.A.A.M., Thomas, E., Basha, I.H., Nazir, U. and Al-Mutawa, A.A.M. (2024) ‘Reflective writing among healthcare practitioners: perspectives on reflective practice and Gibbs’ cycle’, Cogent Education, 11(1), 2373555. Available at: </w:t>
      </w:r>
      <w:hyperlink r:id="rId8" w:tgtFrame="_blank" w:history="1">
        <w:r w:rsidRPr="00DD7AA4">
          <w:rPr>
            <w:rFonts w:ascii="Arial" w:eastAsia="Times New Roman" w:hAnsi="Arial" w:cs="Arial"/>
            <w:color w:val="1155CC"/>
            <w:kern w:val="0"/>
            <w:u w:val="single"/>
            <w:lang w:eastAsia="en-GB"/>
            <w14:ligatures w14:val="none"/>
          </w:rPr>
          <w:t>https://www.tandfonline.com/doi/full/10.1080/2331186X.2024.2373555</w:t>
        </w:r>
      </w:hyperlink>
      <w:r w:rsidRPr="00DD7AA4">
        <w:rPr>
          <w:rFonts w:ascii="Arial" w:eastAsia="Times New Roman" w:hAnsi="Arial" w:cs="Arial"/>
          <w:color w:val="222222"/>
          <w:kern w:val="0"/>
          <w:lang w:eastAsia="en-GB"/>
          <w14:ligatures w14:val="none"/>
        </w:rPr>
        <w:t> (Accessed: 19 February 2026).</w:t>
      </w:r>
    </w:p>
    <w:p w14:paraId="716B60B9" w14:textId="3AA4A744"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Antoniadou, M. and Kanellopoulou, A. (2024) ‘Educational approach: application of SWOT analysis for assessing entrepreneurial goals in senior dental students’, European Journal of Investigation in Health, Psychology and Education, 14(3), pp. 753–766. Available at: </w:t>
      </w:r>
      <w:hyperlink r:id="rId9" w:tgtFrame="_blank" w:history="1">
        <w:r w:rsidRPr="00DD7AA4">
          <w:rPr>
            <w:rFonts w:ascii="Arial" w:eastAsia="Times New Roman" w:hAnsi="Arial" w:cs="Arial"/>
            <w:color w:val="1155CC"/>
            <w:kern w:val="0"/>
            <w:u w:val="single"/>
            <w:lang w:eastAsia="en-GB"/>
            <w14:ligatures w14:val="none"/>
          </w:rPr>
          <w:t>https://www.mdpi.com/2254-9625/14/3/49</w:t>
        </w:r>
      </w:hyperlink>
      <w:r w:rsidRPr="00DD7AA4">
        <w:rPr>
          <w:rFonts w:ascii="Arial" w:eastAsia="Times New Roman" w:hAnsi="Arial" w:cs="Arial"/>
          <w:color w:val="222222"/>
          <w:kern w:val="0"/>
          <w:lang w:eastAsia="en-GB"/>
          <w14:ligatures w14:val="none"/>
        </w:rPr>
        <w:t xml:space="preserve"> (Accessed: </w:t>
      </w:r>
      <w:r w:rsidR="00E34734">
        <w:rPr>
          <w:rFonts w:ascii="Arial" w:eastAsia="Times New Roman" w:hAnsi="Arial" w:cs="Arial"/>
          <w:color w:val="222222"/>
          <w:kern w:val="0"/>
          <w:lang w:eastAsia="en-GB"/>
          <w14:ligatures w14:val="none"/>
        </w:rPr>
        <w:t>20</w:t>
      </w:r>
      <w:r w:rsidRPr="00DD7AA4">
        <w:rPr>
          <w:rFonts w:ascii="Arial" w:eastAsia="Times New Roman" w:hAnsi="Arial" w:cs="Arial"/>
          <w:color w:val="222222"/>
          <w:kern w:val="0"/>
          <w:lang w:eastAsia="en-GB"/>
          <w14:ligatures w14:val="none"/>
        </w:rPr>
        <w:t xml:space="preserve"> February 2026).</w:t>
      </w:r>
    </w:p>
    <w:p w14:paraId="72F197EA" w14:textId="77777777"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Eimer, A. and Bohndick, C. (2023) ‘Employability models for higher education: a systematic literature review and analysis’, Social Sciences &amp; Humanities Open, 8(1), 100588. Available at: </w:t>
      </w:r>
      <w:hyperlink r:id="rId10" w:tgtFrame="_blank" w:history="1">
        <w:r w:rsidRPr="00DD7AA4">
          <w:rPr>
            <w:rFonts w:ascii="Arial" w:eastAsia="Times New Roman" w:hAnsi="Arial" w:cs="Arial"/>
            <w:color w:val="1155CC"/>
            <w:kern w:val="0"/>
            <w:u w:val="single"/>
            <w:lang w:eastAsia="en-GB"/>
            <w14:ligatures w14:val="none"/>
          </w:rPr>
          <w:t>https://www.sciencedirect.com/science/article/pii/S2590291123000793</w:t>
        </w:r>
      </w:hyperlink>
      <w:r w:rsidRPr="00DD7AA4">
        <w:rPr>
          <w:rFonts w:ascii="Arial" w:eastAsia="Times New Roman" w:hAnsi="Arial" w:cs="Arial"/>
          <w:color w:val="222222"/>
          <w:kern w:val="0"/>
          <w:lang w:eastAsia="en-GB"/>
          <w14:ligatures w14:val="none"/>
        </w:rPr>
        <w:t> (Accessed: 19 February 2026).</w:t>
      </w:r>
    </w:p>
    <w:p w14:paraId="5EB53968" w14:textId="00BF9050" w:rsidR="00DD7AA4" w:rsidRPr="003B06C8"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 xml:space="preserve">Harvey, M., Coulson, D. and </w:t>
      </w:r>
      <w:proofErr w:type="spellStart"/>
      <w:r w:rsidRPr="00DD7AA4">
        <w:rPr>
          <w:rFonts w:ascii="Arial" w:eastAsia="Times New Roman" w:hAnsi="Arial" w:cs="Arial"/>
          <w:color w:val="222222"/>
          <w:kern w:val="0"/>
          <w:lang w:eastAsia="en-GB"/>
          <w14:ligatures w14:val="none"/>
        </w:rPr>
        <w:t>McMaugh</w:t>
      </w:r>
      <w:proofErr w:type="spellEnd"/>
      <w:r w:rsidRPr="00DD7AA4">
        <w:rPr>
          <w:rFonts w:ascii="Arial" w:eastAsia="Times New Roman" w:hAnsi="Arial" w:cs="Arial"/>
          <w:color w:val="222222"/>
          <w:kern w:val="0"/>
          <w:lang w:eastAsia="en-GB"/>
          <w14:ligatures w14:val="none"/>
        </w:rPr>
        <w:t xml:space="preserve">, A. (2025) ‘Reflecting on reflective practice: issues, problems and possibilities’, Higher Education Research &amp; Development, 44(7), pp. 1849–1857. </w:t>
      </w:r>
      <w:r w:rsidRPr="003B06C8">
        <w:rPr>
          <w:rFonts w:ascii="Arial" w:eastAsia="Times New Roman" w:hAnsi="Arial" w:cs="Arial"/>
          <w:color w:val="222222"/>
          <w:kern w:val="0"/>
          <w:lang w:eastAsia="en-GB"/>
          <w14:ligatures w14:val="none"/>
        </w:rPr>
        <w:t>Available at: </w:t>
      </w:r>
      <w:hyperlink r:id="rId11" w:tgtFrame="_blank" w:history="1">
        <w:r w:rsidRPr="003B06C8">
          <w:rPr>
            <w:rFonts w:ascii="Arial" w:eastAsia="Times New Roman" w:hAnsi="Arial" w:cs="Arial"/>
            <w:color w:val="1155CC"/>
            <w:kern w:val="0"/>
            <w:u w:val="single"/>
            <w:lang w:eastAsia="en-GB"/>
            <w14:ligatures w14:val="none"/>
          </w:rPr>
          <w:t>https://www.tandfonline.com/doi/full/10.1080/07294360.2025.2463517</w:t>
        </w:r>
      </w:hyperlink>
      <w:r w:rsidRPr="003B06C8">
        <w:rPr>
          <w:rFonts w:ascii="Arial" w:eastAsia="Times New Roman" w:hAnsi="Arial" w:cs="Arial"/>
          <w:color w:val="222222"/>
          <w:kern w:val="0"/>
          <w:lang w:eastAsia="en-GB"/>
          <w14:ligatures w14:val="none"/>
        </w:rPr>
        <w:t> (Accessed:</w:t>
      </w:r>
      <w:r w:rsidR="00E34734" w:rsidRPr="003B06C8">
        <w:rPr>
          <w:rFonts w:ascii="Arial" w:eastAsia="Times New Roman" w:hAnsi="Arial" w:cs="Arial"/>
          <w:color w:val="222222"/>
          <w:kern w:val="0"/>
          <w:lang w:eastAsia="en-GB"/>
          <w14:ligatures w14:val="none"/>
        </w:rPr>
        <w:t>20</w:t>
      </w:r>
      <w:r w:rsidR="003B06C8" w:rsidRPr="003B06C8">
        <w:rPr>
          <w:rFonts w:ascii="Arial" w:eastAsia="Times New Roman" w:hAnsi="Arial" w:cs="Arial"/>
          <w:color w:val="222222"/>
          <w:kern w:val="0"/>
          <w:lang w:eastAsia="en-GB"/>
          <w14:ligatures w14:val="none"/>
        </w:rPr>
        <w:t xml:space="preserve"> </w:t>
      </w:r>
      <w:r w:rsidRPr="003B06C8">
        <w:rPr>
          <w:rFonts w:ascii="Arial" w:eastAsia="Times New Roman" w:hAnsi="Arial" w:cs="Arial"/>
          <w:color w:val="222222"/>
          <w:kern w:val="0"/>
          <w:lang w:eastAsia="en-GB"/>
          <w14:ligatures w14:val="none"/>
        </w:rPr>
        <w:t>February 2026).</w:t>
      </w:r>
    </w:p>
    <w:p w14:paraId="5CECC6F0" w14:textId="77777777"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Martins, D. and van Jaarsveld, L. (2025) ‘Goal setting within higher education: a critical review of the literature and future directions’, Innovations in Education and Teaching International. Available at: </w:t>
      </w:r>
      <w:hyperlink r:id="rId12" w:tgtFrame="_blank" w:history="1">
        <w:r w:rsidRPr="00DD7AA4">
          <w:rPr>
            <w:rFonts w:ascii="Arial" w:eastAsia="Times New Roman" w:hAnsi="Arial" w:cs="Arial"/>
            <w:color w:val="1155CC"/>
            <w:kern w:val="0"/>
            <w:u w:val="single"/>
            <w:lang w:eastAsia="en-GB"/>
            <w14:ligatures w14:val="none"/>
          </w:rPr>
          <w:t>https://www.tandfonline.com/doi/full/10.1080/14703297.2024.2457294</w:t>
        </w:r>
      </w:hyperlink>
      <w:r w:rsidRPr="00DD7AA4">
        <w:rPr>
          <w:rFonts w:ascii="Arial" w:eastAsia="Times New Roman" w:hAnsi="Arial" w:cs="Arial"/>
          <w:color w:val="222222"/>
          <w:kern w:val="0"/>
          <w:lang w:eastAsia="en-GB"/>
          <w14:ligatures w14:val="none"/>
        </w:rPr>
        <w:t> (Accessed: 19 February 2026).</w:t>
      </w:r>
    </w:p>
    <w:p w14:paraId="3C7FF7B4" w14:textId="77777777"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Mello, L.V., Firth, A., Sullivan, A. and Andrews, D. (2021) ‘Developing transferable skills through embedding reflection in the science curriculum’, FEBS Open Bio, 12(1), pp. 5–17. Available at: </w:t>
      </w:r>
      <w:hyperlink r:id="rId13" w:tgtFrame="_blank" w:history="1">
        <w:r w:rsidRPr="00DD7AA4">
          <w:rPr>
            <w:rFonts w:ascii="Arial" w:eastAsia="Times New Roman" w:hAnsi="Arial" w:cs="Arial"/>
            <w:color w:val="1155CC"/>
            <w:kern w:val="0"/>
            <w:u w:val="single"/>
            <w:lang w:eastAsia="en-GB"/>
            <w14:ligatures w14:val="none"/>
          </w:rPr>
          <w:t>https://febs.onlinelibrary.wiley.com/doi/10.1002/2211-5463.13372</w:t>
        </w:r>
      </w:hyperlink>
      <w:r w:rsidRPr="00DD7AA4">
        <w:rPr>
          <w:rFonts w:ascii="Arial" w:eastAsia="Times New Roman" w:hAnsi="Arial" w:cs="Arial"/>
          <w:color w:val="222222"/>
          <w:kern w:val="0"/>
          <w:lang w:eastAsia="en-GB"/>
          <w14:ligatures w14:val="none"/>
        </w:rPr>
        <w:t> (Accessed: 19 February 2026).</w:t>
      </w:r>
    </w:p>
    <w:p w14:paraId="21DC16D4" w14:textId="77777777"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Pietsch, S., Feasts, C. and Martin, A. (2024) ‘SMART goals are no more effective for creative tasks’, British Journal of Educational Psychology. Available at: </w:t>
      </w:r>
      <w:hyperlink r:id="rId14" w:tgtFrame="_blank" w:history="1">
        <w:r w:rsidRPr="00DD7AA4">
          <w:rPr>
            <w:rFonts w:ascii="Arial" w:eastAsia="Times New Roman" w:hAnsi="Arial" w:cs="Arial"/>
            <w:color w:val="1155CC"/>
            <w:kern w:val="0"/>
            <w:u w:val="single"/>
            <w:lang w:eastAsia="en-GB"/>
            <w14:ligatures w14:val="none"/>
          </w:rPr>
          <w:t>https://bpspsychub.onlinelibrary.wiley.com/doi/10.1111/bjep.12631</w:t>
        </w:r>
      </w:hyperlink>
      <w:r w:rsidRPr="00DD7AA4">
        <w:rPr>
          <w:rFonts w:ascii="Arial" w:eastAsia="Times New Roman" w:hAnsi="Arial" w:cs="Arial"/>
          <w:color w:val="222222"/>
          <w:kern w:val="0"/>
          <w:lang w:eastAsia="en-GB"/>
          <w14:ligatures w14:val="none"/>
        </w:rPr>
        <w:t> (Accessed: 19 February 2026).</w:t>
      </w:r>
    </w:p>
    <w:p w14:paraId="157AD3E4" w14:textId="77777777"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lastRenderedPageBreak/>
        <w:t xml:space="preserve">Ran, J., Liu, H., Yuan, Y., Yu, X. and Dong, T. (2023) ‘Linking career exploration, self-reflection, career calling, career adaptability and subjective well-being: a self-regulation theory perspective’, Psychology Research and </w:t>
      </w:r>
      <w:proofErr w:type="spellStart"/>
      <w:r w:rsidRPr="00DD7AA4">
        <w:rPr>
          <w:rFonts w:ascii="Arial" w:eastAsia="Times New Roman" w:hAnsi="Arial" w:cs="Arial"/>
          <w:color w:val="222222"/>
          <w:kern w:val="0"/>
          <w:lang w:eastAsia="en-GB"/>
          <w14:ligatures w14:val="none"/>
        </w:rPr>
        <w:t>Behavior</w:t>
      </w:r>
      <w:proofErr w:type="spellEnd"/>
      <w:r w:rsidRPr="00DD7AA4">
        <w:rPr>
          <w:rFonts w:ascii="Arial" w:eastAsia="Times New Roman" w:hAnsi="Arial" w:cs="Arial"/>
          <w:color w:val="222222"/>
          <w:kern w:val="0"/>
          <w:lang w:eastAsia="en-GB"/>
          <w14:ligatures w14:val="none"/>
        </w:rPr>
        <w:t xml:space="preserve"> Management, 16, pp. 2805–2817. Available at: </w:t>
      </w:r>
      <w:hyperlink r:id="rId15" w:tgtFrame="_blank" w:history="1">
        <w:r w:rsidRPr="00DD7AA4">
          <w:rPr>
            <w:rFonts w:ascii="Arial" w:eastAsia="Times New Roman" w:hAnsi="Arial" w:cs="Arial"/>
            <w:color w:val="1155CC"/>
            <w:kern w:val="0"/>
            <w:u w:val="single"/>
            <w:lang w:eastAsia="en-GB"/>
            <w14:ligatures w14:val="none"/>
          </w:rPr>
          <w:t>https://www.dovepress.com/linking-career-exploration-self-reflection-career-calling-career-ada-peer-reviewed-fulltext-article-PRBM</w:t>
        </w:r>
      </w:hyperlink>
      <w:r w:rsidRPr="00DD7AA4">
        <w:rPr>
          <w:rFonts w:ascii="Arial" w:eastAsia="Times New Roman" w:hAnsi="Arial" w:cs="Arial"/>
          <w:color w:val="222222"/>
          <w:kern w:val="0"/>
          <w:lang w:eastAsia="en-GB"/>
          <w14:ligatures w14:val="none"/>
        </w:rPr>
        <w:t> (Accessed: 19 February 2026).</w:t>
      </w:r>
    </w:p>
    <w:p w14:paraId="67751C93" w14:textId="77777777"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 xml:space="preserve">Silva, </w:t>
      </w:r>
      <w:proofErr w:type="spellStart"/>
      <w:r w:rsidRPr="00DD7AA4">
        <w:rPr>
          <w:rFonts w:ascii="Arial" w:eastAsia="Times New Roman" w:hAnsi="Arial" w:cs="Arial"/>
          <w:color w:val="222222"/>
          <w:kern w:val="0"/>
          <w:lang w:eastAsia="en-GB"/>
          <w14:ligatures w14:val="none"/>
        </w:rPr>
        <w:t>D.B.d.S</w:t>
      </w:r>
      <w:proofErr w:type="spellEnd"/>
      <w:r w:rsidRPr="00DD7AA4">
        <w:rPr>
          <w:rFonts w:ascii="Arial" w:eastAsia="Times New Roman" w:hAnsi="Arial" w:cs="Arial"/>
          <w:color w:val="222222"/>
          <w:kern w:val="0"/>
          <w:lang w:eastAsia="en-GB"/>
          <w14:ligatures w14:val="none"/>
        </w:rPr>
        <w:t xml:space="preserve">., Becerra, C.E.T., Feitosa, A.D., Albuquerque, </w:t>
      </w:r>
      <w:proofErr w:type="spellStart"/>
      <w:r w:rsidRPr="00DD7AA4">
        <w:rPr>
          <w:rFonts w:ascii="Arial" w:eastAsia="Times New Roman" w:hAnsi="Arial" w:cs="Arial"/>
          <w:color w:val="222222"/>
          <w:kern w:val="0"/>
          <w:lang w:eastAsia="en-GB"/>
          <w14:ligatures w14:val="none"/>
        </w:rPr>
        <w:t>A.P.G.d</w:t>
      </w:r>
      <w:proofErr w:type="spellEnd"/>
      <w:r w:rsidRPr="00DD7AA4">
        <w:rPr>
          <w:rFonts w:ascii="Arial" w:eastAsia="Times New Roman" w:hAnsi="Arial" w:cs="Arial"/>
          <w:color w:val="222222"/>
          <w:kern w:val="0"/>
          <w:lang w:eastAsia="en-GB"/>
          <w14:ligatures w14:val="none"/>
        </w:rPr>
        <w:t xml:space="preserve">., Melo, </w:t>
      </w:r>
      <w:proofErr w:type="spellStart"/>
      <w:r w:rsidRPr="00DD7AA4">
        <w:rPr>
          <w:rFonts w:ascii="Arial" w:eastAsia="Times New Roman" w:hAnsi="Arial" w:cs="Arial"/>
          <w:color w:val="222222"/>
          <w:kern w:val="0"/>
          <w:lang w:eastAsia="en-GB"/>
          <w14:ligatures w14:val="none"/>
        </w:rPr>
        <w:t>F.J.C.d</w:t>
      </w:r>
      <w:proofErr w:type="spellEnd"/>
      <w:r w:rsidRPr="00DD7AA4">
        <w:rPr>
          <w:rFonts w:ascii="Arial" w:eastAsia="Times New Roman" w:hAnsi="Arial" w:cs="Arial"/>
          <w:color w:val="222222"/>
          <w:kern w:val="0"/>
          <w:lang w:eastAsia="en-GB"/>
          <w14:ligatures w14:val="none"/>
        </w:rPr>
        <w:t xml:space="preserve">. and Medeiros, </w:t>
      </w:r>
      <w:proofErr w:type="spellStart"/>
      <w:r w:rsidRPr="00DD7AA4">
        <w:rPr>
          <w:rFonts w:ascii="Arial" w:eastAsia="Times New Roman" w:hAnsi="Arial" w:cs="Arial"/>
          <w:color w:val="222222"/>
          <w:kern w:val="0"/>
          <w:lang w:eastAsia="en-GB"/>
          <w14:ligatures w14:val="none"/>
        </w:rPr>
        <w:t>D.D.d</w:t>
      </w:r>
      <w:proofErr w:type="spellEnd"/>
      <w:r w:rsidRPr="00DD7AA4">
        <w:rPr>
          <w:rFonts w:ascii="Arial" w:eastAsia="Times New Roman" w:hAnsi="Arial" w:cs="Arial"/>
          <w:color w:val="222222"/>
          <w:kern w:val="0"/>
          <w:lang w:eastAsia="en-GB"/>
          <w14:ligatures w14:val="none"/>
        </w:rPr>
        <w:t>. (2025) ‘Evaluating the leader’s profile from the team members’ perspective: a case study applying Johari’s Window’, Standards, 5(1), Article 5. Available at: </w:t>
      </w:r>
      <w:hyperlink r:id="rId16" w:tgtFrame="_blank" w:history="1">
        <w:r w:rsidRPr="00DD7AA4">
          <w:rPr>
            <w:rFonts w:ascii="Arial" w:eastAsia="Times New Roman" w:hAnsi="Arial" w:cs="Arial"/>
            <w:color w:val="1155CC"/>
            <w:kern w:val="0"/>
            <w:u w:val="single"/>
            <w:lang w:eastAsia="en-GB"/>
            <w14:ligatures w14:val="none"/>
          </w:rPr>
          <w:t>https://www.mdpi.com/2305-6703/5/1/5</w:t>
        </w:r>
      </w:hyperlink>
      <w:r w:rsidRPr="00DD7AA4">
        <w:rPr>
          <w:rFonts w:ascii="Arial" w:eastAsia="Times New Roman" w:hAnsi="Arial" w:cs="Arial"/>
          <w:color w:val="222222"/>
          <w:kern w:val="0"/>
          <w:lang w:eastAsia="en-GB"/>
          <w14:ligatures w14:val="none"/>
        </w:rPr>
        <w:t> (Accessed: 19 February 2026).</w:t>
      </w:r>
    </w:p>
    <w:p w14:paraId="3E2A971F" w14:textId="77777777" w:rsidR="00DD7AA4" w:rsidRPr="00DD7AA4" w:rsidRDefault="00DD7AA4" w:rsidP="00DD7AA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DD7AA4">
        <w:rPr>
          <w:rFonts w:ascii="Arial" w:eastAsia="Times New Roman" w:hAnsi="Arial" w:cs="Arial"/>
          <w:color w:val="222222"/>
          <w:kern w:val="0"/>
          <w:lang w:eastAsia="en-GB"/>
          <w14:ligatures w14:val="none"/>
        </w:rPr>
        <w:t>Zárate-Torres, A., Soto, M., Quezada, D., Gallardo, J. and Castillo, C. (2023) ‘Myers–Briggs personality types as predictors of leadership: results of multiple regression analysis’, Journal of Social and Political Psychology, 11(2), pp. 451–468. Available at: </w:t>
      </w:r>
      <w:hyperlink r:id="rId17" w:tgtFrame="_blank" w:history="1">
        <w:r w:rsidRPr="00DD7AA4">
          <w:rPr>
            <w:rFonts w:ascii="Arial" w:eastAsia="Times New Roman" w:hAnsi="Arial" w:cs="Arial"/>
            <w:color w:val="1155CC"/>
            <w:kern w:val="0"/>
            <w:u w:val="single"/>
            <w:lang w:eastAsia="en-GB"/>
            <w14:ligatures w14:val="none"/>
          </w:rPr>
          <w:t>https://jspp.psychopen.eu/index.php/jspp/article/view/11163</w:t>
        </w:r>
      </w:hyperlink>
      <w:r w:rsidRPr="00DD7AA4">
        <w:rPr>
          <w:rFonts w:ascii="Arial" w:eastAsia="Times New Roman" w:hAnsi="Arial" w:cs="Arial"/>
          <w:color w:val="222222"/>
          <w:kern w:val="0"/>
          <w:lang w:eastAsia="en-GB"/>
          <w14:ligatures w14:val="none"/>
        </w:rPr>
        <w:t> (Accessed: 19 February 2026).</w:t>
      </w:r>
    </w:p>
    <w:p w14:paraId="720F5146" w14:textId="77777777" w:rsidR="002E2DDA" w:rsidRDefault="002E2DDA" w:rsidP="00BC369C">
      <w:pPr>
        <w:pStyle w:val="NormalWeb"/>
        <w:shd w:val="clear" w:color="auto" w:fill="FFFFFF"/>
        <w:rPr>
          <w:rFonts w:asciiTheme="majorHAnsi" w:hAnsiTheme="majorHAnsi" w:cs="Arial"/>
          <w:b/>
          <w:bCs/>
          <w:color w:val="222222"/>
          <w:sz w:val="52"/>
          <w:szCs w:val="52"/>
          <w:u w:val="single"/>
        </w:rPr>
      </w:pPr>
    </w:p>
    <w:p w14:paraId="7B800BCA" w14:textId="2A85EEED" w:rsidR="00887396" w:rsidRDefault="001450C7" w:rsidP="00BC369C">
      <w:pPr>
        <w:pStyle w:val="NormalWeb"/>
        <w:shd w:val="clear" w:color="auto" w:fill="FFFFFF"/>
        <w:rPr>
          <w:rFonts w:asciiTheme="majorHAnsi" w:hAnsiTheme="majorHAnsi" w:cs="Arial"/>
          <w:b/>
          <w:bCs/>
          <w:color w:val="222222"/>
          <w:sz w:val="52"/>
          <w:szCs w:val="52"/>
          <w:u w:val="single"/>
        </w:rPr>
      </w:pPr>
      <w:r>
        <w:rPr>
          <w:rFonts w:asciiTheme="majorHAnsi" w:hAnsiTheme="majorHAnsi" w:cs="Arial"/>
          <w:b/>
          <w:bCs/>
          <w:color w:val="222222"/>
          <w:sz w:val="52"/>
          <w:szCs w:val="52"/>
          <w:u w:val="single"/>
        </w:rPr>
        <w:t xml:space="preserve">Bibliography </w:t>
      </w:r>
    </w:p>
    <w:p w14:paraId="59B5FFEB" w14:textId="77777777"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Al-Mutawa, N.A.A.M., Thomas, E., Basha, I.H., Nazir, U. and Al-Mutawa, A.A.M. (2024) ‘Reflective writing among healthcare practitioners: perspectives on reflective practice and Gibbs’ cycle’, Cogent Education, 11(1), 2373555. Available at: </w:t>
      </w:r>
      <w:hyperlink r:id="rId18" w:tgtFrame="_blank" w:history="1">
        <w:r w:rsidRPr="00075851">
          <w:rPr>
            <w:rFonts w:ascii="Arial" w:eastAsia="Times New Roman" w:hAnsi="Arial" w:cs="Arial"/>
            <w:color w:val="1155CC"/>
            <w:kern w:val="0"/>
            <w:u w:val="single"/>
            <w:lang w:eastAsia="en-GB"/>
            <w14:ligatures w14:val="none"/>
          </w:rPr>
          <w:t>https://www.tandfonline.com/doi/full/10.1080/2331186X.2024.2373555</w:t>
        </w:r>
      </w:hyperlink>
      <w:r w:rsidRPr="00075851">
        <w:rPr>
          <w:rFonts w:ascii="Arial" w:eastAsia="Times New Roman" w:hAnsi="Arial" w:cs="Arial"/>
          <w:color w:val="222222"/>
          <w:kern w:val="0"/>
          <w:lang w:eastAsia="en-GB"/>
          <w14:ligatures w14:val="none"/>
        </w:rPr>
        <w:t> (Accessed: 19 February 2026).</w:t>
      </w:r>
    </w:p>
    <w:p w14:paraId="2CA68860" w14:textId="728E8BF6"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Antoniadou, M. and Kanellopoulou, A. (2024) ‘Educational approach: application of SWOT analysis for assessing entrepreneurial goals in senior dental students’, European Journal of Investigation in Health, Psychology and Education, 14(3), pp. 753–766. Available at: </w:t>
      </w:r>
      <w:hyperlink r:id="rId19" w:tgtFrame="_blank" w:history="1">
        <w:r w:rsidRPr="00075851">
          <w:rPr>
            <w:rFonts w:ascii="Arial" w:eastAsia="Times New Roman" w:hAnsi="Arial" w:cs="Arial"/>
            <w:color w:val="1155CC"/>
            <w:kern w:val="0"/>
            <w:u w:val="single"/>
            <w:lang w:eastAsia="en-GB"/>
            <w14:ligatures w14:val="none"/>
          </w:rPr>
          <w:t>https://www.mdpi.com/2254-9625/14/3/49</w:t>
        </w:r>
      </w:hyperlink>
      <w:r w:rsidRPr="00075851">
        <w:rPr>
          <w:rFonts w:ascii="Arial" w:eastAsia="Times New Roman" w:hAnsi="Arial" w:cs="Arial"/>
          <w:color w:val="222222"/>
          <w:kern w:val="0"/>
          <w:lang w:eastAsia="en-GB"/>
          <w14:ligatures w14:val="none"/>
        </w:rPr>
        <w:t xml:space="preserve"> (Accessed: </w:t>
      </w:r>
      <w:r w:rsidR="003B06C8">
        <w:rPr>
          <w:rFonts w:ascii="Arial" w:eastAsia="Times New Roman" w:hAnsi="Arial" w:cs="Arial"/>
          <w:color w:val="222222"/>
          <w:kern w:val="0"/>
          <w:lang w:eastAsia="en-GB"/>
          <w14:ligatures w14:val="none"/>
        </w:rPr>
        <w:t>20</w:t>
      </w:r>
      <w:r w:rsidRPr="00075851">
        <w:rPr>
          <w:rFonts w:ascii="Arial" w:eastAsia="Times New Roman" w:hAnsi="Arial" w:cs="Arial"/>
          <w:color w:val="222222"/>
          <w:kern w:val="0"/>
          <w:lang w:eastAsia="en-GB"/>
          <w14:ligatures w14:val="none"/>
        </w:rPr>
        <w:t xml:space="preserve"> February 2026).</w:t>
      </w:r>
    </w:p>
    <w:p w14:paraId="7793D85B" w14:textId="77777777"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Eimer, A. and Bohndick, C. (2023) ‘Employability models for higher education: a systematic literature review and analysis’, Social Sciences &amp; Humanities Open, 8(1), 100588. Available at: </w:t>
      </w:r>
      <w:hyperlink r:id="rId20" w:tgtFrame="_blank" w:history="1">
        <w:r w:rsidRPr="00075851">
          <w:rPr>
            <w:rFonts w:ascii="Arial" w:eastAsia="Times New Roman" w:hAnsi="Arial" w:cs="Arial"/>
            <w:color w:val="1155CC"/>
            <w:kern w:val="0"/>
            <w:u w:val="single"/>
            <w:lang w:eastAsia="en-GB"/>
            <w14:ligatures w14:val="none"/>
          </w:rPr>
          <w:t>https://www.sciencedirect.com/science/article/pii/S2590291123000793</w:t>
        </w:r>
      </w:hyperlink>
      <w:r w:rsidRPr="00075851">
        <w:rPr>
          <w:rFonts w:ascii="Arial" w:eastAsia="Times New Roman" w:hAnsi="Arial" w:cs="Arial"/>
          <w:color w:val="222222"/>
          <w:kern w:val="0"/>
          <w:lang w:eastAsia="en-GB"/>
          <w14:ligatures w14:val="none"/>
        </w:rPr>
        <w:t> (Accessed: 19 February 2026).</w:t>
      </w:r>
    </w:p>
    <w:p w14:paraId="1A576185" w14:textId="4EE9A99D"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 xml:space="preserve">Harvey, M., Coulson, D. and </w:t>
      </w:r>
      <w:proofErr w:type="spellStart"/>
      <w:r w:rsidRPr="00075851">
        <w:rPr>
          <w:rFonts w:ascii="Arial" w:eastAsia="Times New Roman" w:hAnsi="Arial" w:cs="Arial"/>
          <w:color w:val="222222"/>
          <w:kern w:val="0"/>
          <w:lang w:eastAsia="en-GB"/>
          <w14:ligatures w14:val="none"/>
        </w:rPr>
        <w:t>McMaugh</w:t>
      </w:r>
      <w:proofErr w:type="spellEnd"/>
      <w:r w:rsidRPr="00075851">
        <w:rPr>
          <w:rFonts w:ascii="Arial" w:eastAsia="Times New Roman" w:hAnsi="Arial" w:cs="Arial"/>
          <w:color w:val="222222"/>
          <w:kern w:val="0"/>
          <w:lang w:eastAsia="en-GB"/>
          <w14:ligatures w14:val="none"/>
        </w:rPr>
        <w:t>, A. (2025) ‘Reflecting on reflective practice: issues, problems and possibilities’, Higher Education Research &amp; Development, 44(7), pp. 1849–1857. Available at: </w:t>
      </w:r>
      <w:hyperlink r:id="rId21" w:tgtFrame="_blank" w:history="1">
        <w:r w:rsidRPr="00075851">
          <w:rPr>
            <w:rFonts w:ascii="Arial" w:eastAsia="Times New Roman" w:hAnsi="Arial" w:cs="Arial"/>
            <w:color w:val="1155CC"/>
            <w:kern w:val="0"/>
            <w:u w:val="single"/>
            <w:lang w:eastAsia="en-GB"/>
            <w14:ligatures w14:val="none"/>
          </w:rPr>
          <w:t>https://www.tandfonline.com/doi/full/10.1080/07294360.2025.2463517</w:t>
        </w:r>
      </w:hyperlink>
      <w:r w:rsidRPr="00075851">
        <w:rPr>
          <w:rFonts w:ascii="Arial" w:eastAsia="Times New Roman" w:hAnsi="Arial" w:cs="Arial"/>
          <w:color w:val="222222"/>
          <w:kern w:val="0"/>
          <w:lang w:eastAsia="en-GB"/>
          <w14:ligatures w14:val="none"/>
        </w:rPr>
        <w:t xml:space="preserve"> (Accessed: </w:t>
      </w:r>
      <w:r w:rsidR="003B06C8">
        <w:rPr>
          <w:rFonts w:ascii="Arial" w:eastAsia="Times New Roman" w:hAnsi="Arial" w:cs="Arial"/>
          <w:color w:val="222222"/>
          <w:kern w:val="0"/>
          <w:lang w:eastAsia="en-GB"/>
          <w14:ligatures w14:val="none"/>
        </w:rPr>
        <w:t>20</w:t>
      </w:r>
      <w:r w:rsidRPr="00075851">
        <w:rPr>
          <w:rFonts w:ascii="Arial" w:eastAsia="Times New Roman" w:hAnsi="Arial" w:cs="Arial"/>
          <w:color w:val="222222"/>
          <w:kern w:val="0"/>
          <w:lang w:eastAsia="en-GB"/>
          <w14:ligatures w14:val="none"/>
        </w:rPr>
        <w:t xml:space="preserve"> February 2026).</w:t>
      </w:r>
    </w:p>
    <w:p w14:paraId="5F6B94AC" w14:textId="77777777"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lastRenderedPageBreak/>
        <w:t>Jackson, D. (2021) ‘Employability skill development in work-integrated learning: Barriers and best practice’, Studies in Higher Education, 46(5), pp. 965–980. Available at: </w:t>
      </w:r>
      <w:hyperlink r:id="rId22" w:tgtFrame="_blank" w:history="1">
        <w:r w:rsidRPr="00075851">
          <w:rPr>
            <w:rFonts w:ascii="Arial" w:eastAsia="Times New Roman" w:hAnsi="Arial" w:cs="Arial"/>
            <w:color w:val="1155CC"/>
            <w:kern w:val="0"/>
            <w:u w:val="single"/>
            <w:lang w:eastAsia="en-GB"/>
            <w14:ligatures w14:val="none"/>
          </w:rPr>
          <w:t>https://www.tandfonline.com/doi/full/10.1080/03075079.2019.1672643</w:t>
        </w:r>
      </w:hyperlink>
      <w:r w:rsidRPr="00075851">
        <w:rPr>
          <w:rFonts w:ascii="Arial" w:eastAsia="Times New Roman" w:hAnsi="Arial" w:cs="Arial"/>
          <w:color w:val="222222"/>
          <w:kern w:val="0"/>
          <w:lang w:eastAsia="en-GB"/>
          <w14:ligatures w14:val="none"/>
        </w:rPr>
        <w:t> (Accessed: 19 February 2026).</w:t>
      </w:r>
    </w:p>
    <w:p w14:paraId="7BE0E4AD" w14:textId="77777777"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Martins, D. and van Jaarsveld, L. (2025) ‘Goal setting within higher education: a critical review of the literature and future directions’, Innovations in Education and Teaching International. Available at: </w:t>
      </w:r>
      <w:hyperlink r:id="rId23" w:tgtFrame="_blank" w:history="1">
        <w:r w:rsidRPr="00075851">
          <w:rPr>
            <w:rFonts w:ascii="Arial" w:eastAsia="Times New Roman" w:hAnsi="Arial" w:cs="Arial"/>
            <w:color w:val="1155CC"/>
            <w:kern w:val="0"/>
            <w:u w:val="single"/>
            <w:lang w:eastAsia="en-GB"/>
            <w14:ligatures w14:val="none"/>
          </w:rPr>
          <w:t>https://www.tandfonline.com/doi/full/10.1080/14703297.2024.2457294</w:t>
        </w:r>
      </w:hyperlink>
      <w:r w:rsidRPr="00075851">
        <w:rPr>
          <w:rFonts w:ascii="Arial" w:eastAsia="Times New Roman" w:hAnsi="Arial" w:cs="Arial"/>
          <w:color w:val="222222"/>
          <w:kern w:val="0"/>
          <w:lang w:eastAsia="en-GB"/>
          <w14:ligatures w14:val="none"/>
        </w:rPr>
        <w:t> (Accessed: 19 February 2026).</w:t>
      </w:r>
    </w:p>
    <w:p w14:paraId="283F1659" w14:textId="77777777"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Mello, L.V., Firth, A., Sullivan, A. and Andrews, D. (2021) ‘Developing transferable skills through embedding reflection in the science curriculum’, FEBS Open Bio, 12(1), pp. 5–17. Available at: </w:t>
      </w:r>
      <w:hyperlink r:id="rId24" w:tgtFrame="_blank" w:history="1">
        <w:r w:rsidRPr="00075851">
          <w:rPr>
            <w:rFonts w:ascii="Arial" w:eastAsia="Times New Roman" w:hAnsi="Arial" w:cs="Arial"/>
            <w:color w:val="1155CC"/>
            <w:kern w:val="0"/>
            <w:u w:val="single"/>
            <w:lang w:eastAsia="en-GB"/>
            <w14:ligatures w14:val="none"/>
          </w:rPr>
          <w:t>https://febs.onlinelibrary.wiley.com/doi/10.1002/2211-5463.13372</w:t>
        </w:r>
      </w:hyperlink>
      <w:r w:rsidRPr="00075851">
        <w:rPr>
          <w:rFonts w:ascii="Arial" w:eastAsia="Times New Roman" w:hAnsi="Arial" w:cs="Arial"/>
          <w:color w:val="222222"/>
          <w:kern w:val="0"/>
          <w:lang w:eastAsia="en-GB"/>
          <w14:ligatures w14:val="none"/>
        </w:rPr>
        <w:t> (Accessed: 19 February 2026).</w:t>
      </w:r>
    </w:p>
    <w:p w14:paraId="6D1B640D" w14:textId="77777777"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Pietsch, S., Feasts, C. and Martin, A. (2024) ‘SMART goals are no more effective for creative tasks’, British Journal of Educational Psychology. Available at: </w:t>
      </w:r>
      <w:hyperlink r:id="rId25" w:tgtFrame="_blank" w:history="1">
        <w:r w:rsidRPr="00075851">
          <w:rPr>
            <w:rFonts w:ascii="Arial" w:eastAsia="Times New Roman" w:hAnsi="Arial" w:cs="Arial"/>
            <w:color w:val="1155CC"/>
            <w:kern w:val="0"/>
            <w:u w:val="single"/>
            <w:lang w:eastAsia="en-GB"/>
            <w14:ligatures w14:val="none"/>
          </w:rPr>
          <w:t>https://bpspsychub.onlinelibrary.wiley.com/doi/10.1111/bjep.12631</w:t>
        </w:r>
      </w:hyperlink>
      <w:r w:rsidRPr="00075851">
        <w:rPr>
          <w:rFonts w:ascii="Arial" w:eastAsia="Times New Roman" w:hAnsi="Arial" w:cs="Arial"/>
          <w:color w:val="222222"/>
          <w:kern w:val="0"/>
          <w:lang w:eastAsia="en-GB"/>
          <w14:ligatures w14:val="none"/>
        </w:rPr>
        <w:t> (Accessed: 19 February 2026).</w:t>
      </w:r>
    </w:p>
    <w:p w14:paraId="1161C066" w14:textId="77777777" w:rsid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 xml:space="preserve">Ran, J., Liu, H., Yuan, Y., Yu, X. and Dong, T. (2023) ‘Linking career exploration, self-reflection, career calling, career adaptability and subjective well-being: a self-regulation theory perspective’, Psychology Research and </w:t>
      </w:r>
      <w:proofErr w:type="spellStart"/>
      <w:r w:rsidRPr="00075851">
        <w:rPr>
          <w:rFonts w:ascii="Arial" w:eastAsia="Times New Roman" w:hAnsi="Arial" w:cs="Arial"/>
          <w:color w:val="222222"/>
          <w:kern w:val="0"/>
          <w:lang w:eastAsia="en-GB"/>
          <w14:ligatures w14:val="none"/>
        </w:rPr>
        <w:t>Behavior</w:t>
      </w:r>
      <w:proofErr w:type="spellEnd"/>
      <w:r w:rsidRPr="00075851">
        <w:rPr>
          <w:rFonts w:ascii="Arial" w:eastAsia="Times New Roman" w:hAnsi="Arial" w:cs="Arial"/>
          <w:color w:val="222222"/>
          <w:kern w:val="0"/>
          <w:lang w:eastAsia="en-GB"/>
          <w14:ligatures w14:val="none"/>
        </w:rPr>
        <w:t xml:space="preserve"> Management, 16, pp. 2805–2817. Available at: </w:t>
      </w:r>
      <w:hyperlink r:id="rId26" w:tgtFrame="_blank" w:history="1">
        <w:r w:rsidRPr="00075851">
          <w:rPr>
            <w:rFonts w:ascii="Arial" w:eastAsia="Times New Roman" w:hAnsi="Arial" w:cs="Arial"/>
            <w:color w:val="1155CC"/>
            <w:kern w:val="0"/>
            <w:u w:val="single"/>
            <w:lang w:eastAsia="en-GB"/>
            <w14:ligatures w14:val="none"/>
          </w:rPr>
          <w:t>https://www.dovepress.com/linking-career-exploration-self-reflection-career-calling-career-ada-peer-reviewed-fulltext-article-PRBM</w:t>
        </w:r>
      </w:hyperlink>
      <w:r w:rsidRPr="00075851">
        <w:rPr>
          <w:rFonts w:ascii="Arial" w:eastAsia="Times New Roman" w:hAnsi="Arial" w:cs="Arial"/>
          <w:color w:val="222222"/>
          <w:kern w:val="0"/>
          <w:lang w:eastAsia="en-GB"/>
          <w14:ligatures w14:val="none"/>
        </w:rPr>
        <w:t> (Accessed: 19 February 2026).</w:t>
      </w:r>
    </w:p>
    <w:p w14:paraId="089D8AD0" w14:textId="41EF38C5"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 xml:space="preserve">Rudolph, C.W., Lavigne, K.N., Katz, I.M. and Zacher, H. (2021) ‘Career adaptability: A meta-analysis of relationships with measures of adaptivity, adapting responses, and adaptation results’, Journal of Vocational </w:t>
      </w:r>
      <w:proofErr w:type="spellStart"/>
      <w:r w:rsidRPr="00075851">
        <w:rPr>
          <w:rFonts w:ascii="Arial" w:eastAsia="Times New Roman" w:hAnsi="Arial" w:cs="Arial"/>
          <w:color w:val="222222"/>
          <w:kern w:val="0"/>
          <w:lang w:eastAsia="en-GB"/>
          <w14:ligatures w14:val="none"/>
        </w:rPr>
        <w:t>Behavior</w:t>
      </w:r>
      <w:proofErr w:type="spellEnd"/>
      <w:r w:rsidRPr="00075851">
        <w:rPr>
          <w:rFonts w:ascii="Arial" w:eastAsia="Times New Roman" w:hAnsi="Arial" w:cs="Arial"/>
          <w:color w:val="222222"/>
          <w:kern w:val="0"/>
          <w:lang w:eastAsia="en-GB"/>
          <w14:ligatures w14:val="none"/>
        </w:rPr>
        <w:t>, 124, 103523. Available at: </w:t>
      </w:r>
      <w:hyperlink r:id="rId27" w:tgtFrame="_blank" w:history="1">
        <w:r w:rsidRPr="00075851">
          <w:rPr>
            <w:rFonts w:ascii="Arial" w:eastAsia="Times New Roman" w:hAnsi="Arial" w:cs="Arial"/>
            <w:color w:val="1155CC"/>
            <w:kern w:val="0"/>
            <w:u w:val="single"/>
            <w:lang w:eastAsia="en-GB"/>
            <w14:ligatures w14:val="none"/>
          </w:rPr>
          <w:t>https://www.sciencedirect.com/science/article/pii/S000187912030132X</w:t>
        </w:r>
      </w:hyperlink>
      <w:r w:rsidRPr="00075851">
        <w:rPr>
          <w:rFonts w:ascii="Arial" w:eastAsia="Times New Roman" w:hAnsi="Arial" w:cs="Arial"/>
          <w:color w:val="222222"/>
          <w:kern w:val="0"/>
          <w:lang w:eastAsia="en-GB"/>
          <w14:ligatures w14:val="none"/>
        </w:rPr>
        <w:t> (Accessed: 19 February 2026).</w:t>
      </w:r>
    </w:p>
    <w:p w14:paraId="08BC6B01" w14:textId="77777777"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 xml:space="preserve">Silva, </w:t>
      </w:r>
      <w:proofErr w:type="spellStart"/>
      <w:r w:rsidRPr="00075851">
        <w:rPr>
          <w:rFonts w:ascii="Arial" w:eastAsia="Times New Roman" w:hAnsi="Arial" w:cs="Arial"/>
          <w:color w:val="222222"/>
          <w:kern w:val="0"/>
          <w:lang w:eastAsia="en-GB"/>
          <w14:ligatures w14:val="none"/>
        </w:rPr>
        <w:t>D.B.d.S</w:t>
      </w:r>
      <w:proofErr w:type="spellEnd"/>
      <w:r w:rsidRPr="00075851">
        <w:rPr>
          <w:rFonts w:ascii="Arial" w:eastAsia="Times New Roman" w:hAnsi="Arial" w:cs="Arial"/>
          <w:color w:val="222222"/>
          <w:kern w:val="0"/>
          <w:lang w:eastAsia="en-GB"/>
          <w14:ligatures w14:val="none"/>
        </w:rPr>
        <w:t xml:space="preserve">., Becerra, C.E.T., Feitosa, A.D., Albuquerque, </w:t>
      </w:r>
      <w:proofErr w:type="spellStart"/>
      <w:r w:rsidRPr="00075851">
        <w:rPr>
          <w:rFonts w:ascii="Arial" w:eastAsia="Times New Roman" w:hAnsi="Arial" w:cs="Arial"/>
          <w:color w:val="222222"/>
          <w:kern w:val="0"/>
          <w:lang w:eastAsia="en-GB"/>
          <w14:ligatures w14:val="none"/>
        </w:rPr>
        <w:t>A.P.G.d</w:t>
      </w:r>
      <w:proofErr w:type="spellEnd"/>
      <w:r w:rsidRPr="00075851">
        <w:rPr>
          <w:rFonts w:ascii="Arial" w:eastAsia="Times New Roman" w:hAnsi="Arial" w:cs="Arial"/>
          <w:color w:val="222222"/>
          <w:kern w:val="0"/>
          <w:lang w:eastAsia="en-GB"/>
          <w14:ligatures w14:val="none"/>
        </w:rPr>
        <w:t xml:space="preserve">., Melo, </w:t>
      </w:r>
      <w:proofErr w:type="spellStart"/>
      <w:r w:rsidRPr="00075851">
        <w:rPr>
          <w:rFonts w:ascii="Arial" w:eastAsia="Times New Roman" w:hAnsi="Arial" w:cs="Arial"/>
          <w:color w:val="222222"/>
          <w:kern w:val="0"/>
          <w:lang w:eastAsia="en-GB"/>
          <w14:ligatures w14:val="none"/>
        </w:rPr>
        <w:t>F.J.C.d</w:t>
      </w:r>
      <w:proofErr w:type="spellEnd"/>
      <w:r w:rsidRPr="00075851">
        <w:rPr>
          <w:rFonts w:ascii="Arial" w:eastAsia="Times New Roman" w:hAnsi="Arial" w:cs="Arial"/>
          <w:color w:val="222222"/>
          <w:kern w:val="0"/>
          <w:lang w:eastAsia="en-GB"/>
          <w14:ligatures w14:val="none"/>
        </w:rPr>
        <w:t xml:space="preserve">. and Medeiros, </w:t>
      </w:r>
      <w:proofErr w:type="spellStart"/>
      <w:r w:rsidRPr="00075851">
        <w:rPr>
          <w:rFonts w:ascii="Arial" w:eastAsia="Times New Roman" w:hAnsi="Arial" w:cs="Arial"/>
          <w:color w:val="222222"/>
          <w:kern w:val="0"/>
          <w:lang w:eastAsia="en-GB"/>
          <w14:ligatures w14:val="none"/>
        </w:rPr>
        <w:t>D.D.d</w:t>
      </w:r>
      <w:proofErr w:type="spellEnd"/>
      <w:r w:rsidRPr="00075851">
        <w:rPr>
          <w:rFonts w:ascii="Arial" w:eastAsia="Times New Roman" w:hAnsi="Arial" w:cs="Arial"/>
          <w:color w:val="222222"/>
          <w:kern w:val="0"/>
          <w:lang w:eastAsia="en-GB"/>
          <w14:ligatures w14:val="none"/>
        </w:rPr>
        <w:t>. (2025) ‘Evaluating the leader’s profile from the team members’ perspective: a case study applying Johari’s Window’, Standards, 5(1), Article 5. Available at: </w:t>
      </w:r>
      <w:hyperlink r:id="rId28" w:tgtFrame="_blank" w:history="1">
        <w:r w:rsidRPr="00075851">
          <w:rPr>
            <w:rFonts w:ascii="Arial" w:eastAsia="Times New Roman" w:hAnsi="Arial" w:cs="Arial"/>
            <w:color w:val="1155CC"/>
            <w:kern w:val="0"/>
            <w:u w:val="single"/>
            <w:lang w:eastAsia="en-GB"/>
            <w14:ligatures w14:val="none"/>
          </w:rPr>
          <w:t>https://www.mdpi.com/2305-6703/5/1/5</w:t>
        </w:r>
      </w:hyperlink>
      <w:r w:rsidRPr="00075851">
        <w:rPr>
          <w:rFonts w:ascii="Arial" w:eastAsia="Times New Roman" w:hAnsi="Arial" w:cs="Arial"/>
          <w:color w:val="222222"/>
          <w:kern w:val="0"/>
          <w:lang w:eastAsia="en-GB"/>
          <w14:ligatures w14:val="none"/>
        </w:rPr>
        <w:t> (Accessed: 19 February 2026).</w:t>
      </w:r>
    </w:p>
    <w:p w14:paraId="210B9827" w14:textId="77777777" w:rsidR="00075851" w:rsidRPr="00075851" w:rsidRDefault="00075851" w:rsidP="00075851">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075851">
        <w:rPr>
          <w:rFonts w:ascii="Arial" w:eastAsia="Times New Roman" w:hAnsi="Arial" w:cs="Arial"/>
          <w:color w:val="222222"/>
          <w:kern w:val="0"/>
          <w:lang w:eastAsia="en-GB"/>
          <w14:ligatures w14:val="none"/>
        </w:rPr>
        <w:t>Zárate-Torres, A., Soto, M., Quezada, D., Gallardo, J. and Castillo, C. (2023) ‘Myers–Briggs personality types as predictors of leadership: results of multiple regression analysis’, Journal of Social and Political Psychology, 11(2), pp. 451–468. Available at: </w:t>
      </w:r>
      <w:hyperlink r:id="rId29" w:tgtFrame="_blank" w:history="1">
        <w:r w:rsidRPr="00075851">
          <w:rPr>
            <w:rFonts w:ascii="Arial" w:eastAsia="Times New Roman" w:hAnsi="Arial" w:cs="Arial"/>
            <w:color w:val="1155CC"/>
            <w:kern w:val="0"/>
            <w:u w:val="single"/>
            <w:lang w:eastAsia="en-GB"/>
            <w14:ligatures w14:val="none"/>
          </w:rPr>
          <w:t>https://jspp.psychopen.eu/index.php/jspp/article/view/11163</w:t>
        </w:r>
      </w:hyperlink>
      <w:r w:rsidRPr="00075851">
        <w:rPr>
          <w:rFonts w:ascii="Arial" w:eastAsia="Times New Roman" w:hAnsi="Arial" w:cs="Arial"/>
          <w:color w:val="222222"/>
          <w:kern w:val="0"/>
          <w:lang w:eastAsia="en-GB"/>
          <w14:ligatures w14:val="none"/>
        </w:rPr>
        <w:t> (Accessed: 19 February 2026).</w:t>
      </w:r>
    </w:p>
    <w:p w14:paraId="734FABC1" w14:textId="77777777" w:rsidR="001450C7" w:rsidRPr="00887396" w:rsidRDefault="001450C7" w:rsidP="00BC369C">
      <w:pPr>
        <w:pStyle w:val="NormalWeb"/>
        <w:shd w:val="clear" w:color="auto" w:fill="FFFFFF"/>
        <w:rPr>
          <w:rFonts w:asciiTheme="minorHAnsi" w:hAnsiTheme="minorHAnsi" w:cs="Arial"/>
          <w:color w:val="222222"/>
          <w:sz w:val="52"/>
          <w:szCs w:val="52"/>
        </w:rPr>
      </w:pPr>
    </w:p>
    <w:p w14:paraId="2B052BFE" w14:textId="77777777" w:rsidR="00BC369C" w:rsidRPr="00E6780D" w:rsidRDefault="00BC369C" w:rsidP="00E6780D"/>
    <w:sectPr w:rsidR="00BC369C"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4AB23" w14:textId="77777777" w:rsidR="00434B2B" w:rsidRDefault="00434B2B" w:rsidP="006D4055">
      <w:pPr>
        <w:spacing w:after="0" w:line="240" w:lineRule="auto"/>
      </w:pPr>
      <w:r>
        <w:separator/>
      </w:r>
    </w:p>
  </w:endnote>
  <w:endnote w:type="continuationSeparator" w:id="0">
    <w:p w14:paraId="01875BC3" w14:textId="77777777" w:rsidR="00434B2B" w:rsidRDefault="00434B2B"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17413" w14:textId="77777777" w:rsidR="00434B2B" w:rsidRDefault="00434B2B" w:rsidP="006D4055">
      <w:pPr>
        <w:spacing w:after="0" w:line="240" w:lineRule="auto"/>
      </w:pPr>
      <w:r>
        <w:separator/>
      </w:r>
    </w:p>
  </w:footnote>
  <w:footnote w:type="continuationSeparator" w:id="0">
    <w:p w14:paraId="592AAB77" w14:textId="77777777" w:rsidR="00434B2B" w:rsidRDefault="00434B2B"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2B18AE"/>
    <w:multiLevelType w:val="hybridMultilevel"/>
    <w:tmpl w:val="1FC2B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2"/>
  </w:num>
  <w:num w:numId="3" w16cid:durableId="1368288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3F62"/>
    <w:rsid w:val="00021CFE"/>
    <w:rsid w:val="00056135"/>
    <w:rsid w:val="000665A5"/>
    <w:rsid w:val="00075851"/>
    <w:rsid w:val="00090910"/>
    <w:rsid w:val="000B5501"/>
    <w:rsid w:val="000B5D92"/>
    <w:rsid w:val="00100AE5"/>
    <w:rsid w:val="00101962"/>
    <w:rsid w:val="001450C7"/>
    <w:rsid w:val="00186FFF"/>
    <w:rsid w:val="0019149B"/>
    <w:rsid w:val="00225778"/>
    <w:rsid w:val="00226A49"/>
    <w:rsid w:val="00266179"/>
    <w:rsid w:val="00275F61"/>
    <w:rsid w:val="002C102D"/>
    <w:rsid w:val="002C47FC"/>
    <w:rsid w:val="002C656D"/>
    <w:rsid w:val="002D1900"/>
    <w:rsid w:val="002E2DDA"/>
    <w:rsid w:val="00307CD3"/>
    <w:rsid w:val="00396427"/>
    <w:rsid w:val="003B06C8"/>
    <w:rsid w:val="003B1399"/>
    <w:rsid w:val="003C3B5F"/>
    <w:rsid w:val="003D6753"/>
    <w:rsid w:val="003E6346"/>
    <w:rsid w:val="003F0D02"/>
    <w:rsid w:val="00421C54"/>
    <w:rsid w:val="00434A22"/>
    <w:rsid w:val="00434B2B"/>
    <w:rsid w:val="00445BE7"/>
    <w:rsid w:val="00472981"/>
    <w:rsid w:val="004805E6"/>
    <w:rsid w:val="00492547"/>
    <w:rsid w:val="00493EFA"/>
    <w:rsid w:val="004B3716"/>
    <w:rsid w:val="004C3A0B"/>
    <w:rsid w:val="004C55DA"/>
    <w:rsid w:val="0050773F"/>
    <w:rsid w:val="00536076"/>
    <w:rsid w:val="00582F72"/>
    <w:rsid w:val="005B4E39"/>
    <w:rsid w:val="005C401C"/>
    <w:rsid w:val="005C5117"/>
    <w:rsid w:val="005F2D43"/>
    <w:rsid w:val="00600D04"/>
    <w:rsid w:val="00624B3C"/>
    <w:rsid w:val="00653405"/>
    <w:rsid w:val="00695CF3"/>
    <w:rsid w:val="006D4055"/>
    <w:rsid w:val="006F18EA"/>
    <w:rsid w:val="0070034A"/>
    <w:rsid w:val="007047E7"/>
    <w:rsid w:val="00720541"/>
    <w:rsid w:val="00740776"/>
    <w:rsid w:val="007421E0"/>
    <w:rsid w:val="00742574"/>
    <w:rsid w:val="007513EE"/>
    <w:rsid w:val="007533FC"/>
    <w:rsid w:val="007946CC"/>
    <w:rsid w:val="008366ED"/>
    <w:rsid w:val="00887396"/>
    <w:rsid w:val="00895E11"/>
    <w:rsid w:val="008B19C7"/>
    <w:rsid w:val="0094138B"/>
    <w:rsid w:val="0097469F"/>
    <w:rsid w:val="00983D94"/>
    <w:rsid w:val="009A41CE"/>
    <w:rsid w:val="00A20314"/>
    <w:rsid w:val="00A61F83"/>
    <w:rsid w:val="00A761CA"/>
    <w:rsid w:val="00A85354"/>
    <w:rsid w:val="00B62E45"/>
    <w:rsid w:val="00B87A25"/>
    <w:rsid w:val="00BA34E0"/>
    <w:rsid w:val="00BB7691"/>
    <w:rsid w:val="00BC369C"/>
    <w:rsid w:val="00C16E27"/>
    <w:rsid w:val="00CA346A"/>
    <w:rsid w:val="00CD1D43"/>
    <w:rsid w:val="00CD6C67"/>
    <w:rsid w:val="00D052DD"/>
    <w:rsid w:val="00D15D3E"/>
    <w:rsid w:val="00D8134F"/>
    <w:rsid w:val="00D83BAC"/>
    <w:rsid w:val="00D924B4"/>
    <w:rsid w:val="00D95C9F"/>
    <w:rsid w:val="00DB3AE7"/>
    <w:rsid w:val="00DD7AA4"/>
    <w:rsid w:val="00DE22B3"/>
    <w:rsid w:val="00DF0EC8"/>
    <w:rsid w:val="00DF2B96"/>
    <w:rsid w:val="00E34734"/>
    <w:rsid w:val="00E474BA"/>
    <w:rsid w:val="00E554DC"/>
    <w:rsid w:val="00E6780D"/>
    <w:rsid w:val="00E905A0"/>
    <w:rsid w:val="00EC012B"/>
    <w:rsid w:val="00EC2CD8"/>
    <w:rsid w:val="00ED2490"/>
    <w:rsid w:val="00EF542F"/>
    <w:rsid w:val="00EF669D"/>
    <w:rsid w:val="00F80DBD"/>
    <w:rsid w:val="00FF52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NormalWeb">
    <w:name w:val="Normal (Web)"/>
    <w:basedOn w:val="Normal"/>
    <w:uiPriority w:val="99"/>
    <w:semiHidden/>
    <w:unhideWhenUsed/>
    <w:rsid w:val="00BC36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2331186X.2024.2373555" TargetMode="External"/><Relationship Id="rId13" Type="http://schemas.openxmlformats.org/officeDocument/2006/relationships/hyperlink" Target="https://febs.onlinelibrary.wiley.com/doi/10.1002/2211-5463.13372" TargetMode="External"/><Relationship Id="rId18" Type="http://schemas.openxmlformats.org/officeDocument/2006/relationships/hyperlink" Target="https://www.tandfonline.com/doi/full/10.1080/2331186X.2024.2373555" TargetMode="External"/><Relationship Id="rId26" Type="http://schemas.openxmlformats.org/officeDocument/2006/relationships/hyperlink" Target="https://www.dovepress.com/linking-career-exploration-self-reflection-career-calling-career-ada-peer-reviewed-fulltext-article-PRBM" TargetMode="External"/><Relationship Id="rId3" Type="http://schemas.openxmlformats.org/officeDocument/2006/relationships/settings" Target="settings.xml"/><Relationship Id="rId21" Type="http://schemas.openxmlformats.org/officeDocument/2006/relationships/hyperlink" Target="https://www.tandfonline.com/doi/full/10.1080/07294360.2025.2463517" TargetMode="External"/><Relationship Id="rId7" Type="http://schemas.openxmlformats.org/officeDocument/2006/relationships/image" Target="media/image1.png"/><Relationship Id="rId12" Type="http://schemas.openxmlformats.org/officeDocument/2006/relationships/hyperlink" Target="https://www.tandfonline.com/doi/full/10.1080/14703297.2024.2457294" TargetMode="External"/><Relationship Id="rId17" Type="http://schemas.openxmlformats.org/officeDocument/2006/relationships/hyperlink" Target="https://jspp.psychopen.eu/index.php/jspp/article/view/11163" TargetMode="External"/><Relationship Id="rId25" Type="http://schemas.openxmlformats.org/officeDocument/2006/relationships/hyperlink" Target="https://bpspsychub.onlinelibrary.wiley.com/doi/10.1111/bjep.12631" TargetMode="External"/><Relationship Id="rId2" Type="http://schemas.openxmlformats.org/officeDocument/2006/relationships/styles" Target="styles.xml"/><Relationship Id="rId16" Type="http://schemas.openxmlformats.org/officeDocument/2006/relationships/hyperlink" Target="https://www.mdpi.com/2305-6703/5/1/5" TargetMode="External"/><Relationship Id="rId20" Type="http://schemas.openxmlformats.org/officeDocument/2006/relationships/hyperlink" Target="https://www.sciencedirect.com/science/article/pii/S2590291123000793" TargetMode="External"/><Relationship Id="rId29" Type="http://schemas.openxmlformats.org/officeDocument/2006/relationships/hyperlink" Target="https://jspp.psychopen.eu/index.php/jspp/article/view/1116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07294360.2025.2463517" TargetMode="External"/><Relationship Id="rId24" Type="http://schemas.openxmlformats.org/officeDocument/2006/relationships/hyperlink" Target="https://febs.onlinelibrary.wiley.com/doi/10.1002/2211-5463.13372" TargetMode="External"/><Relationship Id="rId5" Type="http://schemas.openxmlformats.org/officeDocument/2006/relationships/footnotes" Target="footnotes.xml"/><Relationship Id="rId15" Type="http://schemas.openxmlformats.org/officeDocument/2006/relationships/hyperlink" Target="https://www.dovepress.com/linking-career-exploration-self-reflection-career-calling-career-ada-peer-reviewed-fulltext-article-PRBM" TargetMode="External"/><Relationship Id="rId23" Type="http://schemas.openxmlformats.org/officeDocument/2006/relationships/hyperlink" Target="https://www.tandfonline.com/doi/full/10.1080/14703297.2024.2457294" TargetMode="External"/><Relationship Id="rId28" Type="http://schemas.openxmlformats.org/officeDocument/2006/relationships/hyperlink" Target="https://www.mdpi.com/2305-6703/5/1/5" TargetMode="External"/><Relationship Id="rId10" Type="http://schemas.openxmlformats.org/officeDocument/2006/relationships/hyperlink" Target="https://www.sciencedirect.com/science/article/pii/S2590291123000793" TargetMode="External"/><Relationship Id="rId19" Type="http://schemas.openxmlformats.org/officeDocument/2006/relationships/hyperlink" Target="https://www.mdpi.com/2254-9625/14/3/49"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dpi.com/2254-9625/14/3/49" TargetMode="External"/><Relationship Id="rId14" Type="http://schemas.openxmlformats.org/officeDocument/2006/relationships/hyperlink" Target="https://bpspsychub.onlinelibrary.wiley.com/doi/10.1111/bjep.12631" TargetMode="External"/><Relationship Id="rId22" Type="http://schemas.openxmlformats.org/officeDocument/2006/relationships/hyperlink" Target="https://www.tandfonline.com/doi/full/10.1080/03075079.2019.1672643" TargetMode="External"/><Relationship Id="rId27" Type="http://schemas.openxmlformats.org/officeDocument/2006/relationships/hyperlink" Target="https://www.sciencedirect.com/science/article/pii/S000187912030132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3111</Words>
  <Characters>17737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Jack Collins</cp:lastModifiedBy>
  <cp:revision>2</cp:revision>
  <dcterms:created xsi:type="dcterms:W3CDTF">2026-02-27T22:03:00Z</dcterms:created>
  <dcterms:modified xsi:type="dcterms:W3CDTF">2026-02-27T22:03:00Z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9894aa88-e2fd-4058-8867-afbc2ac6d3c6</vt:lpwstr>
  </property>
</Properties>
</file>