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00F3E" w:rsidRDefault="00A00F3E" w:rsidP="00A03458">
      <w:pPr>
        <w:spacing w:line="360" w:lineRule="auto"/>
        <w:jc w:val="both"/>
        <w:rPr>
          <w:rFonts w:ascii="Times New Roman" w:eastAsia="Times New Roman" w:hAnsi="Times New Roman" w:cs="Times New Roman"/>
          <w:b/>
          <w:color w:val="000000"/>
          <w:sz w:val="40"/>
          <w:szCs w:val="40"/>
        </w:rPr>
      </w:pPr>
    </w:p>
    <w:p w14:paraId="00000002" w14:textId="77777777" w:rsidR="00A00F3E" w:rsidRDefault="00A00F3E" w:rsidP="00A03458">
      <w:pPr>
        <w:spacing w:line="360" w:lineRule="auto"/>
        <w:jc w:val="both"/>
        <w:rPr>
          <w:rFonts w:ascii="Times New Roman" w:eastAsia="Times New Roman" w:hAnsi="Times New Roman" w:cs="Times New Roman"/>
          <w:b/>
          <w:color w:val="000000"/>
          <w:sz w:val="40"/>
          <w:szCs w:val="40"/>
        </w:rPr>
      </w:pPr>
    </w:p>
    <w:p w14:paraId="00000003" w14:textId="77777777" w:rsidR="00A00F3E" w:rsidRDefault="00A00F3E" w:rsidP="00A03458">
      <w:pPr>
        <w:spacing w:line="360" w:lineRule="auto"/>
        <w:jc w:val="both"/>
        <w:rPr>
          <w:rFonts w:ascii="Times New Roman" w:eastAsia="Times New Roman" w:hAnsi="Times New Roman" w:cs="Times New Roman"/>
          <w:b/>
          <w:color w:val="000000"/>
          <w:sz w:val="40"/>
          <w:szCs w:val="40"/>
        </w:rPr>
      </w:pPr>
    </w:p>
    <w:p w14:paraId="00000004" w14:textId="77777777" w:rsidR="00A00F3E" w:rsidRDefault="00A00F3E" w:rsidP="00A03458">
      <w:pPr>
        <w:spacing w:line="360" w:lineRule="auto"/>
        <w:jc w:val="both"/>
        <w:rPr>
          <w:rFonts w:ascii="Times New Roman" w:eastAsia="Times New Roman" w:hAnsi="Times New Roman" w:cs="Times New Roman"/>
          <w:b/>
          <w:color w:val="000000"/>
          <w:sz w:val="40"/>
          <w:szCs w:val="40"/>
        </w:rPr>
      </w:pPr>
    </w:p>
    <w:p w14:paraId="00000005" w14:textId="53D931C8" w:rsidR="00A00F3E" w:rsidRDefault="009371FC" w:rsidP="00A03458">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SCENARIO QUESTION</w:t>
      </w:r>
    </w:p>
    <w:p w14:paraId="00000006" w14:textId="77777777" w:rsidR="00A00F3E" w:rsidRDefault="00A00F3E" w:rsidP="00A03458">
      <w:pPr>
        <w:spacing w:line="360" w:lineRule="auto"/>
        <w:jc w:val="center"/>
        <w:rPr>
          <w:rFonts w:ascii="Times New Roman" w:eastAsia="Times New Roman" w:hAnsi="Times New Roman" w:cs="Times New Roman"/>
          <w:b/>
          <w:color w:val="000000"/>
          <w:sz w:val="24"/>
          <w:szCs w:val="24"/>
        </w:rPr>
      </w:pPr>
    </w:p>
    <w:p w14:paraId="00000007" w14:textId="3488DE9E" w:rsidR="00A00F3E" w:rsidRDefault="002D6C0B" w:rsidP="00A03458">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w:t>
      </w:r>
      <w:r w:rsidR="005E31B2">
        <w:rPr>
          <w:rFonts w:ascii="Times New Roman" w:eastAsia="Times New Roman" w:hAnsi="Times New Roman" w:cs="Times New Roman"/>
          <w:b/>
          <w:color w:val="000000"/>
          <w:sz w:val="32"/>
          <w:szCs w:val="32"/>
        </w:rPr>
        <w:t xml:space="preserve"> Ionel Florin Nicolae</w:t>
      </w:r>
    </w:p>
    <w:p w14:paraId="00000008" w14:textId="63860539" w:rsidR="00A00F3E" w:rsidRDefault="002D6C0B" w:rsidP="00A03458">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32"/>
          <w:szCs w:val="32"/>
        </w:rPr>
        <w:t>Student ID:</w:t>
      </w:r>
      <w:r w:rsidR="005E31B2">
        <w:rPr>
          <w:rFonts w:ascii="Times New Roman" w:eastAsia="Times New Roman" w:hAnsi="Times New Roman" w:cs="Times New Roman"/>
          <w:b/>
          <w:color w:val="000000"/>
          <w:sz w:val="32"/>
          <w:szCs w:val="32"/>
        </w:rPr>
        <w:t xml:space="preserve"> 2246428</w:t>
      </w:r>
      <w:r>
        <w:br w:type="page"/>
      </w:r>
    </w:p>
    <w:p w14:paraId="00000009" w14:textId="77777777" w:rsidR="00A00F3E" w:rsidRDefault="002D6C0B" w:rsidP="00A03458">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997181191"/>
        <w:docPartObj>
          <w:docPartGallery w:val="Table of Contents"/>
          <w:docPartUnique/>
        </w:docPartObj>
      </w:sdtPr>
      <w:sdtContent>
        <w:p w14:paraId="0000000A" w14:textId="77777777" w:rsidR="00A00F3E" w:rsidRDefault="002D6C0B" w:rsidP="00A03458">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Identify</w:t>
            </w:r>
            <w:r>
              <w:rPr>
                <w:rFonts w:ascii="Times New Roman" w:eastAsia="Times New Roman" w:hAnsi="Times New Roman" w:cs="Times New Roman"/>
                <w:color w:val="000000"/>
                <w:sz w:val="24"/>
                <w:szCs w:val="24"/>
              </w:rPr>
              <w:tab/>
              <w:t>3</w:t>
            </w:r>
          </w:hyperlink>
        </w:p>
        <w:p w14:paraId="0000000B" w14:textId="77777777" w:rsidR="00A00F3E" w:rsidRDefault="00000000" w:rsidP="00A03458">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30j0zll">
            <w:r w:rsidR="002D6C0B">
              <w:rPr>
                <w:rFonts w:ascii="Times New Roman" w:eastAsia="Times New Roman" w:hAnsi="Times New Roman" w:cs="Times New Roman"/>
                <w:color w:val="000000"/>
                <w:sz w:val="24"/>
                <w:szCs w:val="24"/>
              </w:rPr>
              <w:t>Determine</w:t>
            </w:r>
            <w:r w:rsidR="002D6C0B">
              <w:rPr>
                <w:rFonts w:ascii="Times New Roman" w:eastAsia="Times New Roman" w:hAnsi="Times New Roman" w:cs="Times New Roman"/>
                <w:color w:val="000000"/>
                <w:sz w:val="24"/>
                <w:szCs w:val="24"/>
              </w:rPr>
              <w:tab/>
              <w:t>3</w:t>
            </w:r>
          </w:hyperlink>
        </w:p>
        <w:p w14:paraId="0000000C" w14:textId="77777777" w:rsidR="00A00F3E" w:rsidRDefault="00000000" w:rsidP="00A03458">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1fob9te">
            <w:r w:rsidR="002D6C0B">
              <w:rPr>
                <w:rFonts w:ascii="Times New Roman" w:eastAsia="Times New Roman" w:hAnsi="Times New Roman" w:cs="Times New Roman"/>
                <w:color w:val="000000"/>
                <w:sz w:val="24"/>
                <w:szCs w:val="24"/>
              </w:rPr>
              <w:t>Evaluate</w:t>
            </w:r>
            <w:r w:rsidR="002D6C0B">
              <w:rPr>
                <w:rFonts w:ascii="Times New Roman" w:eastAsia="Times New Roman" w:hAnsi="Times New Roman" w:cs="Times New Roman"/>
                <w:color w:val="000000"/>
                <w:sz w:val="24"/>
                <w:szCs w:val="24"/>
              </w:rPr>
              <w:tab/>
              <w:t>5</w:t>
            </w:r>
          </w:hyperlink>
        </w:p>
        <w:p w14:paraId="0000000D" w14:textId="77777777" w:rsidR="00A00F3E" w:rsidRDefault="00000000" w:rsidP="00A03458">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3znysh7">
            <w:r w:rsidR="002D6C0B">
              <w:rPr>
                <w:rFonts w:ascii="Times New Roman" w:eastAsia="Times New Roman" w:hAnsi="Times New Roman" w:cs="Times New Roman"/>
                <w:color w:val="000000"/>
                <w:sz w:val="24"/>
                <w:szCs w:val="24"/>
              </w:rPr>
              <w:t>Act</w:t>
            </w:r>
            <w:r w:rsidR="002D6C0B">
              <w:rPr>
                <w:rFonts w:ascii="Times New Roman" w:eastAsia="Times New Roman" w:hAnsi="Times New Roman" w:cs="Times New Roman"/>
                <w:color w:val="000000"/>
                <w:sz w:val="24"/>
                <w:szCs w:val="24"/>
              </w:rPr>
              <w:tab/>
              <w:t>6</w:t>
            </w:r>
          </w:hyperlink>
        </w:p>
        <w:p w14:paraId="0000000E" w14:textId="77777777" w:rsidR="00A00F3E" w:rsidRDefault="00000000" w:rsidP="00A03458">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2et92p0">
            <w:r w:rsidR="002D6C0B">
              <w:rPr>
                <w:rFonts w:ascii="Times New Roman" w:eastAsia="Times New Roman" w:hAnsi="Times New Roman" w:cs="Times New Roman"/>
                <w:color w:val="000000"/>
                <w:sz w:val="24"/>
                <w:szCs w:val="24"/>
              </w:rPr>
              <w:t>Learn</w:t>
            </w:r>
            <w:r w:rsidR="002D6C0B">
              <w:rPr>
                <w:rFonts w:ascii="Times New Roman" w:eastAsia="Times New Roman" w:hAnsi="Times New Roman" w:cs="Times New Roman"/>
                <w:color w:val="000000"/>
                <w:sz w:val="24"/>
                <w:szCs w:val="24"/>
              </w:rPr>
              <w:tab/>
              <w:t>7</w:t>
            </w:r>
          </w:hyperlink>
        </w:p>
        <w:p w14:paraId="0000000F" w14:textId="77777777" w:rsidR="00A00F3E" w:rsidRDefault="00000000" w:rsidP="00A03458">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heading=h.tyjcwt">
            <w:r w:rsidR="002D6C0B">
              <w:rPr>
                <w:rFonts w:ascii="Times New Roman" w:eastAsia="Times New Roman" w:hAnsi="Times New Roman" w:cs="Times New Roman"/>
                <w:color w:val="000000"/>
                <w:sz w:val="24"/>
                <w:szCs w:val="24"/>
              </w:rPr>
              <w:t>References</w:t>
            </w:r>
            <w:r w:rsidR="002D6C0B">
              <w:rPr>
                <w:rFonts w:ascii="Times New Roman" w:eastAsia="Times New Roman" w:hAnsi="Times New Roman" w:cs="Times New Roman"/>
                <w:color w:val="000000"/>
                <w:sz w:val="24"/>
                <w:szCs w:val="24"/>
              </w:rPr>
              <w:tab/>
              <w:t>8</w:t>
            </w:r>
          </w:hyperlink>
        </w:p>
        <w:p w14:paraId="00000010" w14:textId="77777777" w:rsidR="00A00F3E" w:rsidRDefault="002D6C0B" w:rsidP="00A03458">
          <w:pPr>
            <w:spacing w:line="360" w:lineRule="auto"/>
            <w:jc w:val="both"/>
          </w:pPr>
          <w:r>
            <w:fldChar w:fldCharType="end"/>
          </w:r>
        </w:p>
      </w:sdtContent>
    </w:sdt>
    <w:p w14:paraId="00000011" w14:textId="77777777" w:rsidR="00A00F3E" w:rsidRDefault="002D6C0B" w:rsidP="00A03458">
      <w:pPr>
        <w:spacing w:line="360" w:lineRule="auto"/>
        <w:jc w:val="both"/>
        <w:rPr>
          <w:rFonts w:ascii="Times New Roman" w:eastAsia="Times New Roman" w:hAnsi="Times New Roman" w:cs="Times New Roman"/>
          <w:b/>
          <w:color w:val="000000"/>
          <w:sz w:val="24"/>
          <w:szCs w:val="24"/>
        </w:rPr>
      </w:pPr>
      <w:r>
        <w:br w:type="page"/>
      </w:r>
    </w:p>
    <w:p w14:paraId="00000015" w14:textId="3A72BFAB" w:rsidR="00A00F3E" w:rsidRDefault="002D6C0B" w:rsidP="00A03458">
      <w:pPr>
        <w:pStyle w:val="Heading1"/>
        <w:spacing w:line="360" w:lineRule="auto"/>
        <w:jc w:val="both"/>
        <w:rPr>
          <w:rFonts w:eastAsia="Times New Roman" w:cs="Times New Roman"/>
          <w:color w:val="000000"/>
          <w:sz w:val="24"/>
          <w:szCs w:val="24"/>
        </w:rPr>
      </w:pPr>
      <w:bookmarkStart w:id="0" w:name="_heading=h.gjdgxs" w:colFirst="0" w:colLast="0"/>
      <w:bookmarkEnd w:id="0"/>
      <w:r>
        <w:lastRenderedPageBreak/>
        <w:t>Identify</w:t>
      </w:r>
      <w:r>
        <w:rPr>
          <w:rFonts w:eastAsia="Times New Roman" w:cs="Times New Roman"/>
          <w:color w:val="000000"/>
          <w:sz w:val="24"/>
          <w:szCs w:val="24"/>
        </w:rPr>
        <w:t xml:space="preserve"> </w:t>
      </w:r>
    </w:p>
    <w:p w14:paraId="31D69063" w14:textId="6D236C41" w:rsidR="00EC4661" w:rsidRPr="00EC4661" w:rsidRDefault="00EC4661" w:rsidP="00A03458">
      <w:pPr>
        <w:spacing w:line="360" w:lineRule="auto"/>
        <w:jc w:val="both"/>
        <w:rPr>
          <w:rFonts w:ascii="Times New Roman" w:hAnsi="Times New Roman" w:cs="Times New Roman"/>
          <w:sz w:val="24"/>
          <w:szCs w:val="24"/>
        </w:rPr>
      </w:pPr>
      <w:r w:rsidRPr="00EC4661">
        <w:rPr>
          <w:rFonts w:ascii="Times New Roman" w:hAnsi="Times New Roman" w:cs="Times New Roman"/>
          <w:sz w:val="24"/>
          <w:szCs w:val="24"/>
        </w:rPr>
        <w:t>In the case of Carla and Jamie, the identification of legal issues necessitates a detailed exploration of UK criminal law, focusing on the offences potentially committed by Carla when she inflicted serious injuries upon Jamie. This analysis must be grounded in the relevant statutes and established case law, providing a comprehensive understanding of the applicable legal principles.</w:t>
      </w:r>
      <w:r>
        <w:rPr>
          <w:rFonts w:ascii="Times New Roman" w:hAnsi="Times New Roman" w:cs="Times New Roman"/>
          <w:sz w:val="24"/>
          <w:szCs w:val="24"/>
        </w:rPr>
        <w:t xml:space="preserve"> </w:t>
      </w:r>
      <w:r w:rsidRPr="00EC4661">
        <w:rPr>
          <w:rFonts w:ascii="Times New Roman" w:hAnsi="Times New Roman" w:cs="Times New Roman"/>
          <w:sz w:val="24"/>
          <w:szCs w:val="24"/>
        </w:rPr>
        <w:t>The incident, characterized by Carla's act of stabbing Jamie, primarily raises the prospect of two serious offences: attempted murder and grievous bodily harm (GBH) with intent. Attempted murder is governed by the Criminal Attempts Act 1981, which necessitates the establishment of an intention to commit murder. This offence is among the most severe within the UK legal system, reflecting the gravity of actions where the perpetrator intends to end the life of another person but falls short of achieving this outcome.</w:t>
      </w:r>
    </w:p>
    <w:p w14:paraId="09ECF428" w14:textId="39E10886" w:rsidR="00EC4661" w:rsidRPr="00EC4661" w:rsidRDefault="00EC4661" w:rsidP="00A03458">
      <w:pPr>
        <w:spacing w:line="360" w:lineRule="auto"/>
        <w:jc w:val="both"/>
        <w:rPr>
          <w:rFonts w:ascii="Times New Roman" w:hAnsi="Times New Roman" w:cs="Times New Roman"/>
          <w:sz w:val="24"/>
          <w:szCs w:val="24"/>
        </w:rPr>
      </w:pPr>
      <w:r w:rsidRPr="00EC4661">
        <w:rPr>
          <w:rFonts w:ascii="Times New Roman" w:hAnsi="Times New Roman" w:cs="Times New Roman"/>
          <w:sz w:val="24"/>
          <w:szCs w:val="24"/>
        </w:rPr>
        <w:t>Grievous bodily harm with intent, on the other hand, falls under Section 18 of the Offences Against the Person Act 1861. This offence does not require the intent to kill but rather the intent to cause serious physical harm. The severity of Jamie's injuries, as described, suggests that the threshold for GBH may well be met in this instance. The distinction between these offences lies in the specific mens rea (mental element) required: the intention to kill for attempted murder and the intention to cause serious harm for GBH.</w:t>
      </w:r>
      <w:r>
        <w:rPr>
          <w:rFonts w:ascii="Times New Roman" w:hAnsi="Times New Roman" w:cs="Times New Roman"/>
          <w:sz w:val="24"/>
          <w:szCs w:val="24"/>
        </w:rPr>
        <w:t xml:space="preserve"> </w:t>
      </w:r>
      <w:r w:rsidRPr="00EC4661">
        <w:rPr>
          <w:rFonts w:ascii="Times New Roman" w:hAnsi="Times New Roman" w:cs="Times New Roman"/>
          <w:sz w:val="24"/>
          <w:szCs w:val="24"/>
        </w:rPr>
        <w:t>The scenario also brings into consideration the concept of defences in criminal law. The emotional circumstances under which Carla acted, particularly the revelation of Jamie's affair and her subsequent reaction, raise potential mitigating factors that could influence the legal assessment of her actions. The defences of loss of control and diminished responsibility are particularly pertinent. Loss of control, as outlined in sections 54 and 55 of the Coroners and Justice Act 2009, replaced the former defence of provocation and allows for a reduction in charge from murder to manslaughter if certain criteria are met. This defence requires an assessment of whether a person of Carla's sex and age, with a normal degree of tolerance and self-restraint and in the circumstances of the defendant, might have reacted in the same or a similar way.</w:t>
      </w:r>
    </w:p>
    <w:p w14:paraId="5E081B52" w14:textId="780D13E5" w:rsidR="00EC4661" w:rsidRDefault="002D6C0B" w:rsidP="00A03458">
      <w:pPr>
        <w:pStyle w:val="Heading1"/>
        <w:spacing w:line="360" w:lineRule="auto"/>
        <w:jc w:val="both"/>
      </w:pPr>
      <w:bookmarkStart w:id="1" w:name="_heading=h.30j0zll" w:colFirst="0" w:colLast="0"/>
      <w:bookmarkEnd w:id="1"/>
      <w:r>
        <w:t>Determine</w:t>
      </w:r>
    </w:p>
    <w:p w14:paraId="7078E325" w14:textId="59E8D504" w:rsidR="00EC4661" w:rsidRPr="00EC4661" w:rsidRDefault="00EC4661" w:rsidP="00A03458">
      <w:pPr>
        <w:spacing w:line="360" w:lineRule="auto"/>
        <w:jc w:val="both"/>
        <w:rPr>
          <w:rFonts w:ascii="Times New Roman" w:hAnsi="Times New Roman" w:cs="Times New Roman"/>
          <w:sz w:val="24"/>
          <w:szCs w:val="24"/>
        </w:rPr>
      </w:pPr>
      <w:r w:rsidRPr="00EC4661">
        <w:rPr>
          <w:rFonts w:ascii="Times New Roman" w:hAnsi="Times New Roman" w:cs="Times New Roman"/>
          <w:sz w:val="24"/>
          <w:szCs w:val="24"/>
        </w:rPr>
        <w:t xml:space="preserve">In the context of the case involving Carla and Jamie, the determination of the precise legal implications of Carla's actions necessitates a thorough examination of the constituent elements of the relevant offences under UK law. This process involves assessing whether Carla's conduct </w:t>
      </w:r>
      <w:r w:rsidRPr="00EC4661">
        <w:rPr>
          <w:rFonts w:ascii="Times New Roman" w:hAnsi="Times New Roman" w:cs="Times New Roman"/>
          <w:sz w:val="24"/>
          <w:szCs w:val="24"/>
        </w:rPr>
        <w:lastRenderedPageBreak/>
        <w:t>fulfils the legal criteria for attempted murder or grievous bodily harm (GBH) with intent. Concurrently, it is imperative to consider any potential defences that may be applicable, given the circumstances of the case. The offence of attempted murder, as delineated in the Criminal Attempts Act 1981, requires the prosecution to prove two critical elements: the actus reus (the guilty act) and the mens rea (the guilty mind). The actus reus in this instance is clear – Carla's act of stabbing Jamie. However, the mens rea for attempted murder is more complex, requiring proof of Carla's specific intention to kill Jamie. This intention must be distinguished from an intent merely to cause harm. The specific circumstances leading to the act, particularly Carla's emotional state following Jamie's revelation of infidelity, may influence the interpretation of her intent.</w:t>
      </w:r>
    </w:p>
    <w:p w14:paraId="19DD8A1B" w14:textId="5750A514" w:rsidR="00EC4661" w:rsidRPr="00EC4661" w:rsidRDefault="00EC4661" w:rsidP="00A03458">
      <w:pPr>
        <w:spacing w:line="360" w:lineRule="auto"/>
        <w:jc w:val="both"/>
        <w:rPr>
          <w:rFonts w:ascii="Times New Roman" w:hAnsi="Times New Roman" w:cs="Times New Roman"/>
          <w:sz w:val="24"/>
          <w:szCs w:val="24"/>
        </w:rPr>
      </w:pPr>
      <w:r w:rsidRPr="00EC4661">
        <w:rPr>
          <w:rFonts w:ascii="Times New Roman" w:hAnsi="Times New Roman" w:cs="Times New Roman"/>
          <w:sz w:val="24"/>
          <w:szCs w:val="24"/>
        </w:rPr>
        <w:t>Alternatively, the offence of GBH with intent, under Section 18 of the Offences Against the Person Act 1861, also necessitates careful consideration. This offence is satisfied if it is established that Carla intended to cause serious harm to Jamie, a threshold seemingly met given the nature of the injuries inflicted. Unlike attempted murder, the intent to kill is not a requisite element for GBH with intent. Thus, proving Carla's intent to cause serious harm may be a more straightforward route for the prosecution, especially considering the physical evidence and the actions undertaken. In examining potential defences, the concept of loss of control, as provided under sections 54 and 55 of the Coroners and Justice Act 2009, emerges as a significant consideration. This defence, which evolved from the older doctrine of provocation, could be invoked if Carla's actions were a response to a fear of serious violence from Jamie or were attributed to things said or done which constituted circumstances of an extremely grave character and caused Carla to have a justifiable sense of being seriously wronged. Given Jamie's confession of an affair, the defence could argue that this constituted a serious wrong, provoking Carla's loss of control.</w:t>
      </w:r>
    </w:p>
    <w:p w14:paraId="17A27EB5" w14:textId="5008C69A" w:rsidR="00573DCD" w:rsidRPr="00573DCD" w:rsidRDefault="002D6C0B" w:rsidP="00A03458">
      <w:pPr>
        <w:spacing w:line="360" w:lineRule="auto"/>
        <w:jc w:val="both"/>
        <w:rPr>
          <w:rFonts w:ascii="Times New Roman" w:hAnsi="Times New Roman" w:cs="Times New Roman"/>
          <w:sz w:val="24"/>
          <w:szCs w:val="24"/>
        </w:rPr>
      </w:pPr>
      <w:bookmarkStart w:id="2" w:name="_heading=h.1fob9te" w:colFirst="0" w:colLast="0"/>
      <w:bookmarkEnd w:id="2"/>
      <w:r w:rsidRPr="00573DCD">
        <w:rPr>
          <w:rStyle w:val="Heading1Char"/>
        </w:rPr>
        <w:t>Evaluate</w:t>
      </w:r>
    </w:p>
    <w:p w14:paraId="6C12403B" w14:textId="619E011C" w:rsidR="00573DCD" w:rsidRPr="00573DCD" w:rsidRDefault="00573DCD" w:rsidP="00A03458">
      <w:pPr>
        <w:spacing w:line="360" w:lineRule="auto"/>
        <w:jc w:val="both"/>
        <w:rPr>
          <w:rFonts w:ascii="Times New Roman" w:hAnsi="Times New Roman" w:cs="Times New Roman"/>
          <w:sz w:val="24"/>
          <w:szCs w:val="24"/>
        </w:rPr>
      </w:pPr>
      <w:r w:rsidRPr="00573DCD">
        <w:rPr>
          <w:rFonts w:ascii="Times New Roman" w:hAnsi="Times New Roman" w:cs="Times New Roman"/>
          <w:sz w:val="24"/>
          <w:szCs w:val="24"/>
        </w:rPr>
        <w:t xml:space="preserve">In the context of attempted murder, it is essential to evaluate the extent to which Carla's actions demonstrate a clear intention to kill Jamie. The act of stabbing, particularly in a vital area like the chest, prima facie indicates a potentially lethal intent. However, the influence of emotional distress and provocation following Jamie's admission of an affair complicates this assessment. The defence could argue that while Carla's actions were deliberate, they were not borne out of a premeditated intent to kill but rather an impulsive reaction to extreme emotional provocation. This argument challenges the requirement of specific intent necessary for a conviction of attempted murder. For </w:t>
      </w:r>
      <w:r w:rsidRPr="00573DCD">
        <w:rPr>
          <w:rFonts w:ascii="Times New Roman" w:hAnsi="Times New Roman" w:cs="Times New Roman"/>
          <w:sz w:val="24"/>
          <w:szCs w:val="24"/>
        </w:rPr>
        <w:lastRenderedPageBreak/>
        <w:t>the offence of GBH with intent, the threshold seems more straightforwardly met. The deliberate action of stabbing, resulting in serious injuries, aligns with the actus reus of the offence. The mens rea, intention to cause serious harm, can be inferred from the nature of the act itself. However, the context of Carla's emotional turmoil is critical in evaluating whether her intent was as clear-cut as the physical evidence suggests.</w:t>
      </w:r>
    </w:p>
    <w:p w14:paraId="6B72CD8A" w14:textId="0A89F099" w:rsidR="00EE645D" w:rsidRPr="00EE645D" w:rsidRDefault="00EE645D" w:rsidP="00A03458">
      <w:pPr>
        <w:spacing w:line="360" w:lineRule="auto"/>
        <w:jc w:val="both"/>
        <w:rPr>
          <w:rFonts w:ascii="Times New Roman" w:hAnsi="Times New Roman" w:cs="Times New Roman"/>
          <w:sz w:val="24"/>
          <w:szCs w:val="24"/>
        </w:rPr>
      </w:pPr>
      <w:r w:rsidRPr="00EE645D">
        <w:rPr>
          <w:rFonts w:ascii="Times New Roman" w:hAnsi="Times New Roman" w:cs="Times New Roman"/>
          <w:sz w:val="24"/>
          <w:szCs w:val="24"/>
        </w:rPr>
        <w:t>The Coroners and Justice Act 2009 offers a potential defence for Carla through the loss of control provision. This defence depends on evaluating whether Carla's actions were a response to a fear of serious violence or a reaction to exceptionally grave circumstances. The disclosure of an affair could be considered a triggering event of such gravity, especially considering the already strained relationship. However, application of this defence is not straightforward as it requires a balance between Carla's subjective experience and an objective standard of how a person with normal tolerance and self-restraint might have acted.</w:t>
      </w:r>
    </w:p>
    <w:p w14:paraId="65C7E9F4" w14:textId="38720942" w:rsidR="00573DCD" w:rsidRPr="00573DCD" w:rsidRDefault="00EE645D" w:rsidP="00A03458">
      <w:pPr>
        <w:spacing w:line="360" w:lineRule="auto"/>
        <w:jc w:val="both"/>
        <w:rPr>
          <w:rFonts w:ascii="Times New Roman" w:hAnsi="Times New Roman" w:cs="Times New Roman"/>
          <w:sz w:val="24"/>
          <w:szCs w:val="24"/>
        </w:rPr>
      </w:pPr>
      <w:r w:rsidRPr="00EE645D">
        <w:rPr>
          <w:rFonts w:ascii="Times New Roman" w:hAnsi="Times New Roman" w:cs="Times New Roman"/>
          <w:sz w:val="24"/>
          <w:szCs w:val="24"/>
        </w:rPr>
        <w:t xml:space="preserve">The defence of diminished responsibility also involves </w:t>
      </w:r>
      <w:r w:rsidR="00AB05A5">
        <w:rPr>
          <w:rFonts w:ascii="Times New Roman" w:hAnsi="Times New Roman" w:cs="Times New Roman"/>
          <w:sz w:val="24"/>
          <w:szCs w:val="24"/>
        </w:rPr>
        <w:t xml:space="preserve">the </w:t>
      </w:r>
      <w:r w:rsidRPr="00EE645D">
        <w:rPr>
          <w:rFonts w:ascii="Times New Roman" w:hAnsi="Times New Roman" w:cs="Times New Roman"/>
          <w:sz w:val="24"/>
          <w:szCs w:val="24"/>
        </w:rPr>
        <w:t>mental state</w:t>
      </w:r>
      <w:r w:rsidR="00AB05A5">
        <w:rPr>
          <w:rFonts w:ascii="Times New Roman" w:hAnsi="Times New Roman" w:cs="Times New Roman"/>
          <w:sz w:val="24"/>
          <w:szCs w:val="24"/>
        </w:rPr>
        <w:t xml:space="preserve"> od Carla</w:t>
      </w:r>
      <w:r w:rsidRPr="00EE645D">
        <w:rPr>
          <w:rFonts w:ascii="Times New Roman" w:hAnsi="Times New Roman" w:cs="Times New Roman"/>
          <w:sz w:val="24"/>
          <w:szCs w:val="24"/>
        </w:rPr>
        <w:t xml:space="preserve"> at the time of the incident. If it can be shown that she was suffering from an abnormality of mental functioning from a recognized medical condition, and it substantially impaired her ability to make rational judgments or exercise self-control, this defence could significantly reduce her liability. Expert medical testimony and a thorough examination of Carla's psychological state, both historically and in the immediate context of the incident, would be necessary for this defence</w:t>
      </w:r>
      <w:r w:rsidR="00573DCD" w:rsidRPr="00573DCD">
        <w:rPr>
          <w:rFonts w:ascii="Times New Roman" w:hAnsi="Times New Roman" w:cs="Times New Roman"/>
          <w:sz w:val="24"/>
          <w:szCs w:val="24"/>
        </w:rPr>
        <w:t>.</w:t>
      </w:r>
    </w:p>
    <w:p w14:paraId="00000026" w14:textId="29A70968" w:rsidR="00A00F3E" w:rsidRDefault="002D6C0B" w:rsidP="00A03458">
      <w:pPr>
        <w:pStyle w:val="Heading1"/>
        <w:spacing w:line="360" w:lineRule="auto"/>
        <w:jc w:val="both"/>
      </w:pPr>
      <w:bookmarkStart w:id="3" w:name="_heading=h.3znysh7" w:colFirst="0" w:colLast="0"/>
      <w:bookmarkEnd w:id="3"/>
      <w:r>
        <w:t>Act</w:t>
      </w:r>
    </w:p>
    <w:p w14:paraId="78A19762" w14:textId="0AFEA7C2" w:rsidR="00573DCD" w:rsidRPr="00573DCD" w:rsidRDefault="00EE645D" w:rsidP="00A03458">
      <w:pPr>
        <w:spacing w:line="360" w:lineRule="auto"/>
        <w:jc w:val="both"/>
        <w:rPr>
          <w:rFonts w:ascii="Times New Roman" w:hAnsi="Times New Roman" w:cs="Times New Roman"/>
          <w:sz w:val="24"/>
          <w:szCs w:val="24"/>
        </w:rPr>
      </w:pPr>
      <w:r w:rsidRPr="00EE645D">
        <w:rPr>
          <w:rFonts w:ascii="Times New Roman" w:hAnsi="Times New Roman" w:cs="Times New Roman"/>
          <w:sz w:val="24"/>
          <w:szCs w:val="24"/>
        </w:rPr>
        <w:t xml:space="preserve">The prosecution's main goal is to prove Carla's guilt beyond a reasonable doubt by charging her with attempted murder or GBH with intent. To prove attempted murder, they must show that Carla intended to kill Jamie, which requires more than just showing she caused injuries. </w:t>
      </w:r>
      <w:r w:rsidR="009371FC" w:rsidRPr="009371FC">
        <w:rPr>
          <w:rFonts w:ascii="Times New Roman" w:hAnsi="Times New Roman" w:cs="Times New Roman"/>
          <w:sz w:val="24"/>
          <w:szCs w:val="24"/>
        </w:rPr>
        <w:t>In R v Mohan 1975, similar issues related to injuries amounting to death were discussed. In this case, the opposition might use the same as a reference for Carla's action. However, the severity of the impact and the intention behind the same is essential to be taken into consideration.</w:t>
      </w:r>
    </w:p>
    <w:p w14:paraId="6A397645" w14:textId="168473F9" w:rsidR="00573DCD" w:rsidRPr="00573DCD" w:rsidRDefault="00573DCD" w:rsidP="00A03458">
      <w:pPr>
        <w:spacing w:line="360" w:lineRule="auto"/>
        <w:jc w:val="both"/>
        <w:rPr>
          <w:rFonts w:ascii="Times New Roman" w:hAnsi="Times New Roman" w:cs="Times New Roman"/>
          <w:sz w:val="24"/>
          <w:szCs w:val="24"/>
        </w:rPr>
      </w:pPr>
      <w:r w:rsidRPr="00573DCD">
        <w:rPr>
          <w:rFonts w:ascii="Times New Roman" w:hAnsi="Times New Roman" w:cs="Times New Roman"/>
          <w:sz w:val="24"/>
          <w:szCs w:val="24"/>
        </w:rPr>
        <w:t>In arguing the charge of GBH with intent, the prosecution's task may be somewhat less onerous, given the lower threshold of intent required. Under Section 18 of the Offences Against the Person Act 1861, the prosecution must prove that Carla intended to cause serious harm to Jamie</w:t>
      </w:r>
      <w:r w:rsidR="009371FC">
        <w:rPr>
          <w:rFonts w:ascii="Times New Roman" w:hAnsi="Times New Roman" w:cs="Times New Roman"/>
          <w:sz w:val="24"/>
          <w:szCs w:val="24"/>
        </w:rPr>
        <w:t xml:space="preserve"> (L</w:t>
      </w:r>
      <w:r w:rsidR="009371FC" w:rsidRPr="009371FC">
        <w:rPr>
          <w:rFonts w:ascii="Times New Roman" w:hAnsi="Times New Roman" w:cs="Times New Roman"/>
          <w:sz w:val="24"/>
          <w:szCs w:val="24"/>
        </w:rPr>
        <w:t>egislation.gov.uk</w:t>
      </w:r>
      <w:r w:rsidR="009371FC">
        <w:rPr>
          <w:rFonts w:ascii="Times New Roman" w:hAnsi="Times New Roman" w:cs="Times New Roman"/>
          <w:sz w:val="24"/>
          <w:szCs w:val="24"/>
        </w:rPr>
        <w:t>, 2023)</w:t>
      </w:r>
      <w:r w:rsidRPr="00573DCD">
        <w:rPr>
          <w:rFonts w:ascii="Times New Roman" w:hAnsi="Times New Roman" w:cs="Times New Roman"/>
          <w:sz w:val="24"/>
          <w:szCs w:val="24"/>
        </w:rPr>
        <w:t xml:space="preserve">. The direct and potentially fatal nature of a stab wound could be </w:t>
      </w:r>
      <w:r w:rsidRPr="00573DCD">
        <w:rPr>
          <w:rFonts w:ascii="Times New Roman" w:hAnsi="Times New Roman" w:cs="Times New Roman"/>
          <w:sz w:val="24"/>
          <w:szCs w:val="24"/>
        </w:rPr>
        <w:lastRenderedPageBreak/>
        <w:t>compelling evidence of this intent. The case of R v Cunningham (19</w:t>
      </w:r>
      <w:r w:rsidR="008F6198">
        <w:rPr>
          <w:rFonts w:ascii="Times New Roman" w:hAnsi="Times New Roman" w:cs="Times New Roman"/>
          <w:sz w:val="24"/>
          <w:szCs w:val="24"/>
        </w:rPr>
        <w:t>57</w:t>
      </w:r>
      <w:r w:rsidRPr="00573DCD">
        <w:rPr>
          <w:rFonts w:ascii="Times New Roman" w:hAnsi="Times New Roman" w:cs="Times New Roman"/>
          <w:sz w:val="24"/>
          <w:szCs w:val="24"/>
        </w:rPr>
        <w:t>) serves as a reference point, where recklessness as to causing some harm was differentiated from the specific intent to cause serious harm.</w:t>
      </w:r>
    </w:p>
    <w:p w14:paraId="00A5FEAC" w14:textId="4D49B401" w:rsidR="00EE645D" w:rsidRPr="00EE645D" w:rsidRDefault="00EE645D" w:rsidP="00A03458">
      <w:pPr>
        <w:spacing w:line="360" w:lineRule="auto"/>
        <w:jc w:val="both"/>
        <w:rPr>
          <w:rFonts w:ascii="Times New Roman" w:hAnsi="Times New Roman" w:cs="Times New Roman"/>
          <w:sz w:val="24"/>
          <w:szCs w:val="24"/>
        </w:rPr>
      </w:pPr>
      <w:r w:rsidRPr="00EE645D">
        <w:rPr>
          <w:rFonts w:ascii="Times New Roman" w:hAnsi="Times New Roman" w:cs="Times New Roman"/>
          <w:sz w:val="24"/>
          <w:szCs w:val="24"/>
        </w:rPr>
        <w:t>Carla's defence would likely focus on mitigating factors and applicable defences. The loss of control defence under sections 54 and 55 of the Coroners and Justice Act 2009 could be argued, requiring demonstration that Carla's actions were a response to fear of serious violence or were provoked by extremely grave circumstances causing her to feel seriously wronged. Cases such as R v Duffy (1949) and R v Ahluwalia (1992) would support this defence.</w:t>
      </w:r>
      <w:r w:rsidR="00A03458">
        <w:rPr>
          <w:rFonts w:ascii="Times New Roman" w:hAnsi="Times New Roman" w:cs="Times New Roman"/>
          <w:sz w:val="24"/>
          <w:szCs w:val="24"/>
        </w:rPr>
        <w:t xml:space="preserve"> </w:t>
      </w:r>
      <w:r w:rsidR="00A03458" w:rsidRPr="00A03458">
        <w:rPr>
          <w:rFonts w:ascii="Times New Roman" w:hAnsi="Times New Roman" w:cs="Times New Roman"/>
          <w:sz w:val="24"/>
          <w:szCs w:val="24"/>
        </w:rPr>
        <w:t>Additionally, Carla's defence team may be able to make a case for diminished responsibility as codified under the Homicide Act 1957. Utilizing this defence would necessitate providing evidence that Carla was experiencing an abnormality of mental function that significantly impacted her capacity for rational decision-making and self-regulation, as set forth in the legal precedent established by R v Byrne (1960). To substantiate such a claim, expert psychiatric analysis would need to identify deficiencies in Carla's ability to comprehend the consequences of her actions, make reasoned judgments, or restrain sudden impulses or intense emotions. The burden would fall to the defence to demonstrate that Carla's awareness and control were not merely compromised in the heat of the moment but were persistently and substantially impaired beyond that of an ordinary person. This would require probing analysis of any longstanding psychiatric or neurological conditions underlying the maladaptive thought patterns and behaviour exhibited in committing the offense.</w:t>
      </w:r>
    </w:p>
    <w:p w14:paraId="7908CFE5" w14:textId="612F441A" w:rsidR="00573DCD" w:rsidRPr="00573DCD" w:rsidRDefault="002D6C0B" w:rsidP="00A03458">
      <w:pPr>
        <w:pStyle w:val="Heading1"/>
        <w:spacing w:line="360" w:lineRule="auto"/>
        <w:jc w:val="both"/>
      </w:pPr>
      <w:bookmarkStart w:id="4" w:name="_heading=h.2et92p0" w:colFirst="0" w:colLast="0"/>
      <w:bookmarkEnd w:id="4"/>
      <w:r>
        <w:t>Learn</w:t>
      </w:r>
    </w:p>
    <w:p w14:paraId="2AA95F2F" w14:textId="77777777" w:rsidR="00A03458" w:rsidRPr="00A03458" w:rsidRDefault="00A03458" w:rsidP="00A03458">
      <w:pPr>
        <w:spacing w:after="0" w:line="360" w:lineRule="auto"/>
        <w:jc w:val="both"/>
        <w:rPr>
          <w:rFonts w:ascii="Times New Roman" w:eastAsia="Times New Roman" w:hAnsi="Times New Roman" w:cs="Times New Roman"/>
          <w:sz w:val="24"/>
          <w:szCs w:val="24"/>
        </w:rPr>
      </w:pPr>
      <w:r w:rsidRPr="00A03458">
        <w:rPr>
          <w:rFonts w:ascii="Times New Roman" w:eastAsia="Times New Roman" w:hAnsi="Times New Roman" w:cs="Times New Roman"/>
          <w:sz w:val="24"/>
          <w:szCs w:val="24"/>
        </w:rPr>
        <w:t>Carla's case offers several salient lessons. Foremost, it spotlights the indispensable role that specific intent occupies in criminal law, particularly regarding grievous offenses such as attempted murder. As reinforced by legal precedent in R v Mohan (1975), the prosecution bears the onus of establishing unequivocal intent to kill on the defendant’s part, underscoring the stringent standard of culpability imposed for severe criminality.</w:t>
      </w:r>
    </w:p>
    <w:p w14:paraId="3EB554F6" w14:textId="6983DC1F" w:rsidR="00A03458" w:rsidRPr="00A03458" w:rsidRDefault="00A03458" w:rsidP="00A03458">
      <w:pPr>
        <w:spacing w:after="0" w:line="360" w:lineRule="auto"/>
        <w:jc w:val="both"/>
        <w:rPr>
          <w:rFonts w:ascii="Times New Roman" w:eastAsia="Times New Roman" w:hAnsi="Times New Roman" w:cs="Times New Roman"/>
          <w:sz w:val="24"/>
          <w:szCs w:val="24"/>
        </w:rPr>
      </w:pPr>
      <w:r w:rsidRPr="00A03458">
        <w:rPr>
          <w:rFonts w:ascii="Times New Roman" w:eastAsia="Times New Roman" w:hAnsi="Times New Roman" w:cs="Times New Roman"/>
          <w:sz w:val="24"/>
          <w:szCs w:val="24"/>
        </w:rPr>
        <w:t xml:space="preserve">Additionally, Carla’s situation provides practical insight into the defences of loss of control and diminished responsibility, as codified in cases like R v Duffy (1949) and R v Byrne (1960). The applicability of these defences speaks to the legal system's recognition of the intricate human psychology motivating criminal violence. It reflects an evolving comprehension that external </w:t>
      </w:r>
      <w:r w:rsidRPr="00A03458">
        <w:rPr>
          <w:rFonts w:ascii="Times New Roman" w:eastAsia="Times New Roman" w:hAnsi="Times New Roman" w:cs="Times New Roman"/>
          <w:sz w:val="24"/>
          <w:szCs w:val="24"/>
        </w:rPr>
        <w:lastRenderedPageBreak/>
        <w:t>provocations can, in certain instances, profoundly impair self-regulation in those predisposed to destructive emotional excess.</w:t>
      </w:r>
    </w:p>
    <w:p w14:paraId="4D892567" w14:textId="77777777" w:rsidR="00A03458" w:rsidRPr="00A03458" w:rsidRDefault="00A03458" w:rsidP="00A03458">
      <w:pPr>
        <w:spacing w:after="0" w:line="360" w:lineRule="auto"/>
        <w:jc w:val="both"/>
        <w:rPr>
          <w:rFonts w:ascii="Times New Roman" w:eastAsia="Times New Roman" w:hAnsi="Times New Roman" w:cs="Times New Roman"/>
          <w:sz w:val="24"/>
          <w:szCs w:val="24"/>
        </w:rPr>
      </w:pPr>
      <w:r w:rsidRPr="00A03458">
        <w:rPr>
          <w:rFonts w:ascii="Times New Roman" w:eastAsia="Times New Roman" w:hAnsi="Times New Roman" w:cs="Times New Roman"/>
          <w:sz w:val="24"/>
          <w:szCs w:val="24"/>
        </w:rPr>
        <w:t>Moreover, the expanded construct of immediacy in reacting to serious relational betrayals or trauma, particularly in domestic contexts, represents an essential modern refinement of the law’s approach, as exhibited in the R v Ahluwalia (1992) case decision. This dynamic and intensified conceptualization of the temporary dysfunctional mental state that may obtain in the wake of extreme situational stressors demonstrates a more inclusive, context-specific legal outlook regarding the role of human emotional extremes in aberrant criminal violence.</w:t>
      </w:r>
    </w:p>
    <w:p w14:paraId="0000002A" w14:textId="0B0BCC31" w:rsidR="00A00F3E" w:rsidRDefault="00A03458" w:rsidP="00A03458">
      <w:pPr>
        <w:spacing w:after="0" w:line="360" w:lineRule="auto"/>
        <w:jc w:val="both"/>
        <w:rPr>
          <w:rFonts w:ascii="Times New Roman" w:eastAsia="Times New Roman" w:hAnsi="Times New Roman" w:cs="Times New Roman"/>
          <w:sz w:val="24"/>
          <w:szCs w:val="24"/>
        </w:rPr>
      </w:pPr>
      <w:r w:rsidRPr="00A03458">
        <w:rPr>
          <w:rFonts w:ascii="Times New Roman" w:eastAsia="Times New Roman" w:hAnsi="Times New Roman" w:cs="Times New Roman"/>
          <w:sz w:val="24"/>
          <w:szCs w:val="24"/>
        </w:rPr>
        <w:t xml:space="preserve">Carla’s case sharply spotlights the vital elements of establishing culpable intent, </w:t>
      </w:r>
      <w:r w:rsidR="00AB05A5" w:rsidRPr="00A03458">
        <w:rPr>
          <w:rFonts w:ascii="Times New Roman" w:eastAsia="Times New Roman" w:hAnsi="Times New Roman" w:cs="Times New Roman"/>
          <w:sz w:val="24"/>
          <w:szCs w:val="24"/>
        </w:rPr>
        <w:t xml:space="preserve">diminished responsibility defences </w:t>
      </w:r>
      <w:r w:rsidR="00AB05A5">
        <w:rPr>
          <w:rFonts w:ascii="Times New Roman" w:eastAsia="Times New Roman" w:hAnsi="Times New Roman" w:cs="Times New Roman"/>
          <w:sz w:val="24"/>
          <w:szCs w:val="24"/>
        </w:rPr>
        <w:t xml:space="preserve">and </w:t>
      </w:r>
      <w:r w:rsidRPr="00A03458">
        <w:rPr>
          <w:rFonts w:ascii="Times New Roman" w:eastAsia="Times New Roman" w:hAnsi="Times New Roman" w:cs="Times New Roman"/>
          <w:sz w:val="24"/>
          <w:szCs w:val="24"/>
        </w:rPr>
        <w:t>successfully applying the loss of control, and continually updating the legal perspective to align with expert understanding of the psychological dimensions of atypical criminal violence. It serves as a teaching moment to reinforce the law’s evolving efforts towards equitable justice rooted in current psychology and neuroscience.</w:t>
      </w:r>
    </w:p>
    <w:p w14:paraId="0000002B" w14:textId="77777777" w:rsidR="00A00F3E" w:rsidRDefault="002D6C0B" w:rsidP="00A03458">
      <w:pPr>
        <w:spacing w:line="360" w:lineRule="auto"/>
        <w:jc w:val="both"/>
        <w:rPr>
          <w:rFonts w:ascii="Times New Roman" w:eastAsia="Times New Roman" w:hAnsi="Times New Roman" w:cs="Times New Roman"/>
          <w:b/>
          <w:color w:val="000000"/>
          <w:sz w:val="24"/>
          <w:szCs w:val="24"/>
        </w:rPr>
      </w:pPr>
      <w:r>
        <w:br w:type="page"/>
      </w:r>
    </w:p>
    <w:p w14:paraId="17F31C7B" w14:textId="6676694F" w:rsidR="00CB13DF" w:rsidRDefault="002D6C0B" w:rsidP="00A03458">
      <w:pPr>
        <w:pStyle w:val="Heading1"/>
        <w:spacing w:line="360" w:lineRule="auto"/>
      </w:pPr>
      <w:bookmarkStart w:id="5" w:name="_heading=h.tyjcwt" w:colFirst="0" w:colLast="0"/>
      <w:bookmarkEnd w:id="5"/>
      <w:r w:rsidRPr="00CB13DF">
        <w:lastRenderedPageBreak/>
        <w:t>References</w:t>
      </w:r>
    </w:p>
    <w:p w14:paraId="7443D743" w14:textId="5B232FB2" w:rsidR="009371FC" w:rsidRPr="009371FC" w:rsidRDefault="009371FC" w:rsidP="00A03458">
      <w:pPr>
        <w:spacing w:line="360" w:lineRule="auto"/>
        <w:rPr>
          <w:rFonts w:ascii="Times New Roman" w:hAnsi="Times New Roman" w:cs="Times New Roman"/>
          <w:sz w:val="24"/>
          <w:szCs w:val="24"/>
        </w:rPr>
      </w:pPr>
      <w:r>
        <w:rPr>
          <w:rFonts w:ascii="Times New Roman" w:hAnsi="Times New Roman" w:cs="Times New Roman"/>
          <w:sz w:val="24"/>
          <w:szCs w:val="24"/>
        </w:rPr>
        <w:t>L</w:t>
      </w:r>
      <w:r w:rsidRPr="009371FC">
        <w:rPr>
          <w:rFonts w:ascii="Times New Roman" w:hAnsi="Times New Roman" w:cs="Times New Roman"/>
          <w:sz w:val="24"/>
          <w:szCs w:val="24"/>
        </w:rPr>
        <w:t>egislation.gov.uk</w:t>
      </w:r>
      <w:r>
        <w:rPr>
          <w:rFonts w:ascii="Times New Roman" w:hAnsi="Times New Roman" w:cs="Times New Roman"/>
          <w:sz w:val="24"/>
          <w:szCs w:val="24"/>
        </w:rPr>
        <w:t xml:space="preserve">, 2023. </w:t>
      </w:r>
      <w:r>
        <w:rPr>
          <w:rFonts w:ascii="Times New Roman" w:hAnsi="Times New Roman" w:cs="Times New Roman"/>
          <w:i/>
          <w:iCs/>
          <w:sz w:val="24"/>
          <w:szCs w:val="24"/>
        </w:rPr>
        <w:t>“Browse Legislation”</w:t>
      </w:r>
      <w:r w:rsidRPr="009371FC">
        <w:rPr>
          <w:rFonts w:ascii="Times New Roman" w:hAnsi="Times New Roman" w:cs="Times New Roman"/>
          <w:sz w:val="24"/>
          <w:szCs w:val="24"/>
        </w:rPr>
        <w:t xml:space="preserve"> </w:t>
      </w:r>
      <w:r>
        <w:rPr>
          <w:rFonts w:ascii="Times New Roman" w:hAnsi="Times New Roman" w:cs="Times New Roman"/>
          <w:sz w:val="24"/>
          <w:szCs w:val="24"/>
        </w:rPr>
        <w:t>Available at &lt;</w:t>
      </w:r>
      <w:r w:rsidRPr="009371FC">
        <w:rPr>
          <w:rFonts w:ascii="Times New Roman" w:hAnsi="Times New Roman" w:cs="Times New Roman"/>
          <w:sz w:val="24"/>
          <w:szCs w:val="24"/>
        </w:rPr>
        <w:t>https://www.legislation.gov.uk/</w:t>
      </w:r>
      <w:r>
        <w:rPr>
          <w:rFonts w:ascii="Times New Roman" w:hAnsi="Times New Roman" w:cs="Times New Roman"/>
          <w:sz w:val="24"/>
          <w:szCs w:val="24"/>
        </w:rPr>
        <w:t>&gt; [Accessed on 24.11.2023]</w:t>
      </w:r>
    </w:p>
    <w:p w14:paraId="564E691C" w14:textId="7DA9C051" w:rsidR="00CB13DF" w:rsidRPr="00CB13DF" w:rsidRDefault="00CB13DF" w:rsidP="00A03458">
      <w:pPr>
        <w:spacing w:line="360" w:lineRule="auto"/>
        <w:rPr>
          <w:rFonts w:ascii="Times New Roman" w:hAnsi="Times New Roman" w:cs="Times New Roman"/>
          <w:b/>
          <w:bCs/>
          <w:i/>
          <w:iCs/>
          <w:sz w:val="24"/>
          <w:szCs w:val="24"/>
        </w:rPr>
      </w:pPr>
      <w:r w:rsidRPr="00CB13DF">
        <w:rPr>
          <w:rFonts w:ascii="Times New Roman" w:hAnsi="Times New Roman" w:cs="Times New Roman"/>
          <w:b/>
          <w:bCs/>
          <w:i/>
          <w:iCs/>
          <w:sz w:val="24"/>
          <w:szCs w:val="24"/>
        </w:rPr>
        <w:t xml:space="preserve">Case Laws </w:t>
      </w:r>
    </w:p>
    <w:p w14:paraId="19232E9E" w14:textId="77777777" w:rsidR="00CB13DF" w:rsidRPr="00CB13DF" w:rsidRDefault="00CB13DF" w:rsidP="00A03458">
      <w:pPr>
        <w:spacing w:line="360" w:lineRule="auto"/>
        <w:rPr>
          <w:rFonts w:ascii="Times New Roman" w:hAnsi="Times New Roman" w:cs="Times New Roman"/>
          <w:sz w:val="24"/>
          <w:szCs w:val="24"/>
        </w:rPr>
      </w:pPr>
      <w:r w:rsidRPr="00CB13DF">
        <w:rPr>
          <w:rFonts w:ascii="Times New Roman" w:hAnsi="Times New Roman" w:cs="Times New Roman"/>
          <w:sz w:val="24"/>
          <w:szCs w:val="24"/>
        </w:rPr>
        <w:t>R v Mohan [1975] QB 1</w:t>
      </w:r>
    </w:p>
    <w:p w14:paraId="75C015E6" w14:textId="77777777" w:rsidR="00CB13DF" w:rsidRPr="00CB13DF" w:rsidRDefault="00CB13DF" w:rsidP="00A03458">
      <w:pPr>
        <w:spacing w:line="360" w:lineRule="auto"/>
        <w:rPr>
          <w:rFonts w:ascii="Times New Roman" w:hAnsi="Times New Roman" w:cs="Times New Roman"/>
          <w:sz w:val="24"/>
          <w:szCs w:val="24"/>
        </w:rPr>
      </w:pPr>
      <w:r w:rsidRPr="00CB13DF">
        <w:rPr>
          <w:rFonts w:ascii="Times New Roman" w:hAnsi="Times New Roman" w:cs="Times New Roman"/>
          <w:sz w:val="24"/>
          <w:szCs w:val="24"/>
        </w:rPr>
        <w:t>R v Cunningham [1957] 2 QB 396</w:t>
      </w:r>
    </w:p>
    <w:p w14:paraId="651502BA" w14:textId="77777777" w:rsidR="00CB13DF" w:rsidRPr="00CB13DF" w:rsidRDefault="00CB13DF" w:rsidP="00A03458">
      <w:pPr>
        <w:spacing w:line="360" w:lineRule="auto"/>
        <w:jc w:val="both"/>
        <w:rPr>
          <w:rFonts w:ascii="Times New Roman" w:hAnsi="Times New Roman" w:cs="Times New Roman"/>
          <w:sz w:val="24"/>
          <w:szCs w:val="24"/>
        </w:rPr>
      </w:pPr>
      <w:r w:rsidRPr="00CB13DF">
        <w:rPr>
          <w:rFonts w:ascii="Times New Roman" w:hAnsi="Times New Roman" w:cs="Times New Roman"/>
          <w:sz w:val="24"/>
          <w:szCs w:val="24"/>
        </w:rPr>
        <w:t>R v Duffy [1949] 1 All ER 932</w:t>
      </w:r>
    </w:p>
    <w:p w14:paraId="7216823E" w14:textId="77777777" w:rsidR="00CB13DF" w:rsidRPr="00CB13DF" w:rsidRDefault="00CB13DF" w:rsidP="00A03458">
      <w:pPr>
        <w:spacing w:line="360" w:lineRule="auto"/>
        <w:jc w:val="both"/>
        <w:rPr>
          <w:rFonts w:ascii="Times New Roman" w:hAnsi="Times New Roman" w:cs="Times New Roman"/>
          <w:sz w:val="24"/>
          <w:szCs w:val="24"/>
        </w:rPr>
      </w:pPr>
      <w:r w:rsidRPr="00CB13DF">
        <w:rPr>
          <w:rFonts w:ascii="Times New Roman" w:hAnsi="Times New Roman" w:cs="Times New Roman"/>
          <w:sz w:val="24"/>
          <w:szCs w:val="24"/>
        </w:rPr>
        <w:t>R v Ahluwalia [1992] 4 All ER 889; (1993) 96 Cr App R 133; [1993] Crim LR 63; (1992) 142 NLJ 1159</w:t>
      </w:r>
    </w:p>
    <w:p w14:paraId="648F7B35" w14:textId="77777777" w:rsidR="00CB13DF" w:rsidRPr="00CB13DF" w:rsidRDefault="00CB13DF" w:rsidP="00A03458">
      <w:pPr>
        <w:spacing w:line="360" w:lineRule="auto"/>
        <w:jc w:val="both"/>
        <w:rPr>
          <w:rFonts w:ascii="Times New Roman" w:hAnsi="Times New Roman" w:cs="Times New Roman"/>
          <w:b/>
          <w:bCs/>
          <w:i/>
          <w:iCs/>
          <w:sz w:val="24"/>
          <w:szCs w:val="24"/>
        </w:rPr>
      </w:pPr>
      <w:r w:rsidRPr="00CB13DF">
        <w:rPr>
          <w:rFonts w:ascii="Times New Roman" w:hAnsi="Times New Roman" w:cs="Times New Roman"/>
          <w:b/>
          <w:bCs/>
          <w:i/>
          <w:iCs/>
          <w:sz w:val="24"/>
          <w:szCs w:val="24"/>
        </w:rPr>
        <w:t xml:space="preserve">Statutes </w:t>
      </w:r>
    </w:p>
    <w:p w14:paraId="6F7695AA" w14:textId="77777777" w:rsidR="00CB13DF" w:rsidRPr="00CB13DF" w:rsidRDefault="00CB13DF" w:rsidP="00A03458">
      <w:pPr>
        <w:spacing w:line="360" w:lineRule="auto"/>
        <w:jc w:val="both"/>
        <w:rPr>
          <w:rFonts w:ascii="Times New Roman" w:hAnsi="Times New Roman" w:cs="Times New Roman"/>
          <w:sz w:val="24"/>
          <w:szCs w:val="24"/>
        </w:rPr>
      </w:pPr>
      <w:r w:rsidRPr="00CB13DF">
        <w:rPr>
          <w:rFonts w:ascii="Times New Roman" w:hAnsi="Times New Roman" w:cs="Times New Roman"/>
          <w:sz w:val="24"/>
          <w:szCs w:val="24"/>
        </w:rPr>
        <w:t>Criminal Attempts Act 1981</w:t>
      </w:r>
    </w:p>
    <w:p w14:paraId="33588CCD" w14:textId="77777777" w:rsidR="00CB13DF" w:rsidRPr="00CB13DF" w:rsidRDefault="00CB13DF" w:rsidP="00A03458">
      <w:pPr>
        <w:spacing w:line="360" w:lineRule="auto"/>
        <w:jc w:val="both"/>
        <w:rPr>
          <w:rFonts w:ascii="Times New Roman" w:hAnsi="Times New Roman" w:cs="Times New Roman"/>
          <w:sz w:val="24"/>
          <w:szCs w:val="24"/>
        </w:rPr>
      </w:pPr>
      <w:r w:rsidRPr="00CB13DF">
        <w:rPr>
          <w:rFonts w:ascii="Times New Roman" w:hAnsi="Times New Roman" w:cs="Times New Roman"/>
          <w:sz w:val="24"/>
          <w:szCs w:val="24"/>
        </w:rPr>
        <w:t>Person Act 1861</w:t>
      </w:r>
    </w:p>
    <w:p w14:paraId="671E59A1" w14:textId="77777777" w:rsidR="00CB13DF" w:rsidRPr="00CB13DF" w:rsidRDefault="00CB13DF" w:rsidP="00A03458">
      <w:pPr>
        <w:spacing w:line="360" w:lineRule="auto"/>
        <w:jc w:val="both"/>
        <w:rPr>
          <w:rFonts w:ascii="Times New Roman" w:hAnsi="Times New Roman" w:cs="Times New Roman"/>
          <w:sz w:val="24"/>
          <w:szCs w:val="24"/>
        </w:rPr>
      </w:pPr>
      <w:r w:rsidRPr="00CB13DF">
        <w:rPr>
          <w:rFonts w:ascii="Times New Roman" w:hAnsi="Times New Roman" w:cs="Times New Roman"/>
          <w:sz w:val="24"/>
          <w:szCs w:val="24"/>
        </w:rPr>
        <w:t>Coroners and Justice Act 2009</w:t>
      </w:r>
    </w:p>
    <w:p w14:paraId="1261686E" w14:textId="77777777" w:rsidR="00CB13DF" w:rsidRPr="00CB13DF" w:rsidRDefault="00CB13DF" w:rsidP="00A03458">
      <w:pPr>
        <w:spacing w:line="360" w:lineRule="auto"/>
        <w:jc w:val="both"/>
        <w:rPr>
          <w:rFonts w:ascii="Times New Roman" w:hAnsi="Times New Roman" w:cs="Times New Roman"/>
          <w:sz w:val="24"/>
          <w:szCs w:val="24"/>
        </w:rPr>
      </w:pPr>
      <w:r w:rsidRPr="00CB13DF">
        <w:rPr>
          <w:rFonts w:ascii="Times New Roman" w:hAnsi="Times New Roman" w:cs="Times New Roman"/>
          <w:sz w:val="24"/>
          <w:szCs w:val="24"/>
        </w:rPr>
        <w:t>Homicide Act 1957</w:t>
      </w:r>
    </w:p>
    <w:p w14:paraId="00000034" w14:textId="3DF00FDD" w:rsidR="00A00F3E" w:rsidRPr="00CB13DF" w:rsidRDefault="00CB13DF" w:rsidP="00A03458">
      <w:pPr>
        <w:spacing w:line="360" w:lineRule="auto"/>
        <w:jc w:val="both"/>
        <w:rPr>
          <w:rFonts w:ascii="Times New Roman" w:hAnsi="Times New Roman" w:cs="Times New Roman"/>
          <w:b/>
          <w:sz w:val="24"/>
          <w:szCs w:val="24"/>
        </w:rPr>
      </w:pPr>
      <w:r w:rsidRPr="00CB13DF">
        <w:rPr>
          <w:rFonts w:ascii="Times New Roman" w:hAnsi="Times New Roman" w:cs="Times New Roman"/>
          <w:sz w:val="24"/>
          <w:szCs w:val="24"/>
        </w:rPr>
        <w:t>R v Byrne (1960) 2 QB 396</w:t>
      </w:r>
    </w:p>
    <w:sectPr w:rsidR="00A00F3E" w:rsidRPr="00CB13DF" w:rsidSect="002E72E4">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1A99B" w14:textId="77777777" w:rsidR="00EB154E" w:rsidRDefault="00EB154E">
      <w:pPr>
        <w:spacing w:after="0" w:line="240" w:lineRule="auto"/>
      </w:pPr>
      <w:r>
        <w:separator/>
      </w:r>
    </w:p>
  </w:endnote>
  <w:endnote w:type="continuationSeparator" w:id="0">
    <w:p w14:paraId="7F2ECF8D" w14:textId="77777777" w:rsidR="00EB154E" w:rsidRDefault="00EB1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5" w14:textId="7223FAE8" w:rsidR="00A00F3E" w:rsidRDefault="002D6C0B">
    <w:pPr>
      <w:pBdr>
        <w:top w:val="nil"/>
        <w:left w:val="nil"/>
        <w:bottom w:val="nil"/>
        <w:right w:val="nil"/>
        <w:between w:val="nil"/>
      </w:pBdr>
      <w:tabs>
        <w:tab w:val="center" w:pos="4513"/>
        <w:tab w:val="right" w:pos="9026"/>
      </w:tabs>
      <w:spacing w:after="0" w:line="240" w:lineRule="auto"/>
      <w:jc w:val="right"/>
      <w:rPr>
        <w:color w:val="000000"/>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2E72E4">
      <w:rPr>
        <w:rFonts w:ascii="Times New Roman" w:eastAsia="Times New Roman" w:hAnsi="Times New Roman" w:cs="Times New Roman"/>
        <w:b/>
        <w:noProof/>
        <w:color w:val="000000"/>
        <w:sz w:val="24"/>
        <w:szCs w:val="24"/>
      </w:rPr>
      <w:t>6</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Pr>
        <w:rFonts w:ascii="Times New Roman" w:eastAsia="Times New Roman" w:hAnsi="Times New Roman" w:cs="Times New Roman"/>
        <w:b/>
        <w:color w:val="000000"/>
        <w:sz w:val="24"/>
        <w:szCs w:val="24"/>
      </w:rPr>
      <w:fldChar w:fldCharType="separate"/>
    </w:r>
    <w:r w:rsidR="002E72E4">
      <w:rPr>
        <w:rFonts w:ascii="Times New Roman" w:eastAsia="Times New Roman" w:hAnsi="Times New Roman" w:cs="Times New Roman"/>
        <w:b/>
        <w:noProof/>
        <w:color w:val="000000"/>
        <w:sz w:val="24"/>
        <w:szCs w:val="24"/>
      </w:rPr>
      <w:t>8</w:t>
    </w:r>
    <w:r>
      <w:rPr>
        <w:rFonts w:ascii="Times New Roman" w:eastAsia="Times New Roman" w:hAnsi="Times New Roman" w:cs="Times New Roman"/>
        <w:b/>
        <w:color w:val="000000"/>
        <w:sz w:val="24"/>
        <w:szCs w:val="24"/>
      </w:rPr>
      <w:fldChar w:fldCharType="end"/>
    </w:r>
  </w:p>
  <w:p w14:paraId="00000036" w14:textId="77777777" w:rsidR="00A00F3E" w:rsidRDefault="00A00F3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A73AE" w14:textId="77777777" w:rsidR="00EB154E" w:rsidRDefault="00EB154E">
      <w:pPr>
        <w:spacing w:after="0" w:line="240" w:lineRule="auto"/>
      </w:pPr>
      <w:r>
        <w:separator/>
      </w:r>
    </w:p>
  </w:footnote>
  <w:footnote w:type="continuationSeparator" w:id="0">
    <w:p w14:paraId="1818BFD8" w14:textId="77777777" w:rsidR="00EB154E" w:rsidRDefault="00EB15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F3E"/>
    <w:rsid w:val="00046B1D"/>
    <w:rsid w:val="0015299C"/>
    <w:rsid w:val="001E3EAC"/>
    <w:rsid w:val="002D6C0B"/>
    <w:rsid w:val="002E5758"/>
    <w:rsid w:val="002E72E4"/>
    <w:rsid w:val="00522E79"/>
    <w:rsid w:val="00573DCD"/>
    <w:rsid w:val="005E31B2"/>
    <w:rsid w:val="00622F0E"/>
    <w:rsid w:val="007F44F1"/>
    <w:rsid w:val="008F6198"/>
    <w:rsid w:val="009371FC"/>
    <w:rsid w:val="00960DD5"/>
    <w:rsid w:val="00A00F3E"/>
    <w:rsid w:val="00A03458"/>
    <w:rsid w:val="00A34C6F"/>
    <w:rsid w:val="00A71332"/>
    <w:rsid w:val="00AB05A5"/>
    <w:rsid w:val="00AB40EF"/>
    <w:rsid w:val="00B22DEA"/>
    <w:rsid w:val="00BD1E29"/>
    <w:rsid w:val="00C46358"/>
    <w:rsid w:val="00C871D9"/>
    <w:rsid w:val="00CB13DF"/>
    <w:rsid w:val="00EB154E"/>
    <w:rsid w:val="00EC4661"/>
    <w:rsid w:val="00EE645D"/>
    <w:rsid w:val="00F7571A"/>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CEE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C29"/>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rsid w:val="00CB13DF"/>
    <w:pPr>
      <w:keepNext/>
      <w:keepLines/>
      <w:spacing w:before="360" w:after="80"/>
      <w:outlineLvl w:val="1"/>
    </w:pPr>
    <w:rPr>
      <w:rFonts w:ascii="Times New Roman" w:hAnsi="Times New Roman"/>
      <w:b/>
      <w:i/>
      <w:sz w:val="2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B33C29"/>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B33C29"/>
    <w:pPr>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B33C29"/>
    <w:pPr>
      <w:spacing w:after="100"/>
    </w:pPr>
  </w:style>
  <w:style w:type="character" w:styleId="Hyperlink">
    <w:name w:val="Hyperlink"/>
    <w:basedOn w:val="DefaultParagraphFont"/>
    <w:uiPriority w:val="99"/>
    <w:unhideWhenUsed/>
    <w:rsid w:val="00B33C29"/>
    <w:rPr>
      <w:color w:val="0000FF" w:themeColor="hyperlink"/>
      <w:u w:val="single"/>
    </w:rPr>
  </w:style>
  <w:style w:type="paragraph" w:styleId="Header">
    <w:name w:val="header"/>
    <w:basedOn w:val="Normal"/>
    <w:link w:val="HeaderChar"/>
    <w:uiPriority w:val="99"/>
    <w:unhideWhenUsed/>
    <w:rsid w:val="00B33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C29"/>
  </w:style>
  <w:style w:type="paragraph" w:styleId="Footer">
    <w:name w:val="footer"/>
    <w:basedOn w:val="Normal"/>
    <w:link w:val="FooterChar"/>
    <w:uiPriority w:val="99"/>
    <w:unhideWhenUsed/>
    <w:rsid w:val="00B33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C29"/>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rFonts w:cs="Mangal"/>
      <w:sz w:val="20"/>
      <w:szCs w:val="18"/>
    </w:rPr>
  </w:style>
  <w:style w:type="character" w:customStyle="1" w:styleId="CommentTextChar">
    <w:name w:val="Comment Text Char"/>
    <w:basedOn w:val="DefaultParagraphFont"/>
    <w:link w:val="CommentText"/>
    <w:uiPriority w:val="99"/>
    <w:semiHidden/>
    <w:rPr>
      <w:rFonts w:cs="Mangal"/>
      <w:sz w:val="20"/>
      <w:szCs w:val="18"/>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E72E4"/>
    <w:pPr>
      <w:spacing w:after="0" w:line="240" w:lineRule="auto"/>
    </w:pPr>
    <w:rPr>
      <w:rFonts w:ascii="Segoe UI" w:hAnsi="Segoe UI" w:cs="Mangal"/>
      <w:sz w:val="18"/>
      <w:szCs w:val="16"/>
    </w:rPr>
  </w:style>
  <w:style w:type="character" w:customStyle="1" w:styleId="BalloonTextChar">
    <w:name w:val="Balloon Text Char"/>
    <w:basedOn w:val="DefaultParagraphFont"/>
    <w:link w:val="BalloonText"/>
    <w:uiPriority w:val="99"/>
    <w:semiHidden/>
    <w:rsid w:val="002E72E4"/>
    <w:rPr>
      <w:rFonts w:ascii="Segoe UI" w:hAnsi="Segoe UI" w:cs="Mangal"/>
      <w:sz w:val="18"/>
      <w:szCs w:val="16"/>
    </w:rPr>
  </w:style>
  <w:style w:type="paragraph" w:styleId="CommentSubject">
    <w:name w:val="annotation subject"/>
    <w:basedOn w:val="CommentText"/>
    <w:next w:val="CommentText"/>
    <w:link w:val="CommentSubjectChar"/>
    <w:uiPriority w:val="99"/>
    <w:semiHidden/>
    <w:unhideWhenUsed/>
    <w:rsid w:val="00F7571A"/>
    <w:rPr>
      <w:b/>
      <w:bCs/>
    </w:rPr>
  </w:style>
  <w:style w:type="character" w:customStyle="1" w:styleId="CommentSubjectChar">
    <w:name w:val="Comment Subject Char"/>
    <w:basedOn w:val="CommentTextChar"/>
    <w:link w:val="CommentSubject"/>
    <w:uiPriority w:val="99"/>
    <w:semiHidden/>
    <w:rsid w:val="00F7571A"/>
    <w:rPr>
      <w:rFonts w:cs="Mangal"/>
      <w:b/>
      <w:bCs/>
      <w:sz w:val="20"/>
      <w:szCs w:val="18"/>
    </w:rPr>
  </w:style>
  <w:style w:type="character" w:styleId="UnresolvedMention">
    <w:name w:val="Unresolved Mention"/>
    <w:basedOn w:val="DefaultParagraphFont"/>
    <w:uiPriority w:val="99"/>
    <w:semiHidden/>
    <w:unhideWhenUsed/>
    <w:rsid w:val="009371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75224">
      <w:bodyDiv w:val="1"/>
      <w:marLeft w:val="0"/>
      <w:marRight w:val="0"/>
      <w:marTop w:val="0"/>
      <w:marBottom w:val="0"/>
      <w:divBdr>
        <w:top w:val="none" w:sz="0" w:space="0" w:color="auto"/>
        <w:left w:val="none" w:sz="0" w:space="0" w:color="auto"/>
        <w:bottom w:val="none" w:sz="0" w:space="0" w:color="auto"/>
        <w:right w:val="none" w:sz="0" w:space="0" w:color="auto"/>
      </w:divBdr>
    </w:div>
    <w:div w:id="490483453">
      <w:bodyDiv w:val="1"/>
      <w:marLeft w:val="0"/>
      <w:marRight w:val="0"/>
      <w:marTop w:val="0"/>
      <w:marBottom w:val="0"/>
      <w:divBdr>
        <w:top w:val="none" w:sz="0" w:space="0" w:color="auto"/>
        <w:left w:val="none" w:sz="0" w:space="0" w:color="auto"/>
        <w:bottom w:val="none" w:sz="0" w:space="0" w:color="auto"/>
        <w:right w:val="none" w:sz="0" w:space="0" w:color="auto"/>
      </w:divBdr>
    </w:div>
    <w:div w:id="504827248">
      <w:bodyDiv w:val="1"/>
      <w:marLeft w:val="0"/>
      <w:marRight w:val="0"/>
      <w:marTop w:val="0"/>
      <w:marBottom w:val="0"/>
      <w:divBdr>
        <w:top w:val="none" w:sz="0" w:space="0" w:color="auto"/>
        <w:left w:val="none" w:sz="0" w:space="0" w:color="auto"/>
        <w:bottom w:val="none" w:sz="0" w:space="0" w:color="auto"/>
        <w:right w:val="none" w:sz="0" w:space="0" w:color="auto"/>
      </w:divBdr>
    </w:div>
    <w:div w:id="547685643">
      <w:bodyDiv w:val="1"/>
      <w:marLeft w:val="0"/>
      <w:marRight w:val="0"/>
      <w:marTop w:val="0"/>
      <w:marBottom w:val="0"/>
      <w:divBdr>
        <w:top w:val="none" w:sz="0" w:space="0" w:color="auto"/>
        <w:left w:val="none" w:sz="0" w:space="0" w:color="auto"/>
        <w:bottom w:val="none" w:sz="0" w:space="0" w:color="auto"/>
        <w:right w:val="none" w:sz="0" w:space="0" w:color="auto"/>
      </w:divBdr>
    </w:div>
    <w:div w:id="606547257">
      <w:bodyDiv w:val="1"/>
      <w:marLeft w:val="0"/>
      <w:marRight w:val="0"/>
      <w:marTop w:val="0"/>
      <w:marBottom w:val="0"/>
      <w:divBdr>
        <w:top w:val="none" w:sz="0" w:space="0" w:color="auto"/>
        <w:left w:val="none" w:sz="0" w:space="0" w:color="auto"/>
        <w:bottom w:val="none" w:sz="0" w:space="0" w:color="auto"/>
        <w:right w:val="none" w:sz="0" w:space="0" w:color="auto"/>
      </w:divBdr>
    </w:div>
    <w:div w:id="614873401">
      <w:bodyDiv w:val="1"/>
      <w:marLeft w:val="0"/>
      <w:marRight w:val="0"/>
      <w:marTop w:val="0"/>
      <w:marBottom w:val="0"/>
      <w:divBdr>
        <w:top w:val="none" w:sz="0" w:space="0" w:color="auto"/>
        <w:left w:val="none" w:sz="0" w:space="0" w:color="auto"/>
        <w:bottom w:val="none" w:sz="0" w:space="0" w:color="auto"/>
        <w:right w:val="none" w:sz="0" w:space="0" w:color="auto"/>
      </w:divBdr>
    </w:div>
    <w:div w:id="746541752">
      <w:bodyDiv w:val="1"/>
      <w:marLeft w:val="0"/>
      <w:marRight w:val="0"/>
      <w:marTop w:val="0"/>
      <w:marBottom w:val="0"/>
      <w:divBdr>
        <w:top w:val="none" w:sz="0" w:space="0" w:color="auto"/>
        <w:left w:val="none" w:sz="0" w:space="0" w:color="auto"/>
        <w:bottom w:val="none" w:sz="0" w:space="0" w:color="auto"/>
        <w:right w:val="none" w:sz="0" w:space="0" w:color="auto"/>
      </w:divBdr>
    </w:div>
    <w:div w:id="1066298134">
      <w:bodyDiv w:val="1"/>
      <w:marLeft w:val="0"/>
      <w:marRight w:val="0"/>
      <w:marTop w:val="0"/>
      <w:marBottom w:val="0"/>
      <w:divBdr>
        <w:top w:val="none" w:sz="0" w:space="0" w:color="auto"/>
        <w:left w:val="none" w:sz="0" w:space="0" w:color="auto"/>
        <w:bottom w:val="none" w:sz="0" w:space="0" w:color="auto"/>
        <w:right w:val="none" w:sz="0" w:space="0" w:color="auto"/>
      </w:divBdr>
    </w:div>
    <w:div w:id="1131947463">
      <w:bodyDiv w:val="1"/>
      <w:marLeft w:val="0"/>
      <w:marRight w:val="0"/>
      <w:marTop w:val="0"/>
      <w:marBottom w:val="0"/>
      <w:divBdr>
        <w:top w:val="none" w:sz="0" w:space="0" w:color="auto"/>
        <w:left w:val="none" w:sz="0" w:space="0" w:color="auto"/>
        <w:bottom w:val="none" w:sz="0" w:space="0" w:color="auto"/>
        <w:right w:val="none" w:sz="0" w:space="0" w:color="auto"/>
      </w:divBdr>
    </w:div>
    <w:div w:id="1152452756">
      <w:bodyDiv w:val="1"/>
      <w:marLeft w:val="0"/>
      <w:marRight w:val="0"/>
      <w:marTop w:val="0"/>
      <w:marBottom w:val="0"/>
      <w:divBdr>
        <w:top w:val="none" w:sz="0" w:space="0" w:color="auto"/>
        <w:left w:val="none" w:sz="0" w:space="0" w:color="auto"/>
        <w:bottom w:val="none" w:sz="0" w:space="0" w:color="auto"/>
        <w:right w:val="none" w:sz="0" w:space="0" w:color="auto"/>
      </w:divBdr>
    </w:div>
    <w:div w:id="1372073224">
      <w:bodyDiv w:val="1"/>
      <w:marLeft w:val="0"/>
      <w:marRight w:val="0"/>
      <w:marTop w:val="0"/>
      <w:marBottom w:val="0"/>
      <w:divBdr>
        <w:top w:val="none" w:sz="0" w:space="0" w:color="auto"/>
        <w:left w:val="none" w:sz="0" w:space="0" w:color="auto"/>
        <w:bottom w:val="none" w:sz="0" w:space="0" w:color="auto"/>
        <w:right w:val="none" w:sz="0" w:space="0" w:color="auto"/>
      </w:divBdr>
    </w:div>
    <w:div w:id="1684938918">
      <w:bodyDiv w:val="1"/>
      <w:marLeft w:val="0"/>
      <w:marRight w:val="0"/>
      <w:marTop w:val="0"/>
      <w:marBottom w:val="0"/>
      <w:divBdr>
        <w:top w:val="none" w:sz="0" w:space="0" w:color="auto"/>
        <w:left w:val="none" w:sz="0" w:space="0" w:color="auto"/>
        <w:bottom w:val="none" w:sz="0" w:space="0" w:color="auto"/>
        <w:right w:val="none" w:sz="0" w:space="0" w:color="auto"/>
      </w:divBdr>
    </w:div>
    <w:div w:id="1709721885">
      <w:bodyDiv w:val="1"/>
      <w:marLeft w:val="0"/>
      <w:marRight w:val="0"/>
      <w:marTop w:val="0"/>
      <w:marBottom w:val="0"/>
      <w:divBdr>
        <w:top w:val="none" w:sz="0" w:space="0" w:color="auto"/>
        <w:left w:val="none" w:sz="0" w:space="0" w:color="auto"/>
        <w:bottom w:val="none" w:sz="0" w:space="0" w:color="auto"/>
        <w:right w:val="none" w:sz="0" w:space="0" w:color="auto"/>
      </w:divBdr>
    </w:div>
    <w:div w:id="2052265196">
      <w:bodyDiv w:val="1"/>
      <w:marLeft w:val="0"/>
      <w:marRight w:val="0"/>
      <w:marTop w:val="0"/>
      <w:marBottom w:val="0"/>
      <w:divBdr>
        <w:top w:val="none" w:sz="0" w:space="0" w:color="auto"/>
        <w:left w:val="none" w:sz="0" w:space="0" w:color="auto"/>
        <w:bottom w:val="none" w:sz="0" w:space="0" w:color="auto"/>
        <w:right w:val="none" w:sz="0" w:space="0" w:color="auto"/>
      </w:divBdr>
    </w:div>
    <w:div w:id="2090226179">
      <w:bodyDiv w:val="1"/>
      <w:marLeft w:val="0"/>
      <w:marRight w:val="0"/>
      <w:marTop w:val="0"/>
      <w:marBottom w:val="0"/>
      <w:divBdr>
        <w:top w:val="none" w:sz="0" w:space="0" w:color="auto"/>
        <w:left w:val="none" w:sz="0" w:space="0" w:color="auto"/>
        <w:bottom w:val="none" w:sz="0" w:space="0" w:color="auto"/>
        <w:right w:val="none" w:sz="0" w:space="0" w:color="auto"/>
      </w:divBdr>
    </w:div>
    <w:div w:id="2098868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bqT33zXWaWJ/8zVW2ew50a2sgg==">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1877</Words>
  <Characters>10705</Characters>
  <Application>Microsoft Office Word</Application>
  <DocSecurity>0</DocSecurity>
  <Lines>89</Lines>
  <Paragraphs>25</Paragraphs>
  <ScaleCrop>false</ScaleCrop>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2023-11-24T16:46:00Z</dcterms:created>
  <dcterms:modified xsi:type="dcterms:W3CDTF">2023-11-29T18:50:00Z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3baa26f1906b4bc23621d596c9edec20b9ceed5d5764cdd144499644854e0a2b</vt:lpwstr>
  </property>
</Properties>
</file>