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AB277" w14:textId="24BBB28E" w:rsidR="00DD0AF2" w:rsidRDefault="00DD0AF2" w:rsidP="00DD0AF2">
      <w:pPr>
        <w:pStyle w:val="Title"/>
        <w:spacing w:before="240" w:after="240"/>
        <w:jc w:val="both"/>
      </w:pPr>
    </w:p>
    <w:p w14:paraId="64BB579A" w14:textId="77777777" w:rsidR="00DD0AF2" w:rsidRDefault="00DD0AF2" w:rsidP="00DD0AF2">
      <w:pPr>
        <w:pStyle w:val="Title"/>
        <w:spacing w:before="240" w:after="240"/>
        <w:jc w:val="both"/>
      </w:pPr>
    </w:p>
    <w:p w14:paraId="384731ED" w14:textId="394D4776" w:rsidR="00AA629F" w:rsidRPr="00DD0AF2" w:rsidRDefault="005B1673" w:rsidP="00DD0AF2">
      <w:pPr>
        <w:pStyle w:val="Title"/>
        <w:spacing w:before="240" w:after="240"/>
      </w:pPr>
      <w:r w:rsidRPr="00DD0AF2">
        <w:rPr>
          <w:noProof/>
        </w:rPr>
        <w:drawing>
          <wp:inline distT="0" distB="0" distL="0" distR="0" wp14:anchorId="2208510F" wp14:editId="341A7295">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4B9FC573" w14:textId="3203DE93" w:rsidR="00AA629F" w:rsidRPr="008C6B05" w:rsidRDefault="00AA629F" w:rsidP="00DD0AF2">
      <w:pPr>
        <w:pStyle w:val="Title"/>
        <w:spacing w:before="240" w:after="240"/>
        <w:rPr>
          <w:rFonts w:ascii="Arial" w:hAnsi="Arial" w:cs="Arial"/>
        </w:rPr>
      </w:pPr>
    </w:p>
    <w:p w14:paraId="16CF4371" w14:textId="77777777" w:rsidR="00DD0AF2" w:rsidRPr="008C6B05" w:rsidRDefault="00ED1EE8" w:rsidP="00DD0AF2">
      <w:pPr>
        <w:pStyle w:val="Title"/>
        <w:spacing w:before="240" w:after="240"/>
        <w:rPr>
          <w:rFonts w:ascii="Arial" w:hAnsi="Arial" w:cs="Arial"/>
        </w:rPr>
      </w:pPr>
      <w:r w:rsidRPr="008C6B05">
        <w:rPr>
          <w:rFonts w:ascii="Arial" w:hAnsi="Arial" w:cs="Arial"/>
        </w:rPr>
        <w:t>Programme name: Master of Business Administration</w:t>
      </w:r>
    </w:p>
    <w:p w14:paraId="7BB1AD45" w14:textId="77777777" w:rsidR="00DD0AF2" w:rsidRPr="008C6B05" w:rsidRDefault="00ED1EE8" w:rsidP="00DD0AF2">
      <w:pPr>
        <w:pStyle w:val="Title"/>
        <w:spacing w:before="240" w:after="240"/>
        <w:rPr>
          <w:rFonts w:ascii="Arial" w:hAnsi="Arial" w:cs="Arial"/>
        </w:rPr>
      </w:pPr>
      <w:r w:rsidRPr="008C6B05">
        <w:rPr>
          <w:rFonts w:ascii="Arial" w:hAnsi="Arial" w:cs="Arial"/>
        </w:rPr>
        <w:t>Module name: Marketing Management</w:t>
      </w:r>
    </w:p>
    <w:p w14:paraId="250A82D2" w14:textId="77777777" w:rsidR="00DD0AF2" w:rsidRPr="008C6B05" w:rsidRDefault="00ED1EE8" w:rsidP="00DD0AF2">
      <w:pPr>
        <w:pStyle w:val="Title"/>
        <w:spacing w:before="240" w:after="240"/>
        <w:rPr>
          <w:rFonts w:ascii="Arial" w:hAnsi="Arial" w:cs="Arial"/>
        </w:rPr>
      </w:pPr>
      <w:r w:rsidRPr="008C6B05">
        <w:rPr>
          <w:rFonts w:ascii="Arial" w:hAnsi="Arial" w:cs="Arial"/>
        </w:rPr>
        <w:t>Module Code: LCMB7024</w:t>
      </w:r>
      <w:bookmarkStart w:id="0" w:name="_cvudc9seu6z2" w:colFirst="0" w:colLast="0"/>
      <w:bookmarkEnd w:id="0"/>
    </w:p>
    <w:p w14:paraId="323ADD45" w14:textId="77777777" w:rsidR="00DD0AF2" w:rsidRPr="008C6B05" w:rsidRDefault="00ED1EE8" w:rsidP="00DD0AF2">
      <w:pPr>
        <w:pStyle w:val="Title"/>
        <w:spacing w:before="240" w:after="240"/>
        <w:rPr>
          <w:rFonts w:ascii="Arial" w:hAnsi="Arial" w:cs="Arial"/>
        </w:rPr>
      </w:pPr>
      <w:r w:rsidRPr="008C6B05">
        <w:rPr>
          <w:rFonts w:ascii="Arial" w:hAnsi="Arial" w:cs="Arial"/>
        </w:rPr>
        <w:t>Title: Marketing Environment Analysis</w:t>
      </w:r>
    </w:p>
    <w:p w14:paraId="7D3DDB19" w14:textId="77777777" w:rsidR="00DD0AF2" w:rsidRPr="008C6B05" w:rsidRDefault="00ED1EE8" w:rsidP="00DD0AF2">
      <w:pPr>
        <w:pStyle w:val="Title"/>
        <w:spacing w:before="240" w:after="240"/>
        <w:rPr>
          <w:rFonts w:ascii="Arial" w:hAnsi="Arial" w:cs="Arial"/>
        </w:rPr>
      </w:pPr>
      <w:r w:rsidRPr="008C6B05">
        <w:rPr>
          <w:rFonts w:ascii="Arial" w:hAnsi="Arial" w:cs="Arial"/>
        </w:rPr>
        <w:t>Lecturer’s name: Laila Maazouz</w:t>
      </w:r>
    </w:p>
    <w:p w14:paraId="18FB54B1" w14:textId="41291506" w:rsidR="00DD0AF2" w:rsidRPr="008C6B05" w:rsidRDefault="00ED1EE8" w:rsidP="00DD0AF2">
      <w:pPr>
        <w:pStyle w:val="Title"/>
        <w:spacing w:before="240" w:after="240"/>
        <w:rPr>
          <w:rFonts w:ascii="Arial" w:hAnsi="Arial" w:cs="Arial"/>
        </w:rPr>
      </w:pPr>
      <w:r w:rsidRPr="008C6B05">
        <w:rPr>
          <w:rFonts w:ascii="Arial" w:hAnsi="Arial" w:cs="Arial"/>
        </w:rPr>
        <w:t>Student Name:</w:t>
      </w:r>
      <w:r w:rsidR="00BB3323" w:rsidRPr="008C6B05">
        <w:rPr>
          <w:rFonts w:ascii="Arial" w:hAnsi="Arial" w:cs="Arial"/>
        </w:rPr>
        <w:t xml:space="preserve"> </w:t>
      </w:r>
      <w:proofErr w:type="spellStart"/>
      <w:r w:rsidR="00BB3323" w:rsidRPr="008C6B05">
        <w:rPr>
          <w:rFonts w:ascii="Arial" w:hAnsi="Arial" w:cs="Arial"/>
        </w:rPr>
        <w:t>Parmar</w:t>
      </w:r>
      <w:proofErr w:type="spellEnd"/>
      <w:r w:rsidR="00BB3323" w:rsidRPr="008C6B05">
        <w:rPr>
          <w:rFonts w:ascii="Arial" w:hAnsi="Arial" w:cs="Arial"/>
        </w:rPr>
        <w:t xml:space="preserve"> </w:t>
      </w:r>
      <w:r w:rsidR="00DD0AF2" w:rsidRPr="008C6B05">
        <w:rPr>
          <w:rFonts w:ascii="Arial" w:hAnsi="Arial" w:cs="Arial"/>
        </w:rPr>
        <w:t>M</w:t>
      </w:r>
      <w:r w:rsidR="00BB3323" w:rsidRPr="008C6B05">
        <w:rPr>
          <w:rFonts w:ascii="Arial" w:hAnsi="Arial" w:cs="Arial"/>
        </w:rPr>
        <w:t xml:space="preserve">ansi </w:t>
      </w:r>
      <w:proofErr w:type="spellStart"/>
      <w:r w:rsidR="00DD0AF2" w:rsidRPr="008C6B05">
        <w:rPr>
          <w:rFonts w:ascii="Arial" w:hAnsi="Arial" w:cs="Arial"/>
        </w:rPr>
        <w:t>S</w:t>
      </w:r>
      <w:r w:rsidR="00BB3323" w:rsidRPr="008C6B05">
        <w:rPr>
          <w:rFonts w:ascii="Arial" w:hAnsi="Arial" w:cs="Arial"/>
        </w:rPr>
        <w:t>ureshbhai</w:t>
      </w:r>
      <w:proofErr w:type="spellEnd"/>
    </w:p>
    <w:p w14:paraId="5F8A5636" w14:textId="77777777" w:rsidR="00DD0AF2" w:rsidRPr="008C6B05" w:rsidRDefault="00ED1EE8" w:rsidP="00DD0AF2">
      <w:pPr>
        <w:pStyle w:val="Title"/>
        <w:spacing w:before="240" w:after="240"/>
        <w:rPr>
          <w:rFonts w:ascii="Arial" w:hAnsi="Arial" w:cs="Arial"/>
        </w:rPr>
      </w:pPr>
      <w:r w:rsidRPr="008C6B05">
        <w:rPr>
          <w:rFonts w:ascii="Arial" w:hAnsi="Arial" w:cs="Arial"/>
        </w:rPr>
        <w:t>Student ID:</w:t>
      </w:r>
      <w:r w:rsidR="00BB3323" w:rsidRPr="008C6B05">
        <w:rPr>
          <w:rFonts w:ascii="Arial" w:hAnsi="Arial" w:cs="Arial"/>
        </w:rPr>
        <w:t xml:space="preserve"> 2432121</w:t>
      </w:r>
    </w:p>
    <w:p w14:paraId="69F8D37F" w14:textId="211C8E43" w:rsidR="00D608E4" w:rsidRPr="008C6B05" w:rsidRDefault="00ED1EE8" w:rsidP="00DD0AF2">
      <w:pPr>
        <w:pStyle w:val="Title"/>
        <w:spacing w:before="240" w:after="240"/>
        <w:rPr>
          <w:rFonts w:ascii="Arial" w:hAnsi="Arial" w:cs="Arial"/>
        </w:rPr>
      </w:pPr>
      <w:r w:rsidRPr="008C6B05">
        <w:rPr>
          <w:rFonts w:ascii="Arial" w:hAnsi="Arial" w:cs="Arial"/>
        </w:rPr>
        <w:t>Word Count:</w:t>
      </w:r>
      <w:r w:rsidR="0028564C" w:rsidRPr="008C6B05">
        <w:rPr>
          <w:rFonts w:ascii="Arial" w:hAnsi="Arial" w:cs="Arial"/>
        </w:rPr>
        <w:t xml:space="preserve"> 2</w:t>
      </w:r>
      <w:r w:rsidR="00DD0AF2" w:rsidRPr="008C6B05">
        <w:rPr>
          <w:rFonts w:ascii="Arial" w:hAnsi="Arial" w:cs="Arial"/>
        </w:rPr>
        <w:t>633</w:t>
      </w:r>
    </w:p>
    <w:p w14:paraId="348D3C67" w14:textId="5DBD4EA8" w:rsidR="00326717" w:rsidRPr="008C6B05" w:rsidRDefault="00ED1EE8" w:rsidP="00DD0AF2">
      <w:pPr>
        <w:pStyle w:val="Title"/>
        <w:spacing w:before="240" w:after="240"/>
        <w:rPr>
          <w:rFonts w:ascii="Arial" w:hAnsi="Arial" w:cs="Arial"/>
        </w:rPr>
      </w:pPr>
      <w:r w:rsidRPr="008C6B05">
        <w:rPr>
          <w:rFonts w:ascii="Arial" w:hAnsi="Arial" w:cs="Arial"/>
        </w:rPr>
        <w:t>Submission Date: 24</w:t>
      </w:r>
      <w:r w:rsidRPr="008C6B05">
        <w:rPr>
          <w:rFonts w:ascii="Arial" w:hAnsi="Arial" w:cs="Arial"/>
          <w:vertAlign w:val="superscript"/>
        </w:rPr>
        <w:t>th</w:t>
      </w:r>
      <w:r w:rsidR="00DD0AF2" w:rsidRPr="008C6B05">
        <w:rPr>
          <w:rFonts w:ascii="Arial" w:hAnsi="Arial" w:cs="Arial"/>
        </w:rPr>
        <w:t xml:space="preserve"> </w:t>
      </w:r>
      <w:r w:rsidRPr="008C6B05">
        <w:rPr>
          <w:rFonts w:ascii="Arial" w:hAnsi="Arial" w:cs="Arial"/>
        </w:rPr>
        <w:t>July 2026</w:t>
      </w:r>
    </w:p>
    <w:p w14:paraId="295307FF" w14:textId="77777777" w:rsidR="00326717" w:rsidRPr="005B1673" w:rsidRDefault="00ED1EE8" w:rsidP="005B1673">
      <w:pPr>
        <w:rPr>
          <w:rFonts w:ascii="Arial" w:eastAsia="Arial" w:hAnsi="Arial" w:cs="Arial"/>
          <w:b/>
          <w:bCs/>
        </w:rPr>
      </w:pPr>
      <w:r w:rsidRPr="005B1673">
        <w:rPr>
          <w:rFonts w:ascii="Arial" w:eastAsia="Arial" w:hAnsi="Arial" w:cs="Arial"/>
          <w:b/>
          <w:bCs/>
        </w:rPr>
        <w:t xml:space="preserve"> </w:t>
      </w:r>
    </w:p>
    <w:p w14:paraId="42FA5596" w14:textId="6CA7F475" w:rsidR="00E86CB4" w:rsidRPr="005B1673" w:rsidRDefault="00E86CB4" w:rsidP="005B1673">
      <w:pPr>
        <w:rPr>
          <w:rFonts w:ascii="Arial" w:eastAsia="Arial" w:hAnsi="Arial" w:cs="Arial"/>
          <w:b/>
          <w:bCs/>
        </w:rPr>
      </w:pPr>
      <w:bookmarkStart w:id="1" w:name="_5rgwnm9088od" w:colFirst="0" w:colLast="0"/>
      <w:bookmarkEnd w:id="1"/>
    </w:p>
    <w:p w14:paraId="110CD22B" w14:textId="77777777" w:rsidR="00BB3323" w:rsidRDefault="00BB3323">
      <w:pPr>
        <w:rPr>
          <w:rFonts w:ascii="Arial" w:eastAsia="Arial" w:hAnsi="Arial" w:cs="Arial"/>
          <w:b/>
          <w:bCs/>
        </w:rPr>
      </w:pPr>
      <w:bookmarkStart w:id="2" w:name="_Toc235745010"/>
      <w:r>
        <w:rPr>
          <w:rFonts w:ascii="Arial" w:eastAsia="Arial" w:hAnsi="Arial" w:cs="Arial"/>
        </w:rPr>
        <w:br w:type="page"/>
      </w:r>
    </w:p>
    <w:sdt>
      <w:sdtPr>
        <w:rPr>
          <w:rFonts w:ascii="Times New Roman" w:eastAsia="Times New Roman" w:hAnsi="Times New Roman" w:cs="Times New Roman"/>
          <w:color w:val="auto"/>
          <w:sz w:val="24"/>
          <w:szCs w:val="24"/>
          <w:lang w:val="en-GB" w:eastAsia="en-GB"/>
        </w:rPr>
        <w:id w:val="-1281489143"/>
        <w:docPartObj>
          <w:docPartGallery w:val="Table of Contents"/>
          <w:docPartUnique/>
        </w:docPartObj>
      </w:sdtPr>
      <w:sdtEndPr>
        <w:rPr>
          <w:b/>
          <w:bCs/>
          <w:noProof/>
        </w:rPr>
      </w:sdtEndPr>
      <w:sdtContent>
        <w:p w14:paraId="037023BC" w14:textId="6FF9B631" w:rsidR="00DD0AF2" w:rsidRPr="00DD0AF2" w:rsidRDefault="00DD0AF2" w:rsidP="00DD0AF2">
          <w:pPr>
            <w:pStyle w:val="TOCHeading"/>
            <w:spacing w:after="240" w:line="360" w:lineRule="auto"/>
            <w:jc w:val="center"/>
            <w:rPr>
              <w:rFonts w:ascii="Arial" w:hAnsi="Arial"/>
              <w:b/>
              <w:bCs/>
              <w:color w:val="000000" w:themeColor="text1"/>
              <w:sz w:val="24"/>
            </w:rPr>
          </w:pPr>
          <w:r w:rsidRPr="00DD0AF2">
            <w:rPr>
              <w:rFonts w:ascii="Arial" w:hAnsi="Arial"/>
              <w:b/>
              <w:bCs/>
              <w:color w:val="000000" w:themeColor="text1"/>
              <w:sz w:val="24"/>
            </w:rPr>
            <w:t>Table of Contents</w:t>
          </w:r>
        </w:p>
        <w:p w14:paraId="02C7887B" w14:textId="22276956" w:rsidR="00DD0AF2" w:rsidRPr="00DD0AF2" w:rsidRDefault="00DD0AF2" w:rsidP="00DD0AF2">
          <w:pPr>
            <w:pStyle w:val="TOC1"/>
            <w:tabs>
              <w:tab w:val="right" w:leader="dot" w:pos="9019"/>
            </w:tabs>
            <w:spacing w:after="240"/>
            <w:jc w:val="left"/>
            <w:rPr>
              <w:rFonts w:ascii="Arial" w:eastAsiaTheme="minorEastAsia" w:hAnsi="Arial" w:cstheme="minorBidi"/>
              <w:noProof/>
              <w:kern w:val="2"/>
              <w:lang w:val="en-IN" w:eastAsia="en-IN"/>
              <w14:ligatures w14:val="standardContextual"/>
            </w:rPr>
          </w:pPr>
          <w:r w:rsidRPr="00DD0AF2">
            <w:rPr>
              <w:rFonts w:ascii="Arial" w:hAnsi="Arial"/>
            </w:rPr>
            <w:fldChar w:fldCharType="begin"/>
          </w:r>
          <w:r w:rsidRPr="00DD0AF2">
            <w:rPr>
              <w:rFonts w:ascii="Arial" w:hAnsi="Arial"/>
            </w:rPr>
            <w:instrText xml:space="preserve"> TOC \o "1-3" \h \z \u </w:instrText>
          </w:r>
          <w:r w:rsidRPr="00DD0AF2">
            <w:rPr>
              <w:rFonts w:ascii="Arial" w:hAnsi="Arial"/>
            </w:rPr>
            <w:fldChar w:fldCharType="separate"/>
          </w:r>
          <w:hyperlink w:anchor="_Toc235797579" w:history="1">
            <w:r w:rsidRPr="00DD0AF2">
              <w:rPr>
                <w:rStyle w:val="Hyperlink"/>
                <w:rFonts w:ascii="Arial" w:eastAsia="Arial" w:hAnsi="Arial"/>
                <w:noProof/>
              </w:rPr>
              <w:t>Introduction</w:t>
            </w:r>
            <w:r w:rsidRPr="00DD0AF2">
              <w:rPr>
                <w:rFonts w:ascii="Arial" w:hAnsi="Arial"/>
                <w:noProof/>
                <w:webHidden/>
              </w:rPr>
              <w:tab/>
            </w:r>
            <w:r w:rsidRPr="00DD0AF2">
              <w:rPr>
                <w:rFonts w:ascii="Arial" w:hAnsi="Arial"/>
                <w:noProof/>
                <w:webHidden/>
              </w:rPr>
              <w:fldChar w:fldCharType="begin"/>
            </w:r>
            <w:r w:rsidRPr="00DD0AF2">
              <w:rPr>
                <w:rFonts w:ascii="Arial" w:hAnsi="Arial"/>
                <w:noProof/>
                <w:webHidden/>
              </w:rPr>
              <w:instrText xml:space="preserve"> PAGEREF _Toc235797579 \h </w:instrText>
            </w:r>
            <w:r w:rsidRPr="00DD0AF2">
              <w:rPr>
                <w:rFonts w:ascii="Arial" w:hAnsi="Arial"/>
                <w:noProof/>
                <w:webHidden/>
              </w:rPr>
            </w:r>
            <w:r w:rsidRPr="00DD0AF2">
              <w:rPr>
                <w:rFonts w:ascii="Arial" w:hAnsi="Arial"/>
                <w:noProof/>
                <w:webHidden/>
              </w:rPr>
              <w:fldChar w:fldCharType="separate"/>
            </w:r>
            <w:r w:rsidR="001E7946">
              <w:rPr>
                <w:rFonts w:ascii="Arial" w:hAnsi="Arial"/>
                <w:noProof/>
                <w:webHidden/>
              </w:rPr>
              <w:t>3</w:t>
            </w:r>
            <w:r w:rsidRPr="00DD0AF2">
              <w:rPr>
                <w:rFonts w:ascii="Arial" w:hAnsi="Arial"/>
                <w:noProof/>
                <w:webHidden/>
              </w:rPr>
              <w:fldChar w:fldCharType="end"/>
            </w:r>
          </w:hyperlink>
        </w:p>
        <w:p w14:paraId="3BCB910E" w14:textId="04F9BC4C" w:rsidR="00DD0AF2" w:rsidRPr="00DD0AF2" w:rsidRDefault="00ED1EE8" w:rsidP="00DD0AF2">
          <w:pPr>
            <w:pStyle w:val="TOC1"/>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80" w:history="1">
            <w:r w:rsidR="00DD0AF2" w:rsidRPr="00DD0AF2">
              <w:rPr>
                <w:rStyle w:val="Hyperlink"/>
                <w:rFonts w:ascii="Arial" w:eastAsia="Arial" w:hAnsi="Arial" w:cs="Arial"/>
                <w:noProof/>
              </w:rPr>
              <w:t>1. Task 1: Marketing Environment Analysis</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_Toc235797580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3</w:t>
            </w:r>
            <w:r w:rsidR="00DD0AF2" w:rsidRPr="00DD0AF2">
              <w:rPr>
                <w:rFonts w:ascii="Arial" w:hAnsi="Arial"/>
                <w:noProof/>
                <w:webHidden/>
              </w:rPr>
              <w:fldChar w:fldCharType="end"/>
            </w:r>
          </w:hyperlink>
        </w:p>
        <w:p w14:paraId="0B888CAD" w14:textId="12CA6CC7" w:rsidR="00DD0AF2" w:rsidRPr="00DD0AF2" w:rsidRDefault="00ED1EE8" w:rsidP="00DD0AF2">
          <w:pPr>
            <w:pStyle w:val="TOC2"/>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81" w:history="1">
            <w:r w:rsidR="00DD0AF2" w:rsidRPr="00DD0AF2">
              <w:rPr>
                <w:rStyle w:val="Hyperlink"/>
                <w:rFonts w:ascii="Arial" w:eastAsia="Arial" w:hAnsi="Arial" w:cs="Arial"/>
                <w:noProof/>
              </w:rPr>
              <w:t>1.1 Company Selection and Context</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_Toc235797581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3</w:t>
            </w:r>
            <w:r w:rsidR="00DD0AF2" w:rsidRPr="00DD0AF2">
              <w:rPr>
                <w:rFonts w:ascii="Arial" w:hAnsi="Arial"/>
                <w:noProof/>
                <w:webHidden/>
              </w:rPr>
              <w:fldChar w:fldCharType="end"/>
            </w:r>
          </w:hyperlink>
        </w:p>
        <w:p w14:paraId="10897103" w14:textId="12895746" w:rsidR="00DD0AF2" w:rsidRPr="00DD0AF2" w:rsidRDefault="00ED1EE8" w:rsidP="00DD0AF2">
          <w:pPr>
            <w:pStyle w:val="TOC2"/>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82" w:history="1">
            <w:r w:rsidR="00DD0AF2" w:rsidRPr="00DD0AF2">
              <w:rPr>
                <w:rStyle w:val="Hyperlink"/>
                <w:rFonts w:ascii="Arial" w:eastAsia="Arial" w:hAnsi="Arial" w:cs="Arial"/>
                <w:noProof/>
              </w:rPr>
              <w:t>1.2 External Marketing Environment Actor 1: The Natural Environment</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_Toc235797582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4</w:t>
            </w:r>
            <w:r w:rsidR="00DD0AF2" w:rsidRPr="00DD0AF2">
              <w:rPr>
                <w:rFonts w:ascii="Arial" w:hAnsi="Arial"/>
                <w:noProof/>
                <w:webHidden/>
              </w:rPr>
              <w:fldChar w:fldCharType="end"/>
            </w:r>
          </w:hyperlink>
        </w:p>
        <w:p w14:paraId="03C1415B" w14:textId="3F64D99C" w:rsidR="00DD0AF2" w:rsidRPr="00DD0AF2" w:rsidRDefault="00ED1EE8" w:rsidP="00DD0AF2">
          <w:pPr>
            <w:pStyle w:val="TOC2"/>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83" w:history="1">
            <w:r w:rsidR="00DD0AF2" w:rsidRPr="00DD0AF2">
              <w:rPr>
                <w:rStyle w:val="Hyperlink"/>
                <w:rFonts w:ascii="Arial" w:eastAsia="Arial" w:hAnsi="Arial" w:cs="Arial"/>
                <w:noProof/>
              </w:rPr>
              <w:t>1.3 External Marketing Environment Actor 2: Technological</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_Toc235797583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6</w:t>
            </w:r>
            <w:r w:rsidR="00DD0AF2" w:rsidRPr="00DD0AF2">
              <w:rPr>
                <w:rFonts w:ascii="Arial" w:hAnsi="Arial"/>
                <w:noProof/>
                <w:webHidden/>
              </w:rPr>
              <w:fldChar w:fldCharType="end"/>
            </w:r>
          </w:hyperlink>
        </w:p>
        <w:p w14:paraId="27F4FB8E" w14:textId="78742FD4" w:rsidR="00DD0AF2" w:rsidRPr="00DD0AF2" w:rsidRDefault="00ED1EE8" w:rsidP="00DD0AF2">
          <w:pPr>
            <w:pStyle w:val="TOC1"/>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84" w:history="1">
            <w:r w:rsidR="00DD0AF2" w:rsidRPr="00DD0AF2">
              <w:rPr>
                <w:rStyle w:val="Hyperlink"/>
                <w:rFonts w:ascii="Arial" w:eastAsia="Arial" w:hAnsi="Arial" w:cs="Arial"/>
                <w:noProof/>
              </w:rPr>
              <w:t>2. Task 2: Strategic Growth and Competitive Positioning</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_Toc235797584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8</w:t>
            </w:r>
            <w:r w:rsidR="00DD0AF2" w:rsidRPr="00DD0AF2">
              <w:rPr>
                <w:rFonts w:ascii="Arial" w:hAnsi="Arial"/>
                <w:noProof/>
                <w:webHidden/>
              </w:rPr>
              <w:fldChar w:fldCharType="end"/>
            </w:r>
          </w:hyperlink>
        </w:p>
        <w:p w14:paraId="7C63329A" w14:textId="0A26B23C" w:rsidR="00DD0AF2" w:rsidRPr="00DD0AF2" w:rsidRDefault="00ED1EE8" w:rsidP="00DD0AF2">
          <w:pPr>
            <w:pStyle w:val="TOC2"/>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85" w:history="1">
            <w:r w:rsidR="00DD0AF2" w:rsidRPr="00DD0AF2">
              <w:rPr>
                <w:rStyle w:val="Hyperlink"/>
                <w:rFonts w:ascii="Arial" w:eastAsia="Arial" w:hAnsi="Arial" w:cs="Arial"/>
                <w:noProof/>
              </w:rPr>
              <w:t>2.1 Overview of the Ansoff Matrix</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_Toc235797585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8</w:t>
            </w:r>
            <w:r w:rsidR="00DD0AF2" w:rsidRPr="00DD0AF2">
              <w:rPr>
                <w:rFonts w:ascii="Arial" w:hAnsi="Arial"/>
                <w:noProof/>
                <w:webHidden/>
              </w:rPr>
              <w:fldChar w:fldCharType="end"/>
            </w:r>
          </w:hyperlink>
        </w:p>
        <w:p w14:paraId="04992ABF" w14:textId="7FC89818" w:rsidR="00DD0AF2" w:rsidRPr="00DD0AF2" w:rsidRDefault="00ED1EE8" w:rsidP="00DD0AF2">
          <w:pPr>
            <w:pStyle w:val="TOC2"/>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86" w:history="1">
            <w:r w:rsidR="00DD0AF2" w:rsidRPr="00DD0AF2">
              <w:rPr>
                <w:rStyle w:val="Hyperlink"/>
                <w:rFonts w:ascii="Arial" w:eastAsia="Arial" w:hAnsi="Arial" w:cs="Arial"/>
                <w:noProof/>
              </w:rPr>
              <w:t>2.2 Competitive Advantage Through a Lower-Carbon Business Model</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_Toc235797586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10</w:t>
            </w:r>
            <w:r w:rsidR="00DD0AF2" w:rsidRPr="00DD0AF2">
              <w:rPr>
                <w:rFonts w:ascii="Arial" w:hAnsi="Arial"/>
                <w:noProof/>
                <w:webHidden/>
              </w:rPr>
              <w:fldChar w:fldCharType="end"/>
            </w:r>
          </w:hyperlink>
        </w:p>
        <w:p w14:paraId="03098AFA" w14:textId="3914BB36" w:rsidR="00DD0AF2" w:rsidRPr="00DD0AF2" w:rsidRDefault="00ED1EE8" w:rsidP="00DD0AF2">
          <w:pPr>
            <w:pStyle w:val="TOC1"/>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87" w:history="1">
            <w:r w:rsidR="00DD0AF2" w:rsidRPr="00DD0AF2">
              <w:rPr>
                <w:rStyle w:val="Hyperlink"/>
                <w:rFonts w:ascii="Arial" w:eastAsia="Arial" w:hAnsi="Arial" w:cs="Arial"/>
                <w:noProof/>
              </w:rPr>
              <w:t>3. Task 3: Critical Reflection on AI Usage</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_Toc235797587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11</w:t>
            </w:r>
            <w:r w:rsidR="00DD0AF2" w:rsidRPr="00DD0AF2">
              <w:rPr>
                <w:rFonts w:ascii="Arial" w:hAnsi="Arial"/>
                <w:noProof/>
                <w:webHidden/>
              </w:rPr>
              <w:fldChar w:fldCharType="end"/>
            </w:r>
          </w:hyperlink>
        </w:p>
        <w:p w14:paraId="20254508" w14:textId="3251549E" w:rsidR="00DD0AF2" w:rsidRPr="00DD0AF2" w:rsidRDefault="00ED1EE8" w:rsidP="00DD0AF2">
          <w:pPr>
            <w:pStyle w:val="TOC2"/>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88" w:history="1">
            <w:r w:rsidR="00DD0AF2" w:rsidRPr="00DD0AF2">
              <w:rPr>
                <w:rStyle w:val="Hyperlink"/>
                <w:rFonts w:ascii="Arial" w:eastAsia="Arial" w:hAnsi="Arial" w:cs="Arial"/>
                <w:noProof/>
              </w:rPr>
              <w:t>3.1 Tool Disclosure</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_Toc235797588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11</w:t>
            </w:r>
            <w:r w:rsidR="00DD0AF2" w:rsidRPr="00DD0AF2">
              <w:rPr>
                <w:rFonts w:ascii="Arial" w:hAnsi="Arial"/>
                <w:noProof/>
                <w:webHidden/>
              </w:rPr>
              <w:fldChar w:fldCharType="end"/>
            </w:r>
          </w:hyperlink>
        </w:p>
        <w:p w14:paraId="50D5FDD4" w14:textId="18A65E7A" w:rsidR="00DD0AF2" w:rsidRPr="00DD0AF2" w:rsidRDefault="00ED1EE8" w:rsidP="00DD0AF2">
          <w:pPr>
            <w:pStyle w:val="TOC2"/>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89" w:history="1">
            <w:r w:rsidR="00DD0AF2" w:rsidRPr="00DD0AF2">
              <w:rPr>
                <w:rStyle w:val="Hyperlink"/>
                <w:rFonts w:ascii="Arial" w:eastAsia="Arial" w:hAnsi="Arial" w:cs="Arial"/>
                <w:noProof/>
              </w:rPr>
              <w:t>3.2 Critical Evaluation of AI Output</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_Toc235797589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12</w:t>
            </w:r>
            <w:r w:rsidR="00DD0AF2" w:rsidRPr="00DD0AF2">
              <w:rPr>
                <w:rFonts w:ascii="Arial" w:hAnsi="Arial"/>
                <w:noProof/>
                <w:webHidden/>
              </w:rPr>
              <w:fldChar w:fldCharType="end"/>
            </w:r>
          </w:hyperlink>
        </w:p>
        <w:p w14:paraId="3C778828" w14:textId="62073A80" w:rsidR="00DD0AF2" w:rsidRPr="00DD0AF2" w:rsidRDefault="00ED1EE8" w:rsidP="00DD0AF2">
          <w:pPr>
            <w:pStyle w:val="TOC2"/>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90" w:history="1">
            <w:r w:rsidR="00DD0AF2" w:rsidRPr="00DD0AF2">
              <w:rPr>
                <w:rStyle w:val="Hyperlink"/>
                <w:rFonts w:ascii="Arial" w:eastAsia="Arial" w:hAnsi="Arial" w:cs="Arial"/>
                <w:noProof/>
              </w:rPr>
              <w:t>3.3 Contribution Analysis</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_Toc235797590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12</w:t>
            </w:r>
            <w:r w:rsidR="00DD0AF2" w:rsidRPr="00DD0AF2">
              <w:rPr>
                <w:rFonts w:ascii="Arial" w:hAnsi="Arial"/>
                <w:noProof/>
                <w:webHidden/>
              </w:rPr>
              <w:fldChar w:fldCharType="end"/>
            </w:r>
          </w:hyperlink>
        </w:p>
        <w:p w14:paraId="50AF2DB6" w14:textId="4B85009A" w:rsidR="00DD0AF2" w:rsidRPr="00DD0AF2" w:rsidRDefault="00ED1EE8" w:rsidP="00DD0AF2">
          <w:pPr>
            <w:pStyle w:val="TOC2"/>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91" w:history="1">
            <w:r w:rsidR="00DD0AF2" w:rsidRPr="00DD0AF2">
              <w:rPr>
                <w:rStyle w:val="Hyperlink"/>
                <w:rFonts w:ascii="Arial" w:eastAsia="Arial" w:hAnsi="Arial" w:cs="Arial"/>
                <w:noProof/>
              </w:rPr>
              <w:t>3.4 Ethical and Professional Reflection</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_Toc235797591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12</w:t>
            </w:r>
            <w:r w:rsidR="00DD0AF2" w:rsidRPr="00DD0AF2">
              <w:rPr>
                <w:rFonts w:ascii="Arial" w:hAnsi="Arial"/>
                <w:noProof/>
                <w:webHidden/>
              </w:rPr>
              <w:fldChar w:fldCharType="end"/>
            </w:r>
          </w:hyperlink>
        </w:p>
        <w:p w14:paraId="6B798E62" w14:textId="4B796B2C" w:rsidR="00DD0AF2" w:rsidRPr="00DD0AF2" w:rsidRDefault="00ED1EE8" w:rsidP="00DD0AF2">
          <w:pPr>
            <w:pStyle w:val="TOC1"/>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92" w:history="1">
            <w:r w:rsidR="00DD0AF2" w:rsidRPr="00DD0AF2">
              <w:rPr>
                <w:rStyle w:val="Hyperlink"/>
                <w:rFonts w:ascii="Arial" w:eastAsia="Arial" w:hAnsi="Arial" w:cs="Arial"/>
                <w:noProof/>
              </w:rPr>
              <w:t>Conclusion</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_Toc235797592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13</w:t>
            </w:r>
            <w:r w:rsidR="00DD0AF2" w:rsidRPr="00DD0AF2">
              <w:rPr>
                <w:rFonts w:ascii="Arial" w:hAnsi="Arial"/>
                <w:noProof/>
                <w:webHidden/>
              </w:rPr>
              <w:fldChar w:fldCharType="end"/>
            </w:r>
          </w:hyperlink>
        </w:p>
        <w:p w14:paraId="31583BB1" w14:textId="0D3FD862" w:rsidR="00DD0AF2" w:rsidRPr="00DD0AF2" w:rsidRDefault="00ED1EE8" w:rsidP="00DD0AF2">
          <w:pPr>
            <w:pStyle w:val="TOC1"/>
            <w:tabs>
              <w:tab w:val="right" w:leader="dot" w:pos="9019"/>
            </w:tabs>
            <w:spacing w:after="240"/>
            <w:jc w:val="left"/>
            <w:rPr>
              <w:rFonts w:ascii="Arial" w:eastAsiaTheme="minorEastAsia" w:hAnsi="Arial" w:cstheme="minorBidi"/>
              <w:noProof/>
              <w:kern w:val="2"/>
              <w:lang w:val="en-IN" w:eastAsia="en-IN"/>
              <w14:ligatures w14:val="standardContextual"/>
            </w:rPr>
          </w:pPr>
          <w:hyperlink w:anchor="_Toc235797593" w:history="1">
            <w:r w:rsidR="00DD0AF2" w:rsidRPr="00DD0AF2">
              <w:rPr>
                <w:rStyle w:val="Hyperlink"/>
                <w:rFonts w:ascii="Arial" w:eastAsia="Arial" w:hAnsi="Arial" w:cs="Arial"/>
                <w:noProof/>
              </w:rPr>
              <w:t>Reference list</w:t>
            </w:r>
            <w:r w:rsidR="00DD0AF2" w:rsidRPr="00DD0AF2">
              <w:rPr>
                <w:rFonts w:ascii="Arial" w:hAnsi="Arial"/>
                <w:noProof/>
                <w:webHidden/>
              </w:rPr>
              <w:tab/>
            </w:r>
            <w:r w:rsidR="00DD0AF2" w:rsidRPr="00DD0AF2">
              <w:rPr>
                <w:rFonts w:ascii="Arial" w:hAnsi="Arial"/>
                <w:noProof/>
                <w:webHidden/>
              </w:rPr>
              <w:fldChar w:fldCharType="begin"/>
            </w:r>
            <w:r w:rsidR="00DD0AF2" w:rsidRPr="00DD0AF2">
              <w:rPr>
                <w:rFonts w:ascii="Arial" w:hAnsi="Arial"/>
                <w:noProof/>
                <w:webHidden/>
              </w:rPr>
              <w:instrText xml:space="preserve"> PAGEREF _Toc235797593 \h </w:instrText>
            </w:r>
            <w:r w:rsidR="00DD0AF2" w:rsidRPr="00DD0AF2">
              <w:rPr>
                <w:rFonts w:ascii="Arial" w:hAnsi="Arial"/>
                <w:noProof/>
                <w:webHidden/>
              </w:rPr>
            </w:r>
            <w:r w:rsidR="00DD0AF2" w:rsidRPr="00DD0AF2">
              <w:rPr>
                <w:rFonts w:ascii="Arial" w:hAnsi="Arial"/>
                <w:noProof/>
                <w:webHidden/>
              </w:rPr>
              <w:fldChar w:fldCharType="separate"/>
            </w:r>
            <w:r w:rsidR="001E7946">
              <w:rPr>
                <w:rFonts w:ascii="Arial" w:hAnsi="Arial"/>
                <w:noProof/>
                <w:webHidden/>
              </w:rPr>
              <w:t>14</w:t>
            </w:r>
            <w:r w:rsidR="00DD0AF2" w:rsidRPr="00DD0AF2">
              <w:rPr>
                <w:rFonts w:ascii="Arial" w:hAnsi="Arial"/>
                <w:noProof/>
                <w:webHidden/>
              </w:rPr>
              <w:fldChar w:fldCharType="end"/>
            </w:r>
          </w:hyperlink>
        </w:p>
        <w:p w14:paraId="0017A217" w14:textId="24F1EC0F" w:rsidR="00DD0AF2" w:rsidRDefault="00DD0AF2" w:rsidP="00DD0AF2">
          <w:pPr>
            <w:jc w:val="left"/>
          </w:pPr>
          <w:r w:rsidRPr="00DD0AF2">
            <w:rPr>
              <w:rFonts w:ascii="Arial" w:hAnsi="Arial"/>
              <w:b/>
              <w:bCs/>
              <w:noProof/>
            </w:rPr>
            <w:fldChar w:fldCharType="end"/>
          </w:r>
        </w:p>
      </w:sdtContent>
    </w:sdt>
    <w:p w14:paraId="7DE57DDE" w14:textId="77777777" w:rsidR="00DD0AF2" w:rsidRDefault="00DD0AF2">
      <w:pPr>
        <w:rPr>
          <w:rFonts w:ascii="Arial" w:eastAsia="Arial" w:hAnsi="Arial"/>
          <w:b/>
          <w:bCs/>
        </w:rPr>
      </w:pPr>
      <w:bookmarkStart w:id="3" w:name="_Toc235797579"/>
      <w:r>
        <w:rPr>
          <w:rFonts w:ascii="Arial" w:eastAsia="Arial" w:hAnsi="Arial"/>
        </w:rPr>
        <w:br w:type="page"/>
      </w:r>
    </w:p>
    <w:p w14:paraId="0C2DBF52" w14:textId="1FFB11C5" w:rsidR="00A00D0F" w:rsidRPr="00DD0AF2" w:rsidRDefault="00A00D0F" w:rsidP="00DD0AF2">
      <w:pPr>
        <w:pStyle w:val="Heading1"/>
        <w:spacing w:before="240" w:after="240"/>
        <w:rPr>
          <w:rFonts w:ascii="Arial" w:eastAsia="Arial" w:hAnsi="Arial"/>
        </w:rPr>
      </w:pPr>
      <w:r w:rsidRPr="00DD0AF2">
        <w:rPr>
          <w:rFonts w:ascii="Arial" w:eastAsia="Arial" w:hAnsi="Arial"/>
        </w:rPr>
        <w:t>Introduction</w:t>
      </w:r>
      <w:bookmarkEnd w:id="2"/>
      <w:bookmarkEnd w:id="3"/>
      <w:r w:rsidRPr="00DD0AF2">
        <w:rPr>
          <w:rFonts w:ascii="Arial" w:eastAsia="Arial" w:hAnsi="Arial"/>
        </w:rPr>
        <w:t xml:space="preserve">   </w:t>
      </w:r>
    </w:p>
    <w:p w14:paraId="4834F9E0" w14:textId="2DBF4C88" w:rsidR="00A00D0F" w:rsidRPr="00DD0AF2" w:rsidRDefault="00A00D0F" w:rsidP="00DD0AF2">
      <w:pPr>
        <w:rPr>
          <w:rFonts w:ascii="Arial" w:eastAsia="Arial" w:hAnsi="Arial" w:cs="Arial"/>
        </w:rPr>
      </w:pPr>
      <w:r w:rsidRPr="00DD0AF2">
        <w:rPr>
          <w:rFonts w:ascii="Arial" w:eastAsia="Arial" w:hAnsi="Arial" w:cs="Arial"/>
        </w:rPr>
        <w:t xml:space="preserve">This report evaluates the marketing environment of BHP, a major international mining organisation, in terms of the natural and technological elements that affect their strategic decisions. </w:t>
      </w:r>
      <w:r w:rsidR="004A5208" w:rsidRPr="00DD0AF2">
        <w:rPr>
          <w:rFonts w:ascii="Arial" w:eastAsia="Arial" w:hAnsi="Arial" w:cs="Arial"/>
        </w:rPr>
        <w:t>It analyses the growth prospects using the Ansoff Matrix, outlines the competitive advantage of a lower-carbon business model, and considers the ethical application of artificial intelligence in academic work</w:t>
      </w:r>
      <w:r w:rsidRPr="00DD0AF2">
        <w:rPr>
          <w:rFonts w:ascii="Arial" w:eastAsia="Arial" w:hAnsi="Arial" w:cs="Arial"/>
        </w:rPr>
        <w:t>.</w:t>
      </w:r>
    </w:p>
    <w:p w14:paraId="0650C10D" w14:textId="58A189EC" w:rsidR="00326717" w:rsidRPr="005B1673" w:rsidRDefault="00ED1EE8" w:rsidP="005B1673">
      <w:pPr>
        <w:pStyle w:val="Heading1"/>
        <w:spacing w:before="240" w:after="240"/>
        <w:rPr>
          <w:rFonts w:ascii="Arial" w:eastAsia="Arial" w:hAnsi="Arial" w:cs="Arial"/>
        </w:rPr>
      </w:pPr>
      <w:bookmarkStart w:id="4" w:name="_Toc235745011"/>
      <w:bookmarkStart w:id="5" w:name="_Toc235797580"/>
      <w:r w:rsidRPr="005B1673">
        <w:rPr>
          <w:rFonts w:ascii="Arial" w:eastAsia="Arial" w:hAnsi="Arial" w:cs="Arial"/>
        </w:rPr>
        <w:t>1. Task 1: Marketing Environment Analysis</w:t>
      </w:r>
      <w:bookmarkEnd w:id="4"/>
      <w:bookmarkEnd w:id="5"/>
      <w:r w:rsidR="00E10C33" w:rsidRPr="005B1673">
        <w:rPr>
          <w:rFonts w:ascii="Arial" w:eastAsia="Arial" w:hAnsi="Arial" w:cs="Arial"/>
        </w:rPr>
        <w:t xml:space="preserve"> </w:t>
      </w:r>
    </w:p>
    <w:p w14:paraId="630AC1FF" w14:textId="77777777" w:rsidR="00326717" w:rsidRPr="005B1673" w:rsidRDefault="00ED1EE8" w:rsidP="005B1673">
      <w:pPr>
        <w:pStyle w:val="Heading2"/>
        <w:spacing w:before="240" w:after="240"/>
        <w:rPr>
          <w:rFonts w:ascii="Arial" w:eastAsia="Arial" w:hAnsi="Arial" w:cs="Arial"/>
        </w:rPr>
      </w:pPr>
      <w:bookmarkStart w:id="6" w:name="_n3kwmmzide5r" w:colFirst="0" w:colLast="0"/>
      <w:bookmarkStart w:id="7" w:name="_Toc235745012"/>
      <w:bookmarkStart w:id="8" w:name="_Toc235797581"/>
      <w:bookmarkEnd w:id="6"/>
      <w:r w:rsidRPr="005B1673">
        <w:rPr>
          <w:rFonts w:ascii="Arial" w:eastAsia="Arial" w:hAnsi="Arial" w:cs="Arial"/>
        </w:rPr>
        <w:t>1.1 Company Selection and Context</w:t>
      </w:r>
      <w:bookmarkEnd w:id="7"/>
      <w:bookmarkEnd w:id="8"/>
    </w:p>
    <w:p w14:paraId="2EC14F45" w14:textId="6599AC85" w:rsidR="00326717" w:rsidRPr="005B1673" w:rsidRDefault="00ED1EE8" w:rsidP="005B1673">
      <w:pPr>
        <w:rPr>
          <w:rFonts w:ascii="Arial" w:eastAsia="Arial" w:hAnsi="Arial" w:cs="Arial"/>
        </w:rPr>
      </w:pPr>
      <w:r w:rsidRPr="005B1673">
        <w:rPr>
          <w:rFonts w:ascii="Arial" w:eastAsia="Arial" w:hAnsi="Arial" w:cs="Arial"/>
        </w:rPr>
        <w:t xml:space="preserve">BHP is among the world's largest diversified mining companies and is a leading global supplier of minerals essential to global industrial development and the clean energy transition (BHP, 2024a). </w:t>
      </w:r>
      <w:r w:rsidR="004A5208" w:rsidRPr="005B1673">
        <w:rPr>
          <w:rFonts w:ascii="Arial" w:eastAsia="Arial" w:hAnsi="Arial" w:cs="Arial"/>
        </w:rPr>
        <w:t>Its headquarters are in Australia, and it has major mining operations in Australia, Chile, and Canada, producing iron ore, copper, nickel, metallurgical coal, and developing the Jansen potash project</w:t>
      </w:r>
      <w:r w:rsidRPr="005B1673">
        <w:rPr>
          <w:rFonts w:ascii="Arial" w:eastAsia="Arial" w:hAnsi="Arial" w:cs="Arial"/>
        </w:rPr>
        <w:t>. BHP's copper production in FY2025 reached a new record of 2 million tonnes, with an economic contribution of US$46.8 billion and the company continuing to be a leader in the global mining sector (BHP, 2025). BHP also generated a production of 263 million metric tonnes of Iron Ore in FY2024–25 and is predicting</w:t>
      </w:r>
      <w:r w:rsidRPr="005B1673">
        <w:rPr>
          <w:rFonts w:ascii="Arial" w:eastAsia="Arial" w:hAnsi="Arial" w:cs="Arial"/>
        </w:rPr>
        <w:t xml:space="preserve"> a production of 258–269 million metric tonnes of Iron Ore in FY2026 (S&amp;P Global, 2025). </w:t>
      </w:r>
      <w:r w:rsidR="004A5208" w:rsidRPr="005B1673">
        <w:rPr>
          <w:rFonts w:ascii="Arial" w:eastAsia="Arial" w:hAnsi="Arial" w:cs="Arial"/>
        </w:rPr>
        <w:t>BHP is committed to a sustainability strategy that focuses on increasing future-oriented commodity production while reducing operational greenhouse gas emissions through renewable energy, fleet electrification, and technological innovations, with the goal of achieving net zero by 2050</w:t>
      </w:r>
      <w:r w:rsidRPr="005B1673">
        <w:rPr>
          <w:rFonts w:ascii="Arial" w:eastAsia="Arial" w:hAnsi="Arial" w:cs="Arial"/>
        </w:rPr>
        <w:t xml:space="preserve"> (BHP, 2024b). </w:t>
      </w:r>
    </w:p>
    <w:p w14:paraId="490AD8AA" w14:textId="77777777" w:rsidR="00326717" w:rsidRPr="005B1673" w:rsidRDefault="00ED1EE8" w:rsidP="005B1673">
      <w:pPr>
        <w:jc w:val="center"/>
        <w:rPr>
          <w:rFonts w:ascii="Arial" w:eastAsia="Arial" w:hAnsi="Arial" w:cs="Arial"/>
        </w:rPr>
      </w:pPr>
      <w:r w:rsidRPr="005B1673">
        <w:rPr>
          <w:rFonts w:ascii="Arial" w:eastAsia="Arial" w:hAnsi="Arial" w:cs="Arial"/>
          <w:noProof/>
        </w:rPr>
        <w:drawing>
          <wp:inline distT="114300" distB="114300" distL="114300" distR="114300" wp14:anchorId="0B8A37D2" wp14:editId="508C2EDB">
            <wp:extent cx="4755090" cy="2661903"/>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755090" cy="2661903"/>
                    </a:xfrm>
                    <a:prstGeom prst="rect">
                      <a:avLst/>
                    </a:prstGeom>
                    <a:ln w="25400">
                      <a:solidFill>
                        <a:srgbClr val="000000"/>
                      </a:solidFill>
                      <a:prstDash val="solid"/>
                    </a:ln>
                  </pic:spPr>
                </pic:pic>
              </a:graphicData>
            </a:graphic>
          </wp:inline>
        </w:drawing>
      </w:r>
    </w:p>
    <w:p w14:paraId="4026E05A" w14:textId="77777777" w:rsidR="00326717" w:rsidRPr="005B1673" w:rsidRDefault="00ED1EE8" w:rsidP="005B1673">
      <w:pPr>
        <w:jc w:val="center"/>
        <w:rPr>
          <w:rFonts w:ascii="Arial" w:eastAsia="Arial" w:hAnsi="Arial" w:cs="Arial"/>
          <w:b/>
          <w:bCs/>
        </w:rPr>
      </w:pPr>
      <w:r w:rsidRPr="005B1673">
        <w:rPr>
          <w:rFonts w:ascii="Arial" w:eastAsia="Arial" w:hAnsi="Arial" w:cs="Arial"/>
          <w:b/>
          <w:bCs/>
        </w:rPr>
        <w:t>Figure 1: Logo of BHP</w:t>
      </w:r>
    </w:p>
    <w:p w14:paraId="2E79BA6F" w14:textId="795CEA40" w:rsidR="00326717" w:rsidRPr="005B1673" w:rsidRDefault="00ED1EE8" w:rsidP="005B1673">
      <w:pPr>
        <w:jc w:val="center"/>
        <w:rPr>
          <w:rFonts w:ascii="Arial" w:eastAsia="Arial" w:hAnsi="Arial" w:cs="Arial"/>
          <w:b/>
          <w:bCs/>
        </w:rPr>
      </w:pPr>
      <w:r w:rsidRPr="005B1673">
        <w:rPr>
          <w:rFonts w:ascii="Arial" w:eastAsia="Arial" w:hAnsi="Arial" w:cs="Arial"/>
          <w:b/>
          <w:bCs/>
        </w:rPr>
        <w:t>(Source:</w:t>
      </w:r>
      <w:r w:rsidR="00E10C33" w:rsidRPr="005B1673">
        <w:rPr>
          <w:rFonts w:ascii="Arial" w:eastAsia="Arial" w:hAnsi="Arial" w:cs="Arial"/>
          <w:b/>
          <w:bCs/>
        </w:rPr>
        <w:t xml:space="preserve"> </w:t>
      </w:r>
      <w:r w:rsidRPr="005B1673">
        <w:rPr>
          <w:rFonts w:ascii="Arial" w:eastAsia="Arial" w:hAnsi="Arial" w:cs="Arial"/>
          <w:b/>
          <w:bCs/>
        </w:rPr>
        <w:t>BHP, 2024a)</w:t>
      </w:r>
    </w:p>
    <w:p w14:paraId="0EF1F0B8" w14:textId="7DF91397" w:rsidR="00326717" w:rsidRPr="005B1673" w:rsidRDefault="00F44F5D" w:rsidP="005B1673">
      <w:pPr>
        <w:pStyle w:val="Heading2"/>
        <w:spacing w:before="240" w:after="240"/>
        <w:rPr>
          <w:rFonts w:ascii="Arial" w:eastAsia="Arial" w:hAnsi="Arial" w:cs="Arial"/>
        </w:rPr>
      </w:pPr>
      <w:bookmarkStart w:id="9" w:name="_el1e24ibivsg" w:colFirst="0" w:colLast="0"/>
      <w:bookmarkStart w:id="10" w:name="_Toc235745013"/>
      <w:bookmarkStart w:id="11" w:name="_Toc235797582"/>
      <w:bookmarkEnd w:id="9"/>
      <w:r w:rsidRPr="005B1673">
        <w:rPr>
          <w:rFonts w:ascii="Arial" w:eastAsia="Arial" w:hAnsi="Arial" w:cs="Arial"/>
        </w:rPr>
        <w:t>1.2 External Marketing Environment Actor 1: The Natural Environment</w:t>
      </w:r>
      <w:bookmarkEnd w:id="10"/>
      <w:bookmarkEnd w:id="11"/>
    </w:p>
    <w:p w14:paraId="72AC85C0" w14:textId="43620350" w:rsidR="00326717" w:rsidRPr="005B1673" w:rsidRDefault="00ED1EE8" w:rsidP="005B1673">
      <w:pPr>
        <w:rPr>
          <w:rFonts w:ascii="Arial" w:eastAsia="Arial" w:hAnsi="Arial" w:cs="Arial"/>
        </w:rPr>
      </w:pPr>
      <w:r w:rsidRPr="005B1673">
        <w:rPr>
          <w:rFonts w:ascii="Arial" w:eastAsia="Arial" w:hAnsi="Arial" w:cs="Arial"/>
        </w:rPr>
        <w:t xml:space="preserve">The natural environment is the most significant external marketing environment actor that impacts BHP, as mining requires a significant amount of nature to be used and </w:t>
      </w:r>
      <w:r w:rsidR="005B48AB" w:rsidRPr="005B1673">
        <w:rPr>
          <w:rFonts w:ascii="Arial" w:eastAsia="Arial" w:hAnsi="Arial" w:cs="Arial"/>
        </w:rPr>
        <w:t>causes environmental impacts</w:t>
      </w:r>
      <w:r w:rsidRPr="005B1673">
        <w:rPr>
          <w:rFonts w:ascii="Arial" w:eastAsia="Arial" w:hAnsi="Arial" w:cs="Arial"/>
        </w:rPr>
        <w:t xml:space="preserve">. </w:t>
      </w:r>
      <w:r w:rsidR="004A5208" w:rsidRPr="005B1673">
        <w:rPr>
          <w:rFonts w:ascii="Arial" w:eastAsia="Arial" w:hAnsi="Arial" w:cs="Arial"/>
        </w:rPr>
        <w:t xml:space="preserve">Increasing awareness of climate change, resource depletion, biodiversity loss, and carbon emissions is pushing BHP to adopt a lower-carbon footprint and more sustainable mining practices </w:t>
      </w:r>
      <w:r w:rsidR="00287E20" w:rsidRPr="005B1673">
        <w:rPr>
          <w:rFonts w:ascii="Arial" w:eastAsia="Arial" w:hAnsi="Arial" w:cs="Arial"/>
        </w:rPr>
        <w:t>(</w:t>
      </w:r>
      <w:proofErr w:type="spellStart"/>
      <w:r w:rsidRPr="005B1673">
        <w:rPr>
          <w:rFonts w:ascii="Arial" w:eastAsia="Arial" w:hAnsi="Arial" w:cs="Arial"/>
        </w:rPr>
        <w:t>Enemuo</w:t>
      </w:r>
      <w:proofErr w:type="spellEnd"/>
      <w:r w:rsidRPr="005B1673">
        <w:rPr>
          <w:rFonts w:ascii="Arial" w:eastAsia="Arial" w:hAnsi="Arial" w:cs="Arial"/>
        </w:rPr>
        <w:t xml:space="preserve"> and </w:t>
      </w:r>
      <w:proofErr w:type="spellStart"/>
      <w:r w:rsidRPr="005B1673">
        <w:rPr>
          <w:rFonts w:ascii="Arial" w:eastAsia="Arial" w:hAnsi="Arial" w:cs="Arial"/>
        </w:rPr>
        <w:t>Ogunmodimu</w:t>
      </w:r>
      <w:proofErr w:type="spellEnd"/>
      <w:r w:rsidR="002D077C" w:rsidRPr="005B1673">
        <w:rPr>
          <w:rFonts w:ascii="Arial" w:eastAsia="Arial" w:hAnsi="Arial" w:cs="Arial"/>
        </w:rPr>
        <w:t>,</w:t>
      </w:r>
      <w:r w:rsidRPr="005B1673">
        <w:rPr>
          <w:rFonts w:ascii="Arial" w:eastAsia="Arial" w:hAnsi="Arial" w:cs="Arial"/>
        </w:rPr>
        <w:t xml:space="preserve"> 2025). </w:t>
      </w:r>
    </w:p>
    <w:p w14:paraId="5F941ED1" w14:textId="77777777" w:rsidR="00326717" w:rsidRPr="005B1673" w:rsidRDefault="00ED1EE8" w:rsidP="005B1673">
      <w:pPr>
        <w:rPr>
          <w:rFonts w:ascii="Arial" w:eastAsia="Arial" w:hAnsi="Arial" w:cs="Arial"/>
          <w:b/>
          <w:bCs/>
        </w:rPr>
      </w:pPr>
      <w:r w:rsidRPr="005B1673">
        <w:rPr>
          <w:rFonts w:ascii="Arial" w:eastAsia="Arial" w:hAnsi="Arial" w:cs="Arial"/>
          <w:b/>
          <w:bCs/>
        </w:rPr>
        <w:t xml:space="preserve">Climate Change and Carbon Emissions </w:t>
      </w:r>
    </w:p>
    <w:p w14:paraId="506F32BC" w14:textId="4DFC17A2" w:rsidR="00326717" w:rsidRPr="005B1673" w:rsidRDefault="004A5208" w:rsidP="005B1673">
      <w:pPr>
        <w:rPr>
          <w:rFonts w:ascii="Arial" w:eastAsia="Arial" w:hAnsi="Arial" w:cs="Arial"/>
        </w:rPr>
      </w:pPr>
      <w:r w:rsidRPr="005B1673">
        <w:rPr>
          <w:rFonts w:ascii="Arial" w:eastAsia="Arial" w:hAnsi="Arial" w:cs="Arial"/>
        </w:rPr>
        <w:t>Climate change presents a strategic challenge while also driving innovation. The mining and metals industry accounts for 11% of global emissions, stemming from energy-intensive processing, the diminishing grade of ores and a growing demand for critical metals, which calls for a shift toward electrification and low-carbon production processes (</w:t>
      </w:r>
      <w:proofErr w:type="spellStart"/>
      <w:r w:rsidRPr="005B1673">
        <w:rPr>
          <w:rFonts w:ascii="Arial" w:eastAsia="Arial" w:hAnsi="Arial" w:cs="Arial"/>
        </w:rPr>
        <w:t>Lectura.press</w:t>
      </w:r>
      <w:proofErr w:type="spellEnd"/>
      <w:r w:rsidRPr="005B1673">
        <w:rPr>
          <w:rFonts w:ascii="Arial" w:eastAsia="Arial" w:hAnsi="Arial" w:cs="Arial"/>
        </w:rPr>
        <w:t>, 2026). The company's greenhouse gas Scope 1 &amp; 2 emissions were reduced by 5% relative to FY2024, and the company was producing record volumes, showing progress to become more operationally carbon neutral (</w:t>
      </w:r>
      <w:r w:rsidR="00436DF4" w:rsidRPr="005B1673">
        <w:rPr>
          <w:rFonts w:ascii="Arial" w:eastAsia="Arial" w:hAnsi="Arial" w:cs="Arial"/>
        </w:rPr>
        <w:t xml:space="preserve">BHP, 2025). </w:t>
      </w:r>
      <w:r w:rsidRPr="005B1673">
        <w:rPr>
          <w:rFonts w:ascii="Arial" w:eastAsia="Arial" w:hAnsi="Arial" w:cs="Arial"/>
        </w:rPr>
        <w:t>Renewable electricity, mine electrification, and energy-efficiency projects are also part of BHP's pledge to reach net-zero operational GHG emissions by 2050.</w:t>
      </w:r>
    </w:p>
    <w:p w14:paraId="54FA24F8" w14:textId="77777777" w:rsidR="00326717" w:rsidRPr="005B1673" w:rsidRDefault="00ED1EE8" w:rsidP="005B1673">
      <w:pPr>
        <w:rPr>
          <w:rFonts w:ascii="Arial" w:eastAsia="Arial" w:hAnsi="Arial" w:cs="Arial"/>
          <w:b/>
          <w:bCs/>
        </w:rPr>
      </w:pPr>
      <w:r w:rsidRPr="005B1673">
        <w:rPr>
          <w:rFonts w:ascii="Arial" w:eastAsia="Arial" w:hAnsi="Arial" w:cs="Arial"/>
          <w:b/>
          <w:bCs/>
        </w:rPr>
        <w:t>Resource Scarcity and Demand for Critical Minerals</w:t>
      </w:r>
    </w:p>
    <w:p w14:paraId="1B6933A9" w14:textId="1363FEBE" w:rsidR="00326717" w:rsidRPr="005B1673" w:rsidRDefault="004A5208" w:rsidP="005B1673">
      <w:pPr>
        <w:rPr>
          <w:rFonts w:ascii="Arial" w:eastAsia="Arial" w:hAnsi="Arial" w:cs="Arial"/>
        </w:rPr>
      </w:pPr>
      <w:r w:rsidRPr="005B1673">
        <w:rPr>
          <w:rFonts w:ascii="Arial" w:eastAsia="Arial" w:hAnsi="Arial" w:cs="Arial"/>
        </w:rPr>
        <w:t>The previously limited availability of good-quality mineral deposits, combined with a high increase in the amount of critical minerals needed for the global energy transition, has made resource scarcity a key natural environmental actor (IEA, 2021). Electric vehicles, renewable energy and electricity networks have major needs for copper, nickel and potash, and BHP has significant growth potential in these areas. In FY2025, BHP produced an estimated 2 million tonnes of copper, which was the highest production in the company's history, as it continued to invest in commodities that will be key drivers in the global transition to decarbonisation and electrification (BHP, 2025). This demand boosts BHP's competitiveness and further promotes investment in lower-carbon mining methods.</w:t>
      </w:r>
    </w:p>
    <w:p w14:paraId="2DEF8DA6" w14:textId="77777777" w:rsidR="00326717" w:rsidRPr="005B1673" w:rsidRDefault="00ED1EE8" w:rsidP="005B1673">
      <w:pPr>
        <w:rPr>
          <w:rFonts w:ascii="Arial" w:eastAsia="Arial" w:hAnsi="Arial" w:cs="Arial"/>
          <w:b/>
          <w:bCs/>
        </w:rPr>
      </w:pPr>
      <w:r w:rsidRPr="005B1673">
        <w:rPr>
          <w:rFonts w:ascii="Arial" w:eastAsia="Arial" w:hAnsi="Arial" w:cs="Arial"/>
          <w:b/>
          <w:bCs/>
        </w:rPr>
        <w:t>Biodiversity and Water Stewardship</w:t>
      </w:r>
    </w:p>
    <w:p w14:paraId="5A19D612" w14:textId="4090F73E" w:rsidR="00326717" w:rsidRPr="005B1673" w:rsidRDefault="004A5208" w:rsidP="005B1673">
      <w:pPr>
        <w:rPr>
          <w:rFonts w:ascii="Arial" w:eastAsia="Arial" w:hAnsi="Arial" w:cs="Arial"/>
        </w:rPr>
      </w:pPr>
      <w:r w:rsidRPr="005B1673">
        <w:rPr>
          <w:rFonts w:ascii="Arial" w:eastAsia="Arial" w:hAnsi="Arial" w:cs="Arial"/>
        </w:rPr>
        <w:t>Water scarcity and biodiversity loss are important natural environmental issues that affect BHP's sustainability strategy. Mining operations may have adverse impacts on ecosystems and put additional strain on fresh water resources, leading to increased regulatory pressure and stakeholder expectations. BHP, therefore, sees biodiversity and water management as environmental priorities, and is working in line with the Taskforce on Nature-related Financial Disclosures (TNFD). In FY2025, water withdrawals in water-stressed areas decreased from 33,450 ML to 31,830 ML, demonstrating improved water stewardship (BHP, 2025).</w:t>
      </w:r>
    </w:p>
    <w:p w14:paraId="2C36564B" w14:textId="77777777" w:rsidR="00326717" w:rsidRPr="005B1673" w:rsidRDefault="00ED1EE8" w:rsidP="005B1673">
      <w:pPr>
        <w:rPr>
          <w:rFonts w:ascii="Arial" w:eastAsia="Arial" w:hAnsi="Arial" w:cs="Arial"/>
          <w:b/>
          <w:bCs/>
        </w:rPr>
      </w:pPr>
      <w:r w:rsidRPr="005B1673">
        <w:rPr>
          <w:rFonts w:ascii="Arial" w:eastAsia="Arial" w:hAnsi="Arial" w:cs="Arial"/>
          <w:b/>
          <w:bCs/>
        </w:rPr>
        <w:t>Opportunities and Threats</w:t>
      </w:r>
    </w:p>
    <w:p w14:paraId="3B994859" w14:textId="77777777" w:rsidR="00326717" w:rsidRPr="005B1673" w:rsidRDefault="00ED1EE8" w:rsidP="005B1673">
      <w:pPr>
        <w:rPr>
          <w:rFonts w:ascii="Arial" w:eastAsia="Arial" w:hAnsi="Arial" w:cs="Arial"/>
          <w:b/>
          <w:bCs/>
          <w:u w:val="single"/>
        </w:rPr>
      </w:pPr>
      <w:r w:rsidRPr="005B1673">
        <w:rPr>
          <w:rFonts w:ascii="Arial" w:eastAsia="Arial" w:hAnsi="Arial" w:cs="Arial"/>
          <w:b/>
          <w:bCs/>
          <w:u w:val="single"/>
        </w:rPr>
        <w:t>Key Opportunities</w:t>
      </w:r>
    </w:p>
    <w:p w14:paraId="027954A7" w14:textId="7C537DDA" w:rsidR="00326717" w:rsidRPr="005B1673" w:rsidRDefault="00ED1EE8" w:rsidP="005B1673">
      <w:pPr>
        <w:numPr>
          <w:ilvl w:val="0"/>
          <w:numId w:val="5"/>
        </w:numPr>
        <w:rPr>
          <w:rFonts w:ascii="Arial" w:eastAsia="Arial" w:hAnsi="Arial" w:cs="Arial"/>
        </w:rPr>
      </w:pPr>
      <w:r w:rsidRPr="005B1673">
        <w:rPr>
          <w:rFonts w:ascii="Arial" w:eastAsia="Arial" w:hAnsi="Arial" w:cs="Arial"/>
        </w:rPr>
        <w:t xml:space="preserve">Rapid expansion of global demand for minerals with lower carbon </w:t>
      </w:r>
      <w:r w:rsidRPr="005B1673">
        <w:rPr>
          <w:rFonts w:ascii="Arial" w:eastAsia="Arial" w:hAnsi="Arial" w:cs="Arial"/>
        </w:rPr>
        <w:t>footprints, such as copper and nickel, in the expansion of renewable energy and EVs.</w:t>
      </w:r>
      <w:r w:rsidR="005D65CF" w:rsidRPr="005B1673">
        <w:rPr>
          <w:rFonts w:ascii="Arial" w:eastAsia="Arial" w:hAnsi="Arial" w:cs="Arial"/>
        </w:rPr>
        <w:t xml:space="preserve"> </w:t>
      </w:r>
      <w:r w:rsidRPr="005B1673">
        <w:rPr>
          <w:rFonts w:ascii="Arial" w:eastAsia="Arial" w:hAnsi="Arial" w:cs="Arial"/>
        </w:rPr>
        <w:t>Increasing global demand for low-carbon minerals, including copper and nickel, for renewable energy and EVs.</w:t>
      </w:r>
    </w:p>
    <w:p w14:paraId="4319D290" w14:textId="2860081E" w:rsidR="00326717" w:rsidRPr="005B1673" w:rsidRDefault="00ED1EE8" w:rsidP="005B1673">
      <w:pPr>
        <w:numPr>
          <w:ilvl w:val="0"/>
          <w:numId w:val="5"/>
        </w:numPr>
        <w:rPr>
          <w:rFonts w:ascii="Arial" w:eastAsia="Arial" w:hAnsi="Arial" w:cs="Arial"/>
        </w:rPr>
      </w:pPr>
      <w:r w:rsidRPr="005B1673">
        <w:rPr>
          <w:rFonts w:ascii="Arial" w:eastAsia="Arial" w:hAnsi="Arial" w:cs="Arial"/>
        </w:rPr>
        <w:t xml:space="preserve">Investment in renewable energy, electrification and </w:t>
      </w:r>
      <w:r w:rsidR="005F0BE6" w:rsidRPr="005B1673">
        <w:rPr>
          <w:rFonts w:ascii="Arial" w:eastAsia="Arial" w:hAnsi="Arial" w:cs="Arial"/>
        </w:rPr>
        <w:t>low-carbon</w:t>
      </w:r>
      <w:r w:rsidRPr="005B1673">
        <w:rPr>
          <w:rFonts w:ascii="Arial" w:eastAsia="Arial" w:hAnsi="Arial" w:cs="Arial"/>
        </w:rPr>
        <w:t xml:space="preserve"> technology to deliver competitive advantage.</w:t>
      </w:r>
    </w:p>
    <w:p w14:paraId="50AFB1EC" w14:textId="75740026" w:rsidR="00326717" w:rsidRPr="005B1673" w:rsidRDefault="004A5208" w:rsidP="005B1673">
      <w:pPr>
        <w:numPr>
          <w:ilvl w:val="0"/>
          <w:numId w:val="5"/>
        </w:numPr>
        <w:rPr>
          <w:rFonts w:ascii="Arial" w:eastAsia="Arial" w:hAnsi="Arial" w:cs="Arial"/>
        </w:rPr>
      </w:pPr>
      <w:r w:rsidRPr="005B1673">
        <w:rPr>
          <w:rFonts w:ascii="Arial" w:eastAsia="Arial" w:hAnsi="Arial" w:cs="Arial"/>
        </w:rPr>
        <w:t>Better long-term customer relationships with manufacturers that require responsibly sourced raw materials (BHP, 2025).</w:t>
      </w:r>
    </w:p>
    <w:p w14:paraId="7F49908F" w14:textId="77777777" w:rsidR="00326717" w:rsidRPr="005B1673" w:rsidRDefault="00ED1EE8" w:rsidP="005B1673">
      <w:pPr>
        <w:rPr>
          <w:rFonts w:ascii="Arial" w:eastAsia="Arial" w:hAnsi="Arial" w:cs="Arial"/>
          <w:b/>
          <w:bCs/>
          <w:u w:val="single"/>
        </w:rPr>
      </w:pPr>
      <w:r w:rsidRPr="005B1673">
        <w:rPr>
          <w:rFonts w:ascii="Arial" w:eastAsia="Arial" w:hAnsi="Arial" w:cs="Arial"/>
          <w:b/>
          <w:bCs/>
          <w:u w:val="single"/>
        </w:rPr>
        <w:t>Key Threats</w:t>
      </w:r>
    </w:p>
    <w:p w14:paraId="443BB862" w14:textId="77777777" w:rsidR="00326717" w:rsidRPr="005B1673" w:rsidRDefault="00ED1EE8" w:rsidP="005B1673">
      <w:pPr>
        <w:numPr>
          <w:ilvl w:val="0"/>
          <w:numId w:val="6"/>
        </w:numPr>
        <w:rPr>
          <w:rFonts w:ascii="Arial" w:eastAsia="Arial" w:hAnsi="Arial" w:cs="Arial"/>
        </w:rPr>
      </w:pPr>
      <w:r w:rsidRPr="005B1673">
        <w:rPr>
          <w:rFonts w:ascii="Arial" w:eastAsia="Arial" w:hAnsi="Arial" w:cs="Arial"/>
        </w:rPr>
        <w:t>Higher carbon prices and tougher environmental laws add to the operating and regulatory burden.</w:t>
      </w:r>
    </w:p>
    <w:p w14:paraId="421D59F3" w14:textId="77777777" w:rsidR="00326717" w:rsidRPr="005B1673" w:rsidRDefault="00ED1EE8" w:rsidP="005B1673">
      <w:pPr>
        <w:numPr>
          <w:ilvl w:val="0"/>
          <w:numId w:val="6"/>
        </w:numPr>
        <w:rPr>
          <w:rFonts w:ascii="Arial" w:eastAsia="Arial" w:hAnsi="Arial" w:cs="Arial"/>
        </w:rPr>
      </w:pPr>
      <w:r w:rsidRPr="005B1673">
        <w:rPr>
          <w:rFonts w:ascii="Arial" w:eastAsia="Arial" w:hAnsi="Arial" w:cs="Arial"/>
        </w:rPr>
        <w:t>Climate-related risks include extreme weather, droughts and floods, which can cause disruptions in mining operations and the supply chain.</w:t>
      </w:r>
    </w:p>
    <w:p w14:paraId="7B108AA7" w14:textId="77777777" w:rsidR="00326717" w:rsidRPr="005B1673" w:rsidRDefault="00ED1EE8" w:rsidP="005B1673">
      <w:pPr>
        <w:numPr>
          <w:ilvl w:val="0"/>
          <w:numId w:val="6"/>
        </w:numPr>
        <w:rPr>
          <w:rFonts w:ascii="Arial" w:eastAsia="Arial" w:hAnsi="Arial" w:cs="Arial"/>
        </w:rPr>
      </w:pPr>
      <w:r w:rsidRPr="005B1673">
        <w:rPr>
          <w:rFonts w:ascii="Arial" w:eastAsia="Arial" w:hAnsi="Arial" w:cs="Arial"/>
        </w:rPr>
        <w:t xml:space="preserve">Slow project approvals, due to the requirements for biodiversity protection, and higher </w:t>
      </w:r>
      <w:r w:rsidRPr="005B1673">
        <w:rPr>
          <w:rFonts w:ascii="Arial" w:eastAsia="Arial" w:hAnsi="Arial" w:cs="Arial"/>
        </w:rPr>
        <w:t>rehabilitation costs due to water scarcity.</w:t>
      </w:r>
    </w:p>
    <w:p w14:paraId="44A41E88" w14:textId="51A24174" w:rsidR="00326717" w:rsidRPr="005B1673" w:rsidRDefault="004A5208" w:rsidP="005B1673">
      <w:pPr>
        <w:numPr>
          <w:ilvl w:val="0"/>
          <w:numId w:val="6"/>
        </w:numPr>
        <w:rPr>
          <w:rFonts w:ascii="Arial" w:eastAsia="Arial" w:hAnsi="Arial" w:cs="Arial"/>
        </w:rPr>
      </w:pPr>
      <w:r w:rsidRPr="005B1673">
        <w:rPr>
          <w:rFonts w:ascii="Arial" w:eastAsia="Arial" w:hAnsi="Arial" w:cs="Arial"/>
        </w:rPr>
        <w:t>Ongoing stakeholder scrutiny means that delays in decarbonisation efforts could negatively impact corporate reputation and investor confidence (Knaus and Morton, 2026). BHP's external reporting has been raised on concerns about the speed of the company's implementation, in the face of long-term climate commitments.</w:t>
      </w:r>
    </w:p>
    <w:p w14:paraId="6734169A" w14:textId="36EE16AF" w:rsidR="00326717" w:rsidRPr="005B1673" w:rsidRDefault="00F44F5D" w:rsidP="005B1673">
      <w:pPr>
        <w:pStyle w:val="Heading2"/>
        <w:spacing w:before="240" w:after="240"/>
        <w:rPr>
          <w:rFonts w:ascii="Arial" w:eastAsia="Arial" w:hAnsi="Arial" w:cs="Arial"/>
        </w:rPr>
      </w:pPr>
      <w:bookmarkStart w:id="12" w:name="_lkjqezgsb9l0" w:colFirst="0" w:colLast="0"/>
      <w:bookmarkStart w:id="13" w:name="_Toc235745014"/>
      <w:bookmarkStart w:id="14" w:name="_Toc235797583"/>
      <w:bookmarkEnd w:id="12"/>
      <w:r w:rsidRPr="005B1673">
        <w:rPr>
          <w:rFonts w:ascii="Arial" w:eastAsia="Arial" w:hAnsi="Arial" w:cs="Arial"/>
        </w:rPr>
        <w:t>1.3 External Marketing Environment Actor 2: Technological</w:t>
      </w:r>
      <w:bookmarkEnd w:id="13"/>
      <w:bookmarkEnd w:id="14"/>
    </w:p>
    <w:p w14:paraId="545411EC" w14:textId="1683AC6F" w:rsidR="00326717" w:rsidRPr="005B1673" w:rsidRDefault="004A5208" w:rsidP="005B1673">
      <w:pPr>
        <w:rPr>
          <w:rFonts w:ascii="Arial" w:eastAsia="Arial" w:hAnsi="Arial" w:cs="Arial"/>
        </w:rPr>
      </w:pPr>
      <w:r w:rsidRPr="005B1673">
        <w:rPr>
          <w:rFonts w:ascii="Arial" w:eastAsia="Arial" w:hAnsi="Arial" w:cs="Arial"/>
        </w:rPr>
        <w:t xml:space="preserve">The technological environment is a highly significant external marketing factor in BHP's shift towards a lower-carbon business model. The world's mining industry is rapidly changing, and digital technologies, automation, artificial intelligence (AI), electrification and renewable energy systems are helping to drive the transition towards more sustainable resource extraction, enhancing operational efficiency, reducing carbon emissions, and creating competitive pressure to produce less carbon-intensive products (Knaus and Morton, 2026). </w:t>
      </w:r>
    </w:p>
    <w:p w14:paraId="38406DDE" w14:textId="77777777" w:rsidR="00326717" w:rsidRPr="005B1673" w:rsidRDefault="00ED1EE8" w:rsidP="005B1673">
      <w:pPr>
        <w:rPr>
          <w:rFonts w:ascii="Arial" w:eastAsia="Arial" w:hAnsi="Arial" w:cs="Arial"/>
          <w:b/>
          <w:bCs/>
        </w:rPr>
      </w:pPr>
      <w:r w:rsidRPr="005B1673">
        <w:rPr>
          <w:rFonts w:ascii="Arial" w:eastAsia="Arial" w:hAnsi="Arial" w:cs="Arial"/>
          <w:b/>
          <w:bCs/>
        </w:rPr>
        <w:t>Technological Innovation Driving Decarbonisation</w:t>
      </w:r>
    </w:p>
    <w:p w14:paraId="1AC39D0A" w14:textId="54515547" w:rsidR="00326717" w:rsidRPr="005B1673" w:rsidRDefault="00ED1EE8" w:rsidP="005B1673">
      <w:pPr>
        <w:rPr>
          <w:rFonts w:ascii="Arial" w:eastAsia="Arial" w:hAnsi="Arial" w:cs="Arial"/>
        </w:rPr>
      </w:pPr>
      <w:r w:rsidRPr="005B1673">
        <w:rPr>
          <w:rFonts w:ascii="Arial" w:eastAsia="Arial" w:hAnsi="Arial" w:cs="Arial"/>
        </w:rPr>
        <w:t xml:space="preserve">Technology is at the heart of BHP's sustainability strategy, with investments in automation, AI, advanced analytics, and electric mining equipment helping to boost productivity while </w:t>
      </w:r>
      <w:r w:rsidR="005F0BE6" w:rsidRPr="005B1673">
        <w:rPr>
          <w:rFonts w:ascii="Arial" w:eastAsia="Arial" w:hAnsi="Arial" w:cs="Arial"/>
        </w:rPr>
        <w:t>minimising</w:t>
      </w:r>
      <w:r w:rsidRPr="005B1673">
        <w:rPr>
          <w:rFonts w:ascii="Arial" w:eastAsia="Arial" w:hAnsi="Arial" w:cs="Arial"/>
        </w:rPr>
        <w:t xml:space="preserve"> environmental impacts. </w:t>
      </w:r>
      <w:r w:rsidR="00015EFA" w:rsidRPr="005B1673">
        <w:rPr>
          <w:rFonts w:ascii="Arial" w:eastAsia="Arial" w:hAnsi="Arial" w:cs="Arial"/>
        </w:rPr>
        <w:t>BHP leverages A</w:t>
      </w:r>
      <w:r w:rsidRPr="005B1673">
        <w:rPr>
          <w:rFonts w:ascii="Arial" w:eastAsia="Arial" w:hAnsi="Arial" w:cs="Arial"/>
        </w:rPr>
        <w:t xml:space="preserve">I, automation, and data analytics across the company's value chain, from exploration and extraction to logistics, ensuring they are </w:t>
      </w:r>
      <w:r w:rsidR="005F0BE6" w:rsidRPr="005B1673">
        <w:rPr>
          <w:rFonts w:ascii="Arial" w:eastAsia="Arial" w:hAnsi="Arial" w:cs="Arial"/>
        </w:rPr>
        <w:t>optimised</w:t>
      </w:r>
      <w:r w:rsidRPr="005B1673">
        <w:rPr>
          <w:rFonts w:ascii="Arial" w:eastAsia="Arial" w:hAnsi="Arial" w:cs="Arial"/>
        </w:rPr>
        <w:t xml:space="preserve"> for asset performance, greater operational safety, and insightful decision-making. </w:t>
      </w:r>
      <w:r w:rsidR="004A5208" w:rsidRPr="005B1673">
        <w:rPr>
          <w:rFonts w:ascii="Arial" w:eastAsia="Arial" w:hAnsi="Arial" w:cs="Arial"/>
        </w:rPr>
        <w:t>The company further noted that its digital infrastructure has enabled nearly 100% critical technology service availability</w:t>
      </w:r>
      <w:r w:rsidRPr="005B1673">
        <w:rPr>
          <w:rFonts w:ascii="Arial" w:eastAsia="Arial" w:hAnsi="Arial" w:cs="Arial"/>
        </w:rPr>
        <w:t>, ensuring reliable digital service delivery to support continuous and efficient operations (BHP, 2025).</w:t>
      </w:r>
    </w:p>
    <w:p w14:paraId="5D6C55BC" w14:textId="77777777" w:rsidR="00326717" w:rsidRPr="005B1673" w:rsidRDefault="00ED1EE8" w:rsidP="005B1673">
      <w:pPr>
        <w:rPr>
          <w:rFonts w:ascii="Arial" w:eastAsia="Arial" w:hAnsi="Arial" w:cs="Arial"/>
          <w:b/>
          <w:bCs/>
        </w:rPr>
      </w:pPr>
      <w:r w:rsidRPr="005B1673">
        <w:rPr>
          <w:rFonts w:ascii="Arial" w:eastAsia="Arial" w:hAnsi="Arial" w:cs="Arial"/>
          <w:b/>
          <w:bCs/>
        </w:rPr>
        <w:t>Opportunities and Threats</w:t>
      </w:r>
    </w:p>
    <w:p w14:paraId="2021E39E" w14:textId="77777777" w:rsidR="00326717" w:rsidRPr="005B1673" w:rsidRDefault="00ED1EE8" w:rsidP="005B1673">
      <w:pPr>
        <w:rPr>
          <w:rFonts w:ascii="Arial" w:eastAsia="Arial" w:hAnsi="Arial" w:cs="Arial"/>
          <w:b/>
          <w:bCs/>
        </w:rPr>
      </w:pPr>
      <w:r w:rsidRPr="005B1673">
        <w:rPr>
          <w:rFonts w:ascii="Arial" w:eastAsia="Arial" w:hAnsi="Arial" w:cs="Arial"/>
          <w:b/>
          <w:bCs/>
        </w:rPr>
        <w:t>Opportunities</w:t>
      </w:r>
    </w:p>
    <w:p w14:paraId="4F25E177" w14:textId="77777777" w:rsidR="00326717" w:rsidRPr="005B1673" w:rsidRDefault="00ED1EE8" w:rsidP="005B1673">
      <w:pPr>
        <w:numPr>
          <w:ilvl w:val="0"/>
          <w:numId w:val="7"/>
        </w:numPr>
        <w:rPr>
          <w:rFonts w:ascii="Arial" w:eastAsia="Arial" w:hAnsi="Arial" w:cs="Arial"/>
        </w:rPr>
      </w:pPr>
      <w:r w:rsidRPr="005B1673">
        <w:rPr>
          <w:rFonts w:ascii="Arial" w:eastAsia="Arial" w:hAnsi="Arial" w:cs="Arial"/>
        </w:rPr>
        <w:t>The benefits of AI, automation, and predictive analytics are helping to boost productivity and reduce operational emissions (</w:t>
      </w:r>
      <w:proofErr w:type="spellStart"/>
      <w:r w:rsidRPr="005B1673">
        <w:rPr>
          <w:rFonts w:ascii="Arial" w:eastAsia="Arial" w:hAnsi="Arial" w:cs="Arial"/>
        </w:rPr>
        <w:t>Ojadi</w:t>
      </w:r>
      <w:proofErr w:type="spellEnd"/>
      <w:r w:rsidRPr="005B1673">
        <w:rPr>
          <w:rFonts w:ascii="Arial" w:eastAsia="Arial" w:hAnsi="Arial" w:cs="Arial"/>
        </w:rPr>
        <w:t xml:space="preserve"> et al., 2023) and energy use.</w:t>
      </w:r>
    </w:p>
    <w:p w14:paraId="7B476D7D" w14:textId="77777777" w:rsidR="00326717" w:rsidRPr="005B1673" w:rsidRDefault="00ED1EE8" w:rsidP="005B1673">
      <w:pPr>
        <w:numPr>
          <w:ilvl w:val="0"/>
          <w:numId w:val="7"/>
        </w:numPr>
        <w:rPr>
          <w:rFonts w:ascii="Arial" w:eastAsia="Arial" w:hAnsi="Arial" w:cs="Arial"/>
        </w:rPr>
      </w:pPr>
      <w:r w:rsidRPr="005B1673">
        <w:rPr>
          <w:rFonts w:ascii="Arial" w:eastAsia="Arial" w:hAnsi="Arial" w:cs="Arial"/>
        </w:rPr>
        <w:t>Electrification of mining fleets and renewables provides BHP with a means to meet its goal of net zero operational GHGs by 2050.</w:t>
      </w:r>
    </w:p>
    <w:p w14:paraId="7E405DC0" w14:textId="77777777" w:rsidR="00326717" w:rsidRPr="005B1673" w:rsidRDefault="00ED1EE8" w:rsidP="005B1673">
      <w:pPr>
        <w:numPr>
          <w:ilvl w:val="0"/>
          <w:numId w:val="7"/>
        </w:numPr>
        <w:rPr>
          <w:rFonts w:ascii="Arial" w:eastAsia="Arial" w:hAnsi="Arial" w:cs="Arial"/>
        </w:rPr>
      </w:pPr>
      <w:r w:rsidRPr="005B1673">
        <w:rPr>
          <w:rFonts w:ascii="Arial" w:eastAsia="Arial" w:hAnsi="Arial" w:cs="Arial"/>
        </w:rPr>
        <w:t>Digital innovation helps to reinforce BHP's cost efficiency, operational resilience and sustainable mining credentials.</w:t>
      </w:r>
    </w:p>
    <w:p w14:paraId="06598D02" w14:textId="77777777" w:rsidR="00326717" w:rsidRPr="005B1673" w:rsidRDefault="00ED1EE8" w:rsidP="005B1673">
      <w:pPr>
        <w:numPr>
          <w:ilvl w:val="0"/>
          <w:numId w:val="7"/>
        </w:numPr>
        <w:rPr>
          <w:rFonts w:ascii="Arial" w:eastAsia="Arial" w:hAnsi="Arial" w:cs="Arial"/>
        </w:rPr>
      </w:pPr>
      <w:r w:rsidRPr="005B1673">
        <w:rPr>
          <w:rFonts w:ascii="Arial" w:eastAsia="Arial" w:hAnsi="Arial" w:cs="Arial"/>
        </w:rPr>
        <w:t>Advanced technologies are helping to produce critical minerals like copper and nickel needed for the growth of renewable energy infrastructure and electric vehicles (BHP, 2025).</w:t>
      </w:r>
    </w:p>
    <w:p w14:paraId="34833BC0" w14:textId="77777777" w:rsidR="00326717" w:rsidRPr="005B1673" w:rsidRDefault="00ED1EE8" w:rsidP="005B1673">
      <w:pPr>
        <w:rPr>
          <w:rFonts w:ascii="Arial" w:eastAsia="Arial" w:hAnsi="Arial" w:cs="Arial"/>
          <w:b/>
          <w:bCs/>
        </w:rPr>
      </w:pPr>
      <w:r w:rsidRPr="005B1673">
        <w:rPr>
          <w:rFonts w:ascii="Arial" w:eastAsia="Arial" w:hAnsi="Arial" w:cs="Arial"/>
          <w:b/>
          <w:bCs/>
        </w:rPr>
        <w:t>Threats</w:t>
      </w:r>
    </w:p>
    <w:p w14:paraId="29980D2B" w14:textId="77777777" w:rsidR="00326717" w:rsidRPr="005B1673" w:rsidRDefault="00ED1EE8" w:rsidP="005B1673">
      <w:pPr>
        <w:numPr>
          <w:ilvl w:val="0"/>
          <w:numId w:val="8"/>
        </w:numPr>
        <w:rPr>
          <w:rFonts w:ascii="Arial" w:eastAsia="Arial" w:hAnsi="Arial" w:cs="Arial"/>
        </w:rPr>
      </w:pPr>
      <w:r w:rsidRPr="005B1673">
        <w:rPr>
          <w:rFonts w:ascii="Arial" w:eastAsia="Arial" w:hAnsi="Arial" w:cs="Arial"/>
        </w:rPr>
        <w:t>Technology and capital costs are still obstacles to the development of battery electric haul trucks and other large-scale mining technologies.</w:t>
      </w:r>
    </w:p>
    <w:p w14:paraId="493DEAFC" w14:textId="0A6157FF" w:rsidR="00326717" w:rsidRPr="005B1673" w:rsidRDefault="004A5208" w:rsidP="005B1673">
      <w:pPr>
        <w:numPr>
          <w:ilvl w:val="0"/>
          <w:numId w:val="8"/>
        </w:numPr>
        <w:rPr>
          <w:rFonts w:ascii="Arial" w:eastAsia="Arial" w:hAnsi="Arial" w:cs="Arial"/>
        </w:rPr>
      </w:pPr>
      <w:r w:rsidRPr="005B1673">
        <w:rPr>
          <w:rFonts w:ascii="Arial" w:eastAsia="Arial" w:hAnsi="Arial" w:cs="Arial"/>
        </w:rPr>
        <w:t>Constant investment in digital infrastructure, workforce skills, and innovation needed to cope with rapid technological change adds to operational costs.</w:t>
      </w:r>
    </w:p>
    <w:p w14:paraId="4D5688B2" w14:textId="313F1559" w:rsidR="00326717" w:rsidRPr="005B1673" w:rsidRDefault="00ED1EE8" w:rsidP="005B1673">
      <w:pPr>
        <w:numPr>
          <w:ilvl w:val="0"/>
          <w:numId w:val="8"/>
        </w:numPr>
        <w:rPr>
          <w:rFonts w:ascii="Arial" w:eastAsia="Arial" w:hAnsi="Arial" w:cs="Arial"/>
        </w:rPr>
      </w:pPr>
      <w:r w:rsidRPr="005B1673">
        <w:rPr>
          <w:rFonts w:ascii="Arial" w:eastAsia="Arial" w:hAnsi="Arial" w:cs="Arial"/>
        </w:rPr>
        <w:t xml:space="preserve">The slow pace of the commercialisation of low-carbon mining technologies may hinder BHP's decarbonisation efforts and its competitive edge in the sustainability-driven mining industry (Singh, 2025). </w:t>
      </w:r>
    </w:p>
    <w:p w14:paraId="0BC6FCF8" w14:textId="7BEF11BA" w:rsidR="00326717" w:rsidRPr="005B1673" w:rsidRDefault="00E86CB4" w:rsidP="005B1673">
      <w:pPr>
        <w:pStyle w:val="Heading1"/>
        <w:spacing w:before="240" w:after="240"/>
        <w:rPr>
          <w:rFonts w:ascii="Arial" w:eastAsia="Arial" w:hAnsi="Arial" w:cs="Arial"/>
        </w:rPr>
      </w:pPr>
      <w:bookmarkStart w:id="15" w:name="_er65ozk5ux60" w:colFirst="0" w:colLast="0"/>
      <w:bookmarkStart w:id="16" w:name="_Toc235745015"/>
      <w:bookmarkStart w:id="17" w:name="_Toc235797584"/>
      <w:bookmarkEnd w:id="15"/>
      <w:r w:rsidRPr="005B1673">
        <w:rPr>
          <w:rFonts w:ascii="Arial" w:eastAsia="Arial" w:hAnsi="Arial" w:cs="Arial"/>
        </w:rPr>
        <w:t>2. Task 2: Strategic Growth and Competitive Positioning</w:t>
      </w:r>
      <w:bookmarkEnd w:id="16"/>
      <w:bookmarkEnd w:id="17"/>
      <w:r w:rsidRPr="005B1673">
        <w:rPr>
          <w:rFonts w:ascii="Arial" w:eastAsia="Arial" w:hAnsi="Arial" w:cs="Arial"/>
        </w:rPr>
        <w:t xml:space="preserve"> </w:t>
      </w:r>
    </w:p>
    <w:p w14:paraId="6BE36393" w14:textId="594F1808" w:rsidR="00326717" w:rsidRPr="005B1673" w:rsidRDefault="00F44F5D" w:rsidP="005B1673">
      <w:pPr>
        <w:pStyle w:val="Heading2"/>
        <w:spacing w:before="240" w:after="240"/>
        <w:rPr>
          <w:rFonts w:ascii="Arial" w:eastAsia="Arial" w:hAnsi="Arial" w:cs="Arial"/>
        </w:rPr>
      </w:pPr>
      <w:bookmarkStart w:id="18" w:name="_hzekn2b47pyb" w:colFirst="0" w:colLast="0"/>
      <w:bookmarkStart w:id="19" w:name="_Toc235745016"/>
      <w:bookmarkStart w:id="20" w:name="_Toc235797585"/>
      <w:bookmarkEnd w:id="18"/>
      <w:r w:rsidRPr="005B1673">
        <w:rPr>
          <w:rFonts w:ascii="Arial" w:eastAsia="Arial" w:hAnsi="Arial" w:cs="Arial"/>
        </w:rPr>
        <w:t>2.1 Overview of the Ansoff Matrix</w:t>
      </w:r>
      <w:bookmarkEnd w:id="19"/>
      <w:bookmarkEnd w:id="20"/>
    </w:p>
    <w:p w14:paraId="0D6FE20F" w14:textId="3B22E12B" w:rsidR="00326717" w:rsidRPr="005B1673" w:rsidRDefault="004A5208" w:rsidP="005B1673">
      <w:pPr>
        <w:rPr>
          <w:rFonts w:ascii="Arial" w:eastAsia="Arial" w:hAnsi="Arial" w:cs="Arial"/>
        </w:rPr>
      </w:pPr>
      <w:r w:rsidRPr="005B1673">
        <w:rPr>
          <w:rFonts w:ascii="Arial" w:eastAsia="Arial" w:hAnsi="Arial" w:cs="Arial"/>
        </w:rPr>
        <w:t>The Ansoff Matrix is a strategic growth tool that helps organisations choose appropriate growth strategies based on whether products and markets are existing or new (</w:t>
      </w:r>
      <w:proofErr w:type="spellStart"/>
      <w:r w:rsidRPr="005B1673">
        <w:rPr>
          <w:rFonts w:ascii="Arial" w:eastAsia="Arial" w:hAnsi="Arial" w:cs="Arial"/>
        </w:rPr>
        <w:t>Peterdy</w:t>
      </w:r>
      <w:proofErr w:type="spellEnd"/>
      <w:r w:rsidRPr="005B1673">
        <w:rPr>
          <w:rFonts w:ascii="Arial" w:eastAsia="Arial" w:hAnsi="Arial" w:cs="Arial"/>
        </w:rPr>
        <w:t>, 2025). The model suggests four strategies: Market Penetration</w:t>
      </w:r>
      <w:r w:rsidR="003D3E0C" w:rsidRPr="005B1673">
        <w:rPr>
          <w:rFonts w:ascii="Arial" w:eastAsia="Arial" w:hAnsi="Arial" w:cs="Arial"/>
        </w:rPr>
        <w:t>,</w:t>
      </w:r>
      <w:r w:rsidRPr="005B1673">
        <w:rPr>
          <w:rFonts w:ascii="Arial" w:eastAsia="Arial" w:hAnsi="Arial" w:cs="Arial"/>
        </w:rPr>
        <w:t xml:space="preserve"> selling more of the same in the same markets; Market Development</w:t>
      </w:r>
      <w:r w:rsidR="00B163C1" w:rsidRPr="005B1673">
        <w:rPr>
          <w:rFonts w:ascii="Arial" w:eastAsia="Arial" w:hAnsi="Arial" w:cs="Arial"/>
        </w:rPr>
        <w:t>,</w:t>
      </w:r>
      <w:r w:rsidR="00E10C33" w:rsidRPr="005B1673">
        <w:rPr>
          <w:rFonts w:ascii="Arial" w:eastAsia="Arial" w:hAnsi="Arial" w:cs="Arial"/>
        </w:rPr>
        <w:t xml:space="preserve"> </w:t>
      </w:r>
      <w:r w:rsidRPr="005B1673">
        <w:rPr>
          <w:rFonts w:ascii="Arial" w:eastAsia="Arial" w:hAnsi="Arial" w:cs="Arial"/>
        </w:rPr>
        <w:t>selling existing products in new markets; Product Development – selling new or improved products in existing markets; Diversification</w:t>
      </w:r>
      <w:r w:rsidR="00B163C1" w:rsidRPr="005B1673">
        <w:rPr>
          <w:rFonts w:ascii="Arial" w:eastAsia="Arial" w:hAnsi="Arial" w:cs="Arial"/>
        </w:rPr>
        <w:t>,</w:t>
      </w:r>
      <w:r w:rsidRPr="005B1673">
        <w:rPr>
          <w:rFonts w:ascii="Arial" w:eastAsia="Arial" w:hAnsi="Arial" w:cs="Arial"/>
        </w:rPr>
        <w:t xml:space="preserve"> selling a new or improved product in a new market, and the riskiest of the four. The Ansoff Matrix is useful for BHP in determining the most suitable strategy to facilitate the shift towards a ‘lower carbon business model'.</w:t>
      </w:r>
    </w:p>
    <w:p w14:paraId="18402368" w14:textId="77777777" w:rsidR="00326717" w:rsidRPr="005B1673" w:rsidRDefault="00ED1EE8" w:rsidP="005B1673">
      <w:pPr>
        <w:jc w:val="center"/>
        <w:rPr>
          <w:rFonts w:ascii="Arial" w:eastAsia="Arial" w:hAnsi="Arial" w:cs="Arial"/>
        </w:rPr>
      </w:pPr>
      <w:r w:rsidRPr="005B1673">
        <w:rPr>
          <w:rFonts w:ascii="Arial" w:eastAsia="Arial" w:hAnsi="Arial" w:cs="Arial"/>
          <w:noProof/>
        </w:rPr>
        <w:drawing>
          <wp:inline distT="114300" distB="114300" distL="114300" distR="114300" wp14:anchorId="2CEE70E9" wp14:editId="526E5CF5">
            <wp:extent cx="4929188" cy="2849431"/>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929188" cy="2849431"/>
                    </a:xfrm>
                    <a:prstGeom prst="rect">
                      <a:avLst/>
                    </a:prstGeom>
                    <a:ln w="25400">
                      <a:solidFill>
                        <a:srgbClr val="000000"/>
                      </a:solidFill>
                      <a:prstDash val="solid"/>
                    </a:ln>
                  </pic:spPr>
                </pic:pic>
              </a:graphicData>
            </a:graphic>
          </wp:inline>
        </w:drawing>
      </w:r>
    </w:p>
    <w:p w14:paraId="6F9B0AF8" w14:textId="6BD0E847" w:rsidR="00326717" w:rsidRPr="005B1673" w:rsidRDefault="00ED1EE8" w:rsidP="005B1673">
      <w:pPr>
        <w:jc w:val="center"/>
        <w:rPr>
          <w:rFonts w:ascii="Arial" w:eastAsia="Arial" w:hAnsi="Arial" w:cs="Arial"/>
          <w:b/>
          <w:bCs/>
        </w:rPr>
      </w:pPr>
      <w:r w:rsidRPr="005B1673">
        <w:rPr>
          <w:rFonts w:ascii="Arial" w:eastAsia="Arial" w:hAnsi="Arial" w:cs="Arial"/>
          <w:b/>
          <w:bCs/>
        </w:rPr>
        <w:t xml:space="preserve">Figure </w:t>
      </w:r>
      <w:r w:rsidR="00AD0C28" w:rsidRPr="005B1673">
        <w:rPr>
          <w:rFonts w:ascii="Arial" w:eastAsia="Arial" w:hAnsi="Arial" w:cs="Arial"/>
          <w:b/>
          <w:bCs/>
        </w:rPr>
        <w:t>2</w:t>
      </w:r>
      <w:r w:rsidRPr="005B1673">
        <w:rPr>
          <w:rFonts w:ascii="Arial" w:eastAsia="Arial" w:hAnsi="Arial" w:cs="Arial"/>
          <w:b/>
          <w:bCs/>
        </w:rPr>
        <w:t>: Ansoff Matrix</w:t>
      </w:r>
    </w:p>
    <w:p w14:paraId="2A00C328" w14:textId="77777777" w:rsidR="00326717" w:rsidRPr="005B1673" w:rsidRDefault="00ED1EE8" w:rsidP="005B1673">
      <w:pPr>
        <w:jc w:val="center"/>
        <w:rPr>
          <w:rFonts w:ascii="Arial" w:eastAsia="Arial" w:hAnsi="Arial" w:cs="Arial"/>
        </w:rPr>
      </w:pPr>
      <w:r w:rsidRPr="005B1673">
        <w:rPr>
          <w:rFonts w:ascii="Arial" w:eastAsia="Arial" w:hAnsi="Arial" w:cs="Arial"/>
          <w:b/>
          <w:bCs/>
        </w:rPr>
        <w:t xml:space="preserve">(Source: </w:t>
      </w:r>
      <w:proofErr w:type="spellStart"/>
      <w:r w:rsidRPr="005B1673">
        <w:rPr>
          <w:rFonts w:ascii="Arial" w:eastAsia="Arial" w:hAnsi="Arial" w:cs="Arial"/>
          <w:b/>
          <w:bCs/>
        </w:rPr>
        <w:t>Peterdy</w:t>
      </w:r>
      <w:proofErr w:type="spellEnd"/>
      <w:r w:rsidRPr="005B1673">
        <w:rPr>
          <w:rFonts w:ascii="Arial" w:eastAsia="Arial" w:hAnsi="Arial" w:cs="Arial"/>
          <w:b/>
          <w:bCs/>
        </w:rPr>
        <w:t>, 2025)</w:t>
      </w:r>
    </w:p>
    <w:p w14:paraId="7A4BA121" w14:textId="77777777" w:rsidR="00326717" w:rsidRPr="005B1673" w:rsidRDefault="00ED1EE8" w:rsidP="005B1673">
      <w:pPr>
        <w:rPr>
          <w:rFonts w:ascii="Arial" w:eastAsia="Arial" w:hAnsi="Arial" w:cs="Arial"/>
          <w:b/>
          <w:bCs/>
        </w:rPr>
      </w:pPr>
      <w:r w:rsidRPr="005B1673">
        <w:rPr>
          <w:rFonts w:ascii="Arial" w:eastAsia="Arial" w:hAnsi="Arial" w:cs="Arial"/>
          <w:b/>
          <w:bCs/>
        </w:rPr>
        <w:t>Evaluation of the Four Growth Strategies</w:t>
      </w:r>
    </w:p>
    <w:p w14:paraId="427179C1" w14:textId="77777777" w:rsidR="00326717" w:rsidRPr="005B1673" w:rsidRDefault="00ED1EE8" w:rsidP="005B1673">
      <w:pPr>
        <w:rPr>
          <w:rFonts w:ascii="Arial" w:eastAsia="Arial" w:hAnsi="Arial" w:cs="Arial"/>
        </w:rPr>
      </w:pPr>
      <w:r w:rsidRPr="005B1673">
        <w:rPr>
          <w:rFonts w:ascii="Arial" w:eastAsia="Arial" w:hAnsi="Arial" w:cs="Arial"/>
          <w:b/>
          <w:bCs/>
        </w:rPr>
        <w:t>Market Penetration</w:t>
      </w:r>
      <w:r w:rsidRPr="005B1673">
        <w:rPr>
          <w:rFonts w:ascii="Arial" w:eastAsia="Arial" w:hAnsi="Arial" w:cs="Arial"/>
        </w:rPr>
        <w:t xml:space="preserve"> is a strategy aimed at boosting the sales of BHP's existing commodities, such as iron ore and copper, in the existing industrial markets. BHP's strategy of operational efficiency improvement using its BHP Operating System (BOS) has continued to be implemented, but there is limited growth potential as demand is now driving not only production volumes but also lower carbon intensity and sustainably produced minerals (BHP, 2025).</w:t>
      </w:r>
    </w:p>
    <w:p w14:paraId="1658CA3E" w14:textId="77777777" w:rsidR="00326717" w:rsidRPr="005B1673" w:rsidRDefault="00ED1EE8" w:rsidP="005B1673">
      <w:pPr>
        <w:rPr>
          <w:rFonts w:ascii="Arial" w:eastAsia="Arial" w:hAnsi="Arial" w:cs="Arial"/>
        </w:rPr>
      </w:pPr>
      <w:r w:rsidRPr="005B1673">
        <w:rPr>
          <w:rFonts w:ascii="Arial" w:eastAsia="Arial" w:hAnsi="Arial" w:cs="Arial"/>
          <w:b/>
          <w:bCs/>
        </w:rPr>
        <w:t>Market Development</w:t>
      </w:r>
      <w:r w:rsidRPr="005B1673">
        <w:rPr>
          <w:rFonts w:ascii="Arial" w:eastAsia="Arial" w:hAnsi="Arial" w:cs="Arial"/>
        </w:rPr>
        <w:t xml:space="preserve"> is defined as an expansion of the market of an already developed product (</w:t>
      </w:r>
      <w:proofErr w:type="spellStart"/>
      <w:r w:rsidRPr="005B1673">
        <w:rPr>
          <w:rFonts w:ascii="Arial" w:eastAsia="Arial" w:hAnsi="Arial" w:cs="Arial"/>
        </w:rPr>
        <w:t>Peterdy</w:t>
      </w:r>
      <w:proofErr w:type="spellEnd"/>
      <w:r w:rsidRPr="005B1673">
        <w:rPr>
          <w:rFonts w:ascii="Arial" w:eastAsia="Arial" w:hAnsi="Arial" w:cs="Arial"/>
        </w:rPr>
        <w:t>, 2025). BHP is working closely with emerging markets like India and Southeast Asia, but this is not enough to meet growing environmental regulation requirements or customers' demand for low-carbon materials. Hence, expanding the market ought to be in line with BHP's sustainability strategy, not the other way around.</w:t>
      </w:r>
    </w:p>
    <w:p w14:paraId="675359EE" w14:textId="0277F1A1" w:rsidR="00326717" w:rsidRPr="005B1673" w:rsidRDefault="00ED1EE8" w:rsidP="005B1673">
      <w:pPr>
        <w:rPr>
          <w:rFonts w:ascii="Arial" w:eastAsia="Arial" w:hAnsi="Arial" w:cs="Arial"/>
        </w:rPr>
      </w:pPr>
      <w:r w:rsidRPr="005B1673">
        <w:rPr>
          <w:rFonts w:ascii="Arial" w:eastAsia="Arial" w:hAnsi="Arial" w:cs="Arial"/>
          <w:b/>
          <w:bCs/>
        </w:rPr>
        <w:t xml:space="preserve">Product Development </w:t>
      </w:r>
      <w:r w:rsidR="004A5208" w:rsidRPr="005B1673">
        <w:rPr>
          <w:rFonts w:ascii="Arial" w:eastAsia="Arial" w:hAnsi="Arial" w:cs="Arial"/>
        </w:rPr>
        <w:t>focuses on developing new and improved products for existing industrial customers</w:t>
      </w:r>
      <w:r w:rsidRPr="005B1673">
        <w:rPr>
          <w:rFonts w:ascii="Arial" w:eastAsia="Arial" w:hAnsi="Arial" w:cs="Arial"/>
        </w:rPr>
        <w:t xml:space="preserve"> (</w:t>
      </w:r>
      <w:proofErr w:type="spellStart"/>
      <w:r w:rsidRPr="005B1673">
        <w:rPr>
          <w:rFonts w:ascii="Arial" w:eastAsia="Arial" w:hAnsi="Arial" w:cs="Arial"/>
        </w:rPr>
        <w:t>Peterdy</w:t>
      </w:r>
      <w:proofErr w:type="spellEnd"/>
      <w:r w:rsidRPr="005B1673">
        <w:rPr>
          <w:rFonts w:ascii="Arial" w:eastAsia="Arial" w:hAnsi="Arial" w:cs="Arial"/>
        </w:rPr>
        <w:t>, 2025). It is very much in line with BHP's current corporate trajectory, focusing on future commodities like copper, nickel and potash which enable electrification, renewable energy and decarbonisation. During FY2025, BHP had record copper production of 2 MT, and capital and exploration spend of US$9.8 B; and expanded projects including the copper joint venture, Vicuña, to support long-term supply of critical minerals</w:t>
      </w:r>
      <w:r w:rsidRPr="005B1673">
        <w:rPr>
          <w:rFonts w:ascii="Arial" w:eastAsia="Arial" w:hAnsi="Arial" w:cs="Arial"/>
        </w:rPr>
        <w:t xml:space="preserve"> needed for the clean energy transition (BHP, 2025).</w:t>
      </w:r>
    </w:p>
    <w:p w14:paraId="03ADDC27" w14:textId="77777777" w:rsidR="00326717" w:rsidRPr="005B1673" w:rsidRDefault="00ED1EE8" w:rsidP="005B1673">
      <w:pPr>
        <w:rPr>
          <w:rFonts w:ascii="Arial" w:eastAsia="Arial" w:hAnsi="Arial" w:cs="Arial"/>
        </w:rPr>
      </w:pPr>
      <w:r w:rsidRPr="005B1673">
        <w:rPr>
          <w:rFonts w:ascii="Arial" w:eastAsia="Arial" w:hAnsi="Arial" w:cs="Arial"/>
          <w:b/>
          <w:bCs/>
        </w:rPr>
        <w:t xml:space="preserve">Diversification </w:t>
      </w:r>
      <w:r w:rsidRPr="005B1673">
        <w:rPr>
          <w:rFonts w:ascii="Arial" w:eastAsia="Arial" w:hAnsi="Arial" w:cs="Arial"/>
        </w:rPr>
        <w:t>refers to getting into new markets and new products. While BHP is still investing in emerging growth opportunities, like the Jansen potash project in Canada, diversification does involve significant capital outlays and a greater financial and operational risk (BHP, 2026). Therefore, diversification should be a long-term, not short-term, goal.</w:t>
      </w:r>
    </w:p>
    <w:p w14:paraId="3FE36BBB" w14:textId="77777777" w:rsidR="00326717" w:rsidRPr="005B1673" w:rsidRDefault="00ED1EE8" w:rsidP="005B1673">
      <w:pPr>
        <w:rPr>
          <w:rFonts w:ascii="Arial" w:eastAsia="Arial" w:hAnsi="Arial" w:cs="Arial"/>
          <w:b/>
          <w:bCs/>
        </w:rPr>
      </w:pPr>
      <w:r w:rsidRPr="005B1673">
        <w:rPr>
          <w:rFonts w:ascii="Arial" w:eastAsia="Arial" w:hAnsi="Arial" w:cs="Arial"/>
          <w:b/>
          <w:bCs/>
        </w:rPr>
        <w:t>Recommended Strategy: Product Development</w:t>
      </w:r>
    </w:p>
    <w:p w14:paraId="12A8BB2E" w14:textId="6A0D57C2" w:rsidR="00326717" w:rsidRPr="005B1673" w:rsidRDefault="004A5208" w:rsidP="005B1673">
      <w:pPr>
        <w:rPr>
          <w:rFonts w:ascii="Arial" w:eastAsia="Arial" w:hAnsi="Arial" w:cs="Arial"/>
        </w:rPr>
      </w:pPr>
      <w:r w:rsidRPr="005B1673">
        <w:rPr>
          <w:rFonts w:ascii="Arial" w:eastAsia="Arial" w:hAnsi="Arial" w:cs="Arial"/>
        </w:rPr>
        <w:t xml:space="preserve">Product Development is considered the most suitable growth strategy for addressing the natural and technological environmental pressures identified in Task 1. BHP must innovate to meet the rising demand for </w:t>
      </w:r>
      <w:r w:rsidR="005F0BE6" w:rsidRPr="005B1673">
        <w:rPr>
          <w:rFonts w:ascii="Arial" w:eastAsia="Arial" w:hAnsi="Arial" w:cs="Arial"/>
        </w:rPr>
        <w:t>lower-carbon</w:t>
      </w:r>
      <w:r w:rsidRPr="005B1673">
        <w:rPr>
          <w:rFonts w:ascii="Arial" w:eastAsia="Arial" w:hAnsi="Arial" w:cs="Arial"/>
        </w:rPr>
        <w:t xml:space="preserve"> minerals, tougher environmental laws and the quick rate of technological progress. The business is already active in enhancing the quality of its iron ore, reducing its carbon footprint, and </w:t>
      </w:r>
      <w:r w:rsidR="005F0BE6" w:rsidRPr="005B1673">
        <w:rPr>
          <w:rFonts w:ascii="Arial" w:eastAsia="Arial" w:hAnsi="Arial" w:cs="Arial"/>
        </w:rPr>
        <w:t>utilising</w:t>
      </w:r>
      <w:r w:rsidRPr="005B1673">
        <w:rPr>
          <w:rFonts w:ascii="Arial" w:eastAsia="Arial" w:hAnsi="Arial" w:cs="Arial"/>
        </w:rPr>
        <w:t xml:space="preserve"> green copper mining, as well as carbon-neutral mining technologies, such as electrification of mining equipment, renewable energy integration, and digital technologies (BHP, 2023). These programs will help BHP meet current industrial customer requirements and position itself as a leader in the sustainable supply of vital minerals. BHP can further differentiate its offering, deliver better ESG outcomes, deliver better customer value, and continue to grow its business in the exciting and dynamic global mining industry by continually innovating to </w:t>
      </w:r>
      <w:r w:rsidR="005F0BE6" w:rsidRPr="005B1673">
        <w:rPr>
          <w:rFonts w:ascii="Arial" w:eastAsia="Arial" w:hAnsi="Arial" w:cs="Arial"/>
        </w:rPr>
        <w:t>lower-carbon</w:t>
      </w:r>
      <w:r w:rsidRPr="005B1673">
        <w:rPr>
          <w:rFonts w:ascii="Arial" w:eastAsia="Arial" w:hAnsi="Arial" w:cs="Arial"/>
        </w:rPr>
        <w:t xml:space="preserve"> products that help drive global decarbonisation.</w:t>
      </w:r>
    </w:p>
    <w:p w14:paraId="6E2189CF" w14:textId="01ADCB15" w:rsidR="00326717" w:rsidRPr="005B1673" w:rsidRDefault="00611A77" w:rsidP="005B1673">
      <w:pPr>
        <w:pStyle w:val="Heading2"/>
        <w:spacing w:before="240" w:after="240"/>
        <w:rPr>
          <w:rFonts w:ascii="Arial" w:eastAsia="Arial" w:hAnsi="Arial" w:cs="Arial"/>
        </w:rPr>
      </w:pPr>
      <w:bookmarkStart w:id="21" w:name="_773o4lmccjer" w:colFirst="0" w:colLast="0"/>
      <w:bookmarkStart w:id="22" w:name="_Toc235745017"/>
      <w:bookmarkStart w:id="23" w:name="_Toc235797586"/>
      <w:bookmarkEnd w:id="21"/>
      <w:r w:rsidRPr="005B1673">
        <w:rPr>
          <w:rFonts w:ascii="Arial" w:eastAsia="Arial" w:hAnsi="Arial" w:cs="Arial"/>
        </w:rPr>
        <w:t>2.2 Competitive Advantage Through a Lower-Carbon Business Model</w:t>
      </w:r>
      <w:bookmarkEnd w:id="22"/>
      <w:bookmarkEnd w:id="23"/>
      <w:r w:rsidRPr="005B1673">
        <w:rPr>
          <w:rFonts w:ascii="Arial" w:eastAsia="Arial" w:hAnsi="Arial" w:cs="Arial"/>
        </w:rPr>
        <w:t xml:space="preserve"> </w:t>
      </w:r>
    </w:p>
    <w:p w14:paraId="17B0A996" w14:textId="1877BE97" w:rsidR="00326717" w:rsidRPr="005B1673" w:rsidRDefault="004A5208" w:rsidP="005B1673">
      <w:pPr>
        <w:rPr>
          <w:rFonts w:ascii="Arial" w:eastAsia="Arial" w:hAnsi="Arial" w:cs="Arial"/>
        </w:rPr>
      </w:pPr>
      <w:r w:rsidRPr="005B1673">
        <w:rPr>
          <w:rFonts w:ascii="Arial" w:eastAsia="Arial" w:hAnsi="Arial" w:cs="Arial"/>
        </w:rPr>
        <w:t>The shift to a lower-carbon business model gives BHP the opportunity to develop and maintain a long-term competitive advantage in the global mining industry. As regulations on the environment grow, investor expectations and customer demand for responsibly sourced minerals change, sustainability is no longer just a compliance issue but a strategic advantage for competitive differentiation. BHP can embed decarbonisation, operational excellence and technological innovation into its corporate strategy, enhancing its market leadership and contributing to the global transition to a low-carbon economy (Usman et al., 2026).</w:t>
      </w:r>
    </w:p>
    <w:p w14:paraId="6F669BCF" w14:textId="77777777" w:rsidR="00326717" w:rsidRPr="005B1673" w:rsidRDefault="00ED1EE8" w:rsidP="005B1673">
      <w:pPr>
        <w:rPr>
          <w:rFonts w:ascii="Arial" w:eastAsia="Arial" w:hAnsi="Arial" w:cs="Arial"/>
          <w:b/>
          <w:bCs/>
        </w:rPr>
      </w:pPr>
      <w:r w:rsidRPr="005B1673">
        <w:rPr>
          <w:rFonts w:ascii="Arial" w:eastAsia="Arial" w:hAnsi="Arial" w:cs="Arial"/>
          <w:b/>
          <w:bCs/>
        </w:rPr>
        <w:t>Competitive Advantage Through Sustainability</w:t>
      </w:r>
    </w:p>
    <w:p w14:paraId="4E743681" w14:textId="7EACF26D" w:rsidR="00326717" w:rsidRPr="005B1673" w:rsidRDefault="00ED1EE8" w:rsidP="005B1673">
      <w:pPr>
        <w:rPr>
          <w:rFonts w:ascii="Arial" w:eastAsia="Arial" w:hAnsi="Arial" w:cs="Arial"/>
        </w:rPr>
      </w:pPr>
      <w:r w:rsidRPr="005B1673">
        <w:rPr>
          <w:rFonts w:ascii="Arial" w:eastAsia="Arial" w:hAnsi="Arial" w:cs="Arial"/>
        </w:rPr>
        <w:t xml:space="preserve">BHP's investment strategy has also been smartly targeted at future commodities such as copper, nickel and potash, which are key to electric vehicles, renewable energy infrastructure and global electrification. BHP's 2025 Annual Report records that BHP has produced 2 million tonnes of copper – a record, and has contributed US$46.8 billion and spent US$9.8 billion on capital and exploration for critical mineral production (BHP, 2025). BHP also advanced its operational sustainability with the use of renewable </w:t>
      </w:r>
      <w:r w:rsidRPr="005B1673">
        <w:rPr>
          <w:rFonts w:ascii="Arial" w:eastAsia="Arial" w:hAnsi="Arial" w:cs="Arial"/>
        </w:rPr>
        <w:t xml:space="preserve">electricity, electrifying its mines and introducing digital technologies and the BHP Operating System (BOS). The company has seen a 5% decrease in its Scope 1 and 2 GHG emissions and a 4.7% drop in unit costs in FY2025, showing how sustainability can drive better operational efficiency and profitability (BHP, 2025). In addition, Mondal et al. (2025) state that the strategic incorporation of sustainable values can boost shareholder value, market competitiveness, and long-term </w:t>
      </w:r>
      <w:r w:rsidR="005F0BE6" w:rsidRPr="005B1673">
        <w:rPr>
          <w:rFonts w:ascii="Arial" w:eastAsia="Arial" w:hAnsi="Arial" w:cs="Arial"/>
        </w:rPr>
        <w:t>organisational</w:t>
      </w:r>
      <w:r w:rsidRPr="005B1673">
        <w:rPr>
          <w:rFonts w:ascii="Arial" w:eastAsia="Arial" w:hAnsi="Arial" w:cs="Arial"/>
        </w:rPr>
        <w:t xml:space="preserve"> sustainability, f</w:t>
      </w:r>
      <w:r w:rsidRPr="005B1673">
        <w:rPr>
          <w:rFonts w:ascii="Arial" w:eastAsia="Arial" w:hAnsi="Arial" w:cs="Arial"/>
        </w:rPr>
        <w:t xml:space="preserve">urther demonstrating BHP's sustainable competitive edge. </w:t>
      </w:r>
    </w:p>
    <w:p w14:paraId="5B5BD8B1" w14:textId="77777777" w:rsidR="00326717" w:rsidRPr="005B1673" w:rsidRDefault="00ED1EE8" w:rsidP="005B1673">
      <w:pPr>
        <w:rPr>
          <w:rFonts w:ascii="Arial" w:eastAsia="Arial" w:hAnsi="Arial" w:cs="Arial"/>
          <w:b/>
          <w:bCs/>
        </w:rPr>
      </w:pPr>
      <w:r w:rsidRPr="005B1673">
        <w:rPr>
          <w:rFonts w:ascii="Arial" w:eastAsia="Arial" w:hAnsi="Arial" w:cs="Arial"/>
          <w:b/>
          <w:bCs/>
        </w:rPr>
        <w:t>Porter's Generic Strategy: Cost Leadership through Operational Efficiency</w:t>
      </w:r>
    </w:p>
    <w:p w14:paraId="6D94D25E" w14:textId="4FDBD88F" w:rsidR="00326717" w:rsidRPr="005B1673" w:rsidRDefault="00ED1EE8" w:rsidP="005B1673">
      <w:pPr>
        <w:rPr>
          <w:rFonts w:ascii="Arial" w:eastAsia="Arial" w:hAnsi="Arial" w:cs="Arial"/>
        </w:rPr>
      </w:pPr>
      <w:r w:rsidRPr="005B1673">
        <w:rPr>
          <w:rFonts w:ascii="Arial" w:eastAsia="Arial" w:hAnsi="Arial" w:cs="Arial"/>
        </w:rPr>
        <w:t xml:space="preserve">While differentiation is BHP's core strategy, the business also pursues a strategy of cost leadership by being operationally efficient. </w:t>
      </w:r>
      <w:r w:rsidR="004A5208" w:rsidRPr="005B1673">
        <w:rPr>
          <w:rFonts w:ascii="Arial" w:eastAsia="Arial" w:hAnsi="Arial" w:cs="Arial"/>
        </w:rPr>
        <w:t>Investments in artificial intelligence, automation, renewable electricity, digital technology, and electric mining equipment increase productivity</w:t>
      </w:r>
      <w:r w:rsidRPr="005B1673">
        <w:rPr>
          <w:rFonts w:ascii="Arial" w:eastAsia="Arial" w:hAnsi="Arial" w:cs="Arial"/>
        </w:rPr>
        <w:t xml:space="preserve"> and lower operational emissions and energy usage. In FY25, BHP achieved a 5% decrease in Scope 1 and Scope 2 greenhouse gas emissions while also enhancing its operational results, showing that environmental sustainability can lead to economic benefits, too (BHP, 2025).</w:t>
      </w:r>
      <w:r w:rsidR="00E10C33" w:rsidRPr="005B1673">
        <w:rPr>
          <w:rFonts w:ascii="Arial" w:eastAsia="Arial" w:hAnsi="Arial" w:cs="Arial"/>
        </w:rPr>
        <w:t xml:space="preserve"> </w:t>
      </w:r>
      <w:r w:rsidR="004A5208" w:rsidRPr="005B1673">
        <w:rPr>
          <w:rFonts w:ascii="Arial" w:eastAsia="Arial" w:hAnsi="Arial" w:cs="Arial"/>
        </w:rPr>
        <w:t>In the mining industry, Antonini et al. (2025) found</w:t>
      </w:r>
      <w:r w:rsidRPr="005B1673">
        <w:rPr>
          <w:rFonts w:ascii="Arial" w:eastAsia="Arial" w:hAnsi="Arial" w:cs="Arial"/>
        </w:rPr>
        <w:t xml:space="preserve"> that collaborative innovation, digital tra</w:t>
      </w:r>
      <w:r w:rsidRPr="005B1673">
        <w:rPr>
          <w:rFonts w:ascii="Arial" w:eastAsia="Arial" w:hAnsi="Arial" w:cs="Arial"/>
        </w:rPr>
        <w:t xml:space="preserve">nsformation and cleaner technologies </w:t>
      </w:r>
      <w:r w:rsidR="005F0BE6" w:rsidRPr="005B1673">
        <w:rPr>
          <w:rFonts w:ascii="Arial" w:eastAsia="Arial" w:hAnsi="Arial" w:cs="Arial"/>
        </w:rPr>
        <w:t>also advance</w:t>
      </w:r>
      <w:r w:rsidRPr="005B1673">
        <w:rPr>
          <w:rFonts w:ascii="Arial" w:eastAsia="Arial" w:hAnsi="Arial" w:cs="Arial"/>
        </w:rPr>
        <w:t xml:space="preserve"> environmental performance and organisational competitiveness while decreasing operating costs. </w:t>
      </w:r>
    </w:p>
    <w:p w14:paraId="015758B6" w14:textId="77777777" w:rsidR="00326717" w:rsidRPr="005B1673" w:rsidRDefault="00ED1EE8" w:rsidP="005B1673">
      <w:pPr>
        <w:rPr>
          <w:rFonts w:ascii="Arial" w:eastAsia="Arial" w:hAnsi="Arial" w:cs="Arial"/>
          <w:b/>
          <w:bCs/>
        </w:rPr>
      </w:pPr>
      <w:r w:rsidRPr="005B1673">
        <w:rPr>
          <w:rFonts w:ascii="Arial" w:eastAsia="Arial" w:hAnsi="Arial" w:cs="Arial"/>
          <w:b/>
          <w:bCs/>
        </w:rPr>
        <w:t>Critical Evaluation</w:t>
      </w:r>
    </w:p>
    <w:p w14:paraId="1AAC5491" w14:textId="72BFA13E" w:rsidR="00326717" w:rsidRPr="005B1673" w:rsidRDefault="00ED1EE8" w:rsidP="005B1673">
      <w:pPr>
        <w:rPr>
          <w:rFonts w:ascii="Arial" w:eastAsia="Arial" w:hAnsi="Arial" w:cs="Arial"/>
        </w:rPr>
      </w:pPr>
      <w:r w:rsidRPr="005B1673">
        <w:rPr>
          <w:rFonts w:ascii="Arial" w:eastAsia="Arial" w:hAnsi="Arial" w:cs="Arial"/>
        </w:rPr>
        <w:t xml:space="preserve">Although great efforts have been made to develop lower carbon options, the competitive edge is difficult to maintain because of the high cost of these technologies, uncertainty regarding technology, and changing regulations. Osei et al. (2026) say that dynamic capabilities and innovation in the circular economy are needed for achieving net-zero mining, while </w:t>
      </w:r>
      <w:proofErr w:type="spellStart"/>
      <w:r w:rsidRPr="005B1673">
        <w:rPr>
          <w:rFonts w:ascii="Arial" w:eastAsia="Arial" w:hAnsi="Arial" w:cs="Arial"/>
        </w:rPr>
        <w:t>Konurbayeva</w:t>
      </w:r>
      <w:proofErr w:type="spellEnd"/>
      <w:r w:rsidRPr="005B1673">
        <w:rPr>
          <w:rFonts w:ascii="Arial" w:eastAsia="Arial" w:hAnsi="Arial" w:cs="Arial"/>
        </w:rPr>
        <w:t xml:space="preserve"> et al. (2026) stress environmental leadership and ongoing innovation. As the low-carbon mining sector evolves, BHP needs to continually innovate to stay competitive over the long-term.</w:t>
      </w:r>
    </w:p>
    <w:p w14:paraId="6034EE11" w14:textId="32811870" w:rsidR="00326717" w:rsidRPr="005B1673" w:rsidRDefault="00E86CB4" w:rsidP="005B1673">
      <w:pPr>
        <w:pStyle w:val="Heading1"/>
        <w:spacing w:before="240" w:after="240"/>
        <w:rPr>
          <w:rFonts w:ascii="Arial" w:eastAsia="Arial" w:hAnsi="Arial" w:cs="Arial"/>
        </w:rPr>
      </w:pPr>
      <w:bookmarkStart w:id="24" w:name="_4sgyy43kzl7f" w:colFirst="0" w:colLast="0"/>
      <w:bookmarkStart w:id="25" w:name="_Toc235745018"/>
      <w:bookmarkStart w:id="26" w:name="_Toc235797587"/>
      <w:bookmarkEnd w:id="24"/>
      <w:r w:rsidRPr="005B1673">
        <w:rPr>
          <w:rFonts w:ascii="Arial" w:eastAsia="Arial" w:hAnsi="Arial" w:cs="Arial"/>
        </w:rPr>
        <w:t>3. Task 3: Critical Reflection on AI Usage</w:t>
      </w:r>
      <w:bookmarkEnd w:id="25"/>
      <w:bookmarkEnd w:id="26"/>
      <w:r w:rsidR="00E10C33" w:rsidRPr="005B1673">
        <w:rPr>
          <w:rFonts w:ascii="Arial" w:eastAsia="Arial" w:hAnsi="Arial" w:cs="Arial"/>
        </w:rPr>
        <w:t xml:space="preserve"> </w:t>
      </w:r>
    </w:p>
    <w:p w14:paraId="699DEAE3" w14:textId="349831AC" w:rsidR="00326717" w:rsidRPr="005B1673" w:rsidRDefault="00A779DF" w:rsidP="005B1673">
      <w:pPr>
        <w:pStyle w:val="Heading2"/>
        <w:spacing w:before="240" w:after="240"/>
        <w:rPr>
          <w:rFonts w:ascii="Arial" w:eastAsia="Arial" w:hAnsi="Arial" w:cs="Arial"/>
        </w:rPr>
      </w:pPr>
      <w:bookmarkStart w:id="27" w:name="_l4m9w64m3blf" w:colFirst="0" w:colLast="0"/>
      <w:bookmarkStart w:id="28" w:name="_Toc235745019"/>
      <w:bookmarkStart w:id="29" w:name="_Toc235797588"/>
      <w:bookmarkEnd w:id="27"/>
      <w:r w:rsidRPr="005B1673">
        <w:rPr>
          <w:rFonts w:ascii="Arial" w:eastAsia="Arial" w:hAnsi="Arial" w:cs="Arial"/>
        </w:rPr>
        <w:t>3.1 Tool Disclosure</w:t>
      </w:r>
      <w:bookmarkEnd w:id="28"/>
      <w:bookmarkEnd w:id="29"/>
      <w:r w:rsidR="00E10C33" w:rsidRPr="005B1673">
        <w:rPr>
          <w:rFonts w:ascii="Arial" w:eastAsia="Arial" w:hAnsi="Arial" w:cs="Arial"/>
        </w:rPr>
        <w:t xml:space="preserve"> </w:t>
      </w:r>
    </w:p>
    <w:p w14:paraId="6A48ED6A" w14:textId="10056265" w:rsidR="00326717" w:rsidRPr="005B1673" w:rsidRDefault="00ED1EE8" w:rsidP="005B1673">
      <w:pPr>
        <w:rPr>
          <w:rFonts w:ascii="Arial" w:eastAsia="Arial" w:hAnsi="Arial" w:cs="Arial"/>
        </w:rPr>
      </w:pPr>
      <w:r w:rsidRPr="005B1673">
        <w:rPr>
          <w:rFonts w:ascii="Arial" w:eastAsia="Arial" w:hAnsi="Arial" w:cs="Arial"/>
        </w:rPr>
        <w:t xml:space="preserve">This report has been prepared using three AI-assisted tools: ChatGPT, Grammarly and Google Scholar. </w:t>
      </w:r>
      <w:r w:rsidR="004A5208" w:rsidRPr="005B1673">
        <w:rPr>
          <w:rFonts w:ascii="Arial" w:eastAsia="Arial" w:hAnsi="Arial" w:cs="Arial"/>
        </w:rPr>
        <w:t>ChatGPT was used to develop the initial structure of the report</w:t>
      </w:r>
      <w:r w:rsidRPr="005B1673">
        <w:rPr>
          <w:rFonts w:ascii="Arial" w:eastAsia="Arial" w:hAnsi="Arial" w:cs="Arial"/>
        </w:rPr>
        <w:t xml:space="preserve">, to suggest section titles, and to make prompts for literature searches clearer. </w:t>
      </w:r>
      <w:r w:rsidR="00391398" w:rsidRPr="005B1673">
        <w:rPr>
          <w:rFonts w:ascii="Arial" w:eastAsia="Arial" w:hAnsi="Arial" w:cs="Arial"/>
        </w:rPr>
        <w:t xml:space="preserve">It was not used to produce final analytical content </w:t>
      </w:r>
      <w:r w:rsidRPr="005B1673">
        <w:rPr>
          <w:rFonts w:ascii="Arial" w:eastAsia="Arial" w:hAnsi="Arial" w:cs="Arial"/>
        </w:rPr>
        <w:t xml:space="preserve">and/or conclusions. Grammarly was only used to find spelling, punctuation and grammatical mistakes and to enhance readability, but not to alter the argument. Peer-reviewed journal articles were found using Google </w:t>
      </w:r>
      <w:r w:rsidR="00AD0C28" w:rsidRPr="005B1673">
        <w:rPr>
          <w:rFonts w:ascii="Arial" w:eastAsia="Arial" w:hAnsi="Arial" w:cs="Arial"/>
        </w:rPr>
        <w:t>Scholar</w:t>
      </w:r>
      <w:r w:rsidR="0059570C" w:rsidRPr="005B1673">
        <w:rPr>
          <w:rFonts w:ascii="Arial" w:eastAsia="Arial" w:hAnsi="Arial" w:cs="Arial"/>
        </w:rPr>
        <w:t>,</w:t>
      </w:r>
      <w:r w:rsidRPr="005B1673">
        <w:rPr>
          <w:rFonts w:ascii="Arial" w:eastAsia="Arial" w:hAnsi="Arial" w:cs="Arial"/>
        </w:rPr>
        <w:t xml:space="preserve"> and academic sources were verified. </w:t>
      </w:r>
      <w:r w:rsidR="00DC5A09" w:rsidRPr="005B1673">
        <w:rPr>
          <w:rFonts w:ascii="Arial" w:eastAsia="Arial" w:hAnsi="Arial" w:cs="Arial"/>
        </w:rPr>
        <w:t>The final report format, critical analyses, and conclusions are my own work.</w:t>
      </w:r>
    </w:p>
    <w:p w14:paraId="0AC8EB61" w14:textId="66990858" w:rsidR="00326717" w:rsidRPr="005B1673" w:rsidRDefault="00A779DF" w:rsidP="005B1673">
      <w:pPr>
        <w:pStyle w:val="Heading2"/>
        <w:spacing w:before="240" w:after="240"/>
        <w:rPr>
          <w:rFonts w:ascii="Arial" w:eastAsia="Arial" w:hAnsi="Arial" w:cs="Arial"/>
        </w:rPr>
      </w:pPr>
      <w:bookmarkStart w:id="30" w:name="_1f8hs6vpic8j" w:colFirst="0" w:colLast="0"/>
      <w:bookmarkStart w:id="31" w:name="_Toc235745020"/>
      <w:bookmarkStart w:id="32" w:name="_Toc235797589"/>
      <w:bookmarkEnd w:id="30"/>
      <w:r w:rsidRPr="005B1673">
        <w:rPr>
          <w:rFonts w:ascii="Arial" w:eastAsia="Arial" w:hAnsi="Arial" w:cs="Arial"/>
        </w:rPr>
        <w:t>3.2 Critical Evaluation of AI Output</w:t>
      </w:r>
      <w:bookmarkEnd w:id="31"/>
      <w:bookmarkEnd w:id="32"/>
      <w:r w:rsidR="00E10C33" w:rsidRPr="005B1673">
        <w:rPr>
          <w:rFonts w:ascii="Arial" w:eastAsia="Arial" w:hAnsi="Arial" w:cs="Arial"/>
        </w:rPr>
        <w:t xml:space="preserve"> </w:t>
      </w:r>
    </w:p>
    <w:p w14:paraId="58FAA2FB" w14:textId="7770372B" w:rsidR="00326717" w:rsidRPr="005B1673" w:rsidRDefault="00DC5A09" w:rsidP="005B1673">
      <w:pPr>
        <w:rPr>
          <w:rFonts w:ascii="Arial" w:eastAsia="Arial" w:hAnsi="Arial" w:cs="Arial"/>
        </w:rPr>
      </w:pPr>
      <w:r w:rsidRPr="005B1673">
        <w:rPr>
          <w:rFonts w:ascii="Arial" w:eastAsia="Arial" w:hAnsi="Arial" w:cs="Arial"/>
        </w:rPr>
        <w:t>Content of all outputs of the AI has been carefully reviewed and verified. Information provided by ChatGPT was validated with peer-reviewed articles from Google Scholar, BHP's Annual Reports, Sustainability Reports and other credible sources. Unsupported claims, outdated information and fabricated references were removed and replaced with accurate information. The report has been screened for AI hallucination, with citations, statistical data, and publication information cross-referenced with their original sources to ensure that it is reliable for postgraduate academic research and research integrity.</w:t>
      </w:r>
    </w:p>
    <w:p w14:paraId="224B609C" w14:textId="56A0EED9" w:rsidR="00326717" w:rsidRPr="005B1673" w:rsidRDefault="00A779DF" w:rsidP="005B1673">
      <w:pPr>
        <w:pStyle w:val="Heading2"/>
        <w:spacing w:before="240" w:after="240"/>
        <w:rPr>
          <w:rFonts w:ascii="Arial" w:eastAsia="Arial" w:hAnsi="Arial" w:cs="Arial"/>
        </w:rPr>
      </w:pPr>
      <w:bookmarkStart w:id="33" w:name="_ewqtdai8uhpa" w:colFirst="0" w:colLast="0"/>
      <w:bookmarkStart w:id="34" w:name="_Toc235745021"/>
      <w:bookmarkStart w:id="35" w:name="_Toc235797590"/>
      <w:bookmarkEnd w:id="33"/>
      <w:r w:rsidRPr="005B1673">
        <w:rPr>
          <w:rFonts w:ascii="Arial" w:eastAsia="Arial" w:hAnsi="Arial" w:cs="Arial"/>
        </w:rPr>
        <w:t>3.3 Contribution Analysis</w:t>
      </w:r>
      <w:bookmarkEnd w:id="34"/>
      <w:bookmarkEnd w:id="35"/>
      <w:r w:rsidR="00E10C33" w:rsidRPr="005B1673">
        <w:rPr>
          <w:rFonts w:ascii="Arial" w:eastAsia="Arial" w:hAnsi="Arial" w:cs="Arial"/>
        </w:rPr>
        <w:t xml:space="preserve"> </w:t>
      </w:r>
    </w:p>
    <w:p w14:paraId="40C609F4" w14:textId="2EC07BE4" w:rsidR="00326717" w:rsidRPr="005B1673" w:rsidRDefault="00DC5A09" w:rsidP="005B1673">
      <w:pPr>
        <w:rPr>
          <w:rFonts w:ascii="Arial" w:eastAsia="Arial" w:hAnsi="Arial" w:cs="Arial"/>
        </w:rPr>
      </w:pPr>
      <w:r w:rsidRPr="005B1673">
        <w:rPr>
          <w:rFonts w:ascii="Arial" w:eastAsia="Arial" w:hAnsi="Arial" w:cs="Arial"/>
        </w:rPr>
        <w:t>Additional help was provided by the use of AI tools in the early stages of this assignment, which included brainstorming, structuring the report and enhancing language clarity (</w:t>
      </w:r>
      <w:proofErr w:type="spellStart"/>
      <w:r w:rsidRPr="005B1673">
        <w:rPr>
          <w:rFonts w:ascii="Arial" w:eastAsia="Arial" w:hAnsi="Arial" w:cs="Arial"/>
        </w:rPr>
        <w:t>Khalifa</w:t>
      </w:r>
      <w:proofErr w:type="spellEnd"/>
      <w:r w:rsidRPr="005B1673">
        <w:rPr>
          <w:rFonts w:ascii="Arial" w:eastAsia="Arial" w:hAnsi="Arial" w:cs="Arial"/>
        </w:rPr>
        <w:t xml:space="preserve"> and </w:t>
      </w:r>
      <w:proofErr w:type="spellStart"/>
      <w:r w:rsidRPr="005B1673">
        <w:rPr>
          <w:rFonts w:ascii="Arial" w:eastAsia="Arial" w:hAnsi="Arial" w:cs="Arial"/>
        </w:rPr>
        <w:t>Albadawy</w:t>
      </w:r>
      <w:proofErr w:type="spellEnd"/>
      <w:r w:rsidRPr="005B1673">
        <w:rPr>
          <w:rFonts w:ascii="Arial" w:eastAsia="Arial" w:hAnsi="Arial" w:cs="Arial"/>
        </w:rPr>
        <w:t xml:space="preserve">, 2024). These tools were not used, however, to create arguments for the points of the report, to evaluate evidence, or to make recommendations for the critical points. The choice of BHP, identification of the actors in the natural environment and the technological environment, interpretation of the academic literature, application of the Ansoff Matrix and Porter's generic strategies, critical evaluation of the results and conclusions were carried out independently. I located, summarized and </w:t>
      </w:r>
      <w:proofErr w:type="spellStart"/>
      <w:r w:rsidRPr="005B1673">
        <w:rPr>
          <w:rFonts w:ascii="Arial" w:eastAsia="Arial" w:hAnsi="Arial" w:cs="Arial"/>
        </w:rPr>
        <w:t>analyzed</w:t>
      </w:r>
      <w:proofErr w:type="spellEnd"/>
      <w:r w:rsidRPr="005B1673">
        <w:rPr>
          <w:rFonts w:ascii="Arial" w:eastAsia="Arial" w:hAnsi="Arial" w:cs="Arial"/>
        </w:rPr>
        <w:t xml:space="preserve"> academic sources and all interpretations of the strategic marketing concepts are my own. Thus, the content of all the ideas, analysis and conclusions presented herein are my own.</w:t>
      </w:r>
    </w:p>
    <w:p w14:paraId="0878A1D9" w14:textId="33B5F8B3" w:rsidR="00326717" w:rsidRPr="005B1673" w:rsidRDefault="00A779DF" w:rsidP="005B1673">
      <w:pPr>
        <w:pStyle w:val="Heading2"/>
        <w:spacing w:before="240" w:after="240"/>
        <w:rPr>
          <w:rFonts w:ascii="Arial" w:eastAsia="Arial" w:hAnsi="Arial" w:cs="Arial"/>
        </w:rPr>
      </w:pPr>
      <w:bookmarkStart w:id="36" w:name="_5v1valzas4xh" w:colFirst="0" w:colLast="0"/>
      <w:bookmarkStart w:id="37" w:name="_Toc235745022"/>
      <w:bookmarkStart w:id="38" w:name="_Toc235797591"/>
      <w:bookmarkEnd w:id="36"/>
      <w:r w:rsidRPr="005B1673">
        <w:rPr>
          <w:rFonts w:ascii="Arial" w:eastAsia="Arial" w:hAnsi="Arial" w:cs="Arial"/>
        </w:rPr>
        <w:t>3.4 Ethical and Professional Reflection</w:t>
      </w:r>
      <w:bookmarkEnd w:id="37"/>
      <w:bookmarkEnd w:id="38"/>
      <w:r w:rsidRPr="005B1673">
        <w:rPr>
          <w:rFonts w:ascii="Arial" w:eastAsia="Arial" w:hAnsi="Arial" w:cs="Arial"/>
        </w:rPr>
        <w:t xml:space="preserve"> </w:t>
      </w:r>
    </w:p>
    <w:p w14:paraId="63D3DBA1" w14:textId="269DE20C" w:rsidR="00B4221D" w:rsidRPr="005B1673" w:rsidRDefault="00DC5A09" w:rsidP="005B1673">
      <w:pPr>
        <w:rPr>
          <w:rFonts w:ascii="Arial" w:eastAsia="Arial" w:hAnsi="Arial" w:cs="Arial"/>
        </w:rPr>
      </w:pPr>
      <w:r w:rsidRPr="005B1673">
        <w:rPr>
          <w:rFonts w:ascii="Arial" w:eastAsia="Arial" w:hAnsi="Arial" w:cs="Arial"/>
        </w:rPr>
        <w:t>AI use should be done transparently and following academic integrity and professional judgment. This report has not been produced by AI, but rather as a way to assist in organising ideas and improving language. Using ChatGPT, Grammarly and Google Scholar has been disclosed, which promotes transparency and is good academic practice. While acknowledging that AI can have errors in its information, fabricated references and biases, it becomes essential to verify the work before relying on the output produced by AI. While AI tools can help reduce the need for analytical thinking and the originality that is crucial in problem solving, they are not a replacement for it (Zhai, Wibowo and Li, 2024). Businesses, however, are still expected to make their marketing choices based on information that is accurate, reliable and used in an ethical manner, and this is the responsibility of the researchers.</w:t>
      </w:r>
    </w:p>
    <w:p w14:paraId="2495E296" w14:textId="5DDD0BE0" w:rsidR="00B4221D" w:rsidRPr="005B1673" w:rsidRDefault="00B4221D" w:rsidP="005B1673">
      <w:pPr>
        <w:pStyle w:val="Heading1"/>
        <w:spacing w:before="240" w:after="240"/>
        <w:rPr>
          <w:rFonts w:ascii="Arial" w:eastAsia="Arial" w:hAnsi="Arial" w:cs="Arial"/>
        </w:rPr>
      </w:pPr>
      <w:bookmarkStart w:id="39" w:name="_Toc235745023"/>
      <w:bookmarkStart w:id="40" w:name="_Toc235797592"/>
      <w:r w:rsidRPr="005B1673">
        <w:rPr>
          <w:rFonts w:ascii="Arial" w:eastAsia="Arial" w:hAnsi="Arial" w:cs="Arial"/>
        </w:rPr>
        <w:t>Conclusion</w:t>
      </w:r>
      <w:bookmarkEnd w:id="39"/>
      <w:bookmarkEnd w:id="40"/>
    </w:p>
    <w:p w14:paraId="7C265691" w14:textId="5F917E6E" w:rsidR="00B4221D" w:rsidRPr="005B1673" w:rsidRDefault="00DC5A09" w:rsidP="005B1673">
      <w:pPr>
        <w:rPr>
          <w:rFonts w:ascii="Arial" w:eastAsia="Arial" w:hAnsi="Arial" w:cs="Arial"/>
        </w:rPr>
      </w:pPr>
      <w:r w:rsidRPr="005B1673">
        <w:rPr>
          <w:rFonts w:ascii="Arial" w:eastAsia="Arial" w:hAnsi="Arial" w:cs="Arial"/>
        </w:rPr>
        <w:t>In conclusion, sustainability and innovation are the key to BHP's long-term success as it adapts to environmental and technological shifts. The most suitable growth strategy to enhance its competitiveness is product development. Continuous investment in low carbon technologies, sustainable resource utilization, and responsible decisions will help drive business growth and sustainability in the future.</w:t>
      </w:r>
    </w:p>
    <w:p w14:paraId="03D9DB5A" w14:textId="77777777" w:rsidR="00326717" w:rsidRPr="005B1673" w:rsidRDefault="00ED1EE8" w:rsidP="005B1673">
      <w:pPr>
        <w:rPr>
          <w:rFonts w:ascii="Arial" w:eastAsia="Arial" w:hAnsi="Arial" w:cs="Arial"/>
        </w:rPr>
      </w:pPr>
      <w:r w:rsidRPr="005B1673">
        <w:rPr>
          <w:rFonts w:ascii="Arial" w:hAnsi="Arial" w:cs="Arial"/>
        </w:rPr>
        <w:br w:type="page"/>
      </w:r>
    </w:p>
    <w:p w14:paraId="57C0BC19" w14:textId="77777777" w:rsidR="00326717" w:rsidRPr="005B1673" w:rsidRDefault="00ED1EE8" w:rsidP="005B1673">
      <w:pPr>
        <w:pStyle w:val="Heading1"/>
        <w:spacing w:before="240" w:after="240"/>
        <w:rPr>
          <w:rFonts w:ascii="Arial" w:eastAsia="Arial" w:hAnsi="Arial" w:cs="Arial"/>
        </w:rPr>
      </w:pPr>
      <w:bookmarkStart w:id="41" w:name="_63181hhxznuh" w:colFirst="0" w:colLast="0"/>
      <w:bookmarkStart w:id="42" w:name="_Toc235745024"/>
      <w:bookmarkStart w:id="43" w:name="_Toc235797593"/>
      <w:bookmarkEnd w:id="41"/>
      <w:r w:rsidRPr="005B1673">
        <w:rPr>
          <w:rFonts w:ascii="Arial" w:eastAsia="Arial" w:hAnsi="Arial" w:cs="Arial"/>
        </w:rPr>
        <w:t>Reference list</w:t>
      </w:r>
      <w:bookmarkEnd w:id="42"/>
      <w:bookmarkEnd w:id="43"/>
    </w:p>
    <w:p w14:paraId="48F516D8" w14:textId="77777777" w:rsidR="00DD0AF2" w:rsidRPr="005B1673" w:rsidRDefault="00DD0AF2" w:rsidP="005B1673">
      <w:pPr>
        <w:rPr>
          <w:rFonts w:ascii="Arial" w:eastAsia="Arial" w:hAnsi="Arial" w:cs="Arial"/>
        </w:rPr>
      </w:pPr>
      <w:r w:rsidRPr="005B1673">
        <w:rPr>
          <w:rFonts w:ascii="Arial" w:eastAsia="Arial" w:hAnsi="Arial" w:cs="Arial"/>
        </w:rPr>
        <w:t xml:space="preserve">Antonini, S., Grisolia, G. and </w:t>
      </w:r>
      <w:proofErr w:type="spellStart"/>
      <w:r w:rsidRPr="005B1673">
        <w:rPr>
          <w:rFonts w:ascii="Arial" w:eastAsia="Arial" w:hAnsi="Arial" w:cs="Arial"/>
        </w:rPr>
        <w:t>Blengini</w:t>
      </w:r>
      <w:proofErr w:type="spellEnd"/>
      <w:r w:rsidRPr="005B1673">
        <w:rPr>
          <w:rFonts w:ascii="Arial" w:eastAsia="Arial" w:hAnsi="Arial" w:cs="Arial"/>
        </w:rPr>
        <w:t xml:space="preserve">, G.A. (2025) ‘Three open questions on net zero in the mining and metals industries’, </w:t>
      </w:r>
      <w:r w:rsidRPr="005B1673">
        <w:rPr>
          <w:rFonts w:ascii="Arial" w:eastAsia="Arial" w:hAnsi="Arial" w:cs="Arial"/>
          <w:i/>
          <w:iCs/>
        </w:rPr>
        <w:t>Mineral Economics</w:t>
      </w:r>
      <w:r w:rsidRPr="005B1673">
        <w:rPr>
          <w:rFonts w:ascii="Arial" w:eastAsia="Arial" w:hAnsi="Arial" w:cs="Arial"/>
        </w:rPr>
        <w:t>. Available at:</w:t>
      </w:r>
      <w:hyperlink r:id="rId11">
        <w:r w:rsidRPr="005B1673">
          <w:rPr>
            <w:rFonts w:ascii="Arial" w:eastAsia="Arial" w:hAnsi="Arial" w:cs="Arial"/>
          </w:rPr>
          <w:t xml:space="preserve"> </w:t>
        </w:r>
      </w:hyperlink>
      <w:hyperlink r:id="rId12">
        <w:r w:rsidRPr="005B1673">
          <w:rPr>
            <w:rFonts w:ascii="Arial" w:eastAsia="Arial" w:hAnsi="Arial" w:cs="Arial"/>
            <w:color w:val="1155CC"/>
            <w:u w:val="single"/>
          </w:rPr>
          <w:t>https://link.springer.com/article/10.1007/s13563-025-00554-2</w:t>
        </w:r>
      </w:hyperlink>
      <w:r w:rsidRPr="005B1673">
        <w:rPr>
          <w:rFonts w:ascii="Arial" w:eastAsia="Arial" w:hAnsi="Arial" w:cs="Arial"/>
        </w:rPr>
        <w:t xml:space="preserve"> (Accessed: 14 July 2026).</w:t>
      </w:r>
    </w:p>
    <w:p w14:paraId="7D7A46F0" w14:textId="77777777" w:rsidR="00DD0AF2" w:rsidRPr="005B1673" w:rsidRDefault="00DD0AF2" w:rsidP="005B1673">
      <w:pPr>
        <w:rPr>
          <w:rFonts w:ascii="Arial" w:eastAsia="Arial" w:hAnsi="Arial" w:cs="Arial"/>
        </w:rPr>
      </w:pPr>
      <w:r w:rsidRPr="005B1673">
        <w:rPr>
          <w:rFonts w:ascii="Arial" w:eastAsia="Arial" w:hAnsi="Arial" w:cs="Arial"/>
        </w:rPr>
        <w:t xml:space="preserve">BHP (2021) </w:t>
      </w:r>
      <w:r w:rsidRPr="005B1673">
        <w:rPr>
          <w:rFonts w:ascii="Arial" w:eastAsia="Arial" w:hAnsi="Arial" w:cs="Arial"/>
          <w:i/>
          <w:iCs/>
        </w:rPr>
        <w:t>Water</w:t>
      </w:r>
      <w:r w:rsidRPr="005B1673">
        <w:rPr>
          <w:rFonts w:ascii="Arial" w:eastAsia="Arial" w:hAnsi="Arial" w:cs="Arial"/>
        </w:rPr>
        <w:t>. Available at:</w:t>
      </w:r>
      <w:hyperlink r:id="rId13">
        <w:r w:rsidRPr="005B1673">
          <w:rPr>
            <w:rFonts w:ascii="Arial" w:eastAsia="Arial" w:hAnsi="Arial" w:cs="Arial"/>
          </w:rPr>
          <w:t xml:space="preserve"> </w:t>
        </w:r>
      </w:hyperlink>
      <w:hyperlink r:id="rId14">
        <w:r w:rsidRPr="005B1673">
          <w:rPr>
            <w:rFonts w:ascii="Arial" w:eastAsia="Arial" w:hAnsi="Arial" w:cs="Arial"/>
            <w:color w:val="1155CC"/>
            <w:u w:val="single"/>
          </w:rPr>
          <w:t>https://www.bhp.com/sustainability/environment/water</w:t>
        </w:r>
      </w:hyperlink>
      <w:r w:rsidRPr="005B1673">
        <w:rPr>
          <w:rFonts w:ascii="Arial" w:eastAsia="Arial" w:hAnsi="Arial" w:cs="Arial"/>
        </w:rPr>
        <w:t xml:space="preserve"> (Accessed: 14 July 2026).</w:t>
      </w:r>
    </w:p>
    <w:p w14:paraId="570069A9" w14:textId="77777777" w:rsidR="00DD0AF2" w:rsidRPr="005B1673" w:rsidRDefault="00DD0AF2" w:rsidP="005B1673">
      <w:pPr>
        <w:rPr>
          <w:rFonts w:ascii="Arial" w:eastAsia="Arial" w:hAnsi="Arial" w:cs="Arial"/>
        </w:rPr>
      </w:pPr>
      <w:r w:rsidRPr="005B1673">
        <w:rPr>
          <w:rFonts w:ascii="Arial" w:eastAsia="Arial" w:hAnsi="Arial" w:cs="Arial"/>
        </w:rPr>
        <w:t xml:space="preserve">BHP (2023) </w:t>
      </w:r>
      <w:r w:rsidRPr="005B1673">
        <w:rPr>
          <w:rFonts w:ascii="Arial" w:eastAsia="Arial" w:hAnsi="Arial" w:cs="Arial"/>
          <w:i/>
          <w:iCs/>
        </w:rPr>
        <w:t>Better future</w:t>
      </w:r>
      <w:r w:rsidRPr="005B1673">
        <w:rPr>
          <w:rFonts w:ascii="Arial" w:eastAsia="Arial" w:hAnsi="Arial" w:cs="Arial"/>
        </w:rPr>
        <w:t>. Available at:</w:t>
      </w:r>
      <w:hyperlink r:id="rId15">
        <w:r w:rsidRPr="005B1673">
          <w:rPr>
            <w:rFonts w:ascii="Arial" w:eastAsia="Arial" w:hAnsi="Arial" w:cs="Arial"/>
          </w:rPr>
          <w:t xml:space="preserve"> </w:t>
        </w:r>
      </w:hyperlink>
      <w:hyperlink r:id="rId16">
        <w:r w:rsidRPr="005B1673">
          <w:rPr>
            <w:rFonts w:ascii="Arial" w:eastAsia="Arial" w:hAnsi="Arial" w:cs="Arial"/>
            <w:color w:val="1155CC"/>
            <w:u w:val="single"/>
          </w:rPr>
          <w:t>https://www.bhp.com/about/the-future-is-clear/better-future</w:t>
        </w:r>
      </w:hyperlink>
      <w:r w:rsidRPr="005B1673">
        <w:rPr>
          <w:rFonts w:ascii="Arial" w:eastAsia="Arial" w:hAnsi="Arial" w:cs="Arial"/>
        </w:rPr>
        <w:t xml:space="preserve"> (Accessed: 14 July 2026).</w:t>
      </w:r>
    </w:p>
    <w:p w14:paraId="45E257A1" w14:textId="77777777" w:rsidR="00DD0AF2" w:rsidRPr="005B1673" w:rsidRDefault="00DD0AF2" w:rsidP="005B1673">
      <w:pPr>
        <w:rPr>
          <w:rFonts w:ascii="Arial" w:eastAsia="Arial" w:hAnsi="Arial" w:cs="Arial"/>
        </w:rPr>
      </w:pPr>
      <w:r w:rsidRPr="005B1673">
        <w:rPr>
          <w:rFonts w:ascii="Arial" w:eastAsia="Arial" w:hAnsi="Arial" w:cs="Arial"/>
        </w:rPr>
        <w:t xml:space="preserve">BHP (2024a) </w:t>
      </w:r>
      <w:r w:rsidRPr="005B1673">
        <w:rPr>
          <w:rFonts w:ascii="Arial" w:eastAsia="Arial" w:hAnsi="Arial" w:cs="Arial"/>
          <w:i/>
          <w:iCs/>
        </w:rPr>
        <w:t>About us</w:t>
      </w:r>
      <w:r w:rsidRPr="005B1673">
        <w:rPr>
          <w:rFonts w:ascii="Arial" w:eastAsia="Arial" w:hAnsi="Arial" w:cs="Arial"/>
        </w:rPr>
        <w:t>. Available at:</w:t>
      </w:r>
      <w:hyperlink r:id="rId17">
        <w:r w:rsidRPr="005B1673">
          <w:rPr>
            <w:rFonts w:ascii="Arial" w:eastAsia="Arial" w:hAnsi="Arial" w:cs="Arial"/>
          </w:rPr>
          <w:t xml:space="preserve"> </w:t>
        </w:r>
      </w:hyperlink>
      <w:hyperlink r:id="rId18">
        <w:r w:rsidRPr="005B1673">
          <w:rPr>
            <w:rFonts w:ascii="Arial" w:eastAsia="Arial" w:hAnsi="Arial" w:cs="Arial"/>
            <w:color w:val="1155CC"/>
            <w:u w:val="single"/>
          </w:rPr>
          <w:t>https://www.bhp.com/about</w:t>
        </w:r>
      </w:hyperlink>
      <w:r w:rsidRPr="005B1673">
        <w:rPr>
          <w:rFonts w:ascii="Arial" w:eastAsia="Arial" w:hAnsi="Arial" w:cs="Arial"/>
        </w:rPr>
        <w:t xml:space="preserve"> (Accessed: 13 July 2026).</w:t>
      </w:r>
    </w:p>
    <w:p w14:paraId="17489029" w14:textId="77777777" w:rsidR="00DD0AF2" w:rsidRPr="005B1673" w:rsidRDefault="00DD0AF2" w:rsidP="005B1673">
      <w:pPr>
        <w:rPr>
          <w:rFonts w:ascii="Arial" w:eastAsia="Arial" w:hAnsi="Arial" w:cs="Arial"/>
        </w:rPr>
      </w:pPr>
      <w:r w:rsidRPr="005B1673">
        <w:rPr>
          <w:rFonts w:ascii="Arial" w:eastAsia="Arial" w:hAnsi="Arial" w:cs="Arial"/>
        </w:rPr>
        <w:t xml:space="preserve">BHP (2024b) </w:t>
      </w:r>
      <w:r w:rsidRPr="005B1673">
        <w:rPr>
          <w:rFonts w:ascii="Arial" w:eastAsia="Arial" w:hAnsi="Arial" w:cs="Arial"/>
          <w:i/>
          <w:iCs/>
        </w:rPr>
        <w:t>Transition to a net zero economy</w:t>
      </w:r>
      <w:r w:rsidRPr="005B1673">
        <w:rPr>
          <w:rFonts w:ascii="Arial" w:eastAsia="Arial" w:hAnsi="Arial" w:cs="Arial"/>
        </w:rPr>
        <w:t>. Available at:</w:t>
      </w:r>
      <w:hyperlink r:id="rId19">
        <w:r w:rsidRPr="005B1673">
          <w:rPr>
            <w:rFonts w:ascii="Arial" w:eastAsia="Arial" w:hAnsi="Arial" w:cs="Arial"/>
          </w:rPr>
          <w:t xml:space="preserve"> </w:t>
        </w:r>
      </w:hyperlink>
      <w:hyperlink r:id="rId20">
        <w:r w:rsidRPr="005B1673">
          <w:rPr>
            <w:rFonts w:ascii="Arial" w:eastAsia="Arial" w:hAnsi="Arial" w:cs="Arial"/>
            <w:color w:val="1155CC"/>
            <w:u w:val="single"/>
          </w:rPr>
          <w:t>https://www.bhp.com/sustainability/climate-change/transition-to-a-net-zero-economy</w:t>
        </w:r>
      </w:hyperlink>
      <w:r w:rsidRPr="005B1673">
        <w:rPr>
          <w:rFonts w:ascii="Arial" w:eastAsia="Arial" w:hAnsi="Arial" w:cs="Arial"/>
        </w:rPr>
        <w:t xml:space="preserve"> (Accessed: 13 July 2026).</w:t>
      </w:r>
    </w:p>
    <w:p w14:paraId="55CF321C" w14:textId="77777777" w:rsidR="00DD0AF2" w:rsidRPr="005B1673" w:rsidRDefault="00DD0AF2" w:rsidP="005B1673">
      <w:pPr>
        <w:rPr>
          <w:rFonts w:ascii="Arial" w:eastAsia="Arial" w:hAnsi="Arial" w:cs="Arial"/>
        </w:rPr>
      </w:pPr>
      <w:r w:rsidRPr="005B1673">
        <w:rPr>
          <w:rFonts w:ascii="Arial" w:eastAsia="Arial" w:hAnsi="Arial" w:cs="Arial"/>
        </w:rPr>
        <w:t xml:space="preserve">BHP (2025) </w:t>
      </w:r>
      <w:r w:rsidRPr="005B1673">
        <w:rPr>
          <w:rFonts w:ascii="Arial" w:eastAsia="Arial" w:hAnsi="Arial" w:cs="Arial"/>
          <w:i/>
          <w:iCs/>
        </w:rPr>
        <w:t>Annual report 2025</w:t>
      </w:r>
      <w:r w:rsidRPr="005B1673">
        <w:rPr>
          <w:rFonts w:ascii="Arial" w:eastAsia="Arial" w:hAnsi="Arial" w:cs="Arial"/>
        </w:rPr>
        <w:t>. Available at:</w:t>
      </w:r>
      <w:hyperlink r:id="rId21">
        <w:r w:rsidRPr="005B1673">
          <w:rPr>
            <w:rFonts w:ascii="Arial" w:eastAsia="Arial" w:hAnsi="Arial" w:cs="Arial"/>
          </w:rPr>
          <w:t xml:space="preserve"> </w:t>
        </w:r>
      </w:hyperlink>
      <w:hyperlink r:id="rId22">
        <w:r w:rsidRPr="005B1673">
          <w:rPr>
            <w:rFonts w:ascii="Arial" w:eastAsia="Arial" w:hAnsi="Arial" w:cs="Arial"/>
            <w:color w:val="1155CC"/>
            <w:u w:val="single"/>
          </w:rPr>
          <w:t>https://www.bhp.com/investor-hub/reports-and-presentations/annual-report</w:t>
        </w:r>
      </w:hyperlink>
      <w:r w:rsidRPr="005B1673">
        <w:rPr>
          <w:rFonts w:ascii="Arial" w:eastAsia="Arial" w:hAnsi="Arial" w:cs="Arial"/>
        </w:rPr>
        <w:t xml:space="preserve"> (Accessed: 13 July 2026).</w:t>
      </w:r>
    </w:p>
    <w:p w14:paraId="08C24560" w14:textId="77777777" w:rsidR="00DD0AF2" w:rsidRPr="005B1673" w:rsidRDefault="00DD0AF2" w:rsidP="005B1673">
      <w:pPr>
        <w:rPr>
          <w:rFonts w:ascii="Arial" w:eastAsia="Arial" w:hAnsi="Arial" w:cs="Arial"/>
        </w:rPr>
      </w:pPr>
      <w:r w:rsidRPr="005B1673">
        <w:rPr>
          <w:rFonts w:ascii="Arial" w:eastAsia="Arial" w:hAnsi="Arial" w:cs="Arial"/>
        </w:rPr>
        <w:t xml:space="preserve">BHP (2026) </w:t>
      </w:r>
      <w:r w:rsidRPr="005B1673">
        <w:rPr>
          <w:rFonts w:ascii="Arial" w:eastAsia="Arial" w:hAnsi="Arial" w:cs="Arial"/>
          <w:i/>
          <w:iCs/>
        </w:rPr>
        <w:t>Update – Jansen stage 2 potash project</w:t>
      </w:r>
      <w:r w:rsidRPr="005B1673">
        <w:rPr>
          <w:rFonts w:ascii="Arial" w:eastAsia="Arial" w:hAnsi="Arial" w:cs="Arial"/>
        </w:rPr>
        <w:t>. Available at:</w:t>
      </w:r>
      <w:hyperlink r:id="rId23">
        <w:r w:rsidRPr="005B1673">
          <w:rPr>
            <w:rFonts w:ascii="Arial" w:eastAsia="Arial" w:hAnsi="Arial" w:cs="Arial"/>
          </w:rPr>
          <w:t xml:space="preserve"> </w:t>
        </w:r>
      </w:hyperlink>
      <w:hyperlink r:id="rId24">
        <w:r w:rsidRPr="005B1673">
          <w:rPr>
            <w:rFonts w:ascii="Arial" w:eastAsia="Arial" w:hAnsi="Arial" w:cs="Arial"/>
            <w:color w:val="1155CC"/>
            <w:u w:val="single"/>
          </w:rPr>
          <w:t>https://www.bhp.com/news/media-centre/releases/2026/06/update---jansen-stage-2-potash-project</w:t>
        </w:r>
      </w:hyperlink>
      <w:r w:rsidRPr="005B1673">
        <w:rPr>
          <w:rFonts w:ascii="Arial" w:eastAsia="Arial" w:hAnsi="Arial" w:cs="Arial"/>
        </w:rPr>
        <w:t xml:space="preserve"> (Accessed: 14 July 2026).</w:t>
      </w:r>
    </w:p>
    <w:p w14:paraId="1FEC2841" w14:textId="77777777" w:rsidR="00DD0AF2" w:rsidRPr="005B1673" w:rsidRDefault="00DD0AF2" w:rsidP="005B1673">
      <w:pPr>
        <w:rPr>
          <w:rFonts w:ascii="Arial" w:eastAsia="Arial" w:hAnsi="Arial" w:cs="Arial"/>
        </w:rPr>
      </w:pPr>
      <w:proofErr w:type="spellStart"/>
      <w:r w:rsidRPr="005B1673">
        <w:rPr>
          <w:rFonts w:ascii="Arial" w:eastAsia="Arial" w:hAnsi="Arial" w:cs="Arial"/>
        </w:rPr>
        <w:t>Enemuo</w:t>
      </w:r>
      <w:proofErr w:type="spellEnd"/>
      <w:r w:rsidRPr="005B1673">
        <w:rPr>
          <w:rFonts w:ascii="Arial" w:eastAsia="Arial" w:hAnsi="Arial" w:cs="Arial"/>
        </w:rPr>
        <w:t xml:space="preserve">, M. and </w:t>
      </w:r>
      <w:proofErr w:type="spellStart"/>
      <w:r w:rsidRPr="005B1673">
        <w:rPr>
          <w:rFonts w:ascii="Arial" w:eastAsia="Arial" w:hAnsi="Arial" w:cs="Arial"/>
        </w:rPr>
        <w:t>Ogunmodimu</w:t>
      </w:r>
      <w:proofErr w:type="spellEnd"/>
      <w:r w:rsidRPr="005B1673">
        <w:rPr>
          <w:rFonts w:ascii="Arial" w:eastAsia="Arial" w:hAnsi="Arial" w:cs="Arial"/>
        </w:rPr>
        <w:t xml:space="preserve">, O. (2025) ‘Transitioning the mining sector: a review of renewable energy integration and carbon footprint reduction strategies’, </w:t>
      </w:r>
      <w:r w:rsidRPr="005B1673">
        <w:rPr>
          <w:rFonts w:ascii="Arial" w:eastAsia="Arial" w:hAnsi="Arial" w:cs="Arial"/>
          <w:i/>
          <w:iCs/>
        </w:rPr>
        <w:t>Applied Energy</w:t>
      </w:r>
      <w:r w:rsidRPr="005B1673">
        <w:rPr>
          <w:rFonts w:ascii="Arial" w:eastAsia="Arial" w:hAnsi="Arial" w:cs="Arial"/>
        </w:rPr>
        <w:t>, 384, p.125484. Available at:</w:t>
      </w:r>
      <w:hyperlink r:id="rId25">
        <w:r w:rsidRPr="005B1673">
          <w:rPr>
            <w:rFonts w:ascii="Arial" w:eastAsia="Arial" w:hAnsi="Arial" w:cs="Arial"/>
          </w:rPr>
          <w:t xml:space="preserve"> </w:t>
        </w:r>
      </w:hyperlink>
      <w:hyperlink r:id="rId26">
        <w:r w:rsidRPr="005B1673">
          <w:rPr>
            <w:rFonts w:ascii="Arial" w:eastAsia="Arial" w:hAnsi="Arial" w:cs="Arial"/>
            <w:color w:val="1155CC"/>
            <w:u w:val="single"/>
          </w:rPr>
          <w:t>https://www.sciencedirect.com/science/article/abs/pii/S0306261925002144</w:t>
        </w:r>
      </w:hyperlink>
      <w:r w:rsidRPr="005B1673">
        <w:rPr>
          <w:rFonts w:ascii="Arial" w:eastAsia="Arial" w:hAnsi="Arial" w:cs="Arial"/>
        </w:rPr>
        <w:t xml:space="preserve"> (Accessed: 14 July 2026).</w:t>
      </w:r>
    </w:p>
    <w:p w14:paraId="41D0F7D1" w14:textId="77777777" w:rsidR="00DD0AF2" w:rsidRPr="005B1673" w:rsidRDefault="00DD0AF2" w:rsidP="005B1673">
      <w:pPr>
        <w:rPr>
          <w:rFonts w:ascii="Arial" w:eastAsia="Arial" w:hAnsi="Arial" w:cs="Arial"/>
        </w:rPr>
      </w:pPr>
      <w:r w:rsidRPr="005B1673">
        <w:rPr>
          <w:rFonts w:ascii="Arial" w:eastAsia="Arial" w:hAnsi="Arial" w:cs="Arial"/>
        </w:rPr>
        <w:t xml:space="preserve">IEA (2021) </w:t>
      </w:r>
      <w:r w:rsidRPr="005B1673">
        <w:rPr>
          <w:rFonts w:ascii="Arial" w:eastAsia="Arial" w:hAnsi="Arial" w:cs="Arial"/>
          <w:i/>
          <w:iCs/>
        </w:rPr>
        <w:t>Reliable supply of minerals – the role of critical minerals in clean energy transitions</w:t>
      </w:r>
      <w:r w:rsidRPr="005B1673">
        <w:rPr>
          <w:rFonts w:ascii="Arial" w:eastAsia="Arial" w:hAnsi="Arial" w:cs="Arial"/>
        </w:rPr>
        <w:t>. Available at:</w:t>
      </w:r>
      <w:hyperlink r:id="rId27">
        <w:r w:rsidRPr="005B1673">
          <w:rPr>
            <w:rFonts w:ascii="Arial" w:eastAsia="Arial" w:hAnsi="Arial" w:cs="Arial"/>
          </w:rPr>
          <w:t xml:space="preserve"> </w:t>
        </w:r>
      </w:hyperlink>
      <w:hyperlink r:id="rId28">
        <w:r w:rsidRPr="005B1673">
          <w:rPr>
            <w:rFonts w:ascii="Arial" w:eastAsia="Arial" w:hAnsi="Arial" w:cs="Arial"/>
            <w:color w:val="1155CC"/>
            <w:u w:val="single"/>
          </w:rPr>
          <w:t>https://www.iea.org/reports/the-role-of-critical-minerals-in-clean-energy-transitions/reliable-supply-of-minerals</w:t>
        </w:r>
      </w:hyperlink>
      <w:r w:rsidRPr="005B1673">
        <w:rPr>
          <w:rFonts w:ascii="Arial" w:eastAsia="Arial" w:hAnsi="Arial" w:cs="Arial"/>
        </w:rPr>
        <w:t xml:space="preserve"> (Accessed: 13 July 2026).</w:t>
      </w:r>
    </w:p>
    <w:p w14:paraId="08BFDB3B" w14:textId="77777777" w:rsidR="00DD0AF2" w:rsidRPr="005B1673" w:rsidRDefault="00DD0AF2" w:rsidP="005B1673">
      <w:pPr>
        <w:rPr>
          <w:rFonts w:ascii="Arial" w:eastAsia="Arial" w:hAnsi="Arial" w:cs="Arial"/>
        </w:rPr>
      </w:pPr>
      <w:r w:rsidRPr="005B1673">
        <w:rPr>
          <w:rFonts w:ascii="Arial" w:eastAsia="Arial" w:hAnsi="Arial" w:cs="Arial"/>
        </w:rPr>
        <w:t xml:space="preserve">Khalifa, M. and </w:t>
      </w:r>
      <w:proofErr w:type="spellStart"/>
      <w:r w:rsidRPr="005B1673">
        <w:rPr>
          <w:rFonts w:ascii="Arial" w:eastAsia="Arial" w:hAnsi="Arial" w:cs="Arial"/>
        </w:rPr>
        <w:t>Albadawy</w:t>
      </w:r>
      <w:proofErr w:type="spellEnd"/>
      <w:r w:rsidRPr="005B1673">
        <w:rPr>
          <w:rFonts w:ascii="Arial" w:eastAsia="Arial" w:hAnsi="Arial" w:cs="Arial"/>
        </w:rPr>
        <w:t xml:space="preserve">, M. (2024) ‘Using artificial intelligence in academic writing and research: an essential productivity tool’, </w:t>
      </w:r>
      <w:r w:rsidRPr="005B1673">
        <w:rPr>
          <w:rFonts w:ascii="Arial" w:eastAsia="Arial" w:hAnsi="Arial" w:cs="Arial"/>
          <w:i/>
          <w:iCs/>
        </w:rPr>
        <w:t>Computer Methods and Programs in Biomedicine Update</w:t>
      </w:r>
      <w:r w:rsidRPr="005B1673">
        <w:rPr>
          <w:rFonts w:ascii="Arial" w:eastAsia="Arial" w:hAnsi="Arial" w:cs="Arial"/>
        </w:rPr>
        <w:t>, 5(1), p.100145. Available at:</w:t>
      </w:r>
      <w:hyperlink r:id="rId29">
        <w:r w:rsidRPr="005B1673">
          <w:rPr>
            <w:rFonts w:ascii="Arial" w:eastAsia="Arial" w:hAnsi="Arial" w:cs="Arial"/>
          </w:rPr>
          <w:t xml:space="preserve"> </w:t>
        </w:r>
      </w:hyperlink>
      <w:hyperlink r:id="rId30">
        <w:r w:rsidRPr="005B1673">
          <w:rPr>
            <w:rFonts w:ascii="Arial" w:eastAsia="Arial" w:hAnsi="Arial" w:cs="Arial"/>
            <w:color w:val="1155CC"/>
            <w:u w:val="single"/>
          </w:rPr>
          <w:t>https://doi.org/10.1016/j.cmpbup.2024.100145</w:t>
        </w:r>
      </w:hyperlink>
      <w:r w:rsidRPr="005B1673">
        <w:rPr>
          <w:rFonts w:ascii="Arial" w:eastAsia="Arial" w:hAnsi="Arial" w:cs="Arial"/>
        </w:rPr>
        <w:t xml:space="preserve"> (Accessed: 14 July 2026).</w:t>
      </w:r>
    </w:p>
    <w:p w14:paraId="434A12CB" w14:textId="77777777" w:rsidR="00DD0AF2" w:rsidRPr="005B1673" w:rsidRDefault="00DD0AF2" w:rsidP="005B1673">
      <w:pPr>
        <w:rPr>
          <w:rFonts w:ascii="Arial" w:eastAsia="Arial" w:hAnsi="Arial" w:cs="Arial"/>
        </w:rPr>
      </w:pPr>
      <w:r w:rsidRPr="005B1673">
        <w:rPr>
          <w:rFonts w:ascii="Arial" w:eastAsia="Arial" w:hAnsi="Arial" w:cs="Arial"/>
        </w:rPr>
        <w:t xml:space="preserve">Knaus, C. and Morton, A. (2026) ‘Former top BHP economist urges tougher government policies to push miners to decarbonise’, </w:t>
      </w:r>
      <w:r w:rsidRPr="005B1673">
        <w:rPr>
          <w:rFonts w:ascii="Arial" w:eastAsia="Arial" w:hAnsi="Arial" w:cs="Arial"/>
          <w:i/>
          <w:iCs/>
        </w:rPr>
        <w:t>The Guardian</w:t>
      </w:r>
      <w:r w:rsidRPr="005B1673">
        <w:rPr>
          <w:rFonts w:ascii="Arial" w:eastAsia="Arial" w:hAnsi="Arial" w:cs="Arial"/>
        </w:rPr>
        <w:t>. Available at:</w:t>
      </w:r>
      <w:hyperlink r:id="rId31">
        <w:r w:rsidRPr="005B1673">
          <w:rPr>
            <w:rFonts w:ascii="Arial" w:eastAsia="Arial" w:hAnsi="Arial" w:cs="Arial"/>
          </w:rPr>
          <w:t xml:space="preserve"> </w:t>
        </w:r>
      </w:hyperlink>
      <w:hyperlink r:id="rId32">
        <w:r w:rsidRPr="005B1673">
          <w:rPr>
            <w:rFonts w:ascii="Arial" w:eastAsia="Arial" w:hAnsi="Arial" w:cs="Arial"/>
            <w:color w:val="1155CC"/>
            <w:u w:val="single"/>
          </w:rPr>
          <w:t>https://www.theguardian.com/business/2026/jul/10/former-bhp-economist-carbon-price-emissions</w:t>
        </w:r>
      </w:hyperlink>
      <w:r w:rsidRPr="005B1673">
        <w:rPr>
          <w:rFonts w:ascii="Arial" w:eastAsia="Arial" w:hAnsi="Arial" w:cs="Arial"/>
        </w:rPr>
        <w:t xml:space="preserve"> (Accessed: 14 July 2026).</w:t>
      </w:r>
    </w:p>
    <w:p w14:paraId="0BBFBD9B" w14:textId="77777777" w:rsidR="00DD0AF2" w:rsidRPr="005B1673" w:rsidRDefault="00DD0AF2" w:rsidP="005B1673">
      <w:pPr>
        <w:rPr>
          <w:rFonts w:ascii="Arial" w:eastAsia="Arial" w:hAnsi="Arial" w:cs="Arial"/>
        </w:rPr>
      </w:pPr>
      <w:proofErr w:type="spellStart"/>
      <w:r w:rsidRPr="005B1673">
        <w:rPr>
          <w:rFonts w:ascii="Arial" w:eastAsia="Arial" w:hAnsi="Arial" w:cs="Arial"/>
        </w:rPr>
        <w:t>Konurbayeva</w:t>
      </w:r>
      <w:proofErr w:type="spellEnd"/>
      <w:r w:rsidRPr="005B1673">
        <w:rPr>
          <w:rFonts w:ascii="Arial" w:eastAsia="Arial" w:hAnsi="Arial" w:cs="Arial"/>
        </w:rPr>
        <w:t xml:space="preserve">, Z. et al. (2026) ‘Leading sustainable competitive advantage from within: an analysis of the mining industry’, </w:t>
      </w:r>
      <w:r w:rsidRPr="005B1673">
        <w:rPr>
          <w:rFonts w:ascii="Arial" w:eastAsia="Arial" w:hAnsi="Arial" w:cs="Arial"/>
          <w:i/>
          <w:iCs/>
        </w:rPr>
        <w:t>Sustainable Development</w:t>
      </w:r>
      <w:r w:rsidRPr="005B1673">
        <w:rPr>
          <w:rFonts w:ascii="Arial" w:eastAsia="Arial" w:hAnsi="Arial" w:cs="Arial"/>
        </w:rPr>
        <w:t>. Available at:</w:t>
      </w:r>
      <w:hyperlink r:id="rId33">
        <w:r w:rsidRPr="005B1673">
          <w:rPr>
            <w:rFonts w:ascii="Arial" w:eastAsia="Arial" w:hAnsi="Arial" w:cs="Arial"/>
          </w:rPr>
          <w:t xml:space="preserve"> </w:t>
        </w:r>
      </w:hyperlink>
      <w:hyperlink r:id="rId34">
        <w:r w:rsidRPr="005B1673">
          <w:rPr>
            <w:rFonts w:ascii="Arial" w:eastAsia="Arial" w:hAnsi="Arial" w:cs="Arial"/>
            <w:color w:val="1155CC"/>
            <w:u w:val="single"/>
          </w:rPr>
          <w:t>https://onlinelibrary.wiley.com/doi/full/10.1002/sd.70753</w:t>
        </w:r>
      </w:hyperlink>
      <w:r w:rsidRPr="005B1673">
        <w:rPr>
          <w:rFonts w:ascii="Arial" w:eastAsia="Arial" w:hAnsi="Arial" w:cs="Arial"/>
        </w:rPr>
        <w:t xml:space="preserve"> (Accessed: 14 July 2026).</w:t>
      </w:r>
    </w:p>
    <w:p w14:paraId="55D99E34" w14:textId="77777777" w:rsidR="00DD0AF2" w:rsidRPr="005B1673" w:rsidRDefault="00DD0AF2" w:rsidP="005B1673">
      <w:pPr>
        <w:rPr>
          <w:rFonts w:ascii="Arial" w:eastAsia="Arial" w:hAnsi="Arial" w:cs="Arial"/>
        </w:rPr>
      </w:pPr>
      <w:proofErr w:type="spellStart"/>
      <w:r w:rsidRPr="005B1673">
        <w:rPr>
          <w:rFonts w:ascii="Arial" w:eastAsia="Arial" w:hAnsi="Arial" w:cs="Arial"/>
        </w:rPr>
        <w:t>Lectura.press</w:t>
      </w:r>
      <w:proofErr w:type="spellEnd"/>
      <w:r w:rsidRPr="005B1673">
        <w:rPr>
          <w:rFonts w:ascii="Arial" w:eastAsia="Arial" w:hAnsi="Arial" w:cs="Arial"/>
        </w:rPr>
        <w:t xml:space="preserve"> (2026) </w:t>
      </w:r>
      <w:r w:rsidRPr="005B1673">
        <w:rPr>
          <w:rFonts w:ascii="Arial" w:eastAsia="Arial" w:hAnsi="Arial" w:cs="Arial"/>
          <w:i/>
          <w:iCs/>
        </w:rPr>
        <w:t>Mining and metals industry drives 11 percent of global emissions</w:t>
      </w:r>
      <w:r w:rsidRPr="005B1673">
        <w:rPr>
          <w:rFonts w:ascii="Arial" w:eastAsia="Arial" w:hAnsi="Arial" w:cs="Arial"/>
        </w:rPr>
        <w:t>. Available at:</w:t>
      </w:r>
      <w:hyperlink r:id="rId35">
        <w:r w:rsidRPr="005B1673">
          <w:rPr>
            <w:rFonts w:ascii="Arial" w:eastAsia="Arial" w:hAnsi="Arial" w:cs="Arial"/>
          </w:rPr>
          <w:t xml:space="preserve"> </w:t>
        </w:r>
      </w:hyperlink>
      <w:hyperlink r:id="rId36">
        <w:r w:rsidRPr="005B1673">
          <w:rPr>
            <w:rFonts w:ascii="Arial" w:eastAsia="Arial" w:hAnsi="Arial" w:cs="Arial"/>
            <w:color w:val="1155CC"/>
            <w:u w:val="single"/>
          </w:rPr>
          <w:t>https://lectura.press/en/article/mining-and-metals-industry-drives-11-percent-of-global-emissions/68647</w:t>
        </w:r>
      </w:hyperlink>
      <w:r w:rsidRPr="005B1673">
        <w:rPr>
          <w:rFonts w:ascii="Arial" w:eastAsia="Arial" w:hAnsi="Arial" w:cs="Arial"/>
        </w:rPr>
        <w:t xml:space="preserve"> (Accessed: 13 July 2026).</w:t>
      </w:r>
    </w:p>
    <w:p w14:paraId="189701E4" w14:textId="77777777" w:rsidR="00DD0AF2" w:rsidRPr="005B1673" w:rsidRDefault="00DD0AF2" w:rsidP="005B1673">
      <w:pPr>
        <w:rPr>
          <w:rFonts w:ascii="Arial" w:eastAsia="Arial" w:hAnsi="Arial" w:cs="Arial"/>
        </w:rPr>
      </w:pPr>
      <w:r w:rsidRPr="005B1673">
        <w:rPr>
          <w:rFonts w:ascii="Arial" w:eastAsia="Arial" w:hAnsi="Arial" w:cs="Arial"/>
        </w:rPr>
        <w:t xml:space="preserve">Mondal, S. et al. (2025) ‘Does sustainability influence shareholder value creation through inorganic growth?’, </w:t>
      </w:r>
      <w:r w:rsidRPr="005B1673">
        <w:rPr>
          <w:rFonts w:ascii="Arial" w:eastAsia="Arial" w:hAnsi="Arial" w:cs="Arial"/>
          <w:i/>
          <w:iCs/>
        </w:rPr>
        <w:t>Discover Sustainability</w:t>
      </w:r>
      <w:r w:rsidRPr="005B1673">
        <w:rPr>
          <w:rFonts w:ascii="Arial" w:eastAsia="Arial" w:hAnsi="Arial" w:cs="Arial"/>
        </w:rPr>
        <w:t>, 6(1). Available at:</w:t>
      </w:r>
      <w:hyperlink r:id="rId37">
        <w:r w:rsidRPr="005B1673">
          <w:rPr>
            <w:rFonts w:ascii="Arial" w:eastAsia="Arial" w:hAnsi="Arial" w:cs="Arial"/>
          </w:rPr>
          <w:t xml:space="preserve"> </w:t>
        </w:r>
      </w:hyperlink>
      <w:hyperlink r:id="rId38">
        <w:r w:rsidRPr="005B1673">
          <w:rPr>
            <w:rFonts w:ascii="Arial" w:eastAsia="Arial" w:hAnsi="Arial" w:cs="Arial"/>
            <w:color w:val="1155CC"/>
            <w:u w:val="single"/>
          </w:rPr>
          <w:t>https://link.springer.com/article/10.1007/s43621-025-01957-5</w:t>
        </w:r>
      </w:hyperlink>
      <w:r w:rsidRPr="005B1673">
        <w:rPr>
          <w:rFonts w:ascii="Arial" w:eastAsia="Arial" w:hAnsi="Arial" w:cs="Arial"/>
        </w:rPr>
        <w:t xml:space="preserve"> (Accessed: 14 July 2026).</w:t>
      </w:r>
    </w:p>
    <w:p w14:paraId="743048DD" w14:textId="77777777" w:rsidR="00DD0AF2" w:rsidRPr="005B1673" w:rsidRDefault="00DD0AF2" w:rsidP="005B1673">
      <w:pPr>
        <w:rPr>
          <w:rFonts w:ascii="Arial" w:eastAsia="Arial" w:hAnsi="Arial" w:cs="Arial"/>
        </w:rPr>
      </w:pPr>
      <w:proofErr w:type="spellStart"/>
      <w:r w:rsidRPr="005B1673">
        <w:rPr>
          <w:rFonts w:ascii="Arial" w:eastAsia="Arial" w:hAnsi="Arial" w:cs="Arial"/>
        </w:rPr>
        <w:t>Ojadi</w:t>
      </w:r>
      <w:proofErr w:type="spellEnd"/>
      <w:r w:rsidRPr="005B1673">
        <w:rPr>
          <w:rFonts w:ascii="Arial" w:eastAsia="Arial" w:hAnsi="Arial" w:cs="Arial"/>
        </w:rPr>
        <w:t xml:space="preserve">, J.O. et al. (2023) ‘AI-driven predictive analytics for carbon emission reduction in industrial manufacturing’, </w:t>
      </w:r>
      <w:r w:rsidRPr="005B1673">
        <w:rPr>
          <w:rFonts w:ascii="Arial" w:eastAsia="Arial" w:hAnsi="Arial" w:cs="Arial"/>
          <w:i/>
          <w:iCs/>
        </w:rPr>
        <w:t>International Journal of Multidisciplinary Research and Growth Evaluation</w:t>
      </w:r>
      <w:r w:rsidRPr="005B1673">
        <w:rPr>
          <w:rFonts w:ascii="Arial" w:eastAsia="Arial" w:hAnsi="Arial" w:cs="Arial"/>
        </w:rPr>
        <w:t>, 4(1), pp.948–960. Available at:</w:t>
      </w:r>
      <w:hyperlink r:id="rId39">
        <w:r w:rsidRPr="005B1673">
          <w:rPr>
            <w:rFonts w:ascii="Arial" w:eastAsia="Arial" w:hAnsi="Arial" w:cs="Arial"/>
          </w:rPr>
          <w:t xml:space="preserve"> </w:t>
        </w:r>
      </w:hyperlink>
      <w:hyperlink r:id="rId40">
        <w:r w:rsidRPr="005B1673">
          <w:rPr>
            <w:rFonts w:ascii="Arial" w:eastAsia="Arial" w:hAnsi="Arial" w:cs="Arial"/>
            <w:color w:val="1155CC"/>
            <w:u w:val="single"/>
          </w:rPr>
          <w:t>https://www.researchgate.net/publication/390943175</w:t>
        </w:r>
      </w:hyperlink>
      <w:r w:rsidRPr="005B1673">
        <w:rPr>
          <w:rFonts w:ascii="Arial" w:eastAsia="Arial" w:hAnsi="Arial" w:cs="Arial"/>
        </w:rPr>
        <w:t xml:space="preserve"> (Accessed: 14 July 2026).</w:t>
      </w:r>
    </w:p>
    <w:p w14:paraId="7B683999" w14:textId="77777777" w:rsidR="00DD0AF2" w:rsidRPr="005B1673" w:rsidRDefault="00DD0AF2" w:rsidP="005B1673">
      <w:pPr>
        <w:rPr>
          <w:rFonts w:ascii="Arial" w:eastAsia="Arial" w:hAnsi="Arial" w:cs="Arial"/>
        </w:rPr>
      </w:pPr>
      <w:r w:rsidRPr="005B1673">
        <w:rPr>
          <w:rFonts w:ascii="Arial" w:eastAsia="Arial" w:hAnsi="Arial" w:cs="Arial"/>
        </w:rPr>
        <w:t xml:space="preserve">Osei, V. et al. (2026) ‘Dynamic capabilities and circular economy innovations for achieving net zero in mining’, </w:t>
      </w:r>
      <w:r w:rsidRPr="005B1673">
        <w:rPr>
          <w:rFonts w:ascii="Arial" w:eastAsia="Arial" w:hAnsi="Arial" w:cs="Arial"/>
          <w:i/>
          <w:iCs/>
        </w:rPr>
        <w:t>Sustainable Development</w:t>
      </w:r>
      <w:r w:rsidRPr="005B1673">
        <w:rPr>
          <w:rFonts w:ascii="Arial" w:eastAsia="Arial" w:hAnsi="Arial" w:cs="Arial"/>
        </w:rPr>
        <w:t>. Available at:</w:t>
      </w:r>
      <w:hyperlink r:id="rId41">
        <w:r w:rsidRPr="005B1673">
          <w:rPr>
            <w:rFonts w:ascii="Arial" w:eastAsia="Arial" w:hAnsi="Arial" w:cs="Arial"/>
          </w:rPr>
          <w:t xml:space="preserve"> </w:t>
        </w:r>
      </w:hyperlink>
      <w:hyperlink r:id="rId42">
        <w:r w:rsidRPr="005B1673">
          <w:rPr>
            <w:rFonts w:ascii="Arial" w:eastAsia="Arial" w:hAnsi="Arial" w:cs="Arial"/>
            <w:color w:val="1155CC"/>
            <w:u w:val="single"/>
          </w:rPr>
          <w:t>https://onlinelibrary.wiley.com/doi/10.1002/sd.71152</w:t>
        </w:r>
      </w:hyperlink>
      <w:r w:rsidRPr="005B1673">
        <w:rPr>
          <w:rFonts w:ascii="Arial" w:eastAsia="Arial" w:hAnsi="Arial" w:cs="Arial"/>
        </w:rPr>
        <w:t xml:space="preserve"> (Accessed: 14 July 2026).</w:t>
      </w:r>
    </w:p>
    <w:p w14:paraId="68769166" w14:textId="77777777" w:rsidR="00DD0AF2" w:rsidRPr="005B1673" w:rsidRDefault="00DD0AF2" w:rsidP="005B1673">
      <w:pPr>
        <w:rPr>
          <w:rFonts w:ascii="Arial" w:eastAsia="Arial" w:hAnsi="Arial" w:cs="Arial"/>
        </w:rPr>
      </w:pPr>
      <w:proofErr w:type="spellStart"/>
      <w:r w:rsidRPr="005B1673">
        <w:rPr>
          <w:rFonts w:ascii="Arial" w:eastAsia="Arial" w:hAnsi="Arial" w:cs="Arial"/>
        </w:rPr>
        <w:t>Peterdy</w:t>
      </w:r>
      <w:proofErr w:type="spellEnd"/>
      <w:r w:rsidRPr="005B1673">
        <w:rPr>
          <w:rFonts w:ascii="Arial" w:eastAsia="Arial" w:hAnsi="Arial" w:cs="Arial"/>
        </w:rPr>
        <w:t xml:space="preserve">, K. (2025) </w:t>
      </w:r>
      <w:r w:rsidRPr="005B1673">
        <w:rPr>
          <w:rFonts w:ascii="Arial" w:eastAsia="Arial" w:hAnsi="Arial" w:cs="Arial"/>
          <w:i/>
          <w:iCs/>
        </w:rPr>
        <w:t>Ansoff matrix</w:t>
      </w:r>
      <w:r w:rsidRPr="005B1673">
        <w:rPr>
          <w:rFonts w:ascii="Arial" w:eastAsia="Arial" w:hAnsi="Arial" w:cs="Arial"/>
        </w:rPr>
        <w:t>. Available at:</w:t>
      </w:r>
      <w:hyperlink r:id="rId43">
        <w:r w:rsidRPr="005B1673">
          <w:rPr>
            <w:rFonts w:ascii="Arial" w:eastAsia="Arial" w:hAnsi="Arial" w:cs="Arial"/>
          </w:rPr>
          <w:t xml:space="preserve"> </w:t>
        </w:r>
      </w:hyperlink>
      <w:hyperlink r:id="rId44">
        <w:r w:rsidRPr="005B1673">
          <w:rPr>
            <w:rFonts w:ascii="Arial" w:eastAsia="Arial" w:hAnsi="Arial" w:cs="Arial"/>
            <w:color w:val="1155CC"/>
            <w:u w:val="single"/>
          </w:rPr>
          <w:t>https://corporatefinanceinstitute.com/resources/management/ansoff-matrix/</w:t>
        </w:r>
      </w:hyperlink>
      <w:r w:rsidRPr="005B1673">
        <w:rPr>
          <w:rFonts w:ascii="Arial" w:eastAsia="Arial" w:hAnsi="Arial" w:cs="Arial"/>
        </w:rPr>
        <w:t xml:space="preserve"> (Accessed: 14 July 2026).</w:t>
      </w:r>
    </w:p>
    <w:p w14:paraId="27B4E8C6" w14:textId="77777777" w:rsidR="00DD0AF2" w:rsidRPr="005B1673" w:rsidRDefault="00DD0AF2" w:rsidP="005B1673">
      <w:pPr>
        <w:rPr>
          <w:rFonts w:ascii="Arial" w:eastAsia="Arial" w:hAnsi="Arial" w:cs="Arial"/>
        </w:rPr>
      </w:pPr>
      <w:r w:rsidRPr="005B1673">
        <w:rPr>
          <w:rFonts w:ascii="Arial" w:eastAsia="Arial" w:hAnsi="Arial" w:cs="Arial"/>
        </w:rPr>
        <w:t xml:space="preserve">S&amp;P Global (2025) </w:t>
      </w:r>
      <w:r w:rsidRPr="005B1673">
        <w:rPr>
          <w:rFonts w:ascii="Arial" w:eastAsia="Arial" w:hAnsi="Arial" w:cs="Arial"/>
          <w:i/>
          <w:iCs/>
        </w:rPr>
        <w:t>BHP eyes iron ore output ramp-up, admits underestimating China’s steel demand resilience</w:t>
      </w:r>
      <w:r w:rsidRPr="005B1673">
        <w:rPr>
          <w:rFonts w:ascii="Arial" w:eastAsia="Arial" w:hAnsi="Arial" w:cs="Arial"/>
        </w:rPr>
        <w:t>. Available at:</w:t>
      </w:r>
      <w:hyperlink r:id="rId45">
        <w:r w:rsidRPr="005B1673">
          <w:rPr>
            <w:rFonts w:ascii="Arial" w:eastAsia="Arial" w:hAnsi="Arial" w:cs="Arial"/>
          </w:rPr>
          <w:t xml:space="preserve"> </w:t>
        </w:r>
      </w:hyperlink>
      <w:hyperlink r:id="rId46">
        <w:r w:rsidRPr="005B1673">
          <w:rPr>
            <w:rFonts w:ascii="Arial" w:eastAsia="Arial" w:hAnsi="Arial" w:cs="Arial"/>
            <w:color w:val="1155CC"/>
            <w:u w:val="single"/>
          </w:rPr>
          <w:t>https://www.spglobal.com/energy/en/news-research/latest-news/metals/081925-bhp-eyes-iron-ore-output-ramp-up-admits-underestimating-chinas-steel-demand-resilience</w:t>
        </w:r>
      </w:hyperlink>
      <w:r w:rsidRPr="005B1673">
        <w:rPr>
          <w:rFonts w:ascii="Arial" w:eastAsia="Arial" w:hAnsi="Arial" w:cs="Arial"/>
        </w:rPr>
        <w:t xml:space="preserve"> (Accessed: 14 July 2026).</w:t>
      </w:r>
    </w:p>
    <w:p w14:paraId="6252AAED" w14:textId="77777777" w:rsidR="00DD0AF2" w:rsidRPr="005B1673" w:rsidRDefault="00DD0AF2" w:rsidP="005B1673">
      <w:pPr>
        <w:rPr>
          <w:rFonts w:ascii="Arial" w:eastAsia="Arial" w:hAnsi="Arial" w:cs="Arial"/>
        </w:rPr>
      </w:pPr>
      <w:r w:rsidRPr="005B1673">
        <w:rPr>
          <w:rFonts w:ascii="Arial" w:eastAsia="Arial" w:hAnsi="Arial" w:cs="Arial"/>
        </w:rPr>
        <w:t xml:space="preserve">Singh, A. (2025) ‘BHP delays decarbonisation spending to 2030s as technology lags’, </w:t>
      </w:r>
      <w:r w:rsidRPr="005B1673">
        <w:rPr>
          <w:rFonts w:ascii="Arial" w:eastAsia="Arial" w:hAnsi="Arial" w:cs="Arial"/>
          <w:i/>
          <w:iCs/>
        </w:rPr>
        <w:t>Carbon Pulse</w:t>
      </w:r>
      <w:r w:rsidRPr="005B1673">
        <w:rPr>
          <w:rFonts w:ascii="Arial" w:eastAsia="Arial" w:hAnsi="Arial" w:cs="Arial"/>
        </w:rPr>
        <w:t>. Available at:</w:t>
      </w:r>
      <w:hyperlink r:id="rId47">
        <w:r w:rsidRPr="005B1673">
          <w:rPr>
            <w:rFonts w:ascii="Arial" w:eastAsia="Arial" w:hAnsi="Arial" w:cs="Arial"/>
          </w:rPr>
          <w:t xml:space="preserve"> </w:t>
        </w:r>
      </w:hyperlink>
      <w:hyperlink r:id="rId48">
        <w:r w:rsidRPr="005B1673">
          <w:rPr>
            <w:rFonts w:ascii="Arial" w:eastAsia="Arial" w:hAnsi="Arial" w:cs="Arial"/>
            <w:color w:val="1155CC"/>
            <w:u w:val="single"/>
          </w:rPr>
          <w:t>https://carbon-pulse.com/426991/</w:t>
        </w:r>
      </w:hyperlink>
      <w:r w:rsidRPr="005B1673">
        <w:rPr>
          <w:rFonts w:ascii="Arial" w:eastAsia="Arial" w:hAnsi="Arial" w:cs="Arial"/>
        </w:rPr>
        <w:t xml:space="preserve"> (Accessed: 13 July 2026).</w:t>
      </w:r>
    </w:p>
    <w:p w14:paraId="18742C61" w14:textId="77777777" w:rsidR="00DD0AF2" w:rsidRPr="005B1673" w:rsidRDefault="00DD0AF2" w:rsidP="005B1673">
      <w:pPr>
        <w:rPr>
          <w:rFonts w:ascii="Arial" w:eastAsia="Arial" w:hAnsi="Arial" w:cs="Arial"/>
        </w:rPr>
      </w:pPr>
      <w:r w:rsidRPr="005B1673">
        <w:rPr>
          <w:rFonts w:ascii="Arial" w:eastAsia="Arial" w:hAnsi="Arial" w:cs="Arial"/>
        </w:rPr>
        <w:t xml:space="preserve">Usman, M., Akbar, A. and </w:t>
      </w:r>
      <w:proofErr w:type="spellStart"/>
      <w:r w:rsidRPr="005B1673">
        <w:rPr>
          <w:rFonts w:ascii="Arial" w:eastAsia="Arial" w:hAnsi="Arial" w:cs="Arial"/>
        </w:rPr>
        <w:t>Hedvicakova</w:t>
      </w:r>
      <w:proofErr w:type="spellEnd"/>
      <w:r w:rsidRPr="005B1673">
        <w:rPr>
          <w:rFonts w:ascii="Arial" w:eastAsia="Arial" w:hAnsi="Arial" w:cs="Arial"/>
        </w:rPr>
        <w:t xml:space="preserve">, M. (2026) ‘The economic impact of decarbonization’, </w:t>
      </w:r>
      <w:r w:rsidRPr="005B1673">
        <w:rPr>
          <w:rFonts w:ascii="Arial" w:eastAsia="Arial" w:hAnsi="Arial" w:cs="Arial"/>
          <w:i/>
          <w:iCs/>
        </w:rPr>
        <w:t>Discover Sustainability</w:t>
      </w:r>
      <w:r w:rsidRPr="005B1673">
        <w:rPr>
          <w:rFonts w:ascii="Arial" w:eastAsia="Arial" w:hAnsi="Arial" w:cs="Arial"/>
        </w:rPr>
        <w:t>, 7(1). Available at:</w:t>
      </w:r>
      <w:hyperlink r:id="rId49">
        <w:r w:rsidRPr="005B1673">
          <w:rPr>
            <w:rFonts w:ascii="Arial" w:eastAsia="Arial" w:hAnsi="Arial" w:cs="Arial"/>
          </w:rPr>
          <w:t xml:space="preserve"> </w:t>
        </w:r>
      </w:hyperlink>
      <w:hyperlink r:id="rId50">
        <w:r w:rsidRPr="005B1673">
          <w:rPr>
            <w:rFonts w:ascii="Arial" w:eastAsia="Arial" w:hAnsi="Arial" w:cs="Arial"/>
            <w:color w:val="1155CC"/>
            <w:u w:val="single"/>
          </w:rPr>
          <w:t>https://link.springer.com/article/10.1007/s43621-026-03318-2</w:t>
        </w:r>
      </w:hyperlink>
      <w:r w:rsidRPr="005B1673">
        <w:rPr>
          <w:rFonts w:ascii="Arial" w:eastAsia="Arial" w:hAnsi="Arial" w:cs="Arial"/>
        </w:rPr>
        <w:t xml:space="preserve"> (Accessed: 14 July 2026).</w:t>
      </w:r>
    </w:p>
    <w:p w14:paraId="3BD73664" w14:textId="77777777" w:rsidR="00DD0AF2" w:rsidRPr="005B1673" w:rsidRDefault="00DD0AF2" w:rsidP="00533074">
      <w:pPr>
        <w:rPr>
          <w:rFonts w:ascii="Arial" w:eastAsia="Arial" w:hAnsi="Arial" w:cs="Arial"/>
        </w:rPr>
      </w:pPr>
      <w:r w:rsidRPr="005B1673">
        <w:rPr>
          <w:rFonts w:ascii="Arial" w:eastAsia="Arial" w:hAnsi="Arial" w:cs="Arial"/>
        </w:rPr>
        <w:t xml:space="preserve">Zhai, C., Wibowo, S. and Li, L.D. (2024) ‘The effects of over-reliance on AI dialogue systems on students’ cognitive abilities’, </w:t>
      </w:r>
      <w:r w:rsidRPr="005B1673">
        <w:rPr>
          <w:rFonts w:ascii="Arial" w:eastAsia="Arial" w:hAnsi="Arial" w:cs="Arial"/>
          <w:i/>
          <w:iCs/>
        </w:rPr>
        <w:t>Smart Learning Environments</w:t>
      </w:r>
      <w:r w:rsidRPr="005B1673">
        <w:rPr>
          <w:rFonts w:ascii="Arial" w:eastAsia="Arial" w:hAnsi="Arial" w:cs="Arial"/>
        </w:rPr>
        <w:t>, 11(28), pp.1–37. Available at:</w:t>
      </w:r>
      <w:hyperlink r:id="rId51">
        <w:r w:rsidRPr="005B1673">
          <w:rPr>
            <w:rFonts w:ascii="Arial" w:eastAsia="Arial" w:hAnsi="Arial" w:cs="Arial"/>
          </w:rPr>
          <w:t xml:space="preserve"> </w:t>
        </w:r>
      </w:hyperlink>
      <w:hyperlink r:id="rId52">
        <w:r w:rsidRPr="005B1673">
          <w:rPr>
            <w:rFonts w:ascii="Arial" w:eastAsia="Arial" w:hAnsi="Arial" w:cs="Arial"/>
            <w:color w:val="1155CC"/>
            <w:u w:val="single"/>
          </w:rPr>
          <w:t>https://www.researchgate.net/publication/381518778</w:t>
        </w:r>
      </w:hyperlink>
      <w:r w:rsidRPr="005B1673">
        <w:rPr>
          <w:rFonts w:ascii="Arial" w:eastAsia="Arial" w:hAnsi="Arial" w:cs="Arial"/>
        </w:rPr>
        <w:t xml:space="preserve"> (Accessed: 14 July 2026).</w:t>
      </w:r>
    </w:p>
    <w:p w14:paraId="5762FCD4" w14:textId="77777777" w:rsidR="00326717" w:rsidRPr="005B1673" w:rsidRDefault="00326717" w:rsidP="005B1673">
      <w:pPr>
        <w:rPr>
          <w:rFonts w:ascii="Arial" w:eastAsia="Arial" w:hAnsi="Arial" w:cs="Arial"/>
        </w:rPr>
      </w:pPr>
    </w:p>
    <w:sectPr w:rsidR="00326717" w:rsidRPr="005B1673" w:rsidSect="002231EE">
      <w:footerReference w:type="default" r:id="rId53"/>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03FBFB" w14:textId="77777777" w:rsidR="00C22B60" w:rsidRDefault="00C22B60" w:rsidP="00AD0664">
      <w:pPr>
        <w:spacing w:before="0" w:after="0" w:line="240" w:lineRule="auto"/>
      </w:pPr>
      <w:r>
        <w:separator/>
      </w:r>
    </w:p>
  </w:endnote>
  <w:endnote w:type="continuationSeparator" w:id="0">
    <w:p w14:paraId="136A9B1F" w14:textId="77777777" w:rsidR="00C22B60" w:rsidRDefault="00C22B60" w:rsidP="00AD06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5B1E34CD-5844-42A3-809B-4A6FE657DE7E}"/>
  </w:font>
  <w:font w:name="Cambria">
    <w:panose1 w:val="02040503050406030204"/>
    <w:charset w:val="00"/>
    <w:family w:val="roman"/>
    <w:pitch w:val="variable"/>
    <w:sig w:usb0="E00006FF" w:usb1="420024FF" w:usb2="02000000" w:usb3="00000000" w:csb0="0000019F" w:csb1="00000000"/>
    <w:embedRegular r:id="rId2" w:fontKey="{3D044EBC-A2DA-4C9D-B9FC-E9A1BBA461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1206782"/>
      <w:docPartObj>
        <w:docPartGallery w:val="Page Numbers (Bottom of Page)"/>
        <w:docPartUnique/>
      </w:docPartObj>
    </w:sdtPr>
    <w:sdtEndPr>
      <w:rPr>
        <w:noProof/>
      </w:rPr>
    </w:sdtEndPr>
    <w:sdtContent>
      <w:p w14:paraId="05021CD7" w14:textId="2CFAC40E" w:rsidR="00AE0847" w:rsidRDefault="00AE08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43F16B" w14:textId="77777777" w:rsidR="00AE0847" w:rsidRDefault="00AE0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D3AF48" w14:textId="77777777" w:rsidR="00C22B60" w:rsidRDefault="00C22B60" w:rsidP="00AD0664">
      <w:pPr>
        <w:spacing w:before="0" w:after="0" w:line="240" w:lineRule="auto"/>
      </w:pPr>
      <w:r>
        <w:separator/>
      </w:r>
    </w:p>
  </w:footnote>
  <w:footnote w:type="continuationSeparator" w:id="0">
    <w:p w14:paraId="7D23EBAE" w14:textId="77777777" w:rsidR="00C22B60" w:rsidRDefault="00C22B60" w:rsidP="00AD066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E2AEE"/>
    <w:multiLevelType w:val="multilevel"/>
    <w:tmpl w:val="3050F51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9C430F"/>
    <w:multiLevelType w:val="multilevel"/>
    <w:tmpl w:val="8022120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5317F8"/>
    <w:multiLevelType w:val="multilevel"/>
    <w:tmpl w:val="F6E081A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070024"/>
    <w:multiLevelType w:val="multilevel"/>
    <w:tmpl w:val="C9C28A2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3272472"/>
    <w:multiLevelType w:val="multilevel"/>
    <w:tmpl w:val="A224B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31B32FA"/>
    <w:multiLevelType w:val="multilevel"/>
    <w:tmpl w:val="DD26A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FE4C9A"/>
    <w:multiLevelType w:val="multilevel"/>
    <w:tmpl w:val="FA367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B58638F"/>
    <w:multiLevelType w:val="multilevel"/>
    <w:tmpl w:val="528EA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04191104">
    <w:abstractNumId w:val="5"/>
  </w:num>
  <w:num w:numId="2" w16cid:durableId="428047887">
    <w:abstractNumId w:val="6"/>
  </w:num>
  <w:num w:numId="3" w16cid:durableId="285890648">
    <w:abstractNumId w:val="4"/>
  </w:num>
  <w:num w:numId="4" w16cid:durableId="181863053">
    <w:abstractNumId w:val="7"/>
  </w:num>
  <w:num w:numId="5" w16cid:durableId="527450740">
    <w:abstractNumId w:val="0"/>
  </w:num>
  <w:num w:numId="6" w16cid:durableId="453332562">
    <w:abstractNumId w:val="3"/>
  </w:num>
  <w:num w:numId="7" w16cid:durableId="934555200">
    <w:abstractNumId w:val="2"/>
  </w:num>
  <w:num w:numId="8" w16cid:durableId="1387219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removePersonalInformation/>
  <w:removeDateAndTime/>
  <w:embedTrueTypeFont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717"/>
    <w:rsid w:val="00015EFA"/>
    <w:rsid w:val="0005405A"/>
    <w:rsid w:val="00061681"/>
    <w:rsid w:val="00061CE1"/>
    <w:rsid w:val="000C4684"/>
    <w:rsid w:val="00100F8B"/>
    <w:rsid w:val="001431D5"/>
    <w:rsid w:val="001612C7"/>
    <w:rsid w:val="00186D8D"/>
    <w:rsid w:val="00195A8C"/>
    <w:rsid w:val="001E1EA8"/>
    <w:rsid w:val="001E7946"/>
    <w:rsid w:val="002231EE"/>
    <w:rsid w:val="0028564C"/>
    <w:rsid w:val="00287E20"/>
    <w:rsid w:val="002D077C"/>
    <w:rsid w:val="00326717"/>
    <w:rsid w:val="00391398"/>
    <w:rsid w:val="003A5346"/>
    <w:rsid w:val="003D3E0C"/>
    <w:rsid w:val="00436DF4"/>
    <w:rsid w:val="004A2749"/>
    <w:rsid w:val="004A5208"/>
    <w:rsid w:val="00517F11"/>
    <w:rsid w:val="00533074"/>
    <w:rsid w:val="0059570C"/>
    <w:rsid w:val="005B1673"/>
    <w:rsid w:val="005B48AB"/>
    <w:rsid w:val="005C4CA5"/>
    <w:rsid w:val="005C72FA"/>
    <w:rsid w:val="005D1B29"/>
    <w:rsid w:val="005D65CF"/>
    <w:rsid w:val="005E0CEA"/>
    <w:rsid w:val="005F0BE6"/>
    <w:rsid w:val="005F648A"/>
    <w:rsid w:val="00606232"/>
    <w:rsid w:val="00611A77"/>
    <w:rsid w:val="00615D9C"/>
    <w:rsid w:val="00686A76"/>
    <w:rsid w:val="00731A9A"/>
    <w:rsid w:val="0076004E"/>
    <w:rsid w:val="007C316C"/>
    <w:rsid w:val="00861F26"/>
    <w:rsid w:val="008C6B05"/>
    <w:rsid w:val="008C7F4E"/>
    <w:rsid w:val="00900E01"/>
    <w:rsid w:val="009017EB"/>
    <w:rsid w:val="009508CE"/>
    <w:rsid w:val="00972116"/>
    <w:rsid w:val="00997136"/>
    <w:rsid w:val="009A03E3"/>
    <w:rsid w:val="00A00D0F"/>
    <w:rsid w:val="00A779DF"/>
    <w:rsid w:val="00AA629F"/>
    <w:rsid w:val="00AD0664"/>
    <w:rsid w:val="00AD0C28"/>
    <w:rsid w:val="00AE0847"/>
    <w:rsid w:val="00B163C1"/>
    <w:rsid w:val="00B4221D"/>
    <w:rsid w:val="00B74190"/>
    <w:rsid w:val="00B77BE4"/>
    <w:rsid w:val="00B83E87"/>
    <w:rsid w:val="00BB0961"/>
    <w:rsid w:val="00BB3323"/>
    <w:rsid w:val="00C150DF"/>
    <w:rsid w:val="00C22B60"/>
    <w:rsid w:val="00C86890"/>
    <w:rsid w:val="00C94C9F"/>
    <w:rsid w:val="00CF2E36"/>
    <w:rsid w:val="00D608E4"/>
    <w:rsid w:val="00D63951"/>
    <w:rsid w:val="00D70C29"/>
    <w:rsid w:val="00DC5A09"/>
    <w:rsid w:val="00DD0AF2"/>
    <w:rsid w:val="00DE04B1"/>
    <w:rsid w:val="00E006CE"/>
    <w:rsid w:val="00E10C33"/>
    <w:rsid w:val="00E26D55"/>
    <w:rsid w:val="00E47AD1"/>
    <w:rsid w:val="00E5178D"/>
    <w:rsid w:val="00E86CB4"/>
    <w:rsid w:val="00EA4BC9"/>
    <w:rsid w:val="00ED1EE8"/>
    <w:rsid w:val="00F07360"/>
    <w:rsid w:val="00F25A5A"/>
    <w:rsid w:val="00F44F5D"/>
    <w:rsid w:val="00F731BE"/>
    <w:rsid w:val="00FC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8B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unhideWhenUsed/>
    <w:qFormat/>
    <w:pPr>
      <w:keepNext/>
      <w:keepLines/>
      <w:spacing w:before="32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jc w:val="center"/>
    </w:pPr>
    <w:rPr>
      <w:b/>
      <w:bCs/>
      <w:sz w:val="32"/>
      <w:szCs w:val="3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31A9A"/>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31A9A"/>
    <w:pPr>
      <w:spacing w:after="100"/>
    </w:pPr>
  </w:style>
  <w:style w:type="paragraph" w:styleId="TOC2">
    <w:name w:val="toc 2"/>
    <w:basedOn w:val="Normal"/>
    <w:next w:val="Normal"/>
    <w:autoRedefine/>
    <w:uiPriority w:val="39"/>
    <w:unhideWhenUsed/>
    <w:rsid w:val="00731A9A"/>
    <w:pPr>
      <w:spacing w:after="100"/>
      <w:ind w:left="240"/>
    </w:pPr>
  </w:style>
  <w:style w:type="character" w:styleId="Hyperlink">
    <w:name w:val="Hyperlink"/>
    <w:basedOn w:val="DefaultParagraphFont"/>
    <w:uiPriority w:val="99"/>
    <w:unhideWhenUsed/>
    <w:rsid w:val="00731A9A"/>
    <w:rPr>
      <w:color w:val="0000FF" w:themeColor="hyperlink"/>
      <w:u w:val="single"/>
    </w:rPr>
  </w:style>
  <w:style w:type="paragraph" w:styleId="Header">
    <w:name w:val="header"/>
    <w:basedOn w:val="Normal"/>
    <w:link w:val="HeaderChar"/>
    <w:uiPriority w:val="99"/>
    <w:unhideWhenUsed/>
    <w:rsid w:val="00AD066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D0664"/>
  </w:style>
  <w:style w:type="paragraph" w:styleId="Footer">
    <w:name w:val="footer"/>
    <w:basedOn w:val="Normal"/>
    <w:link w:val="FooterChar"/>
    <w:uiPriority w:val="99"/>
    <w:unhideWhenUsed/>
    <w:rsid w:val="00AD066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D06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hp.com/sustainability/environment/water" TargetMode="External" /><Relationship Id="rId18" Type="http://schemas.openxmlformats.org/officeDocument/2006/relationships/hyperlink" Target="https://www.bhp.com/about" TargetMode="External" /><Relationship Id="rId26" Type="http://schemas.openxmlformats.org/officeDocument/2006/relationships/hyperlink" Target="https://www.sciencedirect.com/science/article/abs/pii/S0306261925002144" TargetMode="External" /><Relationship Id="rId39" Type="http://schemas.openxmlformats.org/officeDocument/2006/relationships/hyperlink" Target="https://www.researchgate.net/publication/390943175" TargetMode="External" /><Relationship Id="rId21" Type="http://schemas.openxmlformats.org/officeDocument/2006/relationships/hyperlink" Target="https://www.bhp.com/investor-hub/reports-and-presentations/annual-report" TargetMode="External" /><Relationship Id="rId34" Type="http://schemas.openxmlformats.org/officeDocument/2006/relationships/hyperlink" Target="https://onlinelibrary.wiley.com/doi/full/10.1002/sd.70753" TargetMode="External" /><Relationship Id="rId42" Type="http://schemas.openxmlformats.org/officeDocument/2006/relationships/hyperlink" Target="https://onlinelibrary.wiley.com/doi/10.1002/sd.71152" TargetMode="External" /><Relationship Id="rId47" Type="http://schemas.openxmlformats.org/officeDocument/2006/relationships/hyperlink" Target="https://carbon-pulse.com/426991/" TargetMode="External" /><Relationship Id="rId50" Type="http://schemas.openxmlformats.org/officeDocument/2006/relationships/hyperlink" Target="https://link.springer.com/article/10.1007/s43621-026-03318-2" TargetMode="External" /><Relationship Id="rId55"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link.springer.com/article/10.1007/s13563-025-00554-2" TargetMode="External" /><Relationship Id="rId17" Type="http://schemas.openxmlformats.org/officeDocument/2006/relationships/hyperlink" Target="https://www.bhp.com/about" TargetMode="External" /><Relationship Id="rId25" Type="http://schemas.openxmlformats.org/officeDocument/2006/relationships/hyperlink" Target="https://www.sciencedirect.com/science/article/abs/pii/S0306261925002144" TargetMode="External" /><Relationship Id="rId33" Type="http://schemas.openxmlformats.org/officeDocument/2006/relationships/hyperlink" Target="https://onlinelibrary.wiley.com/doi/full/10.1002/sd.70753" TargetMode="External" /><Relationship Id="rId38" Type="http://schemas.openxmlformats.org/officeDocument/2006/relationships/hyperlink" Target="https://link.springer.com/article/10.1007/s43621-025-01957-5" TargetMode="External" /><Relationship Id="rId46" Type="http://schemas.openxmlformats.org/officeDocument/2006/relationships/hyperlink" Target="https://www.spglobal.com/energy/en/news-research/latest-news/metals/081925-bhp-eyes-iron-ore-output-ramp-up-admits-underestimating-chinas-steel-demand-resilience" TargetMode="External" /><Relationship Id="rId2" Type="http://schemas.openxmlformats.org/officeDocument/2006/relationships/numbering" Target="numbering.xml" /><Relationship Id="rId16" Type="http://schemas.openxmlformats.org/officeDocument/2006/relationships/hyperlink" Target="https://www.bhp.com/about/the-future-is-clear/better-future" TargetMode="External" /><Relationship Id="rId20" Type="http://schemas.openxmlformats.org/officeDocument/2006/relationships/hyperlink" Target="https://www.bhp.com/sustainability/climate-change/transition-to-a-net-zero-economy" TargetMode="External" /><Relationship Id="rId29" Type="http://schemas.openxmlformats.org/officeDocument/2006/relationships/hyperlink" Target="https://doi.org/10.1016/j.cmpbup.2024.100145" TargetMode="External" /><Relationship Id="rId41" Type="http://schemas.openxmlformats.org/officeDocument/2006/relationships/hyperlink" Target="https://onlinelibrary.wiley.com/doi/10.1002/sd.71152" TargetMode="External" /><Relationship Id="rId54"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link.springer.com/article/10.1007/s13563-025-00554-2" TargetMode="External" /><Relationship Id="rId24" Type="http://schemas.openxmlformats.org/officeDocument/2006/relationships/hyperlink" Target="https://www.bhp.com/news/media-centre/releases/2026/06/update---jansen-stage-2-potash-project" TargetMode="External" /><Relationship Id="rId32" Type="http://schemas.openxmlformats.org/officeDocument/2006/relationships/hyperlink" Target="https://www.theguardian.com/business/2026/jul/10/former-bhp-economist-carbon-price-emissions" TargetMode="External" /><Relationship Id="rId37" Type="http://schemas.openxmlformats.org/officeDocument/2006/relationships/hyperlink" Target="https://link.springer.com/article/10.1007/s43621-025-01957-5" TargetMode="External" /><Relationship Id="rId40" Type="http://schemas.openxmlformats.org/officeDocument/2006/relationships/hyperlink" Target="https://www.researchgate.net/publication/390943175" TargetMode="External" /><Relationship Id="rId45" Type="http://schemas.openxmlformats.org/officeDocument/2006/relationships/hyperlink" Target="https://www.spglobal.com/energy/en/news-research/latest-news/metals/081925-bhp-eyes-iron-ore-output-ramp-up-admits-underestimating-chinas-steel-demand-resilience" TargetMode="External" /><Relationship Id="rId53"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www.bhp.com/about/the-future-is-clear/better-future" TargetMode="External" /><Relationship Id="rId23" Type="http://schemas.openxmlformats.org/officeDocument/2006/relationships/hyperlink" Target="https://www.bhp.com/news/media-centre/releases/2026/06/update---jansen-stage-2-potash-project" TargetMode="External" /><Relationship Id="rId28" Type="http://schemas.openxmlformats.org/officeDocument/2006/relationships/hyperlink" Target="https://www.iea.org/reports/the-role-of-critical-minerals-in-clean-energy-transitions/reliable-supply-of-minerals" TargetMode="External" /><Relationship Id="rId36" Type="http://schemas.openxmlformats.org/officeDocument/2006/relationships/hyperlink" Target="https://lectura.press/en/article/mining-and-metals-industry-drives-11-percent-of-global-emissions/68647" TargetMode="External" /><Relationship Id="rId49" Type="http://schemas.openxmlformats.org/officeDocument/2006/relationships/hyperlink" Target="https://link.springer.com/article/10.1007/s43621-026-03318-2" TargetMode="External" /><Relationship Id="rId10" Type="http://schemas.openxmlformats.org/officeDocument/2006/relationships/image" Target="media/image3.png" /><Relationship Id="rId19" Type="http://schemas.openxmlformats.org/officeDocument/2006/relationships/hyperlink" Target="https://www.bhp.com/sustainability/climate-change/transition-to-a-net-zero-economy" TargetMode="External" /><Relationship Id="rId31" Type="http://schemas.openxmlformats.org/officeDocument/2006/relationships/hyperlink" Target="https://www.theguardian.com/business/2026/jul/10/former-bhp-economist-carbon-price-emissions" TargetMode="External" /><Relationship Id="rId44" Type="http://schemas.openxmlformats.org/officeDocument/2006/relationships/hyperlink" Target="https://corporatefinanceinstitute.com/resources/management/ansoff-matrix/" TargetMode="External" /><Relationship Id="rId52" Type="http://schemas.openxmlformats.org/officeDocument/2006/relationships/hyperlink" Target="https://www.researchgate.net/publication/381518778"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bhp.com/sustainability/environment/water" TargetMode="External" /><Relationship Id="rId22" Type="http://schemas.openxmlformats.org/officeDocument/2006/relationships/hyperlink" Target="https://www.bhp.com/investor-hub/reports-and-presentations/annual-report" TargetMode="External" /><Relationship Id="rId27" Type="http://schemas.openxmlformats.org/officeDocument/2006/relationships/hyperlink" Target="https://www.iea.org/reports/the-role-of-critical-minerals-in-clean-energy-transitions/reliable-supply-of-minerals" TargetMode="External" /><Relationship Id="rId30" Type="http://schemas.openxmlformats.org/officeDocument/2006/relationships/hyperlink" Target="https://doi.org/10.1016/j.cmpbup.2024.100145" TargetMode="External" /><Relationship Id="rId35" Type="http://schemas.openxmlformats.org/officeDocument/2006/relationships/hyperlink" Target="https://lectura.press/en/article/mining-and-metals-industry-drives-11-percent-of-global-emissions/68647" TargetMode="External" /><Relationship Id="rId43" Type="http://schemas.openxmlformats.org/officeDocument/2006/relationships/hyperlink" Target="https://corporatefinanceinstitute.com/resources/management/ansoff-matrix/" TargetMode="External" /><Relationship Id="rId48" Type="http://schemas.openxmlformats.org/officeDocument/2006/relationships/hyperlink" Target="https://carbon-pulse.com/426991/" TargetMode="External" /><Relationship Id="rId8" Type="http://schemas.openxmlformats.org/officeDocument/2006/relationships/image" Target="media/image1.png" /><Relationship Id="rId51" Type="http://schemas.openxmlformats.org/officeDocument/2006/relationships/hyperlink" Target="https://www.researchgate.net/publication/381518778" TargetMode="External" /><Relationship Id="rId3" Type="http://schemas.openxmlformats.org/officeDocument/2006/relationships/styles" Target="styles.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07D15-5B5B-4033-817A-6A38379944B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4305</Words>
  <Characters>24545</Characters>
  <Application>Microsoft Office Word</Application>
  <DocSecurity>0</DocSecurity>
  <Lines>204</Lines>
  <Paragraphs>57</Paragraphs>
  <ScaleCrop>false</ScaleCrop>
  <Company/>
  <LinksUpToDate>false</LinksUpToDate>
  <CharactersWithSpaces>28793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2026-07-24T09:33:00Z</dcterms:created>
  <dcterms:modified xsi:type="dcterms:W3CDTF">2026-07-24T09:33:00Z</dcterms:modified>
</cp:coreProperties>
</file>