
<file path=[Content_Types].xml><?xml version="1.0" encoding="utf-8"?>
<Types xmlns="http://schemas.openxmlformats.org/package/2006/content-types">
  <Default Extension="1"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4E2D294" w14:textId="66242E32" w:rsidR="00131DA8" w:rsidRDefault="00A0194F">
      <w:pPr>
        <w:rPr>
          <w:b/>
          <w:color w:val="0F9ED5" w:themeColor="accent4"/>
          <w:sz w:val="144"/>
          <w:szCs w:val="144"/>
          <w14:textOutline w14:w="0" w14:cap="flat" w14:cmpd="sng" w14:algn="ctr">
            <w14:noFill/>
            <w14:prstDash w14:val="solid"/>
            <w14:round/>
          </w14:textOutline>
          <w14:props3d w14:extrusionH="57150" w14:contourW="0" w14:prstMaterial="softEdge">
            <w14:bevelT w14:w="25400" w14:h="38100" w14:prst="circle"/>
          </w14:props3d>
        </w:rPr>
      </w:pPr>
      <w:r>
        <w:rPr>
          <w:b/>
          <w:noProof/>
          <w:color w:val="0F9ED5" w:themeColor="accent4"/>
          <w:sz w:val="96"/>
          <w:szCs w:val="96"/>
        </w:rPr>
        <mc:AlternateContent>
          <mc:Choice Requires="wps">
            <w:drawing>
              <wp:anchor distT="0" distB="0" distL="114300" distR="114300" simplePos="0" relativeHeight="251679744" behindDoc="0" locked="0" layoutInCell="1" allowOverlap="1" wp14:anchorId="150D326C" wp14:editId="2C760C04">
                <wp:simplePos x="0" y="0"/>
                <wp:positionH relativeFrom="column">
                  <wp:posOffset>6180083</wp:posOffset>
                </wp:positionH>
                <wp:positionV relativeFrom="paragraph">
                  <wp:posOffset>-819807</wp:posOffset>
                </wp:positionV>
                <wp:extent cx="3395170" cy="378373"/>
                <wp:effectExtent l="0" t="0" r="15240" b="22225"/>
                <wp:wrapNone/>
                <wp:docPr id="1221144229" name="Rectangle 2"/>
                <wp:cNvGraphicFramePr/>
                <a:graphic xmlns:a="http://schemas.openxmlformats.org/drawingml/2006/main">
                  <a:graphicData uri="http://schemas.microsoft.com/office/word/2010/wordprocessingShape">
                    <wps:wsp>
                      <wps:cNvSpPr/>
                      <wps:spPr>
                        <a:xfrm>
                          <a:off x="0" y="0"/>
                          <a:ext cx="3395170" cy="378373"/>
                        </a:xfrm>
                        <a:prstGeom prst="rect">
                          <a:avLst/>
                        </a:prstGeom>
                      </wps:spPr>
                      <wps:style>
                        <a:lnRef idx="2">
                          <a:schemeClr val="dk1">
                            <a:shade val="15000"/>
                          </a:schemeClr>
                        </a:lnRef>
                        <a:fillRef idx="1">
                          <a:schemeClr val="dk1"/>
                        </a:fillRef>
                        <a:effectRef idx="0">
                          <a:schemeClr val="dk1"/>
                        </a:effectRef>
                        <a:fontRef idx="minor">
                          <a:schemeClr val="lt1"/>
                        </a:fontRef>
                      </wps:style>
                      <wps:txbx>
                        <w:txbxContent>
                          <w:p w14:paraId="57BDEE91" w14:textId="4B9229F7" w:rsidR="00DF6B3C" w:rsidRPr="00DF6B3C" w:rsidRDefault="00DF6B3C" w:rsidP="00DF6B3C">
                            <w:pPr>
                              <w:jc w:val="center"/>
                              <w:rPr>
                                <w:b/>
                                <w:bCs/>
                              </w:rPr>
                            </w:pPr>
                            <w:r w:rsidRPr="00DF6B3C">
                              <w:rPr>
                                <w:b/>
                                <w:bCs/>
                              </w:rPr>
                              <w:t>Sabrina Khan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150D326C" id="Rectangle 2" o:spid="_x0000_s1026" style="position:absolute;margin-left:486.6pt;margin-top:-64.55pt;width:267.35pt;height:29.8pt;z-index:25167974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Km7gYwIAABIFAAAOAAAAZHJzL2Uyb0RvYy54bWysVFFP2zAQfp+0/2D5fSRpYYWKFFUgpkkI&#10;EDDx7Do2ieb4vLPbtPv1Oztpyhh7mfaSnH13350/f+fzi21r2Eahb8CWvDjKOVNWQtXYl5J/e7r+&#10;dMqZD8JWwoBVJd8pzy8WHz+cd26uJlCDqRQyArF+3rmS1yG4eZZ5WatW+CNwypJTA7Yi0BJfsgpF&#10;R+itySZ5/jnrACuHIJX3tHvVO/ki4WutZLjT2qvATMmpt5C+mL6r+M0W52L+gsLVjRzaEP/QRSsa&#10;S0VHqCsRBFtj8wdU20gEDzocSWgz0LqRKp2BTlPkb07zWAun0lmIHO9Gmvz/g5W3m0d3j0RD5/zc&#10;kxlPsdXYxj/1x7aJrN1IltoGJmlzOj07KWbEqSTfdHY6nU0jm9kh26EPXxS0LBolR7qMxJHY3PjQ&#10;h+5DKO9QP1lhZ1RswdgHpVlTUcVJyk7SUJcG2UbQpVbfi367FpXqt4qTPE83S72M0amzBBZRdWPM&#10;iDsARMn9jtv3OMTGNJUUNSbmf2uoTxyjU0WwYUxsGwv4XrIJxUCi7uP3xPR0RGbCdrUl/GiuoNrd&#10;I0PoZe2dvG6I6hvhw71A0jHdDs1muKOPNtCVHAaLsxrw53v7MZ7kRV7OOpqLkvsfa4GKM/PVkvDO&#10;iuPjOEhpcXwym9ACX3tWrz123V4C3VJBr4CTyYzxwexNjdA+0wgvY1VyCSupdsllwP3iMvTzSo+A&#10;VMtlCqPhcSLc2EcnI3gkOErpafss0A16C6TUW9jPkJi/kV0fGzMtLNcBdJM0eeB1oJ4GL2lneCTi&#10;ZL9ep6jDU7b4BQAA//8DAFBLAwQUAAYACAAAACEA7Hta5uIAAAANAQAADwAAAGRycy9kb3ducmV2&#10;LnhtbEyPy2rDMBBF94X+g5hCd4lshyS1azm0gUIogeI02SvW+EGlkbHkxPn7Kqt2OTOHO+fmm8lo&#10;dsHBdZYExPMIGFJlVUeNgOP3x+wFmPOSlNSWUMANHWyKx4dcZspeqcTLwTcshJDLpIDW+z7j3FUt&#10;GunmtkcKt9oORvowDg1Xg7yGcKN5EkUrbmRH4UMre9y2WP0cRiNg39efzp/q/fGd7Pi103HZlSch&#10;np+mt1dgHif/B8NdP6hDEZzOdiTlmBaQrhdJQAXM4iSNgd2RZbROgZ3DbpUugRc5/9+i+AUAAP//&#10;AwBQSwECLQAUAAYACAAAACEAtoM4kv4AAADhAQAAEwAAAAAAAAAAAAAAAAAAAAAAW0NvbnRlbnRf&#10;VHlwZXNdLnhtbFBLAQItABQABgAIAAAAIQA4/SH/1gAAAJQBAAALAAAAAAAAAAAAAAAAAC8BAABf&#10;cmVscy8ucmVsc1BLAQItABQABgAIAAAAIQDMKm7gYwIAABIFAAAOAAAAAAAAAAAAAAAAAC4CAABk&#10;cnMvZTJvRG9jLnhtbFBLAQItABQABgAIAAAAIQDse1rm4gAAAA0BAAAPAAAAAAAAAAAAAAAAAL0E&#10;AABkcnMvZG93bnJldi54bWxQSwUGAAAAAAQABADzAAAAzAUAAAAA&#10;" fillcolor="black [3200]" strokecolor="black [480]" strokeweight="1.5pt">
                <v:textbox>
                  <w:txbxContent>
                    <w:p w14:paraId="57BDEE91" w14:textId="4B9229F7" w:rsidR="00DF6B3C" w:rsidRPr="00DF6B3C" w:rsidRDefault="00DF6B3C" w:rsidP="00DF6B3C">
                      <w:pPr>
                        <w:jc w:val="center"/>
                        <w:rPr>
                          <w:b/>
                          <w:bCs/>
                        </w:rPr>
                      </w:pPr>
                      <w:r w:rsidRPr="00DF6B3C">
                        <w:rPr>
                          <w:b/>
                          <w:bCs/>
                        </w:rPr>
                        <w:t>Sabrina Khan</w:t>
                      </w:r>
                    </w:p>
                  </w:txbxContent>
                </v:textbox>
              </v:rect>
            </w:pict>
          </mc:Fallback>
        </mc:AlternateContent>
      </w:r>
      <w:r w:rsidR="00880E33" w:rsidRPr="00131DA8">
        <w:rPr>
          <w:b/>
          <w:noProof/>
          <w:color w:val="0F9ED5" w:themeColor="accent4"/>
          <w:sz w:val="96"/>
          <w:szCs w:val="96"/>
        </w:rPr>
        <mc:AlternateContent>
          <mc:Choice Requires="wps">
            <w:drawing>
              <wp:anchor distT="0" distB="0" distL="114300" distR="114300" simplePos="0" relativeHeight="251668480" behindDoc="0" locked="0" layoutInCell="1" allowOverlap="1" wp14:anchorId="4F5426B9" wp14:editId="5C7F5D05">
                <wp:simplePos x="0" y="0"/>
                <wp:positionH relativeFrom="margin">
                  <wp:posOffset>4191000</wp:posOffset>
                </wp:positionH>
                <wp:positionV relativeFrom="paragraph">
                  <wp:posOffset>-381000</wp:posOffset>
                </wp:positionV>
                <wp:extent cx="5381625" cy="2758965"/>
                <wp:effectExtent l="0" t="0" r="28575" b="22860"/>
                <wp:wrapNone/>
                <wp:docPr id="1999400446" name="Rectangle 2"/>
                <wp:cNvGraphicFramePr/>
                <a:graphic xmlns:a="http://schemas.openxmlformats.org/drawingml/2006/main">
                  <a:graphicData uri="http://schemas.microsoft.com/office/word/2010/wordprocessingShape">
                    <wps:wsp>
                      <wps:cNvSpPr/>
                      <wps:spPr>
                        <a:xfrm>
                          <a:off x="0" y="0"/>
                          <a:ext cx="5381625" cy="2758965"/>
                        </a:xfrm>
                        <a:prstGeom prst="rect">
                          <a:avLst/>
                        </a:prstGeom>
                        <a:solidFill>
                          <a:schemeClr val="accent1">
                            <a:lumMod val="60000"/>
                            <a:lumOff val="40000"/>
                          </a:schemeClr>
                        </a:solidFill>
                      </wps:spPr>
                      <wps:style>
                        <a:lnRef idx="2">
                          <a:schemeClr val="accent1">
                            <a:shade val="15000"/>
                          </a:schemeClr>
                        </a:lnRef>
                        <a:fillRef idx="1">
                          <a:schemeClr val="accent1"/>
                        </a:fillRef>
                        <a:effectRef idx="0">
                          <a:schemeClr val="accent1"/>
                        </a:effectRef>
                        <a:fontRef idx="minor">
                          <a:schemeClr val="lt1"/>
                        </a:fontRef>
                      </wps:style>
                      <wps:txbx>
                        <w:txbxContent>
                          <w:p w14:paraId="0FC56988" w14:textId="644986E5" w:rsidR="008C3576" w:rsidRPr="00C34D62" w:rsidRDefault="00682B0D" w:rsidP="009176B3">
                            <w:pPr>
                              <w:jc w:val="center"/>
                              <w:rPr>
                                <w:sz w:val="22"/>
                                <w:szCs w:val="22"/>
                              </w:rPr>
                            </w:pPr>
                            <w:r w:rsidRPr="00682B0D">
                              <w:rPr>
                                <w:sz w:val="28"/>
                                <w:szCs w:val="28"/>
                              </w:rPr>
                              <w:t xml:space="preserve">   </w:t>
                            </w:r>
                            <w:r w:rsidRPr="00F26F0D">
                              <w:t xml:space="preserve">  </w:t>
                            </w:r>
                            <w:r w:rsidRPr="00C34D62">
                              <w:rPr>
                                <w:sz w:val="22"/>
                                <w:szCs w:val="22"/>
                              </w:rPr>
                              <w:t xml:space="preserve">   SEARCH PROCESS OVERVIE</w:t>
                            </w:r>
                            <w:r w:rsidR="00766E3D" w:rsidRPr="00C34D62">
                              <w:rPr>
                                <w:sz w:val="22"/>
                                <w:szCs w:val="22"/>
                              </w:rPr>
                              <w:t>W</w:t>
                            </w:r>
                          </w:p>
                          <w:tbl>
                            <w:tblPr>
                              <w:tblStyle w:val="TableGrid"/>
                              <w:tblW w:w="0" w:type="auto"/>
                              <w:tblLook w:val="04A0" w:firstRow="1" w:lastRow="0" w:firstColumn="1" w:lastColumn="0" w:noHBand="0" w:noVBand="1"/>
                            </w:tblPr>
                            <w:tblGrid>
                              <w:gridCol w:w="7985"/>
                            </w:tblGrid>
                            <w:tr w:rsidR="00C34D62" w:rsidRPr="00C34D62" w14:paraId="69BA9926" w14:textId="77777777">
                              <w:tc>
                                <w:tcPr>
                                  <w:tcW w:w="7985" w:type="dxa"/>
                                </w:tcPr>
                                <w:p w14:paraId="78F853FA" w14:textId="77777777" w:rsidR="008C3576" w:rsidRPr="00C34D62" w:rsidRDefault="008C3576" w:rsidP="00E40C50">
                                  <w:pPr>
                                    <w:jc w:val="center"/>
                                    <w:rPr>
                                      <w:sz w:val="22"/>
                                      <w:szCs w:val="22"/>
                                    </w:rPr>
                                  </w:pPr>
                                  <w:r w:rsidRPr="00C34D62">
                                    <w:rPr>
                                      <w:sz w:val="22"/>
                                      <w:szCs w:val="22"/>
                                    </w:rPr>
                                    <w:t>┌──────────────────────────────────────┐</w:t>
                                  </w:r>
                                </w:p>
                              </w:tc>
                            </w:tr>
                            <w:tr w:rsidR="00C34D62" w:rsidRPr="00C34D62" w14:paraId="24A3EA6F" w14:textId="77777777" w:rsidTr="008C3576">
                              <w:trPr>
                                <w:trHeight w:val="209"/>
                              </w:trPr>
                              <w:tc>
                                <w:tcPr>
                                  <w:tcW w:w="7985" w:type="dxa"/>
                                </w:tcPr>
                                <w:p w14:paraId="36924669" w14:textId="77777777" w:rsidR="008C3576" w:rsidRPr="00C34D62" w:rsidRDefault="008C3576" w:rsidP="00E40C50">
                                  <w:pPr>
                                    <w:jc w:val="center"/>
                                    <w:rPr>
                                      <w:sz w:val="22"/>
                                      <w:szCs w:val="22"/>
                                    </w:rPr>
                                  </w:pPr>
                                  <w:r w:rsidRPr="00C34D62">
                                    <w:rPr>
                                      <w:sz w:val="22"/>
                                      <w:szCs w:val="22"/>
                                    </w:rPr>
                                    <w:t xml:space="preserve"> │   1. Keywords &amp; Boolean Operators    │</w:t>
                                  </w:r>
                                </w:p>
                              </w:tc>
                            </w:tr>
                            <w:tr w:rsidR="00C34D62" w:rsidRPr="00C34D62" w14:paraId="32C5AD05" w14:textId="77777777">
                              <w:tc>
                                <w:tcPr>
                                  <w:tcW w:w="7985" w:type="dxa"/>
                                </w:tcPr>
                                <w:p w14:paraId="3F657852" w14:textId="77777777" w:rsidR="008C3576" w:rsidRPr="00C34D62" w:rsidRDefault="008C3576" w:rsidP="00E40C50">
                                  <w:pPr>
                                    <w:jc w:val="center"/>
                                    <w:rPr>
                                      <w:sz w:val="22"/>
                                      <w:szCs w:val="22"/>
                                    </w:rPr>
                                  </w:pPr>
                                  <w:r w:rsidRPr="00C34D62">
                                    <w:rPr>
                                      <w:sz w:val="22"/>
                                      <w:szCs w:val="22"/>
                                    </w:rPr>
                                    <w:t xml:space="preserve"> </w:t>
                                  </w:r>
                                  <w:r w:rsidRPr="00C34D62">
                                    <w:rPr>
                                      <w:rFonts w:ascii="MS Gothic" w:eastAsia="MS Gothic" w:hAnsi="MS Gothic" w:cs="MS Gothic" w:hint="eastAsia"/>
                                      <w:sz w:val="22"/>
                                      <w:szCs w:val="22"/>
                                    </w:rPr>
                                    <w:t>├</w:t>
                                  </w:r>
                                  <w:r w:rsidRPr="00C34D62">
                                    <w:rPr>
                                      <w:rFonts w:ascii="Aptos" w:hAnsi="Aptos" w:cs="Aptos"/>
                                      <w:sz w:val="22"/>
                                      <w:szCs w:val="22"/>
                                    </w:rPr>
                                    <w:t>──────────────────────────────────────</w:t>
                                  </w:r>
                                  <w:r w:rsidRPr="00C34D62">
                                    <w:rPr>
                                      <w:rFonts w:ascii="MS Gothic" w:eastAsia="MS Gothic" w:hAnsi="MS Gothic" w:cs="MS Gothic" w:hint="eastAsia"/>
                                      <w:sz w:val="22"/>
                                      <w:szCs w:val="22"/>
                                    </w:rPr>
                                    <w:t>┤</w:t>
                                  </w:r>
                                </w:p>
                              </w:tc>
                            </w:tr>
                            <w:tr w:rsidR="00C34D62" w:rsidRPr="00C34D62" w14:paraId="5117129B" w14:textId="77777777">
                              <w:tc>
                                <w:tcPr>
                                  <w:tcW w:w="7985" w:type="dxa"/>
                                </w:tcPr>
                                <w:p w14:paraId="648B5A60" w14:textId="77777777" w:rsidR="008C3576" w:rsidRPr="00C34D62" w:rsidRDefault="008C3576" w:rsidP="00E40C50">
                                  <w:pPr>
                                    <w:jc w:val="center"/>
                                    <w:rPr>
                                      <w:sz w:val="22"/>
                                      <w:szCs w:val="22"/>
                                    </w:rPr>
                                  </w:pPr>
                                  <w:r w:rsidRPr="00C34D62">
                                    <w:rPr>
                                      <w:sz w:val="22"/>
                                      <w:szCs w:val="22"/>
                                    </w:rPr>
                                    <w:t xml:space="preserve"> │   2. Database Searches               │</w:t>
                                  </w:r>
                                </w:p>
                              </w:tc>
                            </w:tr>
                            <w:tr w:rsidR="00C34D62" w:rsidRPr="00C34D62" w14:paraId="725C372F" w14:textId="77777777">
                              <w:tc>
                                <w:tcPr>
                                  <w:tcW w:w="7985" w:type="dxa"/>
                                </w:tcPr>
                                <w:p w14:paraId="7D319634" w14:textId="77777777" w:rsidR="008C3576" w:rsidRPr="00C34D62" w:rsidRDefault="008C3576" w:rsidP="00E40C50">
                                  <w:pPr>
                                    <w:jc w:val="center"/>
                                    <w:rPr>
                                      <w:sz w:val="22"/>
                                      <w:szCs w:val="22"/>
                                    </w:rPr>
                                  </w:pPr>
                                  <w:r w:rsidRPr="00C34D62">
                                    <w:rPr>
                                      <w:sz w:val="22"/>
                                      <w:szCs w:val="22"/>
                                    </w:rPr>
                                    <w:t xml:space="preserve"> </w:t>
                                  </w:r>
                                  <w:r w:rsidRPr="00C34D62">
                                    <w:rPr>
                                      <w:rFonts w:ascii="MS Gothic" w:eastAsia="MS Gothic" w:hAnsi="MS Gothic" w:cs="MS Gothic" w:hint="eastAsia"/>
                                      <w:sz w:val="22"/>
                                      <w:szCs w:val="22"/>
                                    </w:rPr>
                                    <w:t>├</w:t>
                                  </w:r>
                                  <w:r w:rsidRPr="00C34D62">
                                    <w:rPr>
                                      <w:rFonts w:ascii="Aptos" w:hAnsi="Aptos" w:cs="Aptos"/>
                                      <w:sz w:val="22"/>
                                      <w:szCs w:val="22"/>
                                    </w:rPr>
                                    <w:t>──────────────────────────────────────</w:t>
                                  </w:r>
                                  <w:r w:rsidRPr="00C34D62">
                                    <w:rPr>
                                      <w:rFonts w:ascii="MS Gothic" w:eastAsia="MS Gothic" w:hAnsi="MS Gothic" w:cs="MS Gothic" w:hint="eastAsia"/>
                                      <w:sz w:val="22"/>
                                      <w:szCs w:val="22"/>
                                    </w:rPr>
                                    <w:t>┤</w:t>
                                  </w:r>
                                </w:p>
                              </w:tc>
                            </w:tr>
                            <w:tr w:rsidR="00C34D62" w:rsidRPr="00C34D62" w14:paraId="4F6BCCEC" w14:textId="77777777">
                              <w:tc>
                                <w:tcPr>
                                  <w:tcW w:w="7985" w:type="dxa"/>
                                </w:tcPr>
                                <w:p w14:paraId="56BDEE4C" w14:textId="77777777" w:rsidR="008C3576" w:rsidRPr="00C34D62" w:rsidRDefault="008C3576" w:rsidP="00E40C50">
                                  <w:pPr>
                                    <w:jc w:val="center"/>
                                    <w:rPr>
                                      <w:sz w:val="22"/>
                                      <w:szCs w:val="22"/>
                                    </w:rPr>
                                  </w:pPr>
                                  <w:r w:rsidRPr="00C34D62">
                                    <w:rPr>
                                      <w:sz w:val="22"/>
                                      <w:szCs w:val="22"/>
                                    </w:rPr>
                                    <w:t xml:space="preserve"> │   3. Apply Filters (2014–2025, UK)   │</w:t>
                                  </w:r>
                                </w:p>
                              </w:tc>
                            </w:tr>
                            <w:tr w:rsidR="00C34D62" w:rsidRPr="00C34D62" w14:paraId="4C31FBFE" w14:textId="77777777">
                              <w:tc>
                                <w:tcPr>
                                  <w:tcW w:w="7985" w:type="dxa"/>
                                </w:tcPr>
                                <w:p w14:paraId="75A1687A" w14:textId="77777777" w:rsidR="008C3576" w:rsidRPr="00C34D62" w:rsidRDefault="008C3576" w:rsidP="00E40C50">
                                  <w:pPr>
                                    <w:jc w:val="center"/>
                                    <w:rPr>
                                      <w:sz w:val="22"/>
                                      <w:szCs w:val="22"/>
                                    </w:rPr>
                                  </w:pPr>
                                  <w:r w:rsidRPr="00C34D62">
                                    <w:rPr>
                                      <w:sz w:val="22"/>
                                      <w:szCs w:val="22"/>
                                    </w:rPr>
                                    <w:t xml:space="preserve"> </w:t>
                                  </w:r>
                                  <w:r w:rsidRPr="00C34D62">
                                    <w:rPr>
                                      <w:rFonts w:ascii="MS Gothic" w:eastAsia="MS Gothic" w:hAnsi="MS Gothic" w:cs="MS Gothic" w:hint="eastAsia"/>
                                      <w:sz w:val="22"/>
                                      <w:szCs w:val="22"/>
                                    </w:rPr>
                                    <w:t>├</w:t>
                                  </w:r>
                                  <w:r w:rsidRPr="00C34D62">
                                    <w:rPr>
                                      <w:rFonts w:ascii="Aptos" w:hAnsi="Aptos" w:cs="Aptos"/>
                                      <w:sz w:val="22"/>
                                      <w:szCs w:val="22"/>
                                    </w:rPr>
                                    <w:t>──────────────────────────────────────</w:t>
                                  </w:r>
                                  <w:r w:rsidRPr="00C34D62">
                                    <w:rPr>
                                      <w:rFonts w:ascii="MS Gothic" w:eastAsia="MS Gothic" w:hAnsi="MS Gothic" w:cs="MS Gothic" w:hint="eastAsia"/>
                                      <w:sz w:val="22"/>
                                      <w:szCs w:val="22"/>
                                    </w:rPr>
                                    <w:t>┤</w:t>
                                  </w:r>
                                </w:p>
                              </w:tc>
                            </w:tr>
                            <w:tr w:rsidR="00C34D62" w:rsidRPr="00C34D62" w14:paraId="09F5FDEB" w14:textId="77777777">
                              <w:tc>
                                <w:tcPr>
                                  <w:tcW w:w="7985" w:type="dxa"/>
                                </w:tcPr>
                                <w:p w14:paraId="349D19DD" w14:textId="77777777" w:rsidR="008C3576" w:rsidRPr="00C34D62" w:rsidRDefault="008C3576" w:rsidP="00E40C50">
                                  <w:pPr>
                                    <w:jc w:val="center"/>
                                    <w:rPr>
                                      <w:sz w:val="22"/>
                                      <w:szCs w:val="22"/>
                                    </w:rPr>
                                  </w:pPr>
                                  <w:r w:rsidRPr="00C34D62">
                                    <w:rPr>
                                      <w:sz w:val="22"/>
                                      <w:szCs w:val="22"/>
                                    </w:rPr>
                                    <w:t xml:space="preserve"> │   4. Screen Titles &amp; Abstracts       │</w:t>
                                  </w:r>
                                </w:p>
                              </w:tc>
                            </w:tr>
                            <w:tr w:rsidR="00C34D62" w:rsidRPr="00C34D62" w14:paraId="48BF8332" w14:textId="77777777">
                              <w:tc>
                                <w:tcPr>
                                  <w:tcW w:w="7985" w:type="dxa"/>
                                </w:tcPr>
                                <w:p w14:paraId="3D1AD08D" w14:textId="77777777" w:rsidR="008C3576" w:rsidRPr="00C34D62" w:rsidRDefault="008C3576" w:rsidP="00E40C50">
                                  <w:pPr>
                                    <w:jc w:val="center"/>
                                    <w:rPr>
                                      <w:sz w:val="22"/>
                                      <w:szCs w:val="22"/>
                                    </w:rPr>
                                  </w:pPr>
                                  <w:r w:rsidRPr="00C34D62">
                                    <w:rPr>
                                      <w:sz w:val="22"/>
                                      <w:szCs w:val="22"/>
                                    </w:rPr>
                                    <w:t xml:space="preserve"> </w:t>
                                  </w:r>
                                  <w:r w:rsidRPr="00C34D62">
                                    <w:rPr>
                                      <w:rFonts w:ascii="MS Gothic" w:eastAsia="MS Gothic" w:hAnsi="MS Gothic" w:cs="MS Gothic" w:hint="eastAsia"/>
                                      <w:sz w:val="22"/>
                                      <w:szCs w:val="22"/>
                                    </w:rPr>
                                    <w:t>├</w:t>
                                  </w:r>
                                  <w:r w:rsidRPr="00C34D62">
                                    <w:rPr>
                                      <w:rFonts w:ascii="Aptos" w:hAnsi="Aptos" w:cs="Aptos"/>
                                      <w:sz w:val="22"/>
                                      <w:szCs w:val="22"/>
                                    </w:rPr>
                                    <w:t>──────────────────────────────────────</w:t>
                                  </w:r>
                                  <w:r w:rsidRPr="00C34D62">
                                    <w:rPr>
                                      <w:rFonts w:ascii="MS Gothic" w:eastAsia="MS Gothic" w:hAnsi="MS Gothic" w:cs="MS Gothic" w:hint="eastAsia"/>
                                      <w:sz w:val="22"/>
                                      <w:szCs w:val="22"/>
                                    </w:rPr>
                                    <w:t>┤</w:t>
                                  </w:r>
                                </w:p>
                              </w:tc>
                            </w:tr>
                            <w:tr w:rsidR="00C34D62" w:rsidRPr="00C34D62" w14:paraId="33F21DEB" w14:textId="77777777">
                              <w:tc>
                                <w:tcPr>
                                  <w:tcW w:w="7985" w:type="dxa"/>
                                </w:tcPr>
                                <w:p w14:paraId="7618E410" w14:textId="77777777" w:rsidR="008C3576" w:rsidRPr="00C34D62" w:rsidRDefault="008C3576" w:rsidP="00E40C50">
                                  <w:pPr>
                                    <w:jc w:val="center"/>
                                    <w:rPr>
                                      <w:sz w:val="22"/>
                                      <w:szCs w:val="22"/>
                                    </w:rPr>
                                  </w:pPr>
                                  <w:r w:rsidRPr="00C34D62">
                                    <w:rPr>
                                      <w:sz w:val="22"/>
                                      <w:szCs w:val="22"/>
                                    </w:rPr>
                                    <w:t xml:space="preserve"> │   5. Full</w:t>
                                  </w:r>
                                  <w:r w:rsidRPr="00C34D62">
                                    <w:rPr>
                                      <w:rFonts w:ascii="Cambria Math" w:hAnsi="Cambria Math" w:cs="Cambria Math"/>
                                      <w:sz w:val="22"/>
                                      <w:szCs w:val="22"/>
                                    </w:rPr>
                                    <w:t>‑</w:t>
                                  </w:r>
                                  <w:r w:rsidRPr="00C34D62">
                                    <w:rPr>
                                      <w:sz w:val="22"/>
                                      <w:szCs w:val="22"/>
                                    </w:rPr>
                                    <w:t xml:space="preserve">Text Review                </w:t>
                                  </w:r>
                                  <w:r w:rsidRPr="00C34D62">
                                    <w:rPr>
                                      <w:rFonts w:ascii="Aptos" w:hAnsi="Aptos" w:cs="Aptos"/>
                                      <w:sz w:val="22"/>
                                      <w:szCs w:val="22"/>
                                    </w:rPr>
                                    <w:t>│</w:t>
                                  </w:r>
                                </w:p>
                              </w:tc>
                            </w:tr>
                            <w:tr w:rsidR="00C34D62" w:rsidRPr="00C34D62" w14:paraId="47AFF104" w14:textId="77777777">
                              <w:tc>
                                <w:tcPr>
                                  <w:tcW w:w="7985" w:type="dxa"/>
                                </w:tcPr>
                                <w:p w14:paraId="6A728D9F" w14:textId="77777777" w:rsidR="008C3576" w:rsidRPr="00C34D62" w:rsidRDefault="008C3576" w:rsidP="00E40C50">
                                  <w:pPr>
                                    <w:jc w:val="center"/>
                                    <w:rPr>
                                      <w:sz w:val="22"/>
                                      <w:szCs w:val="22"/>
                                    </w:rPr>
                                  </w:pPr>
                                  <w:r w:rsidRPr="00C34D62">
                                    <w:rPr>
                                      <w:sz w:val="22"/>
                                      <w:szCs w:val="22"/>
                                    </w:rPr>
                                    <w:t xml:space="preserve"> </w:t>
                                  </w:r>
                                  <w:r w:rsidRPr="00C34D62">
                                    <w:rPr>
                                      <w:rFonts w:ascii="MS Gothic" w:eastAsia="MS Gothic" w:hAnsi="MS Gothic" w:cs="MS Gothic" w:hint="eastAsia"/>
                                      <w:sz w:val="22"/>
                                      <w:szCs w:val="22"/>
                                    </w:rPr>
                                    <w:t>├</w:t>
                                  </w:r>
                                  <w:r w:rsidRPr="00C34D62">
                                    <w:rPr>
                                      <w:rFonts w:ascii="Aptos" w:hAnsi="Aptos" w:cs="Aptos"/>
                                      <w:sz w:val="22"/>
                                      <w:szCs w:val="22"/>
                                    </w:rPr>
                                    <w:t>──────────────────────────────────────</w:t>
                                  </w:r>
                                  <w:r w:rsidRPr="00C34D62">
                                    <w:rPr>
                                      <w:rFonts w:ascii="MS Gothic" w:eastAsia="MS Gothic" w:hAnsi="MS Gothic" w:cs="MS Gothic" w:hint="eastAsia"/>
                                      <w:sz w:val="22"/>
                                      <w:szCs w:val="22"/>
                                    </w:rPr>
                                    <w:t>┤</w:t>
                                  </w:r>
                                </w:p>
                              </w:tc>
                            </w:tr>
                            <w:tr w:rsidR="00C34D62" w:rsidRPr="00C34D62" w14:paraId="6B51CC96" w14:textId="77777777">
                              <w:tc>
                                <w:tcPr>
                                  <w:tcW w:w="7985" w:type="dxa"/>
                                </w:tcPr>
                                <w:p w14:paraId="43BE01A4" w14:textId="77777777" w:rsidR="008C3576" w:rsidRPr="00C34D62" w:rsidRDefault="008C3576" w:rsidP="00E40C50">
                                  <w:pPr>
                                    <w:jc w:val="center"/>
                                    <w:rPr>
                                      <w:sz w:val="22"/>
                                      <w:szCs w:val="22"/>
                                    </w:rPr>
                                  </w:pPr>
                                  <w:r w:rsidRPr="00C34D62">
                                    <w:rPr>
                                      <w:sz w:val="22"/>
                                      <w:szCs w:val="22"/>
                                    </w:rPr>
                                    <w:t xml:space="preserve"> │   6. Thematic Coding &amp; Analysis      │</w:t>
                                  </w:r>
                                </w:p>
                              </w:tc>
                            </w:tr>
                            <w:tr w:rsidR="00C34D62" w:rsidRPr="00C34D62" w14:paraId="164C78CB" w14:textId="77777777">
                              <w:tc>
                                <w:tcPr>
                                  <w:tcW w:w="7985" w:type="dxa"/>
                                </w:tcPr>
                                <w:p w14:paraId="3C2298CB" w14:textId="77777777" w:rsidR="008C3576" w:rsidRPr="00C34D62" w:rsidRDefault="008C3576" w:rsidP="00E40C50">
                                  <w:pPr>
                                    <w:jc w:val="center"/>
                                    <w:rPr>
                                      <w:sz w:val="22"/>
                                      <w:szCs w:val="22"/>
                                    </w:rPr>
                                  </w:pPr>
                                  <w:r w:rsidRPr="00C34D62">
                                    <w:rPr>
                                      <w:sz w:val="22"/>
                                      <w:szCs w:val="22"/>
                                    </w:rPr>
                                    <w:t xml:space="preserve"> └──────────────────────────────────────┘</w:t>
                                  </w:r>
                                </w:p>
                              </w:tc>
                            </w:tr>
                          </w:tbl>
                          <w:p w14:paraId="26A39908" w14:textId="3BA66187" w:rsidR="00131DA8" w:rsidRPr="00682B0D" w:rsidRDefault="00131DA8" w:rsidP="008C3576">
                            <w:pPr>
                              <w:jc w:val="center"/>
                              <w:rPr>
                                <w:sz w:val="28"/>
                                <w:szCs w:val="28"/>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F5426B9" id="_x0000_s1027" style="position:absolute;margin-left:330pt;margin-top:-30pt;width:423.75pt;height:217.25pt;z-index:25166848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n7FkAIAAJgFAAAOAAAAZHJzL2Uyb0RvYy54bWysVMFu2zAMvQ/YPwi6r46zJG2DOEXQosOA&#10;ri3WDj0rshQbkEVNUmJnXz9Kcpyg7XYYloNDUeQj+URycdU1iuyEdTXoguZnI0qE5lDWelPQH8+3&#10;ny4ocZ7pkinQoqB74ejV8uOHRWvmYgwVqFJYgiDazVtT0Mp7M88yxyvRMHcGRmi8lGAb5vFoN1lp&#10;WYvojcrGo9Esa8GWxgIXzqH2Jl3SZcSXUnD/IKUTnqiCYm4+fm38rsM3Wy7YfGOZqWrep8H+IYuG&#10;1RqDDlA3zDOytfUbqKbmFhxIf8ahyUDKmotYA1aTj15V81QxI2ItSI4zA03u/8Hy+92TebRIQ2vc&#10;3KEYquikbcI/5ke6SNZ+IEt0nnBUTj9f5LPxlBKOd+Pz6cXlbBrozI7uxjr/RUBDglBQi68RSWK7&#10;O+eT6cEkRHOg6vK2VioeQgeIa2XJjuHbMc6F9nl0V9vmG5RJPxvhL70iqvGtk3pyUGM2sZcCUszt&#10;JEh2LDlKfq9ECK30dyFJXWKR4xhwQHibi6tYKZI6n/apvIkZAQOyxOIG7FTMH7ATO719cBWxmQfn&#10;0d8SS86DR4wM2g/OTa3BvgegkOE+crJHyk6oCaLv1h1yg7MeLINmDeX+0RILabic4bc1vvcdc/6R&#10;WZwmnDvcEP4BP1JBW1DoJUoqsL/e0wd7bHK8paTF6Syo+7llVlCivmps/8t8MgnjHA+T6fkYD/b0&#10;Zn16o7fNNWAT5biLDI9isPfqIEoLzQsuklWIildMc4xdUO7t4XDt09bAVcTFahXNcIQN83f6yfAA&#10;HngO/fzcvTBr+qb3OC/3cJhkNn/V+8k2eGpYbT3IOg7Gkdf+BXD8Y/v2qyrsl9NztDou1OVvAAAA&#10;//8DAFBLAwQUAAYACAAAACEA6OXlaN4AAAAMAQAADwAAAGRycy9kb3ducmV2LnhtbEyPzU7DMBCE&#10;70i8g7VI3FqnhaQhzaZCSL0ipeUBtrGbRI3XUez88Pa4XOA2qxnNfpMfFtOJSQ+utYywWUcgNFdW&#10;tVwjfJ2PqxSE88SKOssa4Vs7OBSPDzllys5c6unkaxFK2GWE0HjfZ1K6qtGG3Nr2moN3tYMhH86h&#10;lmqgOZSbTm6jKJGGWg4fGur1R6Or22k0CKnpq9tsym3qrorezsdPM5Uj4vPT8r4H4fXi/8Jwxw/o&#10;UASmix1ZOdEhJEkUtniE1a+4J+JoF4O4ILzsXmOQRS7/jyh+AAAA//8DAFBLAQItABQABgAIAAAA&#10;IQC2gziS/gAAAOEBAAATAAAAAAAAAAAAAAAAAAAAAABbQ29udGVudF9UeXBlc10ueG1sUEsBAi0A&#10;FAAGAAgAAAAhADj9If/WAAAAlAEAAAsAAAAAAAAAAAAAAAAALwEAAF9yZWxzLy5yZWxzUEsBAi0A&#10;FAAGAAgAAAAhAL9afsWQAgAAmAUAAA4AAAAAAAAAAAAAAAAALgIAAGRycy9lMm9Eb2MueG1sUEsB&#10;Ai0AFAAGAAgAAAAhAOjl5WjeAAAADAEAAA8AAAAAAAAAAAAAAAAA6gQAAGRycy9kb3ducmV2Lnht&#10;bFBLBQYAAAAABAAEAPMAAAD1BQAAAAA=&#10;" fillcolor="#45b0e1 [1940]" strokecolor="#030e13 [484]" strokeweight="1.5pt">
                <v:textbox>
                  <w:txbxContent>
                    <w:p w14:paraId="0FC56988" w14:textId="644986E5" w:rsidR="008C3576" w:rsidRPr="00C34D62" w:rsidRDefault="00682B0D" w:rsidP="009176B3">
                      <w:pPr>
                        <w:jc w:val="center"/>
                        <w:rPr>
                          <w:sz w:val="22"/>
                          <w:szCs w:val="22"/>
                        </w:rPr>
                      </w:pPr>
                      <w:r w:rsidRPr="00682B0D">
                        <w:rPr>
                          <w:sz w:val="28"/>
                          <w:szCs w:val="28"/>
                        </w:rPr>
                        <w:t xml:space="preserve">   </w:t>
                      </w:r>
                      <w:r w:rsidRPr="00F26F0D">
                        <w:t xml:space="preserve">  </w:t>
                      </w:r>
                      <w:r w:rsidRPr="00C34D62">
                        <w:rPr>
                          <w:sz w:val="22"/>
                          <w:szCs w:val="22"/>
                        </w:rPr>
                        <w:t xml:space="preserve">   SEARCH PROCESS OVERVIE</w:t>
                      </w:r>
                      <w:r w:rsidR="00766E3D" w:rsidRPr="00C34D62">
                        <w:rPr>
                          <w:sz w:val="22"/>
                          <w:szCs w:val="22"/>
                        </w:rPr>
                        <w:t>W</w:t>
                      </w:r>
                    </w:p>
                    <w:tbl>
                      <w:tblPr>
                        <w:tblStyle w:val="TableGrid"/>
                        <w:tblW w:w="0" w:type="auto"/>
                        <w:tblLook w:val="04A0" w:firstRow="1" w:lastRow="0" w:firstColumn="1" w:lastColumn="0" w:noHBand="0" w:noVBand="1"/>
                      </w:tblPr>
                      <w:tblGrid>
                        <w:gridCol w:w="7985"/>
                      </w:tblGrid>
                      <w:tr w:rsidR="00C34D62" w:rsidRPr="00C34D62" w14:paraId="69BA9926" w14:textId="77777777">
                        <w:tc>
                          <w:tcPr>
                            <w:tcW w:w="7985" w:type="dxa"/>
                          </w:tcPr>
                          <w:p w14:paraId="78F853FA" w14:textId="77777777" w:rsidR="008C3576" w:rsidRPr="00C34D62" w:rsidRDefault="008C3576" w:rsidP="00E40C50">
                            <w:pPr>
                              <w:jc w:val="center"/>
                              <w:rPr>
                                <w:sz w:val="22"/>
                                <w:szCs w:val="22"/>
                              </w:rPr>
                            </w:pPr>
                            <w:r w:rsidRPr="00C34D62">
                              <w:rPr>
                                <w:sz w:val="22"/>
                                <w:szCs w:val="22"/>
                              </w:rPr>
                              <w:t>┌──────────────────────────────────────┐</w:t>
                            </w:r>
                          </w:p>
                        </w:tc>
                      </w:tr>
                      <w:tr w:rsidR="00C34D62" w:rsidRPr="00C34D62" w14:paraId="24A3EA6F" w14:textId="77777777" w:rsidTr="008C3576">
                        <w:trPr>
                          <w:trHeight w:val="209"/>
                        </w:trPr>
                        <w:tc>
                          <w:tcPr>
                            <w:tcW w:w="7985" w:type="dxa"/>
                          </w:tcPr>
                          <w:p w14:paraId="36924669" w14:textId="77777777" w:rsidR="008C3576" w:rsidRPr="00C34D62" w:rsidRDefault="008C3576" w:rsidP="00E40C50">
                            <w:pPr>
                              <w:jc w:val="center"/>
                              <w:rPr>
                                <w:sz w:val="22"/>
                                <w:szCs w:val="22"/>
                              </w:rPr>
                            </w:pPr>
                            <w:r w:rsidRPr="00C34D62">
                              <w:rPr>
                                <w:sz w:val="22"/>
                                <w:szCs w:val="22"/>
                              </w:rPr>
                              <w:t xml:space="preserve"> │   1. Keywords &amp; Boolean Operators    │</w:t>
                            </w:r>
                          </w:p>
                        </w:tc>
                      </w:tr>
                      <w:tr w:rsidR="00C34D62" w:rsidRPr="00C34D62" w14:paraId="32C5AD05" w14:textId="77777777">
                        <w:tc>
                          <w:tcPr>
                            <w:tcW w:w="7985" w:type="dxa"/>
                          </w:tcPr>
                          <w:p w14:paraId="3F657852" w14:textId="77777777" w:rsidR="008C3576" w:rsidRPr="00C34D62" w:rsidRDefault="008C3576" w:rsidP="00E40C50">
                            <w:pPr>
                              <w:jc w:val="center"/>
                              <w:rPr>
                                <w:sz w:val="22"/>
                                <w:szCs w:val="22"/>
                              </w:rPr>
                            </w:pPr>
                            <w:r w:rsidRPr="00C34D62">
                              <w:rPr>
                                <w:sz w:val="22"/>
                                <w:szCs w:val="22"/>
                              </w:rPr>
                              <w:t xml:space="preserve"> </w:t>
                            </w:r>
                            <w:r w:rsidRPr="00C34D62">
                              <w:rPr>
                                <w:rFonts w:ascii="MS Gothic" w:eastAsia="MS Gothic" w:hAnsi="MS Gothic" w:cs="MS Gothic" w:hint="eastAsia"/>
                                <w:sz w:val="22"/>
                                <w:szCs w:val="22"/>
                              </w:rPr>
                              <w:t>├</w:t>
                            </w:r>
                            <w:r w:rsidRPr="00C34D62">
                              <w:rPr>
                                <w:rFonts w:ascii="Aptos" w:hAnsi="Aptos" w:cs="Aptos"/>
                                <w:sz w:val="22"/>
                                <w:szCs w:val="22"/>
                              </w:rPr>
                              <w:t>──────────────────────────────────────</w:t>
                            </w:r>
                            <w:r w:rsidRPr="00C34D62">
                              <w:rPr>
                                <w:rFonts w:ascii="MS Gothic" w:eastAsia="MS Gothic" w:hAnsi="MS Gothic" w:cs="MS Gothic" w:hint="eastAsia"/>
                                <w:sz w:val="22"/>
                                <w:szCs w:val="22"/>
                              </w:rPr>
                              <w:t>┤</w:t>
                            </w:r>
                          </w:p>
                        </w:tc>
                      </w:tr>
                      <w:tr w:rsidR="00C34D62" w:rsidRPr="00C34D62" w14:paraId="5117129B" w14:textId="77777777">
                        <w:tc>
                          <w:tcPr>
                            <w:tcW w:w="7985" w:type="dxa"/>
                          </w:tcPr>
                          <w:p w14:paraId="648B5A60" w14:textId="77777777" w:rsidR="008C3576" w:rsidRPr="00C34D62" w:rsidRDefault="008C3576" w:rsidP="00E40C50">
                            <w:pPr>
                              <w:jc w:val="center"/>
                              <w:rPr>
                                <w:sz w:val="22"/>
                                <w:szCs w:val="22"/>
                              </w:rPr>
                            </w:pPr>
                            <w:r w:rsidRPr="00C34D62">
                              <w:rPr>
                                <w:sz w:val="22"/>
                                <w:szCs w:val="22"/>
                              </w:rPr>
                              <w:t xml:space="preserve"> │   2. Database Searches               │</w:t>
                            </w:r>
                          </w:p>
                        </w:tc>
                      </w:tr>
                      <w:tr w:rsidR="00C34D62" w:rsidRPr="00C34D62" w14:paraId="725C372F" w14:textId="77777777">
                        <w:tc>
                          <w:tcPr>
                            <w:tcW w:w="7985" w:type="dxa"/>
                          </w:tcPr>
                          <w:p w14:paraId="7D319634" w14:textId="77777777" w:rsidR="008C3576" w:rsidRPr="00C34D62" w:rsidRDefault="008C3576" w:rsidP="00E40C50">
                            <w:pPr>
                              <w:jc w:val="center"/>
                              <w:rPr>
                                <w:sz w:val="22"/>
                                <w:szCs w:val="22"/>
                              </w:rPr>
                            </w:pPr>
                            <w:r w:rsidRPr="00C34D62">
                              <w:rPr>
                                <w:sz w:val="22"/>
                                <w:szCs w:val="22"/>
                              </w:rPr>
                              <w:t xml:space="preserve"> </w:t>
                            </w:r>
                            <w:r w:rsidRPr="00C34D62">
                              <w:rPr>
                                <w:rFonts w:ascii="MS Gothic" w:eastAsia="MS Gothic" w:hAnsi="MS Gothic" w:cs="MS Gothic" w:hint="eastAsia"/>
                                <w:sz w:val="22"/>
                                <w:szCs w:val="22"/>
                              </w:rPr>
                              <w:t>├</w:t>
                            </w:r>
                            <w:r w:rsidRPr="00C34D62">
                              <w:rPr>
                                <w:rFonts w:ascii="Aptos" w:hAnsi="Aptos" w:cs="Aptos"/>
                                <w:sz w:val="22"/>
                                <w:szCs w:val="22"/>
                              </w:rPr>
                              <w:t>──────────────────────────────────────</w:t>
                            </w:r>
                            <w:r w:rsidRPr="00C34D62">
                              <w:rPr>
                                <w:rFonts w:ascii="MS Gothic" w:eastAsia="MS Gothic" w:hAnsi="MS Gothic" w:cs="MS Gothic" w:hint="eastAsia"/>
                                <w:sz w:val="22"/>
                                <w:szCs w:val="22"/>
                              </w:rPr>
                              <w:t>┤</w:t>
                            </w:r>
                          </w:p>
                        </w:tc>
                      </w:tr>
                      <w:tr w:rsidR="00C34D62" w:rsidRPr="00C34D62" w14:paraId="4F6BCCEC" w14:textId="77777777">
                        <w:tc>
                          <w:tcPr>
                            <w:tcW w:w="7985" w:type="dxa"/>
                          </w:tcPr>
                          <w:p w14:paraId="56BDEE4C" w14:textId="77777777" w:rsidR="008C3576" w:rsidRPr="00C34D62" w:rsidRDefault="008C3576" w:rsidP="00E40C50">
                            <w:pPr>
                              <w:jc w:val="center"/>
                              <w:rPr>
                                <w:sz w:val="22"/>
                                <w:szCs w:val="22"/>
                              </w:rPr>
                            </w:pPr>
                            <w:r w:rsidRPr="00C34D62">
                              <w:rPr>
                                <w:sz w:val="22"/>
                                <w:szCs w:val="22"/>
                              </w:rPr>
                              <w:t xml:space="preserve"> │   3. Apply Filters (2014–2025, UK)   │</w:t>
                            </w:r>
                          </w:p>
                        </w:tc>
                      </w:tr>
                      <w:tr w:rsidR="00C34D62" w:rsidRPr="00C34D62" w14:paraId="4C31FBFE" w14:textId="77777777">
                        <w:tc>
                          <w:tcPr>
                            <w:tcW w:w="7985" w:type="dxa"/>
                          </w:tcPr>
                          <w:p w14:paraId="75A1687A" w14:textId="77777777" w:rsidR="008C3576" w:rsidRPr="00C34D62" w:rsidRDefault="008C3576" w:rsidP="00E40C50">
                            <w:pPr>
                              <w:jc w:val="center"/>
                              <w:rPr>
                                <w:sz w:val="22"/>
                                <w:szCs w:val="22"/>
                              </w:rPr>
                            </w:pPr>
                            <w:r w:rsidRPr="00C34D62">
                              <w:rPr>
                                <w:sz w:val="22"/>
                                <w:szCs w:val="22"/>
                              </w:rPr>
                              <w:t xml:space="preserve"> </w:t>
                            </w:r>
                            <w:r w:rsidRPr="00C34D62">
                              <w:rPr>
                                <w:rFonts w:ascii="MS Gothic" w:eastAsia="MS Gothic" w:hAnsi="MS Gothic" w:cs="MS Gothic" w:hint="eastAsia"/>
                                <w:sz w:val="22"/>
                                <w:szCs w:val="22"/>
                              </w:rPr>
                              <w:t>├</w:t>
                            </w:r>
                            <w:r w:rsidRPr="00C34D62">
                              <w:rPr>
                                <w:rFonts w:ascii="Aptos" w:hAnsi="Aptos" w:cs="Aptos"/>
                                <w:sz w:val="22"/>
                                <w:szCs w:val="22"/>
                              </w:rPr>
                              <w:t>──────────────────────────────────────</w:t>
                            </w:r>
                            <w:r w:rsidRPr="00C34D62">
                              <w:rPr>
                                <w:rFonts w:ascii="MS Gothic" w:eastAsia="MS Gothic" w:hAnsi="MS Gothic" w:cs="MS Gothic" w:hint="eastAsia"/>
                                <w:sz w:val="22"/>
                                <w:szCs w:val="22"/>
                              </w:rPr>
                              <w:t>┤</w:t>
                            </w:r>
                          </w:p>
                        </w:tc>
                      </w:tr>
                      <w:tr w:rsidR="00C34D62" w:rsidRPr="00C34D62" w14:paraId="09F5FDEB" w14:textId="77777777">
                        <w:tc>
                          <w:tcPr>
                            <w:tcW w:w="7985" w:type="dxa"/>
                          </w:tcPr>
                          <w:p w14:paraId="349D19DD" w14:textId="77777777" w:rsidR="008C3576" w:rsidRPr="00C34D62" w:rsidRDefault="008C3576" w:rsidP="00E40C50">
                            <w:pPr>
                              <w:jc w:val="center"/>
                              <w:rPr>
                                <w:sz w:val="22"/>
                                <w:szCs w:val="22"/>
                              </w:rPr>
                            </w:pPr>
                            <w:r w:rsidRPr="00C34D62">
                              <w:rPr>
                                <w:sz w:val="22"/>
                                <w:szCs w:val="22"/>
                              </w:rPr>
                              <w:t xml:space="preserve"> │   4. Screen Titles &amp; Abstracts       │</w:t>
                            </w:r>
                          </w:p>
                        </w:tc>
                      </w:tr>
                      <w:tr w:rsidR="00C34D62" w:rsidRPr="00C34D62" w14:paraId="48BF8332" w14:textId="77777777">
                        <w:tc>
                          <w:tcPr>
                            <w:tcW w:w="7985" w:type="dxa"/>
                          </w:tcPr>
                          <w:p w14:paraId="3D1AD08D" w14:textId="77777777" w:rsidR="008C3576" w:rsidRPr="00C34D62" w:rsidRDefault="008C3576" w:rsidP="00E40C50">
                            <w:pPr>
                              <w:jc w:val="center"/>
                              <w:rPr>
                                <w:sz w:val="22"/>
                                <w:szCs w:val="22"/>
                              </w:rPr>
                            </w:pPr>
                            <w:r w:rsidRPr="00C34D62">
                              <w:rPr>
                                <w:sz w:val="22"/>
                                <w:szCs w:val="22"/>
                              </w:rPr>
                              <w:t xml:space="preserve"> </w:t>
                            </w:r>
                            <w:r w:rsidRPr="00C34D62">
                              <w:rPr>
                                <w:rFonts w:ascii="MS Gothic" w:eastAsia="MS Gothic" w:hAnsi="MS Gothic" w:cs="MS Gothic" w:hint="eastAsia"/>
                                <w:sz w:val="22"/>
                                <w:szCs w:val="22"/>
                              </w:rPr>
                              <w:t>├</w:t>
                            </w:r>
                            <w:r w:rsidRPr="00C34D62">
                              <w:rPr>
                                <w:rFonts w:ascii="Aptos" w:hAnsi="Aptos" w:cs="Aptos"/>
                                <w:sz w:val="22"/>
                                <w:szCs w:val="22"/>
                              </w:rPr>
                              <w:t>──────────────────────────────────────</w:t>
                            </w:r>
                            <w:r w:rsidRPr="00C34D62">
                              <w:rPr>
                                <w:rFonts w:ascii="MS Gothic" w:eastAsia="MS Gothic" w:hAnsi="MS Gothic" w:cs="MS Gothic" w:hint="eastAsia"/>
                                <w:sz w:val="22"/>
                                <w:szCs w:val="22"/>
                              </w:rPr>
                              <w:t>┤</w:t>
                            </w:r>
                          </w:p>
                        </w:tc>
                      </w:tr>
                      <w:tr w:rsidR="00C34D62" w:rsidRPr="00C34D62" w14:paraId="33F21DEB" w14:textId="77777777">
                        <w:tc>
                          <w:tcPr>
                            <w:tcW w:w="7985" w:type="dxa"/>
                          </w:tcPr>
                          <w:p w14:paraId="7618E410" w14:textId="77777777" w:rsidR="008C3576" w:rsidRPr="00C34D62" w:rsidRDefault="008C3576" w:rsidP="00E40C50">
                            <w:pPr>
                              <w:jc w:val="center"/>
                              <w:rPr>
                                <w:sz w:val="22"/>
                                <w:szCs w:val="22"/>
                              </w:rPr>
                            </w:pPr>
                            <w:r w:rsidRPr="00C34D62">
                              <w:rPr>
                                <w:sz w:val="22"/>
                                <w:szCs w:val="22"/>
                              </w:rPr>
                              <w:t xml:space="preserve"> │   5. Full</w:t>
                            </w:r>
                            <w:r w:rsidRPr="00C34D62">
                              <w:rPr>
                                <w:rFonts w:ascii="Cambria Math" w:hAnsi="Cambria Math" w:cs="Cambria Math"/>
                                <w:sz w:val="22"/>
                                <w:szCs w:val="22"/>
                              </w:rPr>
                              <w:t>‑</w:t>
                            </w:r>
                            <w:r w:rsidRPr="00C34D62">
                              <w:rPr>
                                <w:sz w:val="22"/>
                                <w:szCs w:val="22"/>
                              </w:rPr>
                              <w:t xml:space="preserve">Text Review                </w:t>
                            </w:r>
                            <w:r w:rsidRPr="00C34D62">
                              <w:rPr>
                                <w:rFonts w:ascii="Aptos" w:hAnsi="Aptos" w:cs="Aptos"/>
                                <w:sz w:val="22"/>
                                <w:szCs w:val="22"/>
                              </w:rPr>
                              <w:t>│</w:t>
                            </w:r>
                          </w:p>
                        </w:tc>
                      </w:tr>
                      <w:tr w:rsidR="00C34D62" w:rsidRPr="00C34D62" w14:paraId="47AFF104" w14:textId="77777777">
                        <w:tc>
                          <w:tcPr>
                            <w:tcW w:w="7985" w:type="dxa"/>
                          </w:tcPr>
                          <w:p w14:paraId="6A728D9F" w14:textId="77777777" w:rsidR="008C3576" w:rsidRPr="00C34D62" w:rsidRDefault="008C3576" w:rsidP="00E40C50">
                            <w:pPr>
                              <w:jc w:val="center"/>
                              <w:rPr>
                                <w:sz w:val="22"/>
                                <w:szCs w:val="22"/>
                              </w:rPr>
                            </w:pPr>
                            <w:r w:rsidRPr="00C34D62">
                              <w:rPr>
                                <w:sz w:val="22"/>
                                <w:szCs w:val="22"/>
                              </w:rPr>
                              <w:t xml:space="preserve"> </w:t>
                            </w:r>
                            <w:r w:rsidRPr="00C34D62">
                              <w:rPr>
                                <w:rFonts w:ascii="MS Gothic" w:eastAsia="MS Gothic" w:hAnsi="MS Gothic" w:cs="MS Gothic" w:hint="eastAsia"/>
                                <w:sz w:val="22"/>
                                <w:szCs w:val="22"/>
                              </w:rPr>
                              <w:t>├</w:t>
                            </w:r>
                            <w:r w:rsidRPr="00C34D62">
                              <w:rPr>
                                <w:rFonts w:ascii="Aptos" w:hAnsi="Aptos" w:cs="Aptos"/>
                                <w:sz w:val="22"/>
                                <w:szCs w:val="22"/>
                              </w:rPr>
                              <w:t>──────────────────────────────────────</w:t>
                            </w:r>
                            <w:r w:rsidRPr="00C34D62">
                              <w:rPr>
                                <w:rFonts w:ascii="MS Gothic" w:eastAsia="MS Gothic" w:hAnsi="MS Gothic" w:cs="MS Gothic" w:hint="eastAsia"/>
                                <w:sz w:val="22"/>
                                <w:szCs w:val="22"/>
                              </w:rPr>
                              <w:t>┤</w:t>
                            </w:r>
                          </w:p>
                        </w:tc>
                      </w:tr>
                      <w:tr w:rsidR="00C34D62" w:rsidRPr="00C34D62" w14:paraId="6B51CC96" w14:textId="77777777">
                        <w:tc>
                          <w:tcPr>
                            <w:tcW w:w="7985" w:type="dxa"/>
                          </w:tcPr>
                          <w:p w14:paraId="43BE01A4" w14:textId="77777777" w:rsidR="008C3576" w:rsidRPr="00C34D62" w:rsidRDefault="008C3576" w:rsidP="00E40C50">
                            <w:pPr>
                              <w:jc w:val="center"/>
                              <w:rPr>
                                <w:sz w:val="22"/>
                                <w:szCs w:val="22"/>
                              </w:rPr>
                            </w:pPr>
                            <w:r w:rsidRPr="00C34D62">
                              <w:rPr>
                                <w:sz w:val="22"/>
                                <w:szCs w:val="22"/>
                              </w:rPr>
                              <w:t xml:space="preserve"> │   6. Thematic Coding &amp; Analysis      │</w:t>
                            </w:r>
                          </w:p>
                        </w:tc>
                      </w:tr>
                      <w:tr w:rsidR="00C34D62" w:rsidRPr="00C34D62" w14:paraId="164C78CB" w14:textId="77777777">
                        <w:tc>
                          <w:tcPr>
                            <w:tcW w:w="7985" w:type="dxa"/>
                          </w:tcPr>
                          <w:p w14:paraId="3C2298CB" w14:textId="77777777" w:rsidR="008C3576" w:rsidRPr="00C34D62" w:rsidRDefault="008C3576" w:rsidP="00E40C50">
                            <w:pPr>
                              <w:jc w:val="center"/>
                              <w:rPr>
                                <w:sz w:val="22"/>
                                <w:szCs w:val="22"/>
                              </w:rPr>
                            </w:pPr>
                            <w:r w:rsidRPr="00C34D62">
                              <w:rPr>
                                <w:sz w:val="22"/>
                                <w:szCs w:val="22"/>
                              </w:rPr>
                              <w:t xml:space="preserve"> └──────────────────────────────────────┘</w:t>
                            </w:r>
                          </w:p>
                        </w:tc>
                      </w:tr>
                    </w:tbl>
                    <w:p w14:paraId="26A39908" w14:textId="3BA66187" w:rsidR="00131DA8" w:rsidRPr="00682B0D" w:rsidRDefault="00131DA8" w:rsidP="008C3576">
                      <w:pPr>
                        <w:jc w:val="center"/>
                        <w:rPr>
                          <w:sz w:val="28"/>
                          <w:szCs w:val="28"/>
                        </w:rPr>
                      </w:pPr>
                    </w:p>
                  </w:txbxContent>
                </v:textbox>
                <w10:wrap anchorx="margin"/>
              </v:rect>
            </w:pict>
          </mc:Fallback>
        </mc:AlternateContent>
      </w:r>
      <w:r w:rsidR="00880E33">
        <w:rPr>
          <w:b/>
          <w:noProof/>
          <w:color w:val="0F9ED5" w:themeColor="accent4"/>
        </w:rPr>
        <mc:AlternateContent>
          <mc:Choice Requires="wps">
            <w:drawing>
              <wp:anchor distT="0" distB="0" distL="114300" distR="114300" simplePos="0" relativeHeight="251660288" behindDoc="0" locked="0" layoutInCell="1" allowOverlap="1" wp14:anchorId="18D5C1A6" wp14:editId="7B6C87C6">
                <wp:simplePos x="0" y="0"/>
                <wp:positionH relativeFrom="column">
                  <wp:posOffset>-721995</wp:posOffset>
                </wp:positionH>
                <wp:positionV relativeFrom="paragraph">
                  <wp:posOffset>-379730</wp:posOffset>
                </wp:positionV>
                <wp:extent cx="4845050" cy="2522483"/>
                <wp:effectExtent l="0" t="0" r="12700" b="11430"/>
                <wp:wrapNone/>
                <wp:docPr id="2070554694" name="Rectangle 2"/>
                <wp:cNvGraphicFramePr/>
                <a:graphic xmlns:a="http://schemas.openxmlformats.org/drawingml/2006/main">
                  <a:graphicData uri="http://schemas.microsoft.com/office/word/2010/wordprocessingShape">
                    <wps:wsp>
                      <wps:cNvSpPr/>
                      <wps:spPr>
                        <a:xfrm>
                          <a:off x="0" y="0"/>
                          <a:ext cx="4845050" cy="2522483"/>
                        </a:xfrm>
                        <a:prstGeom prst="rect">
                          <a:avLst/>
                        </a:prstGeom>
                      </wps:spPr>
                      <wps:style>
                        <a:lnRef idx="2">
                          <a:schemeClr val="accent1">
                            <a:shade val="15000"/>
                          </a:schemeClr>
                        </a:lnRef>
                        <a:fillRef idx="1">
                          <a:schemeClr val="accent1"/>
                        </a:fillRef>
                        <a:effectRef idx="0">
                          <a:schemeClr val="accent1"/>
                        </a:effectRef>
                        <a:fontRef idx="minor">
                          <a:schemeClr val="lt1"/>
                        </a:fontRef>
                      </wps:style>
                      <wps:txbx>
                        <w:txbxContent>
                          <w:p w14:paraId="2413633B" w14:textId="77777777" w:rsidR="0051061A" w:rsidRPr="00C34D62" w:rsidRDefault="0051061A" w:rsidP="0051061A">
                            <w:pPr>
                              <w:rPr>
                                <w:rFonts w:ascii="Arial" w:hAnsi="Arial" w:cs="Arial"/>
                                <w:b/>
                                <w:bCs/>
                                <w:sz w:val="22"/>
                                <w:szCs w:val="22"/>
                              </w:rPr>
                            </w:pPr>
                            <w:r w:rsidRPr="00C34D62">
                              <w:rPr>
                                <w:rFonts w:ascii="Arial" w:hAnsi="Arial" w:cs="Arial"/>
                                <w:b/>
                                <w:bCs/>
                                <w:sz w:val="22"/>
                                <w:szCs w:val="22"/>
                              </w:rPr>
                              <w:t>1. Introduction &amp; Research Aim</w:t>
                            </w:r>
                          </w:p>
                          <w:p w14:paraId="26BD0313" w14:textId="1BFEC2DA" w:rsidR="0051061A" w:rsidRPr="00C34D62" w:rsidRDefault="0051061A" w:rsidP="0051061A">
                            <w:pPr>
                              <w:rPr>
                                <w:rFonts w:ascii="Arial" w:hAnsi="Arial" w:cs="Arial"/>
                                <w:sz w:val="22"/>
                                <w:szCs w:val="22"/>
                              </w:rPr>
                            </w:pPr>
                            <w:r w:rsidRPr="00C34D62">
                              <w:rPr>
                                <w:rFonts w:ascii="Arial" w:hAnsi="Arial" w:cs="Arial"/>
                                <w:sz w:val="22"/>
                                <w:szCs w:val="22"/>
                              </w:rPr>
                              <w:t>This poster summarises the methodological approach used to investigate the mental health consequences of Female Genital Mutilation (FGM) among survivors living in the UK. It outlines the search strategy, source selection process, validation methods, and ethical considerations underpinning the secondary qualitative research design (Cohen, Manion &amp; Morrison, 2018).</w:t>
                            </w:r>
                          </w:p>
                          <w:p w14:paraId="3C2BB703" w14:textId="77777777" w:rsidR="0051061A" w:rsidRPr="00C34D62" w:rsidRDefault="0051061A" w:rsidP="0051061A">
                            <w:pPr>
                              <w:rPr>
                                <w:rFonts w:ascii="Arial" w:hAnsi="Arial" w:cs="Arial"/>
                                <w:b/>
                                <w:bCs/>
                                <w:sz w:val="22"/>
                                <w:szCs w:val="22"/>
                              </w:rPr>
                            </w:pPr>
                            <w:r w:rsidRPr="00C34D62">
                              <w:rPr>
                                <w:rFonts w:ascii="Arial" w:hAnsi="Arial" w:cs="Arial"/>
                                <w:b/>
                                <w:bCs/>
                                <w:sz w:val="22"/>
                                <w:szCs w:val="22"/>
                              </w:rPr>
                              <w:t xml:space="preserve">Research Aim:  </w:t>
                            </w:r>
                          </w:p>
                          <w:p w14:paraId="363DD444" w14:textId="7418B006" w:rsidR="00131DA8" w:rsidRPr="00C34D62" w:rsidRDefault="0051061A" w:rsidP="0051061A">
                            <w:pPr>
                              <w:rPr>
                                <w:rFonts w:ascii="Arial" w:hAnsi="Arial" w:cs="Arial"/>
                                <w:sz w:val="22"/>
                                <w:szCs w:val="22"/>
                              </w:rPr>
                            </w:pPr>
                            <w:r w:rsidRPr="00C34D62">
                              <w:rPr>
                                <w:rFonts w:ascii="Arial" w:hAnsi="Arial" w:cs="Arial"/>
                                <w:sz w:val="22"/>
                                <w:szCs w:val="22"/>
                              </w:rPr>
                              <w:t>To explore the psychological impact of FGM on survivors in the UK and evaluate the accessibility, cultural competence, and trauma</w:t>
                            </w:r>
                            <w:r w:rsidRPr="00C34D62">
                              <w:rPr>
                                <w:rFonts w:ascii="Cambria Math" w:hAnsi="Cambria Math" w:cs="Cambria Math"/>
                                <w:sz w:val="22"/>
                                <w:szCs w:val="22"/>
                              </w:rPr>
                              <w:t>‑</w:t>
                            </w:r>
                            <w:r w:rsidRPr="00C34D62">
                              <w:rPr>
                                <w:rFonts w:ascii="Arial" w:hAnsi="Arial" w:cs="Arial"/>
                                <w:sz w:val="22"/>
                                <w:szCs w:val="22"/>
                              </w:rPr>
                              <w:t>informed nature of mental health support services (Jones et al., 2023; WHO, 2024).</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8D5C1A6" id="_x0000_s1028" style="position:absolute;margin-left:-56.85pt;margin-top:-29.9pt;width:381.5pt;height:198.6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y2JyaQIAACYFAAAOAAAAZHJzL2Uyb0RvYy54bWysVMFu2zAMvQ/YPwi6r3a8ZOuCOkXQosOA&#10;oi3aDj0rslQbkEWNUmJnXz9KdpyiLXYYdrEpkXyiHh91dt63hu0U+gZsyWcnOWfKSqga+1zyn49X&#10;n04580HYShiwquR75fn56uOHs84tVQE1mEohIxDrl50reR2CW2aZl7VqhT8Bpyw5NWArAi3xOatQ&#10;dITemqzI8y9ZB1g5BKm8p93LwclXCV9rJcOt1l4FZkpOtYX0xfTdxG+2OhPLZxSubuRYhviHKlrR&#10;WDp0groUQbAtNm+g2kYieNDhREKbgdaNVOkOdJtZ/uo2D7VwKt2FyPFuosn/P1h5s3twd0g0dM4v&#10;PZnxFr3GNv6pPtYnsvYTWaoPTNLm/HS+yBfEqSRfsSiK+ennSGd2THfow3cFLYtGyZG6kUgSu2sf&#10;htBDCOUdC0hW2BsVazD2XmnWVHRkkbKTNtSFQbYT1FUhpbJhNrhqUalhe7bI89ReqmfKSNUlwIis&#10;G2Mm7BEg6u4t9lDrGB9TVZLWlJz/rbAhecpIJ4MNU3LbWMD3AAzdajx5iD+QNFATWQr9piduIjUU&#10;GXc2UO3vkCEMUvdOXjXE/rXw4U4gaZs6RvMabumjDXQlh9HirAb8/d5+jCfJkZezjmal5P7XVqDi&#10;zPywJMZvs/k8DldazBdfC1rgS8/mpcdu2wugxs3oZXAymTE+mIOpEdonGut1PJVcwko6u+Qy4GFx&#10;EYYZpodBqvU6hdFAORGu7YOTETzyHNX12D8JdKMEA6n3Bg5zJZavlDjExkwL620A3SSZHnkdO0DD&#10;mKQ0Phxx2l+uU9TxeVv9AQAA//8DAFBLAwQUAAYACAAAACEAmukR9+IAAAAMAQAADwAAAGRycy9k&#10;b3ducmV2LnhtbEyPwU7DMAyG70i8Q2QkLmhLu4yNlabTBBoSJ8RAnN0ma6s1TtdkW3l7zAlutvzp&#10;9/fn69F14myH0HrSkE4TEJYqb1qqNXx+bCcPIEJEMth5shq+bYB1cX2VY2b8hd7teRdrwSEUMtTQ&#10;xNhnUoaqsQ7D1PeW+Lb3g8PI61BLM+CFw10nZ0mykA5b4g8N9vapsdVhd3IanDl+laeXg1f98+ZO&#10;Hbf7V5y9aX17M24eQUQ7xj8YfvVZHQp2Kv2JTBCdhkmaqiWzPN2vuAQji/lKgSg1KLWcgyxy+b9E&#10;8QMAAP//AwBQSwECLQAUAAYACAAAACEAtoM4kv4AAADhAQAAEwAAAAAAAAAAAAAAAAAAAAAAW0Nv&#10;bnRlbnRfVHlwZXNdLnhtbFBLAQItABQABgAIAAAAIQA4/SH/1gAAAJQBAAALAAAAAAAAAAAAAAAA&#10;AC8BAABfcmVscy8ucmVsc1BLAQItABQABgAIAAAAIQDDy2JyaQIAACYFAAAOAAAAAAAAAAAAAAAA&#10;AC4CAABkcnMvZTJvRG9jLnhtbFBLAQItABQABgAIAAAAIQCa6RH34gAAAAwBAAAPAAAAAAAAAAAA&#10;AAAAAMMEAABkcnMvZG93bnJldi54bWxQSwUGAAAAAAQABADzAAAA0gUAAAAA&#10;" fillcolor="#156082 [3204]" strokecolor="#030e13 [484]" strokeweight="1.5pt">
                <v:textbox>
                  <w:txbxContent>
                    <w:p w14:paraId="2413633B" w14:textId="77777777" w:rsidR="0051061A" w:rsidRPr="00C34D62" w:rsidRDefault="0051061A" w:rsidP="0051061A">
                      <w:pPr>
                        <w:rPr>
                          <w:rFonts w:ascii="Arial" w:hAnsi="Arial" w:cs="Arial"/>
                          <w:b/>
                          <w:bCs/>
                          <w:sz w:val="22"/>
                          <w:szCs w:val="22"/>
                        </w:rPr>
                      </w:pPr>
                      <w:r w:rsidRPr="00C34D62">
                        <w:rPr>
                          <w:rFonts w:ascii="Arial" w:hAnsi="Arial" w:cs="Arial"/>
                          <w:b/>
                          <w:bCs/>
                          <w:sz w:val="22"/>
                          <w:szCs w:val="22"/>
                        </w:rPr>
                        <w:t>1. Introduction &amp; Research Aim</w:t>
                      </w:r>
                    </w:p>
                    <w:p w14:paraId="26BD0313" w14:textId="1BFEC2DA" w:rsidR="0051061A" w:rsidRPr="00C34D62" w:rsidRDefault="0051061A" w:rsidP="0051061A">
                      <w:pPr>
                        <w:rPr>
                          <w:rFonts w:ascii="Arial" w:hAnsi="Arial" w:cs="Arial"/>
                          <w:sz w:val="22"/>
                          <w:szCs w:val="22"/>
                        </w:rPr>
                      </w:pPr>
                      <w:r w:rsidRPr="00C34D62">
                        <w:rPr>
                          <w:rFonts w:ascii="Arial" w:hAnsi="Arial" w:cs="Arial"/>
                          <w:sz w:val="22"/>
                          <w:szCs w:val="22"/>
                        </w:rPr>
                        <w:t>This poster summarises the methodological approach used to investigate the mental health consequences of Female Genital Mutilation (FGM) among survivors living in the UK. It outlines the search strategy, source selection process, validation methods, and ethical considerations underpinning the secondary qualitative research design (Cohen, Manion &amp; Morrison, 2018).</w:t>
                      </w:r>
                    </w:p>
                    <w:p w14:paraId="3C2BB703" w14:textId="77777777" w:rsidR="0051061A" w:rsidRPr="00C34D62" w:rsidRDefault="0051061A" w:rsidP="0051061A">
                      <w:pPr>
                        <w:rPr>
                          <w:rFonts w:ascii="Arial" w:hAnsi="Arial" w:cs="Arial"/>
                          <w:b/>
                          <w:bCs/>
                          <w:sz w:val="22"/>
                          <w:szCs w:val="22"/>
                        </w:rPr>
                      </w:pPr>
                      <w:r w:rsidRPr="00C34D62">
                        <w:rPr>
                          <w:rFonts w:ascii="Arial" w:hAnsi="Arial" w:cs="Arial"/>
                          <w:b/>
                          <w:bCs/>
                          <w:sz w:val="22"/>
                          <w:szCs w:val="22"/>
                        </w:rPr>
                        <w:t xml:space="preserve">Research Aim:  </w:t>
                      </w:r>
                    </w:p>
                    <w:p w14:paraId="363DD444" w14:textId="7418B006" w:rsidR="00131DA8" w:rsidRPr="00C34D62" w:rsidRDefault="0051061A" w:rsidP="0051061A">
                      <w:pPr>
                        <w:rPr>
                          <w:rFonts w:ascii="Arial" w:hAnsi="Arial" w:cs="Arial"/>
                          <w:sz w:val="22"/>
                          <w:szCs w:val="22"/>
                        </w:rPr>
                      </w:pPr>
                      <w:r w:rsidRPr="00C34D62">
                        <w:rPr>
                          <w:rFonts w:ascii="Arial" w:hAnsi="Arial" w:cs="Arial"/>
                          <w:sz w:val="22"/>
                          <w:szCs w:val="22"/>
                        </w:rPr>
                        <w:t>To explore the psychological impact of FGM on survivors in the UK and evaluate the accessibility, cultural competence, and trauma</w:t>
                      </w:r>
                      <w:r w:rsidRPr="00C34D62">
                        <w:rPr>
                          <w:rFonts w:ascii="Cambria Math" w:hAnsi="Cambria Math" w:cs="Cambria Math"/>
                          <w:sz w:val="22"/>
                          <w:szCs w:val="22"/>
                        </w:rPr>
                        <w:t>‑</w:t>
                      </w:r>
                      <w:r w:rsidRPr="00C34D62">
                        <w:rPr>
                          <w:rFonts w:ascii="Arial" w:hAnsi="Arial" w:cs="Arial"/>
                          <w:sz w:val="22"/>
                          <w:szCs w:val="22"/>
                        </w:rPr>
                        <w:t>informed nature of mental health support services (Jones et al., 2023; WHO, 2024).</w:t>
                      </w:r>
                    </w:p>
                  </w:txbxContent>
                </v:textbox>
              </v:rect>
            </w:pict>
          </mc:Fallback>
        </mc:AlternateContent>
      </w:r>
      <w:r w:rsidR="00880E33">
        <w:rPr>
          <w:b/>
          <w:noProof/>
          <w:color w:val="0F9ED5" w:themeColor="accent4"/>
        </w:rPr>
        <mc:AlternateContent>
          <mc:Choice Requires="wps">
            <w:drawing>
              <wp:anchor distT="0" distB="0" distL="114300" distR="114300" simplePos="0" relativeHeight="251674624" behindDoc="0" locked="0" layoutInCell="1" allowOverlap="1" wp14:anchorId="78807B13" wp14:editId="6A6B8D59">
                <wp:simplePos x="0" y="0"/>
                <wp:positionH relativeFrom="margin">
                  <wp:posOffset>-723900</wp:posOffset>
                </wp:positionH>
                <wp:positionV relativeFrom="paragraph">
                  <wp:posOffset>-819150</wp:posOffset>
                </wp:positionV>
                <wp:extent cx="6877050" cy="390525"/>
                <wp:effectExtent l="0" t="0" r="19050" b="28575"/>
                <wp:wrapNone/>
                <wp:docPr id="213378224" name="Rectangle 2"/>
                <wp:cNvGraphicFramePr/>
                <a:graphic xmlns:a="http://schemas.openxmlformats.org/drawingml/2006/main">
                  <a:graphicData uri="http://schemas.microsoft.com/office/word/2010/wordprocessingShape">
                    <wps:wsp>
                      <wps:cNvSpPr/>
                      <wps:spPr>
                        <a:xfrm>
                          <a:off x="0" y="0"/>
                          <a:ext cx="6877050" cy="390525"/>
                        </a:xfrm>
                        <a:prstGeom prst="rect">
                          <a:avLst/>
                        </a:prstGeom>
                        <a:solidFill>
                          <a:srgbClr val="156082"/>
                        </a:solidFill>
                        <a:ln w="19050" cap="flat" cmpd="sng" algn="ctr">
                          <a:solidFill>
                            <a:srgbClr val="156082">
                              <a:shade val="15000"/>
                            </a:srgbClr>
                          </a:solidFill>
                          <a:prstDash val="solid"/>
                          <a:miter lim="800000"/>
                        </a:ln>
                        <a:effectLst/>
                      </wps:spPr>
                      <wps:txbx>
                        <w:txbxContent>
                          <w:p w14:paraId="254DF838" w14:textId="5D7A3930" w:rsidR="00A038E2" w:rsidRPr="00880E33" w:rsidRDefault="000F4358" w:rsidP="00A038E2">
                            <w:pPr>
                              <w:jc w:val="center"/>
                              <w:rPr>
                                <w:sz w:val="12"/>
                                <w:szCs w:val="12"/>
                              </w:rPr>
                            </w:pPr>
                            <w:r w:rsidRPr="00880E33">
                              <w:rPr>
                                <w:rFonts w:ascii="Segoe UI Emoji" w:hAnsi="Segoe UI Emoji" w:cs="Segoe UI Emoji"/>
                                <w:sz w:val="32"/>
                                <w:szCs w:val="32"/>
                              </w:rPr>
                              <w:t>📌</w:t>
                            </w:r>
                            <w:r w:rsidRPr="00880E33">
                              <w:rPr>
                                <w:b/>
                                <w:bCs/>
                                <w:color w:val="FFFFFF" w:themeColor="background1"/>
                                <w:sz w:val="32"/>
                                <w:szCs w:val="32"/>
                              </w:rPr>
                              <w:t xml:space="preserve"> Academic Methods Poster: FGM &amp; Mental Health (Methods Overview)</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8807B13" id="_x0000_s1029" style="position:absolute;margin-left:-57pt;margin-top:-64.5pt;width:541.5pt;height:30.75pt;z-index:25167462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MN+kbQIAAP4EAAAOAAAAZHJzL2Uyb0RvYy54bWysVE1v2zAMvQ/YfxB0X+2kTZsGcYogRYcB&#10;RRugHXpmZCkWoK9JSuzu14+SnaTtehp2kUmRehSfHj2/6bQie+6DtKaio7OSEm6YraXZVvTn8923&#10;KSUhgqlBWcMr+soDvVl8/TJv3YyPbWNVzT1BEBNmratoE6ObFUVgDdcQzqzjBoPCeg0RXb8tag8t&#10;omtVjMvysmitr523jIeAu7d9kC4yvhCcxUchAo9EVRTvFvPq87pJa7GYw2zrwTWSDdeAf7iFBmmw&#10;6BHqFiKQnZd/QWnJvA1WxDNmdWGFkIznHrCbUfmhm6cGHM+9IDnBHWkK/w+WPeyf3NojDa0Ls4Bm&#10;6qITXqcv3o90mazXI1m8i4Th5uX06qqcIKcMY+fX5WQ8SWwWp9POh/idW02SUVGPj5E5gv19iH3q&#10;ISUVC1bJ+k4qlR2/3ayUJ3vAhxtNLsvpeEB/l6YMaTGO1dNFAAUkFEQ0tasrGsyWElBbVCaLPtd+&#10;dzp8UiQXb6Dmh9JlmVWCfQ3pucd3OKmLWwhNfySHemFpGVHdSuqKThHniKRMKsOzPgcuTvQnK3ab&#10;jkhs4TwBpZ2NrV/XnnjbSzg4diex7D2EuAaPmkUCcA7jIy5CWWTFDhYljfW/P9tP+SgljFLS4gwg&#10;Y7924Dkl6odBkV2PLi7S0GTnYnI1Rse/jWzeRsxOr2x6LZx4x7KZ8qM6mMJb/YLjukxVMQSGYe3+&#10;bQZnFfvZxIFnfLnMaTgoDuK9eXIsgSfmEuHP3Qt4N2groiof7GFeYPZBYn1uOmnschetkFl/J17x&#10;TZODQ5Zfd/ghpCl+6+es029r8QcAAP//AwBQSwMEFAAGAAgAAAAhAISTSRDeAAAADQEAAA8AAABk&#10;cnMvZG93bnJldi54bWxMj81OwzAQhO9IvIO1SNxaJxWkTYhTQSUegAaJ6zbe/JTYjmI3CW/P5gS3&#10;2d3R7Df5cTG9mGj0nbMK4m0EgmzldGcbBZ/l++YAwge0GntnScEPeTgW93c5ZtrN9oOmc2gEh1if&#10;oYI2hCGT0lctGfRbN5DlW+1Gg4HHsZF6xJnDTS93UZRIg53lDy0OdGqp+j7fjIK0m6cvZ8pQ4+Ht&#10;Wu/LbrhGJ6UeH5bXFxCBlvBnhhWf0aFgpou7We1Fr2ATx09cJqxql7JiT5qs4sKrZP8Mssjl/xbF&#10;LwAAAP//AwBQSwECLQAUAAYACAAAACEAtoM4kv4AAADhAQAAEwAAAAAAAAAAAAAAAAAAAAAAW0Nv&#10;bnRlbnRfVHlwZXNdLnhtbFBLAQItABQABgAIAAAAIQA4/SH/1gAAAJQBAAALAAAAAAAAAAAAAAAA&#10;AC8BAABfcmVscy8ucmVsc1BLAQItABQABgAIAAAAIQCHMN+kbQIAAP4EAAAOAAAAAAAAAAAAAAAA&#10;AC4CAABkcnMvZTJvRG9jLnhtbFBLAQItABQABgAIAAAAIQCEk0kQ3gAAAA0BAAAPAAAAAAAAAAAA&#10;AAAAAMcEAABkcnMvZG93bnJldi54bWxQSwUGAAAAAAQABADzAAAA0gUAAAAA&#10;" fillcolor="#156082" strokecolor="#042433" strokeweight="1.5pt">
                <v:textbox>
                  <w:txbxContent>
                    <w:p w14:paraId="254DF838" w14:textId="5D7A3930" w:rsidR="00A038E2" w:rsidRPr="00880E33" w:rsidRDefault="000F4358" w:rsidP="00A038E2">
                      <w:pPr>
                        <w:jc w:val="center"/>
                        <w:rPr>
                          <w:sz w:val="12"/>
                          <w:szCs w:val="12"/>
                        </w:rPr>
                      </w:pPr>
                      <w:r w:rsidRPr="00880E33">
                        <w:rPr>
                          <w:rFonts w:ascii="Segoe UI Emoji" w:hAnsi="Segoe UI Emoji" w:cs="Segoe UI Emoji"/>
                          <w:sz w:val="32"/>
                          <w:szCs w:val="32"/>
                        </w:rPr>
                        <w:t>📌</w:t>
                      </w:r>
                      <w:r w:rsidRPr="00880E33">
                        <w:rPr>
                          <w:b/>
                          <w:bCs/>
                          <w:color w:val="FFFFFF" w:themeColor="background1"/>
                          <w:sz w:val="32"/>
                          <w:szCs w:val="32"/>
                        </w:rPr>
                        <w:t xml:space="preserve"> Academic Methods Poster: FGM &amp; Mental Health (Methods Overview)</w:t>
                      </w:r>
                    </w:p>
                  </w:txbxContent>
                </v:textbox>
                <w10:wrap anchorx="margin"/>
              </v:rect>
            </w:pict>
          </mc:Fallback>
        </mc:AlternateContent>
      </w:r>
      <w:r w:rsidR="00A038E2" w:rsidRPr="00A038E2">
        <w:rPr>
          <w:b/>
          <w:noProof/>
          <w:color w:val="0F9ED5" w:themeColor="accent4"/>
        </w:rPr>
        <w:t xml:space="preserve"> </w:t>
      </w:r>
    </w:p>
    <w:p w14:paraId="48654640" w14:textId="419F60B1" w:rsidR="00131DA8" w:rsidRPr="00131DA8" w:rsidRDefault="00A0194F">
      <w:pPr>
        <w:rPr>
          <w:b/>
          <w:color w:val="0F9ED5" w:themeColor="accent4"/>
          <w14:textOutline w14:w="0" w14:cap="flat" w14:cmpd="sng" w14:algn="ctr">
            <w14:noFill/>
            <w14:prstDash w14:val="solid"/>
            <w14:round/>
          </w14:textOutline>
          <w14:props3d w14:extrusionH="57150" w14:contourW="0" w14:prstMaterial="softEdge">
            <w14:bevelT w14:w="25400" w14:h="38100" w14:prst="circle"/>
          </w14:props3d>
        </w:rPr>
      </w:pPr>
      <w:r>
        <w:rPr>
          <w:b/>
          <w:noProof/>
          <w:color w:val="0F9ED5" w:themeColor="accent4"/>
        </w:rPr>
        <w:drawing>
          <wp:anchor distT="0" distB="0" distL="114300" distR="114300" simplePos="0" relativeHeight="251678720" behindDoc="1" locked="0" layoutInCell="1" allowOverlap="1" wp14:anchorId="2033325C" wp14:editId="4FF40CCF">
            <wp:simplePos x="0" y="0"/>
            <wp:positionH relativeFrom="page">
              <wp:posOffset>5129048</wp:posOffset>
            </wp:positionH>
            <wp:positionV relativeFrom="page">
              <wp:posOffset>13526814</wp:posOffset>
            </wp:positionV>
            <wp:extent cx="5349025" cy="1504293"/>
            <wp:effectExtent l="0" t="0" r="4445" b="1270"/>
            <wp:wrapTight wrapText="bothSides">
              <wp:wrapPolygon edited="0">
                <wp:start x="0" y="0"/>
                <wp:lineTo x="0" y="21345"/>
                <wp:lineTo x="21541" y="21345"/>
                <wp:lineTo x="21541" y="0"/>
                <wp:lineTo x="0" y="0"/>
              </wp:wrapPolygon>
            </wp:wrapTight>
            <wp:docPr id="200049490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00494900" name="Picture 2000494900"/>
                    <pic:cNvPicPr/>
                  </pic:nvPicPr>
                  <pic:blipFill>
                    <a:blip r:embed="rId5" cstate="print">
                      <a:extLst>
                        <a:ext uri="{28A0092B-C50C-407E-A947-70E740481C1C}">
                          <a14:useLocalDpi xmlns:a14="http://schemas.microsoft.com/office/drawing/2010/main" val="0"/>
                        </a:ext>
                        <a:ext uri="{837473B0-CC2E-450A-ABE3-18F120FF3D39}">
                          <a1611:picAttrSrcUrl xmlns:a1611="http://schemas.microsoft.com/office/drawing/2016/11/main" r:id="rId6"/>
                        </a:ext>
                      </a:extLst>
                    </a:blip>
                    <a:stretch>
                      <a:fillRect/>
                    </a:stretch>
                  </pic:blipFill>
                  <pic:spPr>
                    <a:xfrm>
                      <a:off x="0" y="0"/>
                      <a:ext cx="5353386" cy="1505519"/>
                    </a:xfrm>
                    <a:prstGeom prst="rect">
                      <a:avLst/>
                    </a:prstGeom>
                  </pic:spPr>
                </pic:pic>
              </a:graphicData>
            </a:graphic>
            <wp14:sizeRelH relativeFrom="page">
              <wp14:pctWidth>0</wp14:pctWidth>
            </wp14:sizeRelH>
            <wp14:sizeRelV relativeFrom="page">
              <wp14:pctHeight>0</wp14:pctHeight>
            </wp14:sizeRelV>
          </wp:anchor>
        </w:drawing>
      </w:r>
      <w:r>
        <w:rPr>
          <w:b/>
          <w:noProof/>
          <w:color w:val="0F9ED5" w:themeColor="accent4"/>
        </w:rPr>
        <mc:AlternateContent>
          <mc:Choice Requires="wps">
            <w:drawing>
              <wp:anchor distT="0" distB="0" distL="114300" distR="114300" simplePos="0" relativeHeight="251675648" behindDoc="0" locked="0" layoutInCell="1" allowOverlap="1" wp14:anchorId="4E63B80B" wp14:editId="03153CB4">
                <wp:simplePos x="0" y="0"/>
                <wp:positionH relativeFrom="page">
                  <wp:posOffset>168166</wp:posOffset>
                </wp:positionH>
                <wp:positionV relativeFrom="paragraph">
                  <wp:posOffset>9483747</wp:posOffset>
                </wp:positionV>
                <wp:extent cx="4908331" cy="3238500"/>
                <wp:effectExtent l="0" t="0" r="26035" b="19050"/>
                <wp:wrapNone/>
                <wp:docPr id="2097320220" name="Rectangle 3"/>
                <wp:cNvGraphicFramePr/>
                <a:graphic xmlns:a="http://schemas.openxmlformats.org/drawingml/2006/main">
                  <a:graphicData uri="http://schemas.microsoft.com/office/word/2010/wordprocessingShape">
                    <wps:wsp>
                      <wps:cNvSpPr/>
                      <wps:spPr>
                        <a:xfrm>
                          <a:off x="0" y="0"/>
                          <a:ext cx="4908331" cy="3238500"/>
                        </a:xfrm>
                        <a:prstGeom prst="rect">
                          <a:avLst/>
                        </a:prstGeom>
                      </wps:spPr>
                      <wps:style>
                        <a:lnRef idx="2">
                          <a:schemeClr val="accent1">
                            <a:shade val="15000"/>
                          </a:schemeClr>
                        </a:lnRef>
                        <a:fillRef idx="1">
                          <a:schemeClr val="accent1"/>
                        </a:fillRef>
                        <a:effectRef idx="0">
                          <a:schemeClr val="accent1"/>
                        </a:effectRef>
                        <a:fontRef idx="minor">
                          <a:schemeClr val="lt1"/>
                        </a:fontRef>
                      </wps:style>
                      <wps:txbx>
                        <w:txbxContent>
                          <w:p w14:paraId="6FB32684" w14:textId="77777777" w:rsidR="00F56E0D" w:rsidRPr="00F56E0D" w:rsidRDefault="00F56E0D" w:rsidP="00AD286C">
                            <w:pPr>
                              <w:rPr>
                                <w:b/>
                                <w:bCs/>
                                <w:sz w:val="14"/>
                                <w:szCs w:val="14"/>
                              </w:rPr>
                            </w:pPr>
                            <w:r w:rsidRPr="00F56E0D">
                              <w:rPr>
                                <w:rFonts w:ascii="Segoe UI Emoji" w:hAnsi="Segoe UI Emoji" w:cs="Segoe UI Emoji"/>
                                <w:b/>
                                <w:bCs/>
                                <w:sz w:val="14"/>
                                <w:szCs w:val="14"/>
                              </w:rPr>
                              <w:t>📚</w:t>
                            </w:r>
                            <w:r w:rsidRPr="00F56E0D">
                              <w:rPr>
                                <w:b/>
                                <w:bCs/>
                                <w:sz w:val="14"/>
                                <w:szCs w:val="14"/>
                              </w:rPr>
                              <w:t xml:space="preserve"> Reference List (Harvard Style)</w:t>
                            </w:r>
                          </w:p>
                          <w:p w14:paraId="3EEB5F8F" w14:textId="77777777" w:rsidR="00B021CB" w:rsidRPr="00C66198" w:rsidRDefault="00F56E0D" w:rsidP="00C66198">
                            <w:pPr>
                              <w:pStyle w:val="ListParagraph"/>
                              <w:numPr>
                                <w:ilvl w:val="0"/>
                                <w:numId w:val="13"/>
                              </w:numPr>
                              <w:rPr>
                                <w:sz w:val="14"/>
                                <w:szCs w:val="14"/>
                              </w:rPr>
                            </w:pPr>
                            <w:r w:rsidRPr="00C66198">
                              <w:rPr>
                                <w:sz w:val="14"/>
                                <w:szCs w:val="14"/>
                              </w:rPr>
                              <w:t xml:space="preserve">Ayton, D. (2024) ‘Chapter 22: Thematic Analysis – Qualitative Research’, </w:t>
                            </w:r>
                            <w:r w:rsidRPr="00C66198">
                              <w:rPr>
                                <w:i/>
                                <w:iCs/>
                                <w:sz w:val="14"/>
                                <w:szCs w:val="14"/>
                              </w:rPr>
                              <w:t>CAUL OER Collective</w:t>
                            </w:r>
                            <w:r w:rsidRPr="00C66198">
                              <w:rPr>
                                <w:sz w:val="14"/>
                                <w:szCs w:val="14"/>
                              </w:rPr>
                              <w:t xml:space="preserve">. </w:t>
                            </w:r>
                          </w:p>
                          <w:p w14:paraId="1C10826D" w14:textId="77777777" w:rsidR="00B021CB" w:rsidRPr="00C66198" w:rsidRDefault="00F56E0D" w:rsidP="00C66198">
                            <w:pPr>
                              <w:pStyle w:val="ListParagraph"/>
                              <w:numPr>
                                <w:ilvl w:val="0"/>
                                <w:numId w:val="13"/>
                              </w:numPr>
                              <w:rPr>
                                <w:sz w:val="14"/>
                                <w:szCs w:val="14"/>
                              </w:rPr>
                            </w:pPr>
                            <w:r w:rsidRPr="00C66198">
                              <w:rPr>
                                <w:sz w:val="14"/>
                                <w:szCs w:val="14"/>
                              </w:rPr>
                              <w:t xml:space="preserve">Braun, V. and Clarke, V. (2006) ‘Using thematic analysis in psychology’, </w:t>
                            </w:r>
                            <w:r w:rsidRPr="00C66198">
                              <w:rPr>
                                <w:i/>
                                <w:iCs/>
                                <w:sz w:val="14"/>
                                <w:szCs w:val="14"/>
                              </w:rPr>
                              <w:t>Qualitative Research in Psychology</w:t>
                            </w:r>
                            <w:r w:rsidRPr="00C66198">
                              <w:rPr>
                                <w:sz w:val="14"/>
                                <w:szCs w:val="14"/>
                              </w:rPr>
                              <w:t xml:space="preserve">, 3(2), pp. 77–101. </w:t>
                            </w:r>
                          </w:p>
                          <w:p w14:paraId="7BF8D507" w14:textId="77777777" w:rsidR="00B021CB" w:rsidRPr="00C66198" w:rsidRDefault="00F56E0D" w:rsidP="00C66198">
                            <w:pPr>
                              <w:pStyle w:val="ListParagraph"/>
                              <w:numPr>
                                <w:ilvl w:val="0"/>
                                <w:numId w:val="13"/>
                              </w:numPr>
                              <w:rPr>
                                <w:sz w:val="14"/>
                                <w:szCs w:val="14"/>
                              </w:rPr>
                            </w:pPr>
                            <w:r w:rsidRPr="00C66198">
                              <w:rPr>
                                <w:sz w:val="14"/>
                                <w:szCs w:val="14"/>
                              </w:rPr>
                              <w:t xml:space="preserve">Cohen, L., Manion, L. and Morrison, K. (2018) </w:t>
                            </w:r>
                            <w:r w:rsidRPr="00C66198">
                              <w:rPr>
                                <w:i/>
                                <w:iCs/>
                                <w:sz w:val="14"/>
                                <w:szCs w:val="14"/>
                              </w:rPr>
                              <w:t>Research Methods in Education</w:t>
                            </w:r>
                            <w:r w:rsidRPr="00C66198">
                              <w:rPr>
                                <w:sz w:val="14"/>
                                <w:szCs w:val="14"/>
                              </w:rPr>
                              <w:t xml:space="preserve">. 8th </w:t>
                            </w:r>
                            <w:proofErr w:type="spellStart"/>
                            <w:r w:rsidRPr="00C66198">
                              <w:rPr>
                                <w:sz w:val="14"/>
                                <w:szCs w:val="14"/>
                              </w:rPr>
                              <w:t>edn</w:t>
                            </w:r>
                            <w:proofErr w:type="spellEnd"/>
                            <w:r w:rsidRPr="00C66198">
                              <w:rPr>
                                <w:sz w:val="14"/>
                                <w:szCs w:val="14"/>
                              </w:rPr>
                              <w:t xml:space="preserve">. London: Routledge. </w:t>
                            </w:r>
                          </w:p>
                          <w:p w14:paraId="7930C6C9" w14:textId="77777777" w:rsidR="00B021CB" w:rsidRPr="00C66198" w:rsidRDefault="00F56E0D" w:rsidP="00C66198">
                            <w:pPr>
                              <w:pStyle w:val="ListParagraph"/>
                              <w:numPr>
                                <w:ilvl w:val="0"/>
                                <w:numId w:val="13"/>
                              </w:numPr>
                              <w:rPr>
                                <w:sz w:val="14"/>
                                <w:szCs w:val="14"/>
                              </w:rPr>
                            </w:pPr>
                            <w:r w:rsidRPr="00C66198">
                              <w:rPr>
                                <w:sz w:val="14"/>
                                <w:szCs w:val="14"/>
                              </w:rPr>
                              <w:t xml:space="preserve">FORWARD UK (2024) </w:t>
                            </w:r>
                            <w:r w:rsidRPr="00C66198">
                              <w:rPr>
                                <w:i/>
                                <w:iCs/>
                                <w:sz w:val="14"/>
                                <w:szCs w:val="14"/>
                              </w:rPr>
                              <w:t>Survivor</w:t>
                            </w:r>
                            <w:r w:rsidRPr="00C66198">
                              <w:rPr>
                                <w:i/>
                                <w:iCs/>
                                <w:sz w:val="14"/>
                                <w:szCs w:val="14"/>
                              </w:rPr>
                              <w:noBreakHyphen/>
                              <w:t>Led Approaches to FGM Support</w:t>
                            </w:r>
                            <w:r w:rsidRPr="00C66198">
                              <w:rPr>
                                <w:sz w:val="14"/>
                                <w:szCs w:val="14"/>
                              </w:rPr>
                              <w:t xml:space="preserve">. London: FORWARD UK. </w:t>
                            </w:r>
                          </w:p>
                          <w:p w14:paraId="445A2F73" w14:textId="77777777" w:rsidR="00B021CB" w:rsidRPr="00C66198" w:rsidRDefault="00F56E0D" w:rsidP="00C66198">
                            <w:pPr>
                              <w:pStyle w:val="ListParagraph"/>
                              <w:numPr>
                                <w:ilvl w:val="0"/>
                                <w:numId w:val="13"/>
                              </w:numPr>
                              <w:rPr>
                                <w:sz w:val="14"/>
                                <w:szCs w:val="14"/>
                              </w:rPr>
                            </w:pPr>
                            <w:r w:rsidRPr="00C66198">
                              <w:rPr>
                                <w:sz w:val="14"/>
                                <w:szCs w:val="14"/>
                              </w:rPr>
                              <w:t xml:space="preserve">Home Office (2024) </w:t>
                            </w:r>
                            <w:r w:rsidRPr="00C66198">
                              <w:rPr>
                                <w:i/>
                                <w:iCs/>
                                <w:sz w:val="14"/>
                                <w:szCs w:val="14"/>
                              </w:rPr>
                              <w:t>Multi</w:t>
                            </w:r>
                            <w:r w:rsidRPr="00C66198">
                              <w:rPr>
                                <w:i/>
                                <w:iCs/>
                                <w:sz w:val="14"/>
                                <w:szCs w:val="14"/>
                              </w:rPr>
                              <w:noBreakHyphen/>
                              <w:t>Agency Statutory Guidance on Female Genital Mutilation</w:t>
                            </w:r>
                            <w:r w:rsidRPr="00C66198">
                              <w:rPr>
                                <w:sz w:val="14"/>
                                <w:szCs w:val="14"/>
                              </w:rPr>
                              <w:t xml:space="preserve">. London: Home Office. </w:t>
                            </w:r>
                          </w:p>
                          <w:p w14:paraId="1DC5DBF7" w14:textId="77777777" w:rsidR="00180FBF" w:rsidRPr="00C66198" w:rsidRDefault="00F56E0D" w:rsidP="00C66198">
                            <w:pPr>
                              <w:pStyle w:val="ListParagraph"/>
                              <w:numPr>
                                <w:ilvl w:val="0"/>
                                <w:numId w:val="13"/>
                              </w:numPr>
                              <w:rPr>
                                <w:sz w:val="14"/>
                                <w:szCs w:val="14"/>
                              </w:rPr>
                            </w:pPr>
                            <w:r w:rsidRPr="00C66198">
                              <w:rPr>
                                <w:sz w:val="14"/>
                                <w:szCs w:val="14"/>
                              </w:rPr>
                              <w:t xml:space="preserve">Jones, A., Smith, L. and Ahmed, R. (2023) ‘Mental health support for FGM survivors in the UK’, </w:t>
                            </w:r>
                            <w:r w:rsidRPr="00C66198">
                              <w:rPr>
                                <w:i/>
                                <w:iCs/>
                                <w:sz w:val="14"/>
                                <w:szCs w:val="14"/>
                              </w:rPr>
                              <w:t>British Journal of Social Care</w:t>
                            </w:r>
                            <w:r w:rsidRPr="00C66198">
                              <w:rPr>
                                <w:sz w:val="14"/>
                                <w:szCs w:val="14"/>
                              </w:rPr>
                              <w:t xml:space="preserve">, 11(2), pp. 55–70. </w:t>
                            </w:r>
                          </w:p>
                          <w:p w14:paraId="38E567EE" w14:textId="77777777" w:rsidR="00180FBF" w:rsidRPr="00C66198" w:rsidRDefault="00F56E0D" w:rsidP="00C66198">
                            <w:pPr>
                              <w:pStyle w:val="ListParagraph"/>
                              <w:numPr>
                                <w:ilvl w:val="0"/>
                                <w:numId w:val="13"/>
                              </w:numPr>
                              <w:rPr>
                                <w:sz w:val="14"/>
                                <w:szCs w:val="14"/>
                              </w:rPr>
                            </w:pPr>
                            <w:r w:rsidRPr="00C66198">
                              <w:rPr>
                                <w:sz w:val="14"/>
                                <w:szCs w:val="14"/>
                              </w:rPr>
                              <w:t xml:space="preserve">Largan, C. and Morris, T. (2024) ‘Secondary qualitative data analysis in health and social care research’, </w:t>
                            </w:r>
                            <w:r w:rsidRPr="00C66198">
                              <w:rPr>
                                <w:i/>
                                <w:iCs/>
                                <w:sz w:val="14"/>
                                <w:szCs w:val="14"/>
                              </w:rPr>
                              <w:t>Journal of Qualitative Studies</w:t>
                            </w:r>
                            <w:r w:rsidRPr="00C66198">
                              <w:rPr>
                                <w:sz w:val="14"/>
                                <w:szCs w:val="14"/>
                              </w:rPr>
                              <w:t xml:space="preserve">, 12(3), pp. 45–59. </w:t>
                            </w:r>
                          </w:p>
                          <w:p w14:paraId="111A52EA" w14:textId="77777777" w:rsidR="00180FBF" w:rsidRPr="00C66198" w:rsidRDefault="00F56E0D" w:rsidP="00C66198">
                            <w:pPr>
                              <w:pStyle w:val="ListParagraph"/>
                              <w:numPr>
                                <w:ilvl w:val="0"/>
                                <w:numId w:val="13"/>
                              </w:numPr>
                              <w:rPr>
                                <w:sz w:val="14"/>
                                <w:szCs w:val="14"/>
                              </w:rPr>
                            </w:pPr>
                            <w:r w:rsidRPr="00C66198">
                              <w:rPr>
                                <w:sz w:val="14"/>
                                <w:szCs w:val="14"/>
                              </w:rPr>
                              <w:t xml:space="preserve">Mulongo, P., Hollins, S., Martin, C.H. and McAndrew, S. (2014) ‘The psychological impact of FGM on women in the UK’, </w:t>
                            </w:r>
                            <w:r w:rsidRPr="00C66198">
                              <w:rPr>
                                <w:i/>
                                <w:iCs/>
                                <w:sz w:val="14"/>
                                <w:szCs w:val="14"/>
                              </w:rPr>
                              <w:t>Journal of Mental Health</w:t>
                            </w:r>
                            <w:r w:rsidRPr="00C66198">
                              <w:rPr>
                                <w:sz w:val="14"/>
                                <w:szCs w:val="14"/>
                              </w:rPr>
                              <w:t xml:space="preserve">, 23(2), pp. 79–84. </w:t>
                            </w:r>
                          </w:p>
                          <w:p w14:paraId="6729B4B2" w14:textId="77777777" w:rsidR="000A4FAA" w:rsidRPr="00C66198" w:rsidRDefault="00F56E0D" w:rsidP="00C66198">
                            <w:pPr>
                              <w:pStyle w:val="ListParagraph"/>
                              <w:numPr>
                                <w:ilvl w:val="0"/>
                                <w:numId w:val="13"/>
                              </w:numPr>
                              <w:rPr>
                                <w:sz w:val="14"/>
                                <w:szCs w:val="14"/>
                              </w:rPr>
                            </w:pPr>
                            <w:r w:rsidRPr="00C66198">
                              <w:rPr>
                                <w:sz w:val="14"/>
                                <w:szCs w:val="14"/>
                              </w:rPr>
                              <w:t xml:space="preserve">NHS Digital (2024) </w:t>
                            </w:r>
                            <w:r w:rsidRPr="00C66198">
                              <w:rPr>
                                <w:i/>
                                <w:iCs/>
                                <w:sz w:val="14"/>
                                <w:szCs w:val="14"/>
                              </w:rPr>
                              <w:t>Female Genital Mutilation (FGM) Enhanced Dataset: Annual Report 2023–24</w:t>
                            </w:r>
                            <w:r w:rsidRPr="00C66198">
                              <w:rPr>
                                <w:sz w:val="14"/>
                                <w:szCs w:val="14"/>
                              </w:rPr>
                              <w:t xml:space="preserve">. </w:t>
                            </w:r>
                          </w:p>
                          <w:p w14:paraId="7193E863" w14:textId="77777777" w:rsidR="000A4FAA" w:rsidRPr="00C66198" w:rsidRDefault="00F56E0D" w:rsidP="00C66198">
                            <w:pPr>
                              <w:pStyle w:val="ListParagraph"/>
                              <w:numPr>
                                <w:ilvl w:val="0"/>
                                <w:numId w:val="13"/>
                              </w:numPr>
                              <w:rPr>
                                <w:sz w:val="14"/>
                                <w:szCs w:val="14"/>
                              </w:rPr>
                            </w:pPr>
                            <w:r w:rsidRPr="00C66198">
                              <w:rPr>
                                <w:sz w:val="14"/>
                                <w:szCs w:val="14"/>
                              </w:rPr>
                              <w:t xml:space="preserve">Nowell, L.S., Norris, J.M., White, D.E. and Moules, N.J. (2017) ‘Thematic analysis: Striving to meet the trustworthiness criteria’, </w:t>
                            </w:r>
                            <w:r w:rsidRPr="00C66198">
                              <w:rPr>
                                <w:i/>
                                <w:iCs/>
                                <w:sz w:val="14"/>
                                <w:szCs w:val="14"/>
                              </w:rPr>
                              <w:t>International Journal of Qualitative Methods</w:t>
                            </w:r>
                            <w:r w:rsidRPr="00C66198">
                              <w:rPr>
                                <w:sz w:val="14"/>
                                <w:szCs w:val="14"/>
                              </w:rPr>
                              <w:t xml:space="preserve">, 16(1), pp. 1–13. </w:t>
                            </w:r>
                          </w:p>
                          <w:p w14:paraId="0BADFCC5" w14:textId="77777777" w:rsidR="000A4FAA" w:rsidRPr="00C66198" w:rsidRDefault="00F56E0D" w:rsidP="00C66198">
                            <w:pPr>
                              <w:pStyle w:val="ListParagraph"/>
                              <w:numPr>
                                <w:ilvl w:val="0"/>
                                <w:numId w:val="13"/>
                              </w:numPr>
                              <w:rPr>
                                <w:sz w:val="14"/>
                                <w:szCs w:val="14"/>
                              </w:rPr>
                            </w:pPr>
                            <w:r w:rsidRPr="00C66198">
                              <w:rPr>
                                <w:sz w:val="14"/>
                                <w:szCs w:val="14"/>
                              </w:rPr>
                              <w:t xml:space="preserve">Royal College of Psychiatrists (2024) </w:t>
                            </w:r>
                            <w:r w:rsidRPr="00C66198">
                              <w:rPr>
                                <w:i/>
                                <w:iCs/>
                                <w:sz w:val="14"/>
                                <w:szCs w:val="14"/>
                              </w:rPr>
                              <w:t>Cultural Competence and Trauma</w:t>
                            </w:r>
                            <w:r w:rsidRPr="00C66198">
                              <w:rPr>
                                <w:i/>
                                <w:iCs/>
                                <w:sz w:val="14"/>
                                <w:szCs w:val="14"/>
                              </w:rPr>
                              <w:noBreakHyphen/>
                              <w:t>Informed Mental Health Care</w:t>
                            </w:r>
                            <w:r w:rsidRPr="00C66198">
                              <w:rPr>
                                <w:sz w:val="14"/>
                                <w:szCs w:val="14"/>
                              </w:rPr>
                              <w:t xml:space="preserve">. London: </w:t>
                            </w:r>
                            <w:proofErr w:type="spellStart"/>
                            <w:r w:rsidRPr="00C66198">
                              <w:rPr>
                                <w:sz w:val="14"/>
                                <w:szCs w:val="14"/>
                              </w:rPr>
                              <w:t>RCPsych</w:t>
                            </w:r>
                            <w:proofErr w:type="spellEnd"/>
                            <w:r w:rsidRPr="00C66198">
                              <w:rPr>
                                <w:sz w:val="14"/>
                                <w:szCs w:val="14"/>
                              </w:rPr>
                              <w:t xml:space="preserve">. </w:t>
                            </w:r>
                          </w:p>
                          <w:p w14:paraId="6222D5EA" w14:textId="77777777" w:rsidR="000A4FAA" w:rsidRPr="00C66198" w:rsidRDefault="00F56E0D" w:rsidP="00C66198">
                            <w:pPr>
                              <w:pStyle w:val="ListParagraph"/>
                              <w:numPr>
                                <w:ilvl w:val="0"/>
                                <w:numId w:val="13"/>
                              </w:numPr>
                              <w:rPr>
                                <w:sz w:val="14"/>
                                <w:szCs w:val="14"/>
                              </w:rPr>
                            </w:pPr>
                            <w:r w:rsidRPr="00C66198">
                              <w:rPr>
                                <w:sz w:val="14"/>
                                <w:szCs w:val="14"/>
                              </w:rPr>
                              <w:t xml:space="preserve">Warne, T. and Mulongo, P. (2020) ‘FGM and trauma: A UK perspective’, </w:t>
                            </w:r>
                            <w:r w:rsidRPr="00C66198">
                              <w:rPr>
                                <w:i/>
                                <w:iCs/>
                                <w:sz w:val="14"/>
                                <w:szCs w:val="14"/>
                              </w:rPr>
                              <w:t>Health and Social Care Review</w:t>
                            </w:r>
                            <w:r w:rsidRPr="00C66198">
                              <w:rPr>
                                <w:sz w:val="14"/>
                                <w:szCs w:val="14"/>
                              </w:rPr>
                              <w:t xml:space="preserve">, 18(4), pp. 301–315. </w:t>
                            </w:r>
                          </w:p>
                          <w:p w14:paraId="159ADE99" w14:textId="77777777" w:rsidR="00AD286C" w:rsidRPr="00C66198" w:rsidRDefault="00F56E0D" w:rsidP="00C66198">
                            <w:pPr>
                              <w:pStyle w:val="ListParagraph"/>
                              <w:numPr>
                                <w:ilvl w:val="0"/>
                                <w:numId w:val="13"/>
                              </w:numPr>
                              <w:rPr>
                                <w:sz w:val="14"/>
                                <w:szCs w:val="14"/>
                              </w:rPr>
                            </w:pPr>
                            <w:r w:rsidRPr="00C66198">
                              <w:rPr>
                                <w:sz w:val="14"/>
                                <w:szCs w:val="14"/>
                              </w:rPr>
                              <w:t xml:space="preserve">Women’s Aid (2025) </w:t>
                            </w:r>
                            <w:r w:rsidRPr="00C66198">
                              <w:rPr>
                                <w:i/>
                                <w:iCs/>
                                <w:sz w:val="14"/>
                                <w:szCs w:val="14"/>
                              </w:rPr>
                              <w:t>Intersectionality and Gender</w:t>
                            </w:r>
                            <w:r w:rsidRPr="00C66198">
                              <w:rPr>
                                <w:i/>
                                <w:iCs/>
                                <w:sz w:val="14"/>
                                <w:szCs w:val="14"/>
                              </w:rPr>
                              <w:noBreakHyphen/>
                              <w:t>Based Violence</w:t>
                            </w:r>
                            <w:r w:rsidRPr="00C66198">
                              <w:rPr>
                                <w:sz w:val="14"/>
                                <w:szCs w:val="14"/>
                              </w:rPr>
                              <w:t xml:space="preserve">. London: Women’s Aid. </w:t>
                            </w:r>
                          </w:p>
                          <w:p w14:paraId="49517149" w14:textId="72071AC5" w:rsidR="00A038E2" w:rsidRPr="00C66198" w:rsidRDefault="00F56E0D" w:rsidP="00C66198">
                            <w:pPr>
                              <w:pStyle w:val="ListParagraph"/>
                              <w:numPr>
                                <w:ilvl w:val="0"/>
                                <w:numId w:val="13"/>
                              </w:numPr>
                              <w:rPr>
                                <w:sz w:val="14"/>
                                <w:szCs w:val="14"/>
                              </w:rPr>
                            </w:pPr>
                            <w:r w:rsidRPr="00C66198">
                              <w:rPr>
                                <w:sz w:val="14"/>
                                <w:szCs w:val="14"/>
                              </w:rPr>
                              <w:t xml:space="preserve">World Health Organization (2024) </w:t>
                            </w:r>
                            <w:r w:rsidRPr="00C66198">
                              <w:rPr>
                                <w:i/>
                                <w:iCs/>
                                <w:sz w:val="14"/>
                                <w:szCs w:val="14"/>
                              </w:rPr>
                              <w:t>Trauma</w:t>
                            </w:r>
                            <w:r w:rsidRPr="00C66198">
                              <w:rPr>
                                <w:i/>
                                <w:iCs/>
                                <w:sz w:val="14"/>
                                <w:szCs w:val="14"/>
                              </w:rPr>
                              <w:noBreakHyphen/>
                              <w:t>Informed Approaches in Health Systems</w:t>
                            </w:r>
                            <w:r w:rsidRPr="00C66198">
                              <w:rPr>
                                <w:sz w:val="14"/>
                                <w:szCs w:val="14"/>
                              </w:rPr>
                              <w:t>. Geneva: WHO.</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E63B80B" id="Rectangle 3" o:spid="_x0000_s1030" style="position:absolute;margin-left:13.25pt;margin-top:746.75pt;width:386.5pt;height:255pt;z-index:25167564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Gh7zZwIAACYFAAAOAAAAZHJzL2Uyb0RvYy54bWysVE1v2zAMvQ/YfxB0X+18dGuDOkXQosOA&#10;og3aDj0rslQbkEWNUmJnv36U7DhFW+ww7CKLIvlIPT364rJrDNsp9DXYgk9Ocs6UlVDW9qXgP59u&#10;vpxx5oOwpTBgVcH3yvPL5edPF61bqClUYEqFjECsX7Su4FUIbpFlXlaqEf4EnLLk1ICNCGTiS1ai&#10;aAm9Mdk0z79mLWDpEKTynk6veydfJnytlQz3WnsVmCk49RbSimndxDVbXojFCwpX1XJoQ/xDF42o&#10;LRUdoa5FEGyL9TuoppYIHnQ4kdBkoHUtVboD3WaSv7nNYyWcSnchcrwbafL/D1be7R7dGomG1vmF&#10;p228RaexiV/qj3WJrP1IluoCk3Q4P8/PZrMJZ5J8s+ns7DRPdGbHdIc+fFfQsLgpONJrJJLE7tYH&#10;KkmhhxAyjg2kXdgbFXsw9kFpVpdUcpqykzbUlUG2E/SqQkplw6R3VaJU/fGE2jn0M2akkgkwIuva&#10;mBF7AIi6e4/d9zrEx1SVpDUm539rrE8eM1JlsGFMbmoL+BGAoVsNlfv4A0k9NZGl0G064oZeI0bG&#10;kw2U+zUyhF7q3smbmti/FT6sBZK2aQpoXsM9LdpAW3AYdpxVgL8/Oo/xJDnyctbSrBTc/9oKVJyZ&#10;H5bEeD6Zz+NwJWN++m1KBr72bF577La5Ano4kg51l7YxPpjDViM0zzTWq1iVXMJKql1wGfBgXIV+&#10;hunHINVqlcJooJwIt/bRyQgeeY7qeuqeBbpBgoHUeweHuRKLN0rsY2OmhdU2gK6TTI+8Di9Aw5ik&#10;NPw44rS/tlPU8fe2/AMAAP//AwBQSwMEFAAGAAgAAAAhAHORz43eAAAADAEAAA8AAABkcnMvZG93&#10;bnJldi54bWxMT0FOwzAQvCPxB2uRuCBqk0AhIU5VgYrECVEQ503sJlHjdRo7bfg9ywluszOj2Zli&#10;NbteHO0YOk8abhYKhKXam44aDZ8fm+sHECEiGew9WQ3fNsCqPD8rMDf+RO/2uI2N4BAKOWpoYxxy&#10;KUPdWodh4QdLrO386DDyOTbSjHjicNfLRKmldNgRf2hxsE+trffbyWlw5vBVTS97nw7P66v0sNm9&#10;YvKm9eXFvH4EEe0c/8zwW5+rQ8mdKj+RCaLXkCzv2Mn8bZYyYsd9ljGoWFKKKVkW8v+I8gcAAP//&#10;AwBQSwECLQAUAAYACAAAACEAtoM4kv4AAADhAQAAEwAAAAAAAAAAAAAAAAAAAAAAW0NvbnRlbnRf&#10;VHlwZXNdLnhtbFBLAQItABQABgAIAAAAIQA4/SH/1gAAAJQBAAALAAAAAAAAAAAAAAAAAC8BAABf&#10;cmVscy8ucmVsc1BLAQItABQABgAIAAAAIQBFGh7zZwIAACYFAAAOAAAAAAAAAAAAAAAAAC4CAABk&#10;cnMvZTJvRG9jLnhtbFBLAQItABQABgAIAAAAIQBzkc+N3gAAAAwBAAAPAAAAAAAAAAAAAAAAAMEE&#10;AABkcnMvZG93bnJldi54bWxQSwUGAAAAAAQABADzAAAAzAUAAAAA&#10;" fillcolor="#156082 [3204]" strokecolor="#030e13 [484]" strokeweight="1.5pt">
                <v:textbox>
                  <w:txbxContent>
                    <w:p w14:paraId="6FB32684" w14:textId="77777777" w:rsidR="00F56E0D" w:rsidRPr="00F56E0D" w:rsidRDefault="00F56E0D" w:rsidP="00AD286C">
                      <w:pPr>
                        <w:rPr>
                          <w:b/>
                          <w:bCs/>
                          <w:sz w:val="14"/>
                          <w:szCs w:val="14"/>
                        </w:rPr>
                      </w:pPr>
                      <w:r w:rsidRPr="00F56E0D">
                        <w:rPr>
                          <w:rFonts w:ascii="Segoe UI Emoji" w:hAnsi="Segoe UI Emoji" w:cs="Segoe UI Emoji"/>
                          <w:b/>
                          <w:bCs/>
                          <w:sz w:val="14"/>
                          <w:szCs w:val="14"/>
                        </w:rPr>
                        <w:t>📚</w:t>
                      </w:r>
                      <w:r w:rsidRPr="00F56E0D">
                        <w:rPr>
                          <w:b/>
                          <w:bCs/>
                          <w:sz w:val="14"/>
                          <w:szCs w:val="14"/>
                        </w:rPr>
                        <w:t xml:space="preserve"> Reference List (Harvard Style)</w:t>
                      </w:r>
                    </w:p>
                    <w:p w14:paraId="3EEB5F8F" w14:textId="77777777" w:rsidR="00B021CB" w:rsidRPr="00C66198" w:rsidRDefault="00F56E0D" w:rsidP="00C66198">
                      <w:pPr>
                        <w:pStyle w:val="ListParagraph"/>
                        <w:numPr>
                          <w:ilvl w:val="0"/>
                          <w:numId w:val="13"/>
                        </w:numPr>
                        <w:rPr>
                          <w:sz w:val="14"/>
                          <w:szCs w:val="14"/>
                        </w:rPr>
                      </w:pPr>
                      <w:r w:rsidRPr="00C66198">
                        <w:rPr>
                          <w:sz w:val="14"/>
                          <w:szCs w:val="14"/>
                        </w:rPr>
                        <w:t xml:space="preserve">Ayton, D. (2024) ‘Chapter 22: Thematic Analysis – Qualitative Research’, </w:t>
                      </w:r>
                      <w:r w:rsidRPr="00C66198">
                        <w:rPr>
                          <w:i/>
                          <w:iCs/>
                          <w:sz w:val="14"/>
                          <w:szCs w:val="14"/>
                        </w:rPr>
                        <w:t>CAUL OER Collective</w:t>
                      </w:r>
                      <w:r w:rsidRPr="00C66198">
                        <w:rPr>
                          <w:sz w:val="14"/>
                          <w:szCs w:val="14"/>
                        </w:rPr>
                        <w:t xml:space="preserve">. </w:t>
                      </w:r>
                    </w:p>
                    <w:p w14:paraId="1C10826D" w14:textId="77777777" w:rsidR="00B021CB" w:rsidRPr="00C66198" w:rsidRDefault="00F56E0D" w:rsidP="00C66198">
                      <w:pPr>
                        <w:pStyle w:val="ListParagraph"/>
                        <w:numPr>
                          <w:ilvl w:val="0"/>
                          <w:numId w:val="13"/>
                        </w:numPr>
                        <w:rPr>
                          <w:sz w:val="14"/>
                          <w:szCs w:val="14"/>
                        </w:rPr>
                      </w:pPr>
                      <w:r w:rsidRPr="00C66198">
                        <w:rPr>
                          <w:sz w:val="14"/>
                          <w:szCs w:val="14"/>
                        </w:rPr>
                        <w:t xml:space="preserve">Braun, V. and Clarke, V. (2006) ‘Using thematic analysis in psychology’, </w:t>
                      </w:r>
                      <w:r w:rsidRPr="00C66198">
                        <w:rPr>
                          <w:i/>
                          <w:iCs/>
                          <w:sz w:val="14"/>
                          <w:szCs w:val="14"/>
                        </w:rPr>
                        <w:t>Qualitative Research in Psychology</w:t>
                      </w:r>
                      <w:r w:rsidRPr="00C66198">
                        <w:rPr>
                          <w:sz w:val="14"/>
                          <w:szCs w:val="14"/>
                        </w:rPr>
                        <w:t xml:space="preserve">, 3(2), pp. 77–101. </w:t>
                      </w:r>
                    </w:p>
                    <w:p w14:paraId="7BF8D507" w14:textId="77777777" w:rsidR="00B021CB" w:rsidRPr="00C66198" w:rsidRDefault="00F56E0D" w:rsidP="00C66198">
                      <w:pPr>
                        <w:pStyle w:val="ListParagraph"/>
                        <w:numPr>
                          <w:ilvl w:val="0"/>
                          <w:numId w:val="13"/>
                        </w:numPr>
                        <w:rPr>
                          <w:sz w:val="14"/>
                          <w:szCs w:val="14"/>
                        </w:rPr>
                      </w:pPr>
                      <w:r w:rsidRPr="00C66198">
                        <w:rPr>
                          <w:sz w:val="14"/>
                          <w:szCs w:val="14"/>
                        </w:rPr>
                        <w:t xml:space="preserve">Cohen, L., Manion, L. and Morrison, K. (2018) </w:t>
                      </w:r>
                      <w:r w:rsidRPr="00C66198">
                        <w:rPr>
                          <w:i/>
                          <w:iCs/>
                          <w:sz w:val="14"/>
                          <w:szCs w:val="14"/>
                        </w:rPr>
                        <w:t>Research Methods in Education</w:t>
                      </w:r>
                      <w:r w:rsidRPr="00C66198">
                        <w:rPr>
                          <w:sz w:val="14"/>
                          <w:szCs w:val="14"/>
                        </w:rPr>
                        <w:t xml:space="preserve">. 8th </w:t>
                      </w:r>
                      <w:proofErr w:type="spellStart"/>
                      <w:r w:rsidRPr="00C66198">
                        <w:rPr>
                          <w:sz w:val="14"/>
                          <w:szCs w:val="14"/>
                        </w:rPr>
                        <w:t>edn</w:t>
                      </w:r>
                      <w:proofErr w:type="spellEnd"/>
                      <w:r w:rsidRPr="00C66198">
                        <w:rPr>
                          <w:sz w:val="14"/>
                          <w:szCs w:val="14"/>
                        </w:rPr>
                        <w:t xml:space="preserve">. London: Routledge. </w:t>
                      </w:r>
                    </w:p>
                    <w:p w14:paraId="7930C6C9" w14:textId="77777777" w:rsidR="00B021CB" w:rsidRPr="00C66198" w:rsidRDefault="00F56E0D" w:rsidP="00C66198">
                      <w:pPr>
                        <w:pStyle w:val="ListParagraph"/>
                        <w:numPr>
                          <w:ilvl w:val="0"/>
                          <w:numId w:val="13"/>
                        </w:numPr>
                        <w:rPr>
                          <w:sz w:val="14"/>
                          <w:szCs w:val="14"/>
                        </w:rPr>
                      </w:pPr>
                      <w:r w:rsidRPr="00C66198">
                        <w:rPr>
                          <w:sz w:val="14"/>
                          <w:szCs w:val="14"/>
                        </w:rPr>
                        <w:t xml:space="preserve">FORWARD UK (2024) </w:t>
                      </w:r>
                      <w:r w:rsidRPr="00C66198">
                        <w:rPr>
                          <w:i/>
                          <w:iCs/>
                          <w:sz w:val="14"/>
                          <w:szCs w:val="14"/>
                        </w:rPr>
                        <w:t>Survivor</w:t>
                      </w:r>
                      <w:r w:rsidRPr="00C66198">
                        <w:rPr>
                          <w:i/>
                          <w:iCs/>
                          <w:sz w:val="14"/>
                          <w:szCs w:val="14"/>
                        </w:rPr>
                        <w:noBreakHyphen/>
                        <w:t>Led Approaches to FGM Support</w:t>
                      </w:r>
                      <w:r w:rsidRPr="00C66198">
                        <w:rPr>
                          <w:sz w:val="14"/>
                          <w:szCs w:val="14"/>
                        </w:rPr>
                        <w:t xml:space="preserve">. London: FORWARD UK. </w:t>
                      </w:r>
                    </w:p>
                    <w:p w14:paraId="445A2F73" w14:textId="77777777" w:rsidR="00B021CB" w:rsidRPr="00C66198" w:rsidRDefault="00F56E0D" w:rsidP="00C66198">
                      <w:pPr>
                        <w:pStyle w:val="ListParagraph"/>
                        <w:numPr>
                          <w:ilvl w:val="0"/>
                          <w:numId w:val="13"/>
                        </w:numPr>
                        <w:rPr>
                          <w:sz w:val="14"/>
                          <w:szCs w:val="14"/>
                        </w:rPr>
                      </w:pPr>
                      <w:r w:rsidRPr="00C66198">
                        <w:rPr>
                          <w:sz w:val="14"/>
                          <w:szCs w:val="14"/>
                        </w:rPr>
                        <w:t xml:space="preserve">Home Office (2024) </w:t>
                      </w:r>
                      <w:r w:rsidRPr="00C66198">
                        <w:rPr>
                          <w:i/>
                          <w:iCs/>
                          <w:sz w:val="14"/>
                          <w:szCs w:val="14"/>
                        </w:rPr>
                        <w:t>Multi</w:t>
                      </w:r>
                      <w:r w:rsidRPr="00C66198">
                        <w:rPr>
                          <w:i/>
                          <w:iCs/>
                          <w:sz w:val="14"/>
                          <w:szCs w:val="14"/>
                        </w:rPr>
                        <w:noBreakHyphen/>
                        <w:t>Agency Statutory Guidance on Female Genital Mutilation</w:t>
                      </w:r>
                      <w:r w:rsidRPr="00C66198">
                        <w:rPr>
                          <w:sz w:val="14"/>
                          <w:szCs w:val="14"/>
                        </w:rPr>
                        <w:t xml:space="preserve">. London: Home Office. </w:t>
                      </w:r>
                    </w:p>
                    <w:p w14:paraId="1DC5DBF7" w14:textId="77777777" w:rsidR="00180FBF" w:rsidRPr="00C66198" w:rsidRDefault="00F56E0D" w:rsidP="00C66198">
                      <w:pPr>
                        <w:pStyle w:val="ListParagraph"/>
                        <w:numPr>
                          <w:ilvl w:val="0"/>
                          <w:numId w:val="13"/>
                        </w:numPr>
                        <w:rPr>
                          <w:sz w:val="14"/>
                          <w:szCs w:val="14"/>
                        </w:rPr>
                      </w:pPr>
                      <w:r w:rsidRPr="00C66198">
                        <w:rPr>
                          <w:sz w:val="14"/>
                          <w:szCs w:val="14"/>
                        </w:rPr>
                        <w:t xml:space="preserve">Jones, A., Smith, L. and Ahmed, R. (2023) ‘Mental health support for FGM survivors in the UK’, </w:t>
                      </w:r>
                      <w:r w:rsidRPr="00C66198">
                        <w:rPr>
                          <w:i/>
                          <w:iCs/>
                          <w:sz w:val="14"/>
                          <w:szCs w:val="14"/>
                        </w:rPr>
                        <w:t>British Journal of Social Care</w:t>
                      </w:r>
                      <w:r w:rsidRPr="00C66198">
                        <w:rPr>
                          <w:sz w:val="14"/>
                          <w:szCs w:val="14"/>
                        </w:rPr>
                        <w:t xml:space="preserve">, 11(2), pp. 55–70. </w:t>
                      </w:r>
                    </w:p>
                    <w:p w14:paraId="38E567EE" w14:textId="77777777" w:rsidR="00180FBF" w:rsidRPr="00C66198" w:rsidRDefault="00F56E0D" w:rsidP="00C66198">
                      <w:pPr>
                        <w:pStyle w:val="ListParagraph"/>
                        <w:numPr>
                          <w:ilvl w:val="0"/>
                          <w:numId w:val="13"/>
                        </w:numPr>
                        <w:rPr>
                          <w:sz w:val="14"/>
                          <w:szCs w:val="14"/>
                        </w:rPr>
                      </w:pPr>
                      <w:r w:rsidRPr="00C66198">
                        <w:rPr>
                          <w:sz w:val="14"/>
                          <w:szCs w:val="14"/>
                        </w:rPr>
                        <w:t xml:space="preserve">Largan, C. and Morris, T. (2024) ‘Secondary qualitative data analysis in health and social care research’, </w:t>
                      </w:r>
                      <w:r w:rsidRPr="00C66198">
                        <w:rPr>
                          <w:i/>
                          <w:iCs/>
                          <w:sz w:val="14"/>
                          <w:szCs w:val="14"/>
                        </w:rPr>
                        <w:t>Journal of Qualitative Studies</w:t>
                      </w:r>
                      <w:r w:rsidRPr="00C66198">
                        <w:rPr>
                          <w:sz w:val="14"/>
                          <w:szCs w:val="14"/>
                        </w:rPr>
                        <w:t xml:space="preserve">, 12(3), pp. 45–59. </w:t>
                      </w:r>
                    </w:p>
                    <w:p w14:paraId="111A52EA" w14:textId="77777777" w:rsidR="00180FBF" w:rsidRPr="00C66198" w:rsidRDefault="00F56E0D" w:rsidP="00C66198">
                      <w:pPr>
                        <w:pStyle w:val="ListParagraph"/>
                        <w:numPr>
                          <w:ilvl w:val="0"/>
                          <w:numId w:val="13"/>
                        </w:numPr>
                        <w:rPr>
                          <w:sz w:val="14"/>
                          <w:szCs w:val="14"/>
                        </w:rPr>
                      </w:pPr>
                      <w:r w:rsidRPr="00C66198">
                        <w:rPr>
                          <w:sz w:val="14"/>
                          <w:szCs w:val="14"/>
                        </w:rPr>
                        <w:t xml:space="preserve">Mulongo, P., Hollins, S., Martin, C.H. and McAndrew, S. (2014) ‘The psychological impact of FGM on women in the UK’, </w:t>
                      </w:r>
                      <w:r w:rsidRPr="00C66198">
                        <w:rPr>
                          <w:i/>
                          <w:iCs/>
                          <w:sz w:val="14"/>
                          <w:szCs w:val="14"/>
                        </w:rPr>
                        <w:t>Journal of Mental Health</w:t>
                      </w:r>
                      <w:r w:rsidRPr="00C66198">
                        <w:rPr>
                          <w:sz w:val="14"/>
                          <w:szCs w:val="14"/>
                        </w:rPr>
                        <w:t xml:space="preserve">, 23(2), pp. 79–84. </w:t>
                      </w:r>
                    </w:p>
                    <w:p w14:paraId="6729B4B2" w14:textId="77777777" w:rsidR="000A4FAA" w:rsidRPr="00C66198" w:rsidRDefault="00F56E0D" w:rsidP="00C66198">
                      <w:pPr>
                        <w:pStyle w:val="ListParagraph"/>
                        <w:numPr>
                          <w:ilvl w:val="0"/>
                          <w:numId w:val="13"/>
                        </w:numPr>
                        <w:rPr>
                          <w:sz w:val="14"/>
                          <w:szCs w:val="14"/>
                        </w:rPr>
                      </w:pPr>
                      <w:r w:rsidRPr="00C66198">
                        <w:rPr>
                          <w:sz w:val="14"/>
                          <w:szCs w:val="14"/>
                        </w:rPr>
                        <w:t xml:space="preserve">NHS Digital (2024) </w:t>
                      </w:r>
                      <w:r w:rsidRPr="00C66198">
                        <w:rPr>
                          <w:i/>
                          <w:iCs/>
                          <w:sz w:val="14"/>
                          <w:szCs w:val="14"/>
                        </w:rPr>
                        <w:t>Female Genital Mutilation (FGM) Enhanced Dataset: Annual Report 2023–24</w:t>
                      </w:r>
                      <w:r w:rsidRPr="00C66198">
                        <w:rPr>
                          <w:sz w:val="14"/>
                          <w:szCs w:val="14"/>
                        </w:rPr>
                        <w:t xml:space="preserve">. </w:t>
                      </w:r>
                    </w:p>
                    <w:p w14:paraId="7193E863" w14:textId="77777777" w:rsidR="000A4FAA" w:rsidRPr="00C66198" w:rsidRDefault="00F56E0D" w:rsidP="00C66198">
                      <w:pPr>
                        <w:pStyle w:val="ListParagraph"/>
                        <w:numPr>
                          <w:ilvl w:val="0"/>
                          <w:numId w:val="13"/>
                        </w:numPr>
                        <w:rPr>
                          <w:sz w:val="14"/>
                          <w:szCs w:val="14"/>
                        </w:rPr>
                      </w:pPr>
                      <w:r w:rsidRPr="00C66198">
                        <w:rPr>
                          <w:sz w:val="14"/>
                          <w:szCs w:val="14"/>
                        </w:rPr>
                        <w:t xml:space="preserve">Nowell, L.S., Norris, J.M., White, D.E. and Moules, N.J. (2017) ‘Thematic analysis: Striving to meet the trustworthiness criteria’, </w:t>
                      </w:r>
                      <w:r w:rsidRPr="00C66198">
                        <w:rPr>
                          <w:i/>
                          <w:iCs/>
                          <w:sz w:val="14"/>
                          <w:szCs w:val="14"/>
                        </w:rPr>
                        <w:t>International Journal of Qualitative Methods</w:t>
                      </w:r>
                      <w:r w:rsidRPr="00C66198">
                        <w:rPr>
                          <w:sz w:val="14"/>
                          <w:szCs w:val="14"/>
                        </w:rPr>
                        <w:t xml:space="preserve">, 16(1), pp. 1–13. </w:t>
                      </w:r>
                    </w:p>
                    <w:p w14:paraId="0BADFCC5" w14:textId="77777777" w:rsidR="000A4FAA" w:rsidRPr="00C66198" w:rsidRDefault="00F56E0D" w:rsidP="00C66198">
                      <w:pPr>
                        <w:pStyle w:val="ListParagraph"/>
                        <w:numPr>
                          <w:ilvl w:val="0"/>
                          <w:numId w:val="13"/>
                        </w:numPr>
                        <w:rPr>
                          <w:sz w:val="14"/>
                          <w:szCs w:val="14"/>
                        </w:rPr>
                      </w:pPr>
                      <w:r w:rsidRPr="00C66198">
                        <w:rPr>
                          <w:sz w:val="14"/>
                          <w:szCs w:val="14"/>
                        </w:rPr>
                        <w:t xml:space="preserve">Royal College of Psychiatrists (2024) </w:t>
                      </w:r>
                      <w:r w:rsidRPr="00C66198">
                        <w:rPr>
                          <w:i/>
                          <w:iCs/>
                          <w:sz w:val="14"/>
                          <w:szCs w:val="14"/>
                        </w:rPr>
                        <w:t>Cultural Competence and Trauma</w:t>
                      </w:r>
                      <w:r w:rsidRPr="00C66198">
                        <w:rPr>
                          <w:i/>
                          <w:iCs/>
                          <w:sz w:val="14"/>
                          <w:szCs w:val="14"/>
                        </w:rPr>
                        <w:noBreakHyphen/>
                        <w:t>Informed Mental Health Care</w:t>
                      </w:r>
                      <w:r w:rsidRPr="00C66198">
                        <w:rPr>
                          <w:sz w:val="14"/>
                          <w:szCs w:val="14"/>
                        </w:rPr>
                        <w:t xml:space="preserve">. London: </w:t>
                      </w:r>
                      <w:proofErr w:type="spellStart"/>
                      <w:r w:rsidRPr="00C66198">
                        <w:rPr>
                          <w:sz w:val="14"/>
                          <w:szCs w:val="14"/>
                        </w:rPr>
                        <w:t>RCPsych</w:t>
                      </w:r>
                      <w:proofErr w:type="spellEnd"/>
                      <w:r w:rsidRPr="00C66198">
                        <w:rPr>
                          <w:sz w:val="14"/>
                          <w:szCs w:val="14"/>
                        </w:rPr>
                        <w:t xml:space="preserve">. </w:t>
                      </w:r>
                    </w:p>
                    <w:p w14:paraId="6222D5EA" w14:textId="77777777" w:rsidR="000A4FAA" w:rsidRPr="00C66198" w:rsidRDefault="00F56E0D" w:rsidP="00C66198">
                      <w:pPr>
                        <w:pStyle w:val="ListParagraph"/>
                        <w:numPr>
                          <w:ilvl w:val="0"/>
                          <w:numId w:val="13"/>
                        </w:numPr>
                        <w:rPr>
                          <w:sz w:val="14"/>
                          <w:szCs w:val="14"/>
                        </w:rPr>
                      </w:pPr>
                      <w:r w:rsidRPr="00C66198">
                        <w:rPr>
                          <w:sz w:val="14"/>
                          <w:szCs w:val="14"/>
                        </w:rPr>
                        <w:t xml:space="preserve">Warne, T. and Mulongo, P. (2020) ‘FGM and trauma: A UK perspective’, </w:t>
                      </w:r>
                      <w:r w:rsidRPr="00C66198">
                        <w:rPr>
                          <w:i/>
                          <w:iCs/>
                          <w:sz w:val="14"/>
                          <w:szCs w:val="14"/>
                        </w:rPr>
                        <w:t>Health and Social Care Review</w:t>
                      </w:r>
                      <w:r w:rsidRPr="00C66198">
                        <w:rPr>
                          <w:sz w:val="14"/>
                          <w:szCs w:val="14"/>
                        </w:rPr>
                        <w:t xml:space="preserve">, 18(4), pp. 301–315. </w:t>
                      </w:r>
                    </w:p>
                    <w:p w14:paraId="159ADE99" w14:textId="77777777" w:rsidR="00AD286C" w:rsidRPr="00C66198" w:rsidRDefault="00F56E0D" w:rsidP="00C66198">
                      <w:pPr>
                        <w:pStyle w:val="ListParagraph"/>
                        <w:numPr>
                          <w:ilvl w:val="0"/>
                          <w:numId w:val="13"/>
                        </w:numPr>
                        <w:rPr>
                          <w:sz w:val="14"/>
                          <w:szCs w:val="14"/>
                        </w:rPr>
                      </w:pPr>
                      <w:r w:rsidRPr="00C66198">
                        <w:rPr>
                          <w:sz w:val="14"/>
                          <w:szCs w:val="14"/>
                        </w:rPr>
                        <w:t xml:space="preserve">Women’s Aid (2025) </w:t>
                      </w:r>
                      <w:r w:rsidRPr="00C66198">
                        <w:rPr>
                          <w:i/>
                          <w:iCs/>
                          <w:sz w:val="14"/>
                          <w:szCs w:val="14"/>
                        </w:rPr>
                        <w:t>Intersectionality and Gender</w:t>
                      </w:r>
                      <w:r w:rsidRPr="00C66198">
                        <w:rPr>
                          <w:i/>
                          <w:iCs/>
                          <w:sz w:val="14"/>
                          <w:szCs w:val="14"/>
                        </w:rPr>
                        <w:noBreakHyphen/>
                        <w:t>Based Violence</w:t>
                      </w:r>
                      <w:r w:rsidRPr="00C66198">
                        <w:rPr>
                          <w:sz w:val="14"/>
                          <w:szCs w:val="14"/>
                        </w:rPr>
                        <w:t xml:space="preserve">. London: Women’s Aid. </w:t>
                      </w:r>
                    </w:p>
                    <w:p w14:paraId="49517149" w14:textId="72071AC5" w:rsidR="00A038E2" w:rsidRPr="00C66198" w:rsidRDefault="00F56E0D" w:rsidP="00C66198">
                      <w:pPr>
                        <w:pStyle w:val="ListParagraph"/>
                        <w:numPr>
                          <w:ilvl w:val="0"/>
                          <w:numId w:val="13"/>
                        </w:numPr>
                        <w:rPr>
                          <w:sz w:val="14"/>
                          <w:szCs w:val="14"/>
                        </w:rPr>
                      </w:pPr>
                      <w:r w:rsidRPr="00C66198">
                        <w:rPr>
                          <w:sz w:val="14"/>
                          <w:szCs w:val="14"/>
                        </w:rPr>
                        <w:t xml:space="preserve">World Health Organization (2024) </w:t>
                      </w:r>
                      <w:r w:rsidRPr="00C66198">
                        <w:rPr>
                          <w:i/>
                          <w:iCs/>
                          <w:sz w:val="14"/>
                          <w:szCs w:val="14"/>
                        </w:rPr>
                        <w:t>Trauma</w:t>
                      </w:r>
                      <w:r w:rsidRPr="00C66198">
                        <w:rPr>
                          <w:i/>
                          <w:iCs/>
                          <w:sz w:val="14"/>
                          <w:szCs w:val="14"/>
                        </w:rPr>
                        <w:noBreakHyphen/>
                        <w:t>Informed Approaches in Health Systems</w:t>
                      </w:r>
                      <w:r w:rsidRPr="00C66198">
                        <w:rPr>
                          <w:sz w:val="14"/>
                          <w:szCs w:val="14"/>
                        </w:rPr>
                        <w:t>. Geneva: WHO.</w:t>
                      </w:r>
                    </w:p>
                  </w:txbxContent>
                </v:textbox>
                <w10:wrap anchorx="page"/>
              </v:rect>
            </w:pict>
          </mc:Fallback>
        </mc:AlternateContent>
      </w:r>
      <w:r>
        <w:rPr>
          <w:b/>
          <w:noProof/>
          <w:color w:val="0F9ED5" w:themeColor="accent4"/>
        </w:rPr>
        <mc:AlternateContent>
          <mc:Choice Requires="wps">
            <w:drawing>
              <wp:anchor distT="0" distB="0" distL="114300" distR="114300" simplePos="0" relativeHeight="251677696" behindDoc="0" locked="0" layoutInCell="1" allowOverlap="1" wp14:anchorId="39179912" wp14:editId="7EB1A97B">
                <wp:simplePos x="0" y="0"/>
                <wp:positionH relativeFrom="page">
                  <wp:posOffset>157655</wp:posOffset>
                </wp:positionH>
                <wp:positionV relativeFrom="paragraph">
                  <wp:posOffset>7055857</wp:posOffset>
                </wp:positionV>
                <wp:extent cx="4876581" cy="2381250"/>
                <wp:effectExtent l="0" t="0" r="19685" b="19050"/>
                <wp:wrapNone/>
                <wp:docPr id="1450577249" name="Rectangle 3"/>
                <wp:cNvGraphicFramePr/>
                <a:graphic xmlns:a="http://schemas.openxmlformats.org/drawingml/2006/main">
                  <a:graphicData uri="http://schemas.microsoft.com/office/word/2010/wordprocessingShape">
                    <wps:wsp>
                      <wps:cNvSpPr/>
                      <wps:spPr>
                        <a:xfrm>
                          <a:off x="0" y="0"/>
                          <a:ext cx="4876581" cy="2381250"/>
                        </a:xfrm>
                        <a:prstGeom prst="rect">
                          <a:avLst/>
                        </a:prstGeom>
                      </wps:spPr>
                      <wps:style>
                        <a:lnRef idx="2">
                          <a:schemeClr val="accent1">
                            <a:shade val="15000"/>
                          </a:schemeClr>
                        </a:lnRef>
                        <a:fillRef idx="1">
                          <a:schemeClr val="accent1"/>
                        </a:fillRef>
                        <a:effectRef idx="0">
                          <a:schemeClr val="accent1"/>
                        </a:effectRef>
                        <a:fontRef idx="minor">
                          <a:schemeClr val="lt1"/>
                        </a:fontRef>
                      </wps:style>
                      <wps:txbx>
                        <w:txbxContent>
                          <w:p w14:paraId="230C745D" w14:textId="77777777" w:rsidR="008134CD" w:rsidRPr="008134CD" w:rsidRDefault="008134CD" w:rsidP="008134CD">
                            <w:pPr>
                              <w:rPr>
                                <w:b/>
                                <w:bCs/>
                                <w:sz w:val="22"/>
                                <w:szCs w:val="22"/>
                              </w:rPr>
                            </w:pPr>
                            <w:r w:rsidRPr="008134CD">
                              <w:rPr>
                                <w:b/>
                                <w:bCs/>
                                <w:sz w:val="22"/>
                                <w:szCs w:val="22"/>
                              </w:rPr>
                              <w:t>8. Ethical Considerations</w:t>
                            </w:r>
                          </w:p>
                          <w:p w14:paraId="2FD8E768" w14:textId="77777777" w:rsidR="008134CD" w:rsidRPr="008134CD" w:rsidRDefault="008134CD" w:rsidP="008134CD">
                            <w:pPr>
                              <w:numPr>
                                <w:ilvl w:val="0"/>
                                <w:numId w:val="12"/>
                              </w:numPr>
                              <w:rPr>
                                <w:sz w:val="22"/>
                                <w:szCs w:val="22"/>
                              </w:rPr>
                            </w:pPr>
                            <w:r w:rsidRPr="008134CD">
                              <w:rPr>
                                <w:b/>
                                <w:bCs/>
                                <w:sz w:val="22"/>
                                <w:szCs w:val="22"/>
                              </w:rPr>
                              <w:t>Secondary research only</w:t>
                            </w:r>
                            <w:r w:rsidRPr="008134CD">
                              <w:rPr>
                                <w:sz w:val="22"/>
                                <w:szCs w:val="22"/>
                              </w:rPr>
                              <w:t>: avoided direct contact with survivors (Cohen, Manion &amp; Morrison, 2018).</w:t>
                            </w:r>
                          </w:p>
                          <w:p w14:paraId="2F324F88" w14:textId="77777777" w:rsidR="008134CD" w:rsidRPr="008134CD" w:rsidRDefault="008134CD" w:rsidP="008134CD">
                            <w:pPr>
                              <w:numPr>
                                <w:ilvl w:val="0"/>
                                <w:numId w:val="12"/>
                              </w:numPr>
                              <w:rPr>
                                <w:sz w:val="22"/>
                                <w:szCs w:val="22"/>
                              </w:rPr>
                            </w:pPr>
                            <w:r w:rsidRPr="008134CD">
                              <w:rPr>
                                <w:b/>
                                <w:bCs/>
                                <w:sz w:val="22"/>
                                <w:szCs w:val="22"/>
                              </w:rPr>
                              <w:t>Trauma</w:t>
                            </w:r>
                            <w:r w:rsidRPr="008134CD">
                              <w:rPr>
                                <w:b/>
                                <w:bCs/>
                                <w:sz w:val="22"/>
                                <w:szCs w:val="22"/>
                              </w:rPr>
                              <w:noBreakHyphen/>
                              <w:t>informed approach</w:t>
                            </w:r>
                            <w:r w:rsidRPr="008134CD">
                              <w:rPr>
                                <w:sz w:val="22"/>
                                <w:szCs w:val="22"/>
                              </w:rPr>
                              <w:t>: aligned with WHO (2024) guidance.</w:t>
                            </w:r>
                          </w:p>
                          <w:p w14:paraId="3821EA93" w14:textId="77777777" w:rsidR="008134CD" w:rsidRPr="008134CD" w:rsidRDefault="008134CD" w:rsidP="008134CD">
                            <w:pPr>
                              <w:numPr>
                                <w:ilvl w:val="0"/>
                                <w:numId w:val="12"/>
                              </w:numPr>
                              <w:rPr>
                                <w:sz w:val="22"/>
                                <w:szCs w:val="22"/>
                              </w:rPr>
                            </w:pPr>
                            <w:r w:rsidRPr="008134CD">
                              <w:rPr>
                                <w:b/>
                                <w:bCs/>
                                <w:sz w:val="22"/>
                                <w:szCs w:val="22"/>
                              </w:rPr>
                              <w:t>Academic integrity</w:t>
                            </w:r>
                            <w:r w:rsidRPr="008134CD">
                              <w:rPr>
                                <w:sz w:val="22"/>
                                <w:szCs w:val="22"/>
                              </w:rPr>
                              <w:t>: all sources cited using Harvard style.</w:t>
                            </w:r>
                          </w:p>
                          <w:p w14:paraId="0830DEE6" w14:textId="77777777" w:rsidR="008134CD" w:rsidRPr="008134CD" w:rsidRDefault="008134CD" w:rsidP="008134CD">
                            <w:pPr>
                              <w:numPr>
                                <w:ilvl w:val="0"/>
                                <w:numId w:val="12"/>
                              </w:numPr>
                              <w:rPr>
                                <w:sz w:val="22"/>
                                <w:szCs w:val="22"/>
                              </w:rPr>
                            </w:pPr>
                            <w:r w:rsidRPr="008134CD">
                              <w:rPr>
                                <w:b/>
                                <w:bCs/>
                                <w:sz w:val="22"/>
                                <w:szCs w:val="22"/>
                              </w:rPr>
                              <w:t>Sensitivity</w:t>
                            </w:r>
                            <w:r w:rsidRPr="008134CD">
                              <w:rPr>
                                <w:sz w:val="22"/>
                                <w:szCs w:val="22"/>
                              </w:rPr>
                              <w:t>: acknowledged cultural and intersectional contexts (Women’s Aid, 2025).</w:t>
                            </w:r>
                          </w:p>
                          <w:p w14:paraId="55E3DAB2" w14:textId="77777777" w:rsidR="008134CD" w:rsidRPr="008134CD" w:rsidRDefault="008134CD" w:rsidP="008134CD">
                            <w:pPr>
                              <w:numPr>
                                <w:ilvl w:val="0"/>
                                <w:numId w:val="12"/>
                              </w:numPr>
                              <w:rPr>
                                <w:sz w:val="22"/>
                                <w:szCs w:val="22"/>
                              </w:rPr>
                            </w:pPr>
                            <w:r w:rsidRPr="008134CD">
                              <w:rPr>
                                <w:b/>
                                <w:bCs/>
                                <w:sz w:val="22"/>
                                <w:szCs w:val="22"/>
                              </w:rPr>
                              <w:t>No personal data collected</w:t>
                            </w:r>
                            <w:r w:rsidRPr="008134CD">
                              <w:rPr>
                                <w:sz w:val="22"/>
                                <w:szCs w:val="22"/>
                              </w:rPr>
                              <w:t>: ensured compliance with ethical standards.</w:t>
                            </w:r>
                          </w:p>
                          <w:p w14:paraId="1D034920" w14:textId="77777777" w:rsidR="00B61E3B" w:rsidRDefault="00B61E3B" w:rsidP="00B61E3B">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9179912" id="_x0000_s1031" style="position:absolute;margin-left:12.4pt;margin-top:555.6pt;width:384pt;height:187.5pt;z-index:25167769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mGniaAIAACYFAAAOAAAAZHJzL2Uyb0RvYy54bWysVFFP2zAQfp+0/2D5fSTpWugqUlSBmCYh&#10;QMDEs+vYNJLj885uk+7X7+ykKQK0h2kvjs93993583c5v+gaw3YKfQ225MVJzpmyEqravpT859P1&#10;lzlnPghbCQNWlXyvPL9Yfv503rqFmsAGTKWQEYj1i9aVfBOCW2SZlxvVCH8CTllyasBGBDLxJatQ&#10;tITemGyS56dZC1g5BKm8p9Or3smXCV9rJcOd1l4FZkpOvYW0YlrXcc2W52LxgsJtajm0If6hi0bU&#10;loqOUFciCLbF+h1UU0sEDzqcSGgy0LqWKt2BblPkb27zuBFOpbsQOd6NNPn/Bytvd4/uHomG1vmF&#10;p228RaexiV/qj3WJrP1IluoCk3Q4nZ+dzuYFZ5J8k6/zYjJLdGbHdIc+fFfQsLgpOdJrJJLE7sYH&#10;KkmhhxAyjg2kXdgbFXsw9kFpVldUcpKykzbUpUG2E/SqQkplQ9G7NqJS/XExy/NDP2NGKpkAI7Ku&#10;jRmxB4Cou/fYfa9DfExVSVpjcv63xvrkMSNVBhvG5Ka2gB8BGLrVULmPP5DUUxNZCt26I25KPouR&#10;8WQN1f4eGUIvde/kdU3s3wgf7gWStmkKaF7DHS3aQFtyGHacbQB/f3Qe40ly5OWspVkpuf+1Fag4&#10;Mz8sifFbMZ3G4UrGdHY2IQNfe9avPXbbXAI9HEmHukvbGB/MYasRmmca61WsSi5hJdUuuQx4MC5D&#10;P8P0Y5BqtUphNFBOhBv76GQEjzxHdT11zwLdIMFA6r2Fw1yJxRsl9rEx08JqG0DXSaZHXocXoGFM&#10;Uhp+HHHaX9sp6vh7W/4BAAD//wMAUEsDBBQABgAIAAAAIQBu/nQy4AAAAAwBAAAPAAAAZHJzL2Rv&#10;d25yZXYueG1sTI9BT8MwDIXvSPyHyEhcEEvJpjFK02kCDYkT2oY4u03WVmucrkm38u/nncA3v/f0&#10;/Dlbjq4VJ9uHxpOGp0kCwlLpTUOVhu/d+nEBIkQkg60nq+HXBljmtzcZpsafaWNP21gJLqGQooY6&#10;xi6VMpS1dRgmvrPE3t73DiOvfSVNj2cud61USTKXDhviCzV29q225WE7OA3OHH+K4ePgp9376mF6&#10;XO8/UX1pfX83rl5BRDvGvzBc8RkdcmYq/EAmiFaDmjF5ZJ1HgeDE84tiqWBptpgrkHkm/z+RXwAA&#10;AP//AwBQSwECLQAUAAYACAAAACEAtoM4kv4AAADhAQAAEwAAAAAAAAAAAAAAAAAAAAAAW0NvbnRl&#10;bnRfVHlwZXNdLnhtbFBLAQItABQABgAIAAAAIQA4/SH/1gAAAJQBAAALAAAAAAAAAAAAAAAAAC8B&#10;AABfcmVscy8ucmVsc1BLAQItABQABgAIAAAAIQBJmGniaAIAACYFAAAOAAAAAAAAAAAAAAAAAC4C&#10;AABkcnMvZTJvRG9jLnhtbFBLAQItABQABgAIAAAAIQBu/nQy4AAAAAwBAAAPAAAAAAAAAAAAAAAA&#10;AMIEAABkcnMvZG93bnJldi54bWxQSwUGAAAAAAQABADzAAAAzwUAAAAA&#10;" fillcolor="#156082 [3204]" strokecolor="#030e13 [484]" strokeweight="1.5pt">
                <v:textbox>
                  <w:txbxContent>
                    <w:p w14:paraId="230C745D" w14:textId="77777777" w:rsidR="008134CD" w:rsidRPr="008134CD" w:rsidRDefault="008134CD" w:rsidP="008134CD">
                      <w:pPr>
                        <w:rPr>
                          <w:b/>
                          <w:bCs/>
                          <w:sz w:val="22"/>
                          <w:szCs w:val="22"/>
                        </w:rPr>
                      </w:pPr>
                      <w:r w:rsidRPr="008134CD">
                        <w:rPr>
                          <w:b/>
                          <w:bCs/>
                          <w:sz w:val="22"/>
                          <w:szCs w:val="22"/>
                        </w:rPr>
                        <w:t>8. Ethical Considerations</w:t>
                      </w:r>
                    </w:p>
                    <w:p w14:paraId="2FD8E768" w14:textId="77777777" w:rsidR="008134CD" w:rsidRPr="008134CD" w:rsidRDefault="008134CD" w:rsidP="008134CD">
                      <w:pPr>
                        <w:numPr>
                          <w:ilvl w:val="0"/>
                          <w:numId w:val="12"/>
                        </w:numPr>
                        <w:rPr>
                          <w:sz w:val="22"/>
                          <w:szCs w:val="22"/>
                        </w:rPr>
                      </w:pPr>
                      <w:r w:rsidRPr="008134CD">
                        <w:rPr>
                          <w:b/>
                          <w:bCs/>
                          <w:sz w:val="22"/>
                          <w:szCs w:val="22"/>
                        </w:rPr>
                        <w:t>Secondary research only</w:t>
                      </w:r>
                      <w:r w:rsidRPr="008134CD">
                        <w:rPr>
                          <w:sz w:val="22"/>
                          <w:szCs w:val="22"/>
                        </w:rPr>
                        <w:t>: avoided direct contact with survivors (Cohen, Manion &amp; Morrison, 2018).</w:t>
                      </w:r>
                    </w:p>
                    <w:p w14:paraId="2F324F88" w14:textId="77777777" w:rsidR="008134CD" w:rsidRPr="008134CD" w:rsidRDefault="008134CD" w:rsidP="008134CD">
                      <w:pPr>
                        <w:numPr>
                          <w:ilvl w:val="0"/>
                          <w:numId w:val="12"/>
                        </w:numPr>
                        <w:rPr>
                          <w:sz w:val="22"/>
                          <w:szCs w:val="22"/>
                        </w:rPr>
                      </w:pPr>
                      <w:r w:rsidRPr="008134CD">
                        <w:rPr>
                          <w:b/>
                          <w:bCs/>
                          <w:sz w:val="22"/>
                          <w:szCs w:val="22"/>
                        </w:rPr>
                        <w:t>Trauma</w:t>
                      </w:r>
                      <w:r w:rsidRPr="008134CD">
                        <w:rPr>
                          <w:b/>
                          <w:bCs/>
                          <w:sz w:val="22"/>
                          <w:szCs w:val="22"/>
                        </w:rPr>
                        <w:noBreakHyphen/>
                        <w:t>informed approach</w:t>
                      </w:r>
                      <w:r w:rsidRPr="008134CD">
                        <w:rPr>
                          <w:sz w:val="22"/>
                          <w:szCs w:val="22"/>
                        </w:rPr>
                        <w:t>: aligned with WHO (2024) guidance.</w:t>
                      </w:r>
                    </w:p>
                    <w:p w14:paraId="3821EA93" w14:textId="77777777" w:rsidR="008134CD" w:rsidRPr="008134CD" w:rsidRDefault="008134CD" w:rsidP="008134CD">
                      <w:pPr>
                        <w:numPr>
                          <w:ilvl w:val="0"/>
                          <w:numId w:val="12"/>
                        </w:numPr>
                        <w:rPr>
                          <w:sz w:val="22"/>
                          <w:szCs w:val="22"/>
                        </w:rPr>
                      </w:pPr>
                      <w:r w:rsidRPr="008134CD">
                        <w:rPr>
                          <w:b/>
                          <w:bCs/>
                          <w:sz w:val="22"/>
                          <w:szCs w:val="22"/>
                        </w:rPr>
                        <w:t>Academic integrity</w:t>
                      </w:r>
                      <w:r w:rsidRPr="008134CD">
                        <w:rPr>
                          <w:sz w:val="22"/>
                          <w:szCs w:val="22"/>
                        </w:rPr>
                        <w:t>: all sources cited using Harvard style.</w:t>
                      </w:r>
                    </w:p>
                    <w:p w14:paraId="0830DEE6" w14:textId="77777777" w:rsidR="008134CD" w:rsidRPr="008134CD" w:rsidRDefault="008134CD" w:rsidP="008134CD">
                      <w:pPr>
                        <w:numPr>
                          <w:ilvl w:val="0"/>
                          <w:numId w:val="12"/>
                        </w:numPr>
                        <w:rPr>
                          <w:sz w:val="22"/>
                          <w:szCs w:val="22"/>
                        </w:rPr>
                      </w:pPr>
                      <w:r w:rsidRPr="008134CD">
                        <w:rPr>
                          <w:b/>
                          <w:bCs/>
                          <w:sz w:val="22"/>
                          <w:szCs w:val="22"/>
                        </w:rPr>
                        <w:t>Sensitivity</w:t>
                      </w:r>
                      <w:r w:rsidRPr="008134CD">
                        <w:rPr>
                          <w:sz w:val="22"/>
                          <w:szCs w:val="22"/>
                        </w:rPr>
                        <w:t>: acknowledged cultural and intersectional contexts (Women’s Aid, 2025).</w:t>
                      </w:r>
                    </w:p>
                    <w:p w14:paraId="55E3DAB2" w14:textId="77777777" w:rsidR="008134CD" w:rsidRPr="008134CD" w:rsidRDefault="008134CD" w:rsidP="008134CD">
                      <w:pPr>
                        <w:numPr>
                          <w:ilvl w:val="0"/>
                          <w:numId w:val="12"/>
                        </w:numPr>
                        <w:rPr>
                          <w:sz w:val="22"/>
                          <w:szCs w:val="22"/>
                        </w:rPr>
                      </w:pPr>
                      <w:r w:rsidRPr="008134CD">
                        <w:rPr>
                          <w:b/>
                          <w:bCs/>
                          <w:sz w:val="22"/>
                          <w:szCs w:val="22"/>
                        </w:rPr>
                        <w:t>No personal data collected</w:t>
                      </w:r>
                      <w:r w:rsidRPr="008134CD">
                        <w:rPr>
                          <w:sz w:val="22"/>
                          <w:szCs w:val="22"/>
                        </w:rPr>
                        <w:t>: ensured compliance with ethical standards.</w:t>
                      </w:r>
                    </w:p>
                    <w:p w14:paraId="1D034920" w14:textId="77777777" w:rsidR="00B61E3B" w:rsidRDefault="00B61E3B" w:rsidP="00B61E3B">
                      <w:pPr>
                        <w:jc w:val="center"/>
                      </w:pPr>
                    </w:p>
                  </w:txbxContent>
                </v:textbox>
                <w10:wrap anchorx="page"/>
              </v:rect>
            </w:pict>
          </mc:Fallback>
        </mc:AlternateContent>
      </w:r>
      <w:r w:rsidR="0020030A">
        <w:rPr>
          <w:b/>
          <w:noProof/>
          <w:color w:val="0F9ED5" w:themeColor="accent4"/>
        </w:rPr>
        <mc:AlternateContent>
          <mc:Choice Requires="wps">
            <w:drawing>
              <wp:anchor distT="0" distB="0" distL="114300" distR="114300" simplePos="0" relativeHeight="251666432" behindDoc="0" locked="0" layoutInCell="1" allowOverlap="1" wp14:anchorId="79045DDF" wp14:editId="2AF5433E">
                <wp:simplePos x="0" y="0"/>
                <wp:positionH relativeFrom="margin">
                  <wp:posOffset>4200524</wp:posOffset>
                </wp:positionH>
                <wp:positionV relativeFrom="paragraph">
                  <wp:posOffset>5949315</wp:posOffset>
                </wp:positionV>
                <wp:extent cx="5362575" cy="5218386"/>
                <wp:effectExtent l="0" t="0" r="28575" b="20955"/>
                <wp:wrapNone/>
                <wp:docPr id="1377018842" name="Rectangle 2"/>
                <wp:cNvGraphicFramePr/>
                <a:graphic xmlns:a="http://schemas.openxmlformats.org/drawingml/2006/main">
                  <a:graphicData uri="http://schemas.microsoft.com/office/word/2010/wordprocessingShape">
                    <wps:wsp>
                      <wps:cNvSpPr/>
                      <wps:spPr>
                        <a:xfrm>
                          <a:off x="0" y="0"/>
                          <a:ext cx="5362575" cy="5218386"/>
                        </a:xfrm>
                        <a:prstGeom prst="rect">
                          <a:avLst/>
                        </a:prstGeom>
                      </wps:spPr>
                      <wps:style>
                        <a:lnRef idx="2">
                          <a:schemeClr val="accent1">
                            <a:shade val="15000"/>
                          </a:schemeClr>
                        </a:lnRef>
                        <a:fillRef idx="1">
                          <a:schemeClr val="accent1"/>
                        </a:fillRef>
                        <a:effectRef idx="0">
                          <a:schemeClr val="accent1"/>
                        </a:effectRef>
                        <a:fontRef idx="minor">
                          <a:schemeClr val="lt1"/>
                        </a:fontRef>
                      </wps:style>
                      <wps:txbx>
                        <w:txbxContent>
                          <w:p w14:paraId="1F094924" w14:textId="77777777" w:rsidR="0011428E" w:rsidRPr="0011428E" w:rsidRDefault="0011428E" w:rsidP="0011428E">
                            <w:pPr>
                              <w:rPr>
                                <w:b/>
                                <w:bCs/>
                                <w:sz w:val="22"/>
                                <w:szCs w:val="22"/>
                              </w:rPr>
                            </w:pPr>
                            <w:r w:rsidRPr="0011428E">
                              <w:rPr>
                                <w:b/>
                                <w:bCs/>
                                <w:sz w:val="22"/>
                                <w:szCs w:val="22"/>
                              </w:rPr>
                              <w:t>6. Inclusion Criteria</w:t>
                            </w:r>
                          </w:p>
                          <w:p w14:paraId="4247B349" w14:textId="77777777" w:rsidR="0011428E" w:rsidRPr="0011428E" w:rsidRDefault="0011428E" w:rsidP="0011428E">
                            <w:pPr>
                              <w:rPr>
                                <w:sz w:val="22"/>
                                <w:szCs w:val="22"/>
                              </w:rPr>
                            </w:pPr>
                            <w:r w:rsidRPr="0011428E">
                              <w:rPr>
                                <w:sz w:val="22"/>
                                <w:szCs w:val="22"/>
                              </w:rPr>
                              <w:t>Sources were included if they:</w:t>
                            </w:r>
                          </w:p>
                          <w:p w14:paraId="53B5C841" w14:textId="77777777" w:rsidR="0011428E" w:rsidRPr="0011428E" w:rsidRDefault="0011428E" w:rsidP="0011428E">
                            <w:pPr>
                              <w:numPr>
                                <w:ilvl w:val="0"/>
                                <w:numId w:val="10"/>
                              </w:numPr>
                              <w:rPr>
                                <w:sz w:val="22"/>
                                <w:szCs w:val="22"/>
                              </w:rPr>
                            </w:pPr>
                            <w:r w:rsidRPr="0011428E">
                              <w:rPr>
                                <w:sz w:val="22"/>
                                <w:szCs w:val="22"/>
                              </w:rPr>
                              <w:t xml:space="preserve">Were published between </w:t>
                            </w:r>
                            <w:r w:rsidRPr="0011428E">
                              <w:rPr>
                                <w:b/>
                                <w:bCs/>
                                <w:sz w:val="22"/>
                                <w:szCs w:val="22"/>
                              </w:rPr>
                              <w:t>2014–2025</w:t>
                            </w:r>
                            <w:r w:rsidRPr="0011428E">
                              <w:rPr>
                                <w:sz w:val="22"/>
                                <w:szCs w:val="22"/>
                              </w:rPr>
                              <w:t xml:space="preserve"> (Ayton, 2024)</w:t>
                            </w:r>
                          </w:p>
                          <w:p w14:paraId="7FD047C4" w14:textId="77777777" w:rsidR="0011428E" w:rsidRPr="0011428E" w:rsidRDefault="0011428E" w:rsidP="0011428E">
                            <w:pPr>
                              <w:numPr>
                                <w:ilvl w:val="0"/>
                                <w:numId w:val="10"/>
                              </w:numPr>
                              <w:rPr>
                                <w:sz w:val="22"/>
                                <w:szCs w:val="22"/>
                              </w:rPr>
                            </w:pPr>
                            <w:r w:rsidRPr="0011428E">
                              <w:rPr>
                                <w:sz w:val="22"/>
                                <w:szCs w:val="22"/>
                              </w:rPr>
                              <w:t xml:space="preserve">Focused on </w:t>
                            </w:r>
                            <w:r w:rsidRPr="0011428E">
                              <w:rPr>
                                <w:b/>
                                <w:bCs/>
                                <w:sz w:val="22"/>
                                <w:szCs w:val="22"/>
                              </w:rPr>
                              <w:t>mental health outcomes</w:t>
                            </w:r>
                            <w:r w:rsidRPr="0011428E">
                              <w:rPr>
                                <w:sz w:val="22"/>
                                <w:szCs w:val="22"/>
                              </w:rPr>
                              <w:t xml:space="preserve"> of FGM (Mulongo et al., 2014)</w:t>
                            </w:r>
                          </w:p>
                          <w:p w14:paraId="745E2874" w14:textId="77777777" w:rsidR="0011428E" w:rsidRPr="0011428E" w:rsidRDefault="0011428E" w:rsidP="0011428E">
                            <w:pPr>
                              <w:numPr>
                                <w:ilvl w:val="0"/>
                                <w:numId w:val="10"/>
                              </w:numPr>
                              <w:rPr>
                                <w:sz w:val="22"/>
                                <w:szCs w:val="22"/>
                              </w:rPr>
                            </w:pPr>
                            <w:r w:rsidRPr="0011428E">
                              <w:rPr>
                                <w:sz w:val="22"/>
                                <w:szCs w:val="22"/>
                              </w:rPr>
                              <w:t xml:space="preserve">Were </w:t>
                            </w:r>
                            <w:r w:rsidRPr="0011428E">
                              <w:rPr>
                                <w:b/>
                                <w:bCs/>
                                <w:sz w:val="22"/>
                                <w:szCs w:val="22"/>
                              </w:rPr>
                              <w:t>UK</w:t>
                            </w:r>
                            <w:r w:rsidRPr="0011428E">
                              <w:rPr>
                                <w:b/>
                                <w:bCs/>
                                <w:sz w:val="22"/>
                                <w:szCs w:val="22"/>
                              </w:rPr>
                              <w:noBreakHyphen/>
                              <w:t>based</w:t>
                            </w:r>
                            <w:r w:rsidRPr="0011428E">
                              <w:rPr>
                                <w:sz w:val="22"/>
                                <w:szCs w:val="22"/>
                              </w:rPr>
                              <w:t xml:space="preserve"> or applicable to UK policy/practice (NHS Digital, 2024)</w:t>
                            </w:r>
                          </w:p>
                          <w:p w14:paraId="5B42ECE4" w14:textId="77777777" w:rsidR="0011428E" w:rsidRPr="0011428E" w:rsidRDefault="0011428E" w:rsidP="0011428E">
                            <w:pPr>
                              <w:numPr>
                                <w:ilvl w:val="0"/>
                                <w:numId w:val="10"/>
                              </w:numPr>
                              <w:rPr>
                                <w:sz w:val="22"/>
                                <w:szCs w:val="22"/>
                              </w:rPr>
                            </w:pPr>
                            <w:r w:rsidRPr="0011428E">
                              <w:rPr>
                                <w:sz w:val="22"/>
                                <w:szCs w:val="22"/>
                              </w:rPr>
                              <w:t xml:space="preserve">Were </w:t>
                            </w:r>
                            <w:r w:rsidRPr="0011428E">
                              <w:rPr>
                                <w:b/>
                                <w:bCs/>
                                <w:sz w:val="22"/>
                                <w:szCs w:val="22"/>
                              </w:rPr>
                              <w:t>peer</w:t>
                            </w:r>
                            <w:r w:rsidRPr="0011428E">
                              <w:rPr>
                                <w:b/>
                                <w:bCs/>
                                <w:sz w:val="22"/>
                                <w:szCs w:val="22"/>
                              </w:rPr>
                              <w:noBreakHyphen/>
                              <w:t>reviewed</w:t>
                            </w:r>
                            <w:r w:rsidRPr="0011428E">
                              <w:rPr>
                                <w:sz w:val="22"/>
                                <w:szCs w:val="22"/>
                              </w:rPr>
                              <w:t xml:space="preserve"> or official reports (Home Office, 2024)</w:t>
                            </w:r>
                          </w:p>
                          <w:p w14:paraId="3186BF52" w14:textId="77777777" w:rsidR="0011428E" w:rsidRPr="0011428E" w:rsidRDefault="0011428E" w:rsidP="0011428E">
                            <w:pPr>
                              <w:numPr>
                                <w:ilvl w:val="0"/>
                                <w:numId w:val="10"/>
                              </w:numPr>
                              <w:rPr>
                                <w:sz w:val="22"/>
                                <w:szCs w:val="22"/>
                              </w:rPr>
                            </w:pPr>
                            <w:r w:rsidRPr="0011428E">
                              <w:rPr>
                                <w:sz w:val="22"/>
                                <w:szCs w:val="22"/>
                              </w:rPr>
                              <w:t>Provided relevant qualitative or quantitative evidence (Jones et al., 2023)</w:t>
                            </w:r>
                          </w:p>
                          <w:p w14:paraId="19667420" w14:textId="77777777" w:rsidR="0011428E" w:rsidRPr="0011428E" w:rsidRDefault="0011428E" w:rsidP="0011428E">
                            <w:pPr>
                              <w:rPr>
                                <w:sz w:val="22"/>
                                <w:szCs w:val="22"/>
                              </w:rPr>
                            </w:pPr>
                            <w:r w:rsidRPr="0011428E">
                              <w:rPr>
                                <w:b/>
                                <w:bCs/>
                                <w:sz w:val="22"/>
                                <w:szCs w:val="22"/>
                              </w:rPr>
                              <w:t>Why?</w:t>
                            </w:r>
                            <w:r w:rsidRPr="0011428E">
                              <w:rPr>
                                <w:sz w:val="22"/>
                                <w:szCs w:val="22"/>
                              </w:rPr>
                              <w:t xml:space="preserve"> To ensure the dataset was contemporary, credible, and aligned with the research aim.</w:t>
                            </w:r>
                          </w:p>
                          <w:p w14:paraId="0A81A01B" w14:textId="77777777" w:rsidR="0011428E" w:rsidRPr="0011428E" w:rsidRDefault="0011428E" w:rsidP="0011428E">
                            <w:pPr>
                              <w:rPr>
                                <w:b/>
                                <w:bCs/>
                                <w:sz w:val="22"/>
                                <w:szCs w:val="22"/>
                              </w:rPr>
                            </w:pPr>
                            <w:r w:rsidRPr="0011428E">
                              <w:rPr>
                                <w:b/>
                                <w:bCs/>
                                <w:sz w:val="22"/>
                                <w:szCs w:val="22"/>
                              </w:rPr>
                              <w:t>7. Exclusion Criteria</w:t>
                            </w:r>
                          </w:p>
                          <w:p w14:paraId="29E7F34B" w14:textId="77777777" w:rsidR="0011428E" w:rsidRPr="0011428E" w:rsidRDefault="0011428E" w:rsidP="0011428E">
                            <w:pPr>
                              <w:rPr>
                                <w:sz w:val="22"/>
                                <w:szCs w:val="22"/>
                              </w:rPr>
                            </w:pPr>
                            <w:r w:rsidRPr="0011428E">
                              <w:rPr>
                                <w:sz w:val="22"/>
                                <w:szCs w:val="22"/>
                              </w:rPr>
                              <w:t>Sources were excluded if they:</w:t>
                            </w:r>
                          </w:p>
                          <w:p w14:paraId="426D42A9" w14:textId="77777777" w:rsidR="0011428E" w:rsidRPr="0011428E" w:rsidRDefault="0011428E" w:rsidP="0011428E">
                            <w:pPr>
                              <w:numPr>
                                <w:ilvl w:val="0"/>
                                <w:numId w:val="11"/>
                              </w:numPr>
                              <w:rPr>
                                <w:sz w:val="22"/>
                                <w:szCs w:val="22"/>
                              </w:rPr>
                            </w:pPr>
                            <w:r w:rsidRPr="0011428E">
                              <w:rPr>
                                <w:sz w:val="22"/>
                                <w:szCs w:val="22"/>
                              </w:rPr>
                              <w:t>Focused only on physical health outcomes</w:t>
                            </w:r>
                          </w:p>
                          <w:p w14:paraId="74A332FF" w14:textId="77777777" w:rsidR="0011428E" w:rsidRPr="0011428E" w:rsidRDefault="0011428E" w:rsidP="0011428E">
                            <w:pPr>
                              <w:numPr>
                                <w:ilvl w:val="0"/>
                                <w:numId w:val="11"/>
                              </w:numPr>
                              <w:rPr>
                                <w:sz w:val="22"/>
                                <w:szCs w:val="22"/>
                              </w:rPr>
                            </w:pPr>
                            <w:r w:rsidRPr="0011428E">
                              <w:rPr>
                                <w:sz w:val="22"/>
                                <w:szCs w:val="22"/>
                              </w:rPr>
                              <w:t>Were non</w:t>
                            </w:r>
                            <w:r w:rsidRPr="0011428E">
                              <w:rPr>
                                <w:sz w:val="22"/>
                                <w:szCs w:val="22"/>
                              </w:rPr>
                              <w:noBreakHyphen/>
                              <w:t>English</w:t>
                            </w:r>
                          </w:p>
                          <w:p w14:paraId="33E8462A" w14:textId="77777777" w:rsidR="0011428E" w:rsidRPr="0011428E" w:rsidRDefault="0011428E" w:rsidP="0011428E">
                            <w:pPr>
                              <w:numPr>
                                <w:ilvl w:val="0"/>
                                <w:numId w:val="11"/>
                              </w:numPr>
                              <w:rPr>
                                <w:sz w:val="22"/>
                                <w:szCs w:val="22"/>
                              </w:rPr>
                            </w:pPr>
                            <w:r w:rsidRPr="0011428E">
                              <w:rPr>
                                <w:sz w:val="22"/>
                                <w:szCs w:val="22"/>
                              </w:rPr>
                              <w:t>Were blogs, opinion pieces, or anecdotal accounts</w:t>
                            </w:r>
                          </w:p>
                          <w:p w14:paraId="70D897E4" w14:textId="77777777" w:rsidR="0011428E" w:rsidRPr="0011428E" w:rsidRDefault="0011428E" w:rsidP="0011428E">
                            <w:pPr>
                              <w:numPr>
                                <w:ilvl w:val="0"/>
                                <w:numId w:val="11"/>
                              </w:numPr>
                              <w:rPr>
                                <w:sz w:val="22"/>
                                <w:szCs w:val="22"/>
                              </w:rPr>
                            </w:pPr>
                            <w:r w:rsidRPr="0011428E">
                              <w:rPr>
                                <w:sz w:val="22"/>
                                <w:szCs w:val="22"/>
                              </w:rPr>
                              <w:t>Lacked methodological transparency (Nowell et al., 2017)</w:t>
                            </w:r>
                          </w:p>
                          <w:p w14:paraId="4047EF7A" w14:textId="77777777" w:rsidR="0011428E" w:rsidRPr="0011428E" w:rsidRDefault="0011428E" w:rsidP="0011428E">
                            <w:pPr>
                              <w:numPr>
                                <w:ilvl w:val="0"/>
                                <w:numId w:val="11"/>
                              </w:numPr>
                              <w:rPr>
                                <w:sz w:val="22"/>
                                <w:szCs w:val="22"/>
                              </w:rPr>
                            </w:pPr>
                            <w:r w:rsidRPr="0011428E">
                              <w:rPr>
                                <w:sz w:val="22"/>
                                <w:szCs w:val="22"/>
                              </w:rPr>
                              <w:t>Were published before 2014 unless historically essential</w:t>
                            </w:r>
                          </w:p>
                          <w:p w14:paraId="22BAF9A8" w14:textId="77777777" w:rsidR="0011428E" w:rsidRPr="0011428E" w:rsidRDefault="0011428E" w:rsidP="0011428E">
                            <w:pPr>
                              <w:rPr>
                                <w:sz w:val="22"/>
                                <w:szCs w:val="22"/>
                              </w:rPr>
                            </w:pPr>
                            <w:r w:rsidRPr="0011428E">
                              <w:rPr>
                                <w:b/>
                                <w:bCs/>
                                <w:sz w:val="22"/>
                                <w:szCs w:val="22"/>
                              </w:rPr>
                              <w:t>Why?</w:t>
                            </w:r>
                            <w:r w:rsidRPr="0011428E">
                              <w:rPr>
                                <w:sz w:val="22"/>
                                <w:szCs w:val="22"/>
                              </w:rPr>
                              <w:t xml:space="preserve"> To maintain academic rigour and ensure relevance to UK mental health policy and practice.</w:t>
                            </w:r>
                          </w:p>
                          <w:p w14:paraId="4E5714E1" w14:textId="77777777" w:rsidR="00A038E2" w:rsidRDefault="00A038E2" w:rsidP="00A038E2">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9045DDF" id="_x0000_s1032" style="position:absolute;margin-left:330.75pt;margin-top:468.45pt;width:422.25pt;height:410.9pt;z-index:25166643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PZKpagIAACYFAAAOAAAAZHJzL2Uyb0RvYy54bWysVFFP2zAQfp+0/2D5fSQpFFhFiioQ0yQE&#10;aDDx7Do2ieT4vLPbpPv1OztpigDtYdpLYvvuvrv7/J0vLvvWsK1C34AteXGUc6ashKqxLyX/+XTz&#10;5ZwzH4SthAGrSr5Tnl8uP3+66NxCzaAGUylkBGL9onMlr0Nwiyzzslat8EfglCWjBmxFoC2+ZBWK&#10;jtBbk83y/DTrACuHIJX3dHo9GPky4WutZLjX2qvATMmptpC+mL7r+M2WF2LxgsLVjRzLEP9QRSsa&#10;S0knqGsRBNtg8w6qbSSCBx2OJLQZaN1IlXqgbor8TTePtXAq9ULkeDfR5P8frLzbProHJBo65xee&#10;lrGLXmMb/1Qf6xNZu4ks1Qcm6XB+fDqbn805k2Sbz4rz4/PTSGd2CHfowzcFLYuLkiPdRiJJbG99&#10;GFz3LhR3KCCtws6oWIOxP5RmTUUpZyk6aUNdGWRbQbcqpFQ2FIOpFpUajot5nqfrpXqmiFRdAozI&#10;ujFmwh4Bou7eYw+1jv4xVCVpTcH53wobgqeIlBlsmILbxgJ+BGCoqzHz4L8naaAmshT6dU/clDxR&#10;H0/WUO0ekCEMUvdO3jTE/q3w4UEgaZumgOY13NNHG+hKDuOKsxrw90fn0Z8kR1bOOpqVkvtfG4GK&#10;M/Pdkhi/FicncbjS5mR+NqMNvrasX1vspr0CuriCXgYn0zL6B7NfaoT2mcZ6FbOSSVhJuUsuA+43&#10;V2GYYXoYpFqtkhsNlBPh1j46GcEjz1FdT/2zQDdKMJB672A/V2LxRomDb4y0sNoE0E2S6YHX8QZo&#10;GJOUxocjTvvrffI6PG/LPwAAAP//AwBQSwMEFAAGAAgAAAAhAAEtjzLjAAAADQEAAA8AAABkcnMv&#10;ZG93bnJldi54bWxMj8FOwzAMhu9IvENkJC6IpVvVbitNpwk0JE6IgTi7TdZWa5yuSbfy9ngnuNny&#10;p9/fn28m24mzGXzrSMF8FoEwVDndUq3g63P3uALhA5LGzpFR8GM8bIrbmxwz7S70Yc77UAsOIZ+h&#10;giaEPpPSV42x6GeuN8S3gxssBl6HWuoBLxxuO7mIolRabIk/NNib58ZUx/1oFVh9+i7H16OL+5ft&#10;Q3zaHd5w8a7U/d20fQIRzBT+YLjqszoU7FS6kbQXnYI0nSeMKljH6RrElUiilOuVPC2T1RJkkcv/&#10;LYpfAAAA//8DAFBLAQItABQABgAIAAAAIQC2gziS/gAAAOEBAAATAAAAAAAAAAAAAAAAAAAAAABb&#10;Q29udGVudF9UeXBlc10ueG1sUEsBAi0AFAAGAAgAAAAhADj9If/WAAAAlAEAAAsAAAAAAAAAAAAA&#10;AAAALwEAAF9yZWxzLy5yZWxzUEsBAi0AFAAGAAgAAAAhALo9kqlqAgAAJgUAAA4AAAAAAAAAAAAA&#10;AAAALgIAAGRycy9lMm9Eb2MueG1sUEsBAi0AFAAGAAgAAAAhAAEtjzLjAAAADQEAAA8AAAAAAAAA&#10;AAAAAAAAxAQAAGRycy9kb3ducmV2LnhtbFBLBQYAAAAABAAEAPMAAADUBQAAAAA=&#10;" fillcolor="#156082 [3204]" strokecolor="#030e13 [484]" strokeweight="1.5pt">
                <v:textbox>
                  <w:txbxContent>
                    <w:p w14:paraId="1F094924" w14:textId="77777777" w:rsidR="0011428E" w:rsidRPr="0011428E" w:rsidRDefault="0011428E" w:rsidP="0011428E">
                      <w:pPr>
                        <w:rPr>
                          <w:b/>
                          <w:bCs/>
                          <w:sz w:val="22"/>
                          <w:szCs w:val="22"/>
                        </w:rPr>
                      </w:pPr>
                      <w:r w:rsidRPr="0011428E">
                        <w:rPr>
                          <w:b/>
                          <w:bCs/>
                          <w:sz w:val="22"/>
                          <w:szCs w:val="22"/>
                        </w:rPr>
                        <w:t>6. Inclusion Criteria</w:t>
                      </w:r>
                    </w:p>
                    <w:p w14:paraId="4247B349" w14:textId="77777777" w:rsidR="0011428E" w:rsidRPr="0011428E" w:rsidRDefault="0011428E" w:rsidP="0011428E">
                      <w:pPr>
                        <w:rPr>
                          <w:sz w:val="22"/>
                          <w:szCs w:val="22"/>
                        </w:rPr>
                      </w:pPr>
                      <w:r w:rsidRPr="0011428E">
                        <w:rPr>
                          <w:sz w:val="22"/>
                          <w:szCs w:val="22"/>
                        </w:rPr>
                        <w:t>Sources were included if they:</w:t>
                      </w:r>
                    </w:p>
                    <w:p w14:paraId="53B5C841" w14:textId="77777777" w:rsidR="0011428E" w:rsidRPr="0011428E" w:rsidRDefault="0011428E" w:rsidP="0011428E">
                      <w:pPr>
                        <w:numPr>
                          <w:ilvl w:val="0"/>
                          <w:numId w:val="10"/>
                        </w:numPr>
                        <w:rPr>
                          <w:sz w:val="22"/>
                          <w:szCs w:val="22"/>
                        </w:rPr>
                      </w:pPr>
                      <w:r w:rsidRPr="0011428E">
                        <w:rPr>
                          <w:sz w:val="22"/>
                          <w:szCs w:val="22"/>
                        </w:rPr>
                        <w:t xml:space="preserve">Were published between </w:t>
                      </w:r>
                      <w:r w:rsidRPr="0011428E">
                        <w:rPr>
                          <w:b/>
                          <w:bCs/>
                          <w:sz w:val="22"/>
                          <w:szCs w:val="22"/>
                        </w:rPr>
                        <w:t>2014–2025</w:t>
                      </w:r>
                      <w:r w:rsidRPr="0011428E">
                        <w:rPr>
                          <w:sz w:val="22"/>
                          <w:szCs w:val="22"/>
                        </w:rPr>
                        <w:t xml:space="preserve"> (Ayton, 2024)</w:t>
                      </w:r>
                    </w:p>
                    <w:p w14:paraId="7FD047C4" w14:textId="77777777" w:rsidR="0011428E" w:rsidRPr="0011428E" w:rsidRDefault="0011428E" w:rsidP="0011428E">
                      <w:pPr>
                        <w:numPr>
                          <w:ilvl w:val="0"/>
                          <w:numId w:val="10"/>
                        </w:numPr>
                        <w:rPr>
                          <w:sz w:val="22"/>
                          <w:szCs w:val="22"/>
                        </w:rPr>
                      </w:pPr>
                      <w:r w:rsidRPr="0011428E">
                        <w:rPr>
                          <w:sz w:val="22"/>
                          <w:szCs w:val="22"/>
                        </w:rPr>
                        <w:t xml:space="preserve">Focused on </w:t>
                      </w:r>
                      <w:r w:rsidRPr="0011428E">
                        <w:rPr>
                          <w:b/>
                          <w:bCs/>
                          <w:sz w:val="22"/>
                          <w:szCs w:val="22"/>
                        </w:rPr>
                        <w:t>mental health outcomes</w:t>
                      </w:r>
                      <w:r w:rsidRPr="0011428E">
                        <w:rPr>
                          <w:sz w:val="22"/>
                          <w:szCs w:val="22"/>
                        </w:rPr>
                        <w:t xml:space="preserve"> of FGM (Mulongo et al., 2014)</w:t>
                      </w:r>
                    </w:p>
                    <w:p w14:paraId="745E2874" w14:textId="77777777" w:rsidR="0011428E" w:rsidRPr="0011428E" w:rsidRDefault="0011428E" w:rsidP="0011428E">
                      <w:pPr>
                        <w:numPr>
                          <w:ilvl w:val="0"/>
                          <w:numId w:val="10"/>
                        </w:numPr>
                        <w:rPr>
                          <w:sz w:val="22"/>
                          <w:szCs w:val="22"/>
                        </w:rPr>
                      </w:pPr>
                      <w:r w:rsidRPr="0011428E">
                        <w:rPr>
                          <w:sz w:val="22"/>
                          <w:szCs w:val="22"/>
                        </w:rPr>
                        <w:t xml:space="preserve">Were </w:t>
                      </w:r>
                      <w:r w:rsidRPr="0011428E">
                        <w:rPr>
                          <w:b/>
                          <w:bCs/>
                          <w:sz w:val="22"/>
                          <w:szCs w:val="22"/>
                        </w:rPr>
                        <w:t>UK</w:t>
                      </w:r>
                      <w:r w:rsidRPr="0011428E">
                        <w:rPr>
                          <w:b/>
                          <w:bCs/>
                          <w:sz w:val="22"/>
                          <w:szCs w:val="22"/>
                        </w:rPr>
                        <w:noBreakHyphen/>
                        <w:t>based</w:t>
                      </w:r>
                      <w:r w:rsidRPr="0011428E">
                        <w:rPr>
                          <w:sz w:val="22"/>
                          <w:szCs w:val="22"/>
                        </w:rPr>
                        <w:t xml:space="preserve"> or applicable to UK policy/practice (NHS Digital, 2024)</w:t>
                      </w:r>
                    </w:p>
                    <w:p w14:paraId="5B42ECE4" w14:textId="77777777" w:rsidR="0011428E" w:rsidRPr="0011428E" w:rsidRDefault="0011428E" w:rsidP="0011428E">
                      <w:pPr>
                        <w:numPr>
                          <w:ilvl w:val="0"/>
                          <w:numId w:val="10"/>
                        </w:numPr>
                        <w:rPr>
                          <w:sz w:val="22"/>
                          <w:szCs w:val="22"/>
                        </w:rPr>
                      </w:pPr>
                      <w:r w:rsidRPr="0011428E">
                        <w:rPr>
                          <w:sz w:val="22"/>
                          <w:szCs w:val="22"/>
                        </w:rPr>
                        <w:t xml:space="preserve">Were </w:t>
                      </w:r>
                      <w:r w:rsidRPr="0011428E">
                        <w:rPr>
                          <w:b/>
                          <w:bCs/>
                          <w:sz w:val="22"/>
                          <w:szCs w:val="22"/>
                        </w:rPr>
                        <w:t>peer</w:t>
                      </w:r>
                      <w:r w:rsidRPr="0011428E">
                        <w:rPr>
                          <w:b/>
                          <w:bCs/>
                          <w:sz w:val="22"/>
                          <w:szCs w:val="22"/>
                        </w:rPr>
                        <w:noBreakHyphen/>
                        <w:t>reviewed</w:t>
                      </w:r>
                      <w:r w:rsidRPr="0011428E">
                        <w:rPr>
                          <w:sz w:val="22"/>
                          <w:szCs w:val="22"/>
                        </w:rPr>
                        <w:t xml:space="preserve"> or official reports (Home Office, 2024)</w:t>
                      </w:r>
                    </w:p>
                    <w:p w14:paraId="3186BF52" w14:textId="77777777" w:rsidR="0011428E" w:rsidRPr="0011428E" w:rsidRDefault="0011428E" w:rsidP="0011428E">
                      <w:pPr>
                        <w:numPr>
                          <w:ilvl w:val="0"/>
                          <w:numId w:val="10"/>
                        </w:numPr>
                        <w:rPr>
                          <w:sz w:val="22"/>
                          <w:szCs w:val="22"/>
                        </w:rPr>
                      </w:pPr>
                      <w:r w:rsidRPr="0011428E">
                        <w:rPr>
                          <w:sz w:val="22"/>
                          <w:szCs w:val="22"/>
                        </w:rPr>
                        <w:t>Provided relevant qualitative or quantitative evidence (Jones et al., 2023)</w:t>
                      </w:r>
                    </w:p>
                    <w:p w14:paraId="19667420" w14:textId="77777777" w:rsidR="0011428E" w:rsidRPr="0011428E" w:rsidRDefault="0011428E" w:rsidP="0011428E">
                      <w:pPr>
                        <w:rPr>
                          <w:sz w:val="22"/>
                          <w:szCs w:val="22"/>
                        </w:rPr>
                      </w:pPr>
                      <w:r w:rsidRPr="0011428E">
                        <w:rPr>
                          <w:b/>
                          <w:bCs/>
                          <w:sz w:val="22"/>
                          <w:szCs w:val="22"/>
                        </w:rPr>
                        <w:t>Why?</w:t>
                      </w:r>
                      <w:r w:rsidRPr="0011428E">
                        <w:rPr>
                          <w:sz w:val="22"/>
                          <w:szCs w:val="22"/>
                        </w:rPr>
                        <w:t xml:space="preserve"> To ensure the dataset was contemporary, credible, and aligned with the research aim.</w:t>
                      </w:r>
                    </w:p>
                    <w:p w14:paraId="0A81A01B" w14:textId="77777777" w:rsidR="0011428E" w:rsidRPr="0011428E" w:rsidRDefault="0011428E" w:rsidP="0011428E">
                      <w:pPr>
                        <w:rPr>
                          <w:b/>
                          <w:bCs/>
                          <w:sz w:val="22"/>
                          <w:szCs w:val="22"/>
                        </w:rPr>
                      </w:pPr>
                      <w:r w:rsidRPr="0011428E">
                        <w:rPr>
                          <w:b/>
                          <w:bCs/>
                          <w:sz w:val="22"/>
                          <w:szCs w:val="22"/>
                        </w:rPr>
                        <w:t>7. Exclusion Criteria</w:t>
                      </w:r>
                    </w:p>
                    <w:p w14:paraId="29E7F34B" w14:textId="77777777" w:rsidR="0011428E" w:rsidRPr="0011428E" w:rsidRDefault="0011428E" w:rsidP="0011428E">
                      <w:pPr>
                        <w:rPr>
                          <w:sz w:val="22"/>
                          <w:szCs w:val="22"/>
                        </w:rPr>
                      </w:pPr>
                      <w:r w:rsidRPr="0011428E">
                        <w:rPr>
                          <w:sz w:val="22"/>
                          <w:szCs w:val="22"/>
                        </w:rPr>
                        <w:t>Sources were excluded if they:</w:t>
                      </w:r>
                    </w:p>
                    <w:p w14:paraId="426D42A9" w14:textId="77777777" w:rsidR="0011428E" w:rsidRPr="0011428E" w:rsidRDefault="0011428E" w:rsidP="0011428E">
                      <w:pPr>
                        <w:numPr>
                          <w:ilvl w:val="0"/>
                          <w:numId w:val="11"/>
                        </w:numPr>
                        <w:rPr>
                          <w:sz w:val="22"/>
                          <w:szCs w:val="22"/>
                        </w:rPr>
                      </w:pPr>
                      <w:r w:rsidRPr="0011428E">
                        <w:rPr>
                          <w:sz w:val="22"/>
                          <w:szCs w:val="22"/>
                        </w:rPr>
                        <w:t>Focused only on physical health outcomes</w:t>
                      </w:r>
                    </w:p>
                    <w:p w14:paraId="74A332FF" w14:textId="77777777" w:rsidR="0011428E" w:rsidRPr="0011428E" w:rsidRDefault="0011428E" w:rsidP="0011428E">
                      <w:pPr>
                        <w:numPr>
                          <w:ilvl w:val="0"/>
                          <w:numId w:val="11"/>
                        </w:numPr>
                        <w:rPr>
                          <w:sz w:val="22"/>
                          <w:szCs w:val="22"/>
                        </w:rPr>
                      </w:pPr>
                      <w:r w:rsidRPr="0011428E">
                        <w:rPr>
                          <w:sz w:val="22"/>
                          <w:szCs w:val="22"/>
                        </w:rPr>
                        <w:t>Were non</w:t>
                      </w:r>
                      <w:r w:rsidRPr="0011428E">
                        <w:rPr>
                          <w:sz w:val="22"/>
                          <w:szCs w:val="22"/>
                        </w:rPr>
                        <w:noBreakHyphen/>
                        <w:t>English</w:t>
                      </w:r>
                    </w:p>
                    <w:p w14:paraId="33E8462A" w14:textId="77777777" w:rsidR="0011428E" w:rsidRPr="0011428E" w:rsidRDefault="0011428E" w:rsidP="0011428E">
                      <w:pPr>
                        <w:numPr>
                          <w:ilvl w:val="0"/>
                          <w:numId w:val="11"/>
                        </w:numPr>
                        <w:rPr>
                          <w:sz w:val="22"/>
                          <w:szCs w:val="22"/>
                        </w:rPr>
                      </w:pPr>
                      <w:r w:rsidRPr="0011428E">
                        <w:rPr>
                          <w:sz w:val="22"/>
                          <w:szCs w:val="22"/>
                        </w:rPr>
                        <w:t>Were blogs, opinion pieces, or anecdotal accounts</w:t>
                      </w:r>
                    </w:p>
                    <w:p w14:paraId="70D897E4" w14:textId="77777777" w:rsidR="0011428E" w:rsidRPr="0011428E" w:rsidRDefault="0011428E" w:rsidP="0011428E">
                      <w:pPr>
                        <w:numPr>
                          <w:ilvl w:val="0"/>
                          <w:numId w:val="11"/>
                        </w:numPr>
                        <w:rPr>
                          <w:sz w:val="22"/>
                          <w:szCs w:val="22"/>
                        </w:rPr>
                      </w:pPr>
                      <w:r w:rsidRPr="0011428E">
                        <w:rPr>
                          <w:sz w:val="22"/>
                          <w:szCs w:val="22"/>
                        </w:rPr>
                        <w:t>Lacked methodological transparency (Nowell et al., 2017)</w:t>
                      </w:r>
                    </w:p>
                    <w:p w14:paraId="4047EF7A" w14:textId="77777777" w:rsidR="0011428E" w:rsidRPr="0011428E" w:rsidRDefault="0011428E" w:rsidP="0011428E">
                      <w:pPr>
                        <w:numPr>
                          <w:ilvl w:val="0"/>
                          <w:numId w:val="11"/>
                        </w:numPr>
                        <w:rPr>
                          <w:sz w:val="22"/>
                          <w:szCs w:val="22"/>
                        </w:rPr>
                      </w:pPr>
                      <w:r w:rsidRPr="0011428E">
                        <w:rPr>
                          <w:sz w:val="22"/>
                          <w:szCs w:val="22"/>
                        </w:rPr>
                        <w:t>Were published before 2014 unless historically essential</w:t>
                      </w:r>
                    </w:p>
                    <w:p w14:paraId="22BAF9A8" w14:textId="77777777" w:rsidR="0011428E" w:rsidRPr="0011428E" w:rsidRDefault="0011428E" w:rsidP="0011428E">
                      <w:pPr>
                        <w:rPr>
                          <w:sz w:val="22"/>
                          <w:szCs w:val="22"/>
                        </w:rPr>
                      </w:pPr>
                      <w:r w:rsidRPr="0011428E">
                        <w:rPr>
                          <w:b/>
                          <w:bCs/>
                          <w:sz w:val="22"/>
                          <w:szCs w:val="22"/>
                        </w:rPr>
                        <w:t>Why?</w:t>
                      </w:r>
                      <w:r w:rsidRPr="0011428E">
                        <w:rPr>
                          <w:sz w:val="22"/>
                          <w:szCs w:val="22"/>
                        </w:rPr>
                        <w:t xml:space="preserve"> To maintain academic rigour and ensure relevance to UK mental health policy and practice.</w:t>
                      </w:r>
                    </w:p>
                    <w:p w14:paraId="4E5714E1" w14:textId="77777777" w:rsidR="00A038E2" w:rsidRDefault="00A038E2" w:rsidP="00A038E2">
                      <w:pPr>
                        <w:jc w:val="center"/>
                      </w:pPr>
                    </w:p>
                  </w:txbxContent>
                </v:textbox>
                <w10:wrap anchorx="margin"/>
              </v:rect>
            </w:pict>
          </mc:Fallback>
        </mc:AlternateContent>
      </w:r>
      <w:r w:rsidR="0020030A" w:rsidRPr="00131DA8">
        <w:rPr>
          <w:rFonts w:ascii="Segoe UI Emoji" w:eastAsia="Times New Roman" w:hAnsi="Segoe UI Emoji" w:cs="Segoe UI Emoji"/>
          <w:b/>
          <w:bCs/>
          <w:noProof/>
          <w:kern w:val="36"/>
          <w:sz w:val="96"/>
          <w:szCs w:val="96"/>
          <w:lang w:eastAsia="en-GB"/>
        </w:rPr>
        <mc:AlternateContent>
          <mc:Choice Requires="wps">
            <w:drawing>
              <wp:anchor distT="0" distB="0" distL="114300" distR="114300" simplePos="0" relativeHeight="251659264" behindDoc="0" locked="0" layoutInCell="1" allowOverlap="1" wp14:anchorId="6455C5EF" wp14:editId="0CFAE7DB">
                <wp:simplePos x="0" y="0"/>
                <wp:positionH relativeFrom="margin">
                  <wp:posOffset>4200525</wp:posOffset>
                </wp:positionH>
                <wp:positionV relativeFrom="paragraph">
                  <wp:posOffset>1034415</wp:posOffset>
                </wp:positionV>
                <wp:extent cx="5372100" cy="4871545"/>
                <wp:effectExtent l="0" t="0" r="19050" b="24765"/>
                <wp:wrapNone/>
                <wp:docPr id="1080900368" name="Rectangle 1"/>
                <wp:cNvGraphicFramePr/>
                <a:graphic xmlns:a="http://schemas.openxmlformats.org/drawingml/2006/main">
                  <a:graphicData uri="http://schemas.microsoft.com/office/word/2010/wordprocessingShape">
                    <wps:wsp>
                      <wps:cNvSpPr/>
                      <wps:spPr>
                        <a:xfrm>
                          <a:off x="0" y="0"/>
                          <a:ext cx="5372100" cy="4871545"/>
                        </a:xfrm>
                        <a:prstGeom prst="rect">
                          <a:avLst/>
                        </a:prstGeom>
                      </wps:spPr>
                      <wps:style>
                        <a:lnRef idx="2">
                          <a:schemeClr val="accent1">
                            <a:shade val="15000"/>
                          </a:schemeClr>
                        </a:lnRef>
                        <a:fillRef idx="1">
                          <a:schemeClr val="accent1"/>
                        </a:fillRef>
                        <a:effectRef idx="0">
                          <a:schemeClr val="accent1"/>
                        </a:effectRef>
                        <a:fontRef idx="minor">
                          <a:schemeClr val="lt1"/>
                        </a:fontRef>
                      </wps:style>
                      <wps:txbx>
                        <w:txbxContent>
                          <w:p w14:paraId="30B8ACBC" w14:textId="77777777" w:rsidR="00507C78" w:rsidRPr="00507C78" w:rsidRDefault="00507C78" w:rsidP="00A31EDE">
                            <w:pPr>
                              <w:rPr>
                                <w:rFonts w:ascii="Arial" w:hAnsi="Arial" w:cs="Arial"/>
                                <w:b/>
                                <w:bCs/>
                                <w:sz w:val="22"/>
                                <w:szCs w:val="22"/>
                              </w:rPr>
                            </w:pPr>
                            <w:r w:rsidRPr="00507C78">
                              <w:rPr>
                                <w:rFonts w:ascii="Arial" w:hAnsi="Arial" w:cs="Arial"/>
                                <w:b/>
                                <w:bCs/>
                                <w:sz w:val="22"/>
                                <w:szCs w:val="22"/>
                              </w:rPr>
                              <w:t>5. Research Validation &amp; Analysis</w:t>
                            </w:r>
                          </w:p>
                          <w:p w14:paraId="37C766DD" w14:textId="77777777" w:rsidR="00507C78" w:rsidRPr="00507C78" w:rsidRDefault="00507C78" w:rsidP="00A31EDE">
                            <w:pPr>
                              <w:rPr>
                                <w:rFonts w:ascii="Arial" w:hAnsi="Arial" w:cs="Arial"/>
                                <w:b/>
                                <w:bCs/>
                                <w:sz w:val="22"/>
                                <w:szCs w:val="22"/>
                              </w:rPr>
                            </w:pPr>
                            <w:r w:rsidRPr="00507C78">
                              <w:rPr>
                                <w:rFonts w:ascii="Arial" w:hAnsi="Arial" w:cs="Arial"/>
                                <w:b/>
                                <w:bCs/>
                                <w:sz w:val="22"/>
                                <w:szCs w:val="22"/>
                              </w:rPr>
                              <w:t>CRAAP Test</w:t>
                            </w:r>
                          </w:p>
                          <w:p w14:paraId="77C1F975" w14:textId="77777777" w:rsidR="00507C78" w:rsidRPr="00507C78" w:rsidRDefault="00507C78" w:rsidP="00A31EDE">
                            <w:pPr>
                              <w:rPr>
                                <w:rFonts w:ascii="Arial" w:hAnsi="Arial" w:cs="Arial"/>
                                <w:b/>
                                <w:bCs/>
                                <w:sz w:val="22"/>
                                <w:szCs w:val="22"/>
                              </w:rPr>
                            </w:pPr>
                            <w:r w:rsidRPr="00507C78">
                              <w:rPr>
                                <w:rFonts w:ascii="Arial" w:hAnsi="Arial" w:cs="Arial"/>
                                <w:b/>
                                <w:bCs/>
                                <w:sz w:val="22"/>
                                <w:szCs w:val="22"/>
                              </w:rPr>
                              <w:t>Used to assess credibility, relevance, and accuracy of all sources (Ayton, 2024).</w:t>
                            </w:r>
                          </w:p>
                          <w:p w14:paraId="678C0127" w14:textId="77777777" w:rsidR="00507C78" w:rsidRPr="00507C78" w:rsidRDefault="00507C78" w:rsidP="00A31EDE">
                            <w:pPr>
                              <w:numPr>
                                <w:ilvl w:val="0"/>
                                <w:numId w:val="8"/>
                              </w:numPr>
                              <w:rPr>
                                <w:rFonts w:ascii="Arial" w:hAnsi="Arial" w:cs="Arial"/>
                                <w:b/>
                                <w:bCs/>
                                <w:sz w:val="22"/>
                                <w:szCs w:val="22"/>
                              </w:rPr>
                            </w:pPr>
                            <w:r w:rsidRPr="00507C78">
                              <w:rPr>
                                <w:rFonts w:ascii="Arial" w:hAnsi="Arial" w:cs="Arial"/>
                                <w:b/>
                                <w:bCs/>
                                <w:sz w:val="22"/>
                                <w:szCs w:val="22"/>
                              </w:rPr>
                              <w:t>Currency: Prioritised 2014–2025 publications.</w:t>
                            </w:r>
                          </w:p>
                          <w:p w14:paraId="0115148E" w14:textId="77777777" w:rsidR="00507C78" w:rsidRPr="00507C78" w:rsidRDefault="00507C78" w:rsidP="00A31EDE">
                            <w:pPr>
                              <w:numPr>
                                <w:ilvl w:val="0"/>
                                <w:numId w:val="8"/>
                              </w:numPr>
                              <w:rPr>
                                <w:rFonts w:ascii="Arial" w:hAnsi="Arial" w:cs="Arial"/>
                                <w:b/>
                                <w:bCs/>
                                <w:sz w:val="22"/>
                                <w:szCs w:val="22"/>
                              </w:rPr>
                            </w:pPr>
                            <w:r w:rsidRPr="00507C78">
                              <w:rPr>
                                <w:rFonts w:ascii="Arial" w:hAnsi="Arial" w:cs="Arial"/>
                                <w:b/>
                                <w:bCs/>
                                <w:sz w:val="22"/>
                                <w:szCs w:val="22"/>
                              </w:rPr>
                              <w:t>Relevance: Focused on UK mental health outcomes (NHS Digital, 2024).</w:t>
                            </w:r>
                          </w:p>
                          <w:p w14:paraId="20C247D5" w14:textId="77777777" w:rsidR="00507C78" w:rsidRPr="00507C78" w:rsidRDefault="00507C78" w:rsidP="00A31EDE">
                            <w:pPr>
                              <w:numPr>
                                <w:ilvl w:val="0"/>
                                <w:numId w:val="8"/>
                              </w:numPr>
                              <w:rPr>
                                <w:rFonts w:ascii="Arial" w:hAnsi="Arial" w:cs="Arial"/>
                                <w:b/>
                                <w:bCs/>
                                <w:sz w:val="22"/>
                                <w:szCs w:val="22"/>
                              </w:rPr>
                            </w:pPr>
                            <w:r w:rsidRPr="00507C78">
                              <w:rPr>
                                <w:rFonts w:ascii="Arial" w:hAnsi="Arial" w:cs="Arial"/>
                                <w:b/>
                                <w:bCs/>
                                <w:sz w:val="22"/>
                                <w:szCs w:val="22"/>
                              </w:rPr>
                              <w:t>Authority: WHO, NHS England, NIHR, peer</w:t>
                            </w:r>
                            <w:r w:rsidRPr="00507C78">
                              <w:rPr>
                                <w:rFonts w:ascii="Arial" w:hAnsi="Arial" w:cs="Arial"/>
                                <w:b/>
                                <w:bCs/>
                                <w:sz w:val="22"/>
                                <w:szCs w:val="22"/>
                              </w:rPr>
                              <w:noBreakHyphen/>
                              <w:t>reviewed journals.</w:t>
                            </w:r>
                          </w:p>
                          <w:p w14:paraId="584A6B5A" w14:textId="77777777" w:rsidR="00507C78" w:rsidRPr="00507C78" w:rsidRDefault="00507C78" w:rsidP="00A31EDE">
                            <w:pPr>
                              <w:numPr>
                                <w:ilvl w:val="0"/>
                                <w:numId w:val="8"/>
                              </w:numPr>
                              <w:rPr>
                                <w:rFonts w:ascii="Arial" w:hAnsi="Arial" w:cs="Arial"/>
                                <w:b/>
                                <w:bCs/>
                                <w:sz w:val="22"/>
                                <w:szCs w:val="22"/>
                              </w:rPr>
                            </w:pPr>
                            <w:r w:rsidRPr="00507C78">
                              <w:rPr>
                                <w:rFonts w:ascii="Arial" w:hAnsi="Arial" w:cs="Arial"/>
                                <w:b/>
                                <w:bCs/>
                                <w:sz w:val="22"/>
                                <w:szCs w:val="22"/>
                              </w:rPr>
                              <w:t>Accuracy: Cross</w:t>
                            </w:r>
                            <w:r w:rsidRPr="00507C78">
                              <w:rPr>
                                <w:rFonts w:ascii="Arial" w:hAnsi="Arial" w:cs="Arial"/>
                                <w:b/>
                                <w:bCs/>
                                <w:sz w:val="22"/>
                                <w:szCs w:val="22"/>
                              </w:rPr>
                              <w:noBreakHyphen/>
                              <w:t>checked across multiple studies (Nowell et al., 2017).</w:t>
                            </w:r>
                          </w:p>
                          <w:p w14:paraId="3A055125" w14:textId="77777777" w:rsidR="00507C78" w:rsidRPr="00507C78" w:rsidRDefault="00507C78" w:rsidP="00A31EDE">
                            <w:pPr>
                              <w:numPr>
                                <w:ilvl w:val="0"/>
                                <w:numId w:val="8"/>
                              </w:numPr>
                              <w:rPr>
                                <w:rFonts w:ascii="Arial" w:hAnsi="Arial" w:cs="Arial"/>
                                <w:b/>
                                <w:bCs/>
                                <w:sz w:val="22"/>
                                <w:szCs w:val="22"/>
                              </w:rPr>
                            </w:pPr>
                            <w:r w:rsidRPr="00507C78">
                              <w:rPr>
                                <w:rFonts w:ascii="Arial" w:hAnsi="Arial" w:cs="Arial"/>
                                <w:b/>
                                <w:bCs/>
                                <w:sz w:val="22"/>
                                <w:szCs w:val="22"/>
                              </w:rPr>
                              <w:t>Purpose: Identified potential bias in advocacy reports (FORWARD UK, 2024).</w:t>
                            </w:r>
                          </w:p>
                          <w:p w14:paraId="7906DABF" w14:textId="77777777" w:rsidR="00507C78" w:rsidRPr="00507C78" w:rsidRDefault="00507C78" w:rsidP="00A31EDE">
                            <w:pPr>
                              <w:rPr>
                                <w:rFonts w:ascii="Arial" w:hAnsi="Arial" w:cs="Arial"/>
                                <w:b/>
                                <w:bCs/>
                                <w:sz w:val="22"/>
                                <w:szCs w:val="22"/>
                              </w:rPr>
                            </w:pPr>
                            <w:r w:rsidRPr="00507C78">
                              <w:rPr>
                                <w:rFonts w:ascii="Arial" w:hAnsi="Arial" w:cs="Arial"/>
                                <w:b/>
                                <w:bCs/>
                                <w:sz w:val="22"/>
                                <w:szCs w:val="22"/>
                              </w:rPr>
                              <w:t>Thematic Analysis</w:t>
                            </w:r>
                          </w:p>
                          <w:p w14:paraId="1702B738" w14:textId="77777777" w:rsidR="00507C78" w:rsidRPr="00507C78" w:rsidRDefault="00507C78" w:rsidP="00A31EDE">
                            <w:pPr>
                              <w:rPr>
                                <w:rFonts w:ascii="Arial" w:hAnsi="Arial" w:cs="Arial"/>
                                <w:b/>
                                <w:bCs/>
                                <w:sz w:val="22"/>
                                <w:szCs w:val="22"/>
                              </w:rPr>
                            </w:pPr>
                            <w:r w:rsidRPr="00507C78">
                              <w:rPr>
                                <w:rFonts w:ascii="Arial" w:hAnsi="Arial" w:cs="Arial"/>
                                <w:b/>
                                <w:bCs/>
                                <w:sz w:val="22"/>
                                <w:szCs w:val="22"/>
                              </w:rPr>
                              <w:t>Thematic analysis followed Braun &amp; Clarke’s (2006) six</w:t>
                            </w:r>
                            <w:r w:rsidRPr="00507C78">
                              <w:rPr>
                                <w:rFonts w:ascii="Arial" w:hAnsi="Arial" w:cs="Arial"/>
                                <w:b/>
                                <w:bCs/>
                                <w:sz w:val="22"/>
                                <w:szCs w:val="22"/>
                              </w:rPr>
                              <w:noBreakHyphen/>
                              <w:t>phase framework, producing three core themes:</w:t>
                            </w:r>
                          </w:p>
                          <w:p w14:paraId="5E3B8D20" w14:textId="77777777" w:rsidR="00507C78" w:rsidRPr="00507C78" w:rsidRDefault="00507C78" w:rsidP="00A31EDE">
                            <w:pPr>
                              <w:numPr>
                                <w:ilvl w:val="0"/>
                                <w:numId w:val="9"/>
                              </w:numPr>
                              <w:rPr>
                                <w:rFonts w:ascii="Arial" w:hAnsi="Arial" w:cs="Arial"/>
                                <w:b/>
                                <w:bCs/>
                                <w:sz w:val="22"/>
                                <w:szCs w:val="22"/>
                              </w:rPr>
                            </w:pPr>
                            <w:r w:rsidRPr="00507C78">
                              <w:rPr>
                                <w:rFonts w:ascii="Arial" w:hAnsi="Arial" w:cs="Arial"/>
                                <w:b/>
                                <w:bCs/>
                                <w:sz w:val="22"/>
                                <w:szCs w:val="22"/>
                              </w:rPr>
                              <w:t>Psychological consequences (Mulongo et al., 2014)</w:t>
                            </w:r>
                          </w:p>
                          <w:p w14:paraId="2DA1DDCB" w14:textId="77777777" w:rsidR="00507C78" w:rsidRPr="00507C78" w:rsidRDefault="00507C78" w:rsidP="00A31EDE">
                            <w:pPr>
                              <w:numPr>
                                <w:ilvl w:val="0"/>
                                <w:numId w:val="9"/>
                              </w:numPr>
                              <w:rPr>
                                <w:rFonts w:ascii="Arial" w:hAnsi="Arial" w:cs="Arial"/>
                                <w:b/>
                                <w:bCs/>
                                <w:sz w:val="22"/>
                                <w:szCs w:val="22"/>
                              </w:rPr>
                            </w:pPr>
                            <w:r w:rsidRPr="00507C78">
                              <w:rPr>
                                <w:rFonts w:ascii="Arial" w:hAnsi="Arial" w:cs="Arial"/>
                                <w:b/>
                                <w:bCs/>
                                <w:sz w:val="22"/>
                                <w:szCs w:val="22"/>
                              </w:rPr>
                              <w:t>Barriers to mental health support (Jones et al., 2023)</w:t>
                            </w:r>
                          </w:p>
                          <w:p w14:paraId="35C66E11" w14:textId="77777777" w:rsidR="00507C78" w:rsidRPr="00507C78" w:rsidRDefault="00507C78" w:rsidP="00A31EDE">
                            <w:pPr>
                              <w:numPr>
                                <w:ilvl w:val="0"/>
                                <w:numId w:val="9"/>
                              </w:numPr>
                              <w:rPr>
                                <w:rFonts w:ascii="Arial" w:hAnsi="Arial" w:cs="Arial"/>
                                <w:b/>
                                <w:bCs/>
                                <w:sz w:val="22"/>
                                <w:szCs w:val="22"/>
                              </w:rPr>
                            </w:pPr>
                            <w:r w:rsidRPr="00507C78">
                              <w:rPr>
                                <w:rFonts w:ascii="Arial" w:hAnsi="Arial" w:cs="Arial"/>
                                <w:b/>
                                <w:bCs/>
                                <w:sz w:val="22"/>
                                <w:szCs w:val="22"/>
                              </w:rPr>
                              <w:t>Gaps in culturally competent and trauma</w:t>
                            </w:r>
                            <w:r w:rsidRPr="00507C78">
                              <w:rPr>
                                <w:rFonts w:ascii="Arial" w:hAnsi="Arial" w:cs="Arial"/>
                                <w:b/>
                                <w:bCs/>
                                <w:sz w:val="22"/>
                                <w:szCs w:val="22"/>
                              </w:rPr>
                              <w:noBreakHyphen/>
                              <w:t xml:space="preserve">informed care (WHO, 2024; </w:t>
                            </w:r>
                            <w:proofErr w:type="spellStart"/>
                            <w:r w:rsidRPr="00507C78">
                              <w:rPr>
                                <w:rFonts w:ascii="Arial" w:hAnsi="Arial" w:cs="Arial"/>
                                <w:b/>
                                <w:bCs/>
                                <w:sz w:val="22"/>
                                <w:szCs w:val="22"/>
                              </w:rPr>
                              <w:t>RCPsych</w:t>
                            </w:r>
                            <w:proofErr w:type="spellEnd"/>
                            <w:r w:rsidRPr="00507C78">
                              <w:rPr>
                                <w:rFonts w:ascii="Arial" w:hAnsi="Arial" w:cs="Arial"/>
                                <w:b/>
                                <w:bCs/>
                                <w:sz w:val="22"/>
                                <w:szCs w:val="22"/>
                              </w:rPr>
                              <w:t>, 2024)</w:t>
                            </w:r>
                          </w:p>
                          <w:p w14:paraId="4388FCB3" w14:textId="61A52A95" w:rsidR="00131DA8" w:rsidRPr="00A31EDE" w:rsidRDefault="00131DA8" w:rsidP="00A31EDE">
                            <w:pPr>
                              <w:rPr>
                                <w:rFonts w:ascii="Arial" w:hAnsi="Arial" w:cs="Arial"/>
                                <w:b/>
                                <w:bCs/>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455C5EF" id="Rectangle 1" o:spid="_x0000_s1033" style="position:absolute;margin-left:330.75pt;margin-top:81.45pt;width:423pt;height:383.6pt;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wpzJaQIAACYFAAAOAAAAZHJzL2Uyb0RvYy54bWysVMFu2zAMvQ/YPwi6r7azZOmCOkXQosOA&#10;og3WDj0rslQbkEWNUuJkXz9KdpyiLXYYdrElkXwknx51cblvDdsp9A3YkhdnOWfKSqga+1zyn483&#10;n84580HYShiwquQH5fnl8uOHi84t1ARqMJVCRiDWLzpX8joEt8gyL2vVCn8GTlkyasBWBNric1ah&#10;6Ai9Ndkkz79kHWDlEKTynk6veyNfJnytlQz3WnsVmCk51RbSF9N3E7/Z8kIsnlG4upFDGeIfqmhF&#10;YynpCHUtgmBbbN5AtY1E8KDDmYQ2A60bqVIP1E2Rv+rmoRZOpV6IHO9Gmvz/g5V3uwe3RqKhc37h&#10;aRm72Gts45/qY/tE1mEkS+0Dk3Q4+zyfFDlxKsk2PZ8Xs+ks0pmdwh368E1By+Ki5Ei3kUgSu1sf&#10;etejC8WdCkircDAq1mDsD6VZU1HKSYpO2lBXBtlO0K0KKZUNRW+qRaX642KWU3F9kjEiVZcAI7Ju&#10;jBmxB4Cou7fYPczgH0NVktYYnP+tsD54jEiZwYYxuG0s4HsAhroaMvf+R5J6aiJLYb/ZEzcln0fP&#10;eLKB6rBGhtBL3Tt50xD7t8KHtUDSNt0YzWu4p4820JUchhVnNeDv986jP0mOrJx1NCsl97+2AhVn&#10;5rslMX4tptM4XGkznc0ntMGXls1Li922V0AXV9DL4GRaRv9gjkuN0D7RWK9iVjIJKyl3yWXA4+Yq&#10;9DNMD4NUq1Vyo4FyItzaBycjeOQ5qutx/yTQDRIMpN47OM6VWLxSYu8bIy2stgF0k2R64nW4ARrG&#10;JKXh4YjT/nKfvE7P2/IPAAAA//8DAFBLAwQUAAYACAAAACEA2sck1+EAAAAMAQAADwAAAGRycy9k&#10;b3ducmV2LnhtbEyPTU/DMAyG70j8h8hIXBBLP7TCStNpAg2JE2Igzm7jtdUap2vSrfx7shMc7ffR&#10;68fFeja9ONHoOssK4kUEgri2uuNGwdfn9v4RhPPIGnvLpOCHHKzL66sCc23P/EGnnW9EKGGXo4LW&#10;+yGX0tUtGXQLOxCHbG9Hgz6MYyP1iOdQbnqZRFEmDXYcLrQ40HNL9WE3GQVGH7+r6fVg0+Flc5ce&#10;t/s3TN6Vur2ZN08gPM3+D4aLflCHMjhVdmLtRK8gy+JlQEOQJSsQF2IZPYRVpWCVRjHIspD/nyh/&#10;AQAA//8DAFBLAQItABQABgAIAAAAIQC2gziS/gAAAOEBAAATAAAAAAAAAAAAAAAAAAAAAABbQ29u&#10;dGVudF9UeXBlc10ueG1sUEsBAi0AFAAGAAgAAAAhADj9If/WAAAAlAEAAAsAAAAAAAAAAAAAAAAA&#10;LwEAAF9yZWxzLy5yZWxzUEsBAi0AFAAGAAgAAAAhAMXCnMlpAgAAJgUAAA4AAAAAAAAAAAAAAAAA&#10;LgIAAGRycy9lMm9Eb2MueG1sUEsBAi0AFAAGAAgAAAAhANrHJNfhAAAADAEAAA8AAAAAAAAAAAAA&#10;AAAAwwQAAGRycy9kb3ducmV2LnhtbFBLBQYAAAAABAAEAPMAAADRBQAAAAA=&#10;" fillcolor="#156082 [3204]" strokecolor="#030e13 [484]" strokeweight="1.5pt">
                <v:textbox>
                  <w:txbxContent>
                    <w:p w14:paraId="30B8ACBC" w14:textId="77777777" w:rsidR="00507C78" w:rsidRPr="00507C78" w:rsidRDefault="00507C78" w:rsidP="00A31EDE">
                      <w:pPr>
                        <w:rPr>
                          <w:rFonts w:ascii="Arial" w:hAnsi="Arial" w:cs="Arial"/>
                          <w:b/>
                          <w:bCs/>
                          <w:sz w:val="22"/>
                          <w:szCs w:val="22"/>
                        </w:rPr>
                      </w:pPr>
                      <w:r w:rsidRPr="00507C78">
                        <w:rPr>
                          <w:rFonts w:ascii="Arial" w:hAnsi="Arial" w:cs="Arial"/>
                          <w:b/>
                          <w:bCs/>
                          <w:sz w:val="22"/>
                          <w:szCs w:val="22"/>
                        </w:rPr>
                        <w:t>5. Research Validation &amp; Analysis</w:t>
                      </w:r>
                    </w:p>
                    <w:p w14:paraId="37C766DD" w14:textId="77777777" w:rsidR="00507C78" w:rsidRPr="00507C78" w:rsidRDefault="00507C78" w:rsidP="00A31EDE">
                      <w:pPr>
                        <w:rPr>
                          <w:rFonts w:ascii="Arial" w:hAnsi="Arial" w:cs="Arial"/>
                          <w:b/>
                          <w:bCs/>
                          <w:sz w:val="22"/>
                          <w:szCs w:val="22"/>
                        </w:rPr>
                      </w:pPr>
                      <w:r w:rsidRPr="00507C78">
                        <w:rPr>
                          <w:rFonts w:ascii="Arial" w:hAnsi="Arial" w:cs="Arial"/>
                          <w:b/>
                          <w:bCs/>
                          <w:sz w:val="22"/>
                          <w:szCs w:val="22"/>
                        </w:rPr>
                        <w:t>CRAAP Test</w:t>
                      </w:r>
                    </w:p>
                    <w:p w14:paraId="77C1F975" w14:textId="77777777" w:rsidR="00507C78" w:rsidRPr="00507C78" w:rsidRDefault="00507C78" w:rsidP="00A31EDE">
                      <w:pPr>
                        <w:rPr>
                          <w:rFonts w:ascii="Arial" w:hAnsi="Arial" w:cs="Arial"/>
                          <w:b/>
                          <w:bCs/>
                          <w:sz w:val="22"/>
                          <w:szCs w:val="22"/>
                        </w:rPr>
                      </w:pPr>
                      <w:r w:rsidRPr="00507C78">
                        <w:rPr>
                          <w:rFonts w:ascii="Arial" w:hAnsi="Arial" w:cs="Arial"/>
                          <w:b/>
                          <w:bCs/>
                          <w:sz w:val="22"/>
                          <w:szCs w:val="22"/>
                        </w:rPr>
                        <w:t>Used to assess credibility, relevance, and accuracy of all sources (Ayton, 2024).</w:t>
                      </w:r>
                    </w:p>
                    <w:p w14:paraId="678C0127" w14:textId="77777777" w:rsidR="00507C78" w:rsidRPr="00507C78" w:rsidRDefault="00507C78" w:rsidP="00A31EDE">
                      <w:pPr>
                        <w:numPr>
                          <w:ilvl w:val="0"/>
                          <w:numId w:val="8"/>
                        </w:numPr>
                        <w:rPr>
                          <w:rFonts w:ascii="Arial" w:hAnsi="Arial" w:cs="Arial"/>
                          <w:b/>
                          <w:bCs/>
                          <w:sz w:val="22"/>
                          <w:szCs w:val="22"/>
                        </w:rPr>
                      </w:pPr>
                      <w:r w:rsidRPr="00507C78">
                        <w:rPr>
                          <w:rFonts w:ascii="Arial" w:hAnsi="Arial" w:cs="Arial"/>
                          <w:b/>
                          <w:bCs/>
                          <w:sz w:val="22"/>
                          <w:szCs w:val="22"/>
                        </w:rPr>
                        <w:t>Currency: Prioritised 2014–2025 publications.</w:t>
                      </w:r>
                    </w:p>
                    <w:p w14:paraId="0115148E" w14:textId="77777777" w:rsidR="00507C78" w:rsidRPr="00507C78" w:rsidRDefault="00507C78" w:rsidP="00A31EDE">
                      <w:pPr>
                        <w:numPr>
                          <w:ilvl w:val="0"/>
                          <w:numId w:val="8"/>
                        </w:numPr>
                        <w:rPr>
                          <w:rFonts w:ascii="Arial" w:hAnsi="Arial" w:cs="Arial"/>
                          <w:b/>
                          <w:bCs/>
                          <w:sz w:val="22"/>
                          <w:szCs w:val="22"/>
                        </w:rPr>
                      </w:pPr>
                      <w:r w:rsidRPr="00507C78">
                        <w:rPr>
                          <w:rFonts w:ascii="Arial" w:hAnsi="Arial" w:cs="Arial"/>
                          <w:b/>
                          <w:bCs/>
                          <w:sz w:val="22"/>
                          <w:szCs w:val="22"/>
                        </w:rPr>
                        <w:t>Relevance: Focused on UK mental health outcomes (NHS Digital, 2024).</w:t>
                      </w:r>
                    </w:p>
                    <w:p w14:paraId="20C247D5" w14:textId="77777777" w:rsidR="00507C78" w:rsidRPr="00507C78" w:rsidRDefault="00507C78" w:rsidP="00A31EDE">
                      <w:pPr>
                        <w:numPr>
                          <w:ilvl w:val="0"/>
                          <w:numId w:val="8"/>
                        </w:numPr>
                        <w:rPr>
                          <w:rFonts w:ascii="Arial" w:hAnsi="Arial" w:cs="Arial"/>
                          <w:b/>
                          <w:bCs/>
                          <w:sz w:val="22"/>
                          <w:szCs w:val="22"/>
                        </w:rPr>
                      </w:pPr>
                      <w:r w:rsidRPr="00507C78">
                        <w:rPr>
                          <w:rFonts w:ascii="Arial" w:hAnsi="Arial" w:cs="Arial"/>
                          <w:b/>
                          <w:bCs/>
                          <w:sz w:val="22"/>
                          <w:szCs w:val="22"/>
                        </w:rPr>
                        <w:t>Authority: WHO, NHS England, NIHR, peer</w:t>
                      </w:r>
                      <w:r w:rsidRPr="00507C78">
                        <w:rPr>
                          <w:rFonts w:ascii="Arial" w:hAnsi="Arial" w:cs="Arial"/>
                          <w:b/>
                          <w:bCs/>
                          <w:sz w:val="22"/>
                          <w:szCs w:val="22"/>
                        </w:rPr>
                        <w:noBreakHyphen/>
                        <w:t>reviewed journals.</w:t>
                      </w:r>
                    </w:p>
                    <w:p w14:paraId="584A6B5A" w14:textId="77777777" w:rsidR="00507C78" w:rsidRPr="00507C78" w:rsidRDefault="00507C78" w:rsidP="00A31EDE">
                      <w:pPr>
                        <w:numPr>
                          <w:ilvl w:val="0"/>
                          <w:numId w:val="8"/>
                        </w:numPr>
                        <w:rPr>
                          <w:rFonts w:ascii="Arial" w:hAnsi="Arial" w:cs="Arial"/>
                          <w:b/>
                          <w:bCs/>
                          <w:sz w:val="22"/>
                          <w:szCs w:val="22"/>
                        </w:rPr>
                      </w:pPr>
                      <w:r w:rsidRPr="00507C78">
                        <w:rPr>
                          <w:rFonts w:ascii="Arial" w:hAnsi="Arial" w:cs="Arial"/>
                          <w:b/>
                          <w:bCs/>
                          <w:sz w:val="22"/>
                          <w:szCs w:val="22"/>
                        </w:rPr>
                        <w:t>Accuracy: Cross</w:t>
                      </w:r>
                      <w:r w:rsidRPr="00507C78">
                        <w:rPr>
                          <w:rFonts w:ascii="Arial" w:hAnsi="Arial" w:cs="Arial"/>
                          <w:b/>
                          <w:bCs/>
                          <w:sz w:val="22"/>
                          <w:szCs w:val="22"/>
                        </w:rPr>
                        <w:noBreakHyphen/>
                        <w:t>checked across multiple studies (Nowell et al., 2017).</w:t>
                      </w:r>
                    </w:p>
                    <w:p w14:paraId="3A055125" w14:textId="77777777" w:rsidR="00507C78" w:rsidRPr="00507C78" w:rsidRDefault="00507C78" w:rsidP="00A31EDE">
                      <w:pPr>
                        <w:numPr>
                          <w:ilvl w:val="0"/>
                          <w:numId w:val="8"/>
                        </w:numPr>
                        <w:rPr>
                          <w:rFonts w:ascii="Arial" w:hAnsi="Arial" w:cs="Arial"/>
                          <w:b/>
                          <w:bCs/>
                          <w:sz w:val="22"/>
                          <w:szCs w:val="22"/>
                        </w:rPr>
                      </w:pPr>
                      <w:r w:rsidRPr="00507C78">
                        <w:rPr>
                          <w:rFonts w:ascii="Arial" w:hAnsi="Arial" w:cs="Arial"/>
                          <w:b/>
                          <w:bCs/>
                          <w:sz w:val="22"/>
                          <w:szCs w:val="22"/>
                        </w:rPr>
                        <w:t>Purpose: Identified potential bias in advocacy reports (FORWARD UK, 2024).</w:t>
                      </w:r>
                    </w:p>
                    <w:p w14:paraId="7906DABF" w14:textId="77777777" w:rsidR="00507C78" w:rsidRPr="00507C78" w:rsidRDefault="00507C78" w:rsidP="00A31EDE">
                      <w:pPr>
                        <w:rPr>
                          <w:rFonts w:ascii="Arial" w:hAnsi="Arial" w:cs="Arial"/>
                          <w:b/>
                          <w:bCs/>
                          <w:sz w:val="22"/>
                          <w:szCs w:val="22"/>
                        </w:rPr>
                      </w:pPr>
                      <w:r w:rsidRPr="00507C78">
                        <w:rPr>
                          <w:rFonts w:ascii="Arial" w:hAnsi="Arial" w:cs="Arial"/>
                          <w:b/>
                          <w:bCs/>
                          <w:sz w:val="22"/>
                          <w:szCs w:val="22"/>
                        </w:rPr>
                        <w:t>Thematic Analysis</w:t>
                      </w:r>
                    </w:p>
                    <w:p w14:paraId="1702B738" w14:textId="77777777" w:rsidR="00507C78" w:rsidRPr="00507C78" w:rsidRDefault="00507C78" w:rsidP="00A31EDE">
                      <w:pPr>
                        <w:rPr>
                          <w:rFonts w:ascii="Arial" w:hAnsi="Arial" w:cs="Arial"/>
                          <w:b/>
                          <w:bCs/>
                          <w:sz w:val="22"/>
                          <w:szCs w:val="22"/>
                        </w:rPr>
                      </w:pPr>
                      <w:r w:rsidRPr="00507C78">
                        <w:rPr>
                          <w:rFonts w:ascii="Arial" w:hAnsi="Arial" w:cs="Arial"/>
                          <w:b/>
                          <w:bCs/>
                          <w:sz w:val="22"/>
                          <w:szCs w:val="22"/>
                        </w:rPr>
                        <w:t>Thematic analysis followed Braun &amp; Clarke’s (2006) six</w:t>
                      </w:r>
                      <w:r w:rsidRPr="00507C78">
                        <w:rPr>
                          <w:rFonts w:ascii="Arial" w:hAnsi="Arial" w:cs="Arial"/>
                          <w:b/>
                          <w:bCs/>
                          <w:sz w:val="22"/>
                          <w:szCs w:val="22"/>
                        </w:rPr>
                        <w:noBreakHyphen/>
                        <w:t>phase framework, producing three core themes:</w:t>
                      </w:r>
                    </w:p>
                    <w:p w14:paraId="5E3B8D20" w14:textId="77777777" w:rsidR="00507C78" w:rsidRPr="00507C78" w:rsidRDefault="00507C78" w:rsidP="00A31EDE">
                      <w:pPr>
                        <w:numPr>
                          <w:ilvl w:val="0"/>
                          <w:numId w:val="9"/>
                        </w:numPr>
                        <w:rPr>
                          <w:rFonts w:ascii="Arial" w:hAnsi="Arial" w:cs="Arial"/>
                          <w:b/>
                          <w:bCs/>
                          <w:sz w:val="22"/>
                          <w:szCs w:val="22"/>
                        </w:rPr>
                      </w:pPr>
                      <w:r w:rsidRPr="00507C78">
                        <w:rPr>
                          <w:rFonts w:ascii="Arial" w:hAnsi="Arial" w:cs="Arial"/>
                          <w:b/>
                          <w:bCs/>
                          <w:sz w:val="22"/>
                          <w:szCs w:val="22"/>
                        </w:rPr>
                        <w:t>Psychological consequences (Mulongo et al., 2014)</w:t>
                      </w:r>
                    </w:p>
                    <w:p w14:paraId="2DA1DDCB" w14:textId="77777777" w:rsidR="00507C78" w:rsidRPr="00507C78" w:rsidRDefault="00507C78" w:rsidP="00A31EDE">
                      <w:pPr>
                        <w:numPr>
                          <w:ilvl w:val="0"/>
                          <w:numId w:val="9"/>
                        </w:numPr>
                        <w:rPr>
                          <w:rFonts w:ascii="Arial" w:hAnsi="Arial" w:cs="Arial"/>
                          <w:b/>
                          <w:bCs/>
                          <w:sz w:val="22"/>
                          <w:szCs w:val="22"/>
                        </w:rPr>
                      </w:pPr>
                      <w:r w:rsidRPr="00507C78">
                        <w:rPr>
                          <w:rFonts w:ascii="Arial" w:hAnsi="Arial" w:cs="Arial"/>
                          <w:b/>
                          <w:bCs/>
                          <w:sz w:val="22"/>
                          <w:szCs w:val="22"/>
                        </w:rPr>
                        <w:t>Barriers to mental health support (Jones et al., 2023)</w:t>
                      </w:r>
                    </w:p>
                    <w:p w14:paraId="35C66E11" w14:textId="77777777" w:rsidR="00507C78" w:rsidRPr="00507C78" w:rsidRDefault="00507C78" w:rsidP="00A31EDE">
                      <w:pPr>
                        <w:numPr>
                          <w:ilvl w:val="0"/>
                          <w:numId w:val="9"/>
                        </w:numPr>
                        <w:rPr>
                          <w:rFonts w:ascii="Arial" w:hAnsi="Arial" w:cs="Arial"/>
                          <w:b/>
                          <w:bCs/>
                          <w:sz w:val="22"/>
                          <w:szCs w:val="22"/>
                        </w:rPr>
                      </w:pPr>
                      <w:r w:rsidRPr="00507C78">
                        <w:rPr>
                          <w:rFonts w:ascii="Arial" w:hAnsi="Arial" w:cs="Arial"/>
                          <w:b/>
                          <w:bCs/>
                          <w:sz w:val="22"/>
                          <w:szCs w:val="22"/>
                        </w:rPr>
                        <w:t>Gaps in culturally competent and trauma</w:t>
                      </w:r>
                      <w:r w:rsidRPr="00507C78">
                        <w:rPr>
                          <w:rFonts w:ascii="Arial" w:hAnsi="Arial" w:cs="Arial"/>
                          <w:b/>
                          <w:bCs/>
                          <w:sz w:val="22"/>
                          <w:szCs w:val="22"/>
                        </w:rPr>
                        <w:noBreakHyphen/>
                        <w:t xml:space="preserve">informed care (WHO, 2024; </w:t>
                      </w:r>
                      <w:proofErr w:type="spellStart"/>
                      <w:r w:rsidRPr="00507C78">
                        <w:rPr>
                          <w:rFonts w:ascii="Arial" w:hAnsi="Arial" w:cs="Arial"/>
                          <w:b/>
                          <w:bCs/>
                          <w:sz w:val="22"/>
                          <w:szCs w:val="22"/>
                        </w:rPr>
                        <w:t>RCPsych</w:t>
                      </w:r>
                      <w:proofErr w:type="spellEnd"/>
                      <w:r w:rsidRPr="00507C78">
                        <w:rPr>
                          <w:rFonts w:ascii="Arial" w:hAnsi="Arial" w:cs="Arial"/>
                          <w:b/>
                          <w:bCs/>
                          <w:sz w:val="22"/>
                          <w:szCs w:val="22"/>
                        </w:rPr>
                        <w:t>, 2024)</w:t>
                      </w:r>
                    </w:p>
                    <w:p w14:paraId="4388FCB3" w14:textId="61A52A95" w:rsidR="00131DA8" w:rsidRPr="00A31EDE" w:rsidRDefault="00131DA8" w:rsidP="00A31EDE">
                      <w:pPr>
                        <w:rPr>
                          <w:rFonts w:ascii="Arial" w:hAnsi="Arial" w:cs="Arial"/>
                          <w:b/>
                          <w:bCs/>
                        </w:rPr>
                      </w:pPr>
                    </w:p>
                  </w:txbxContent>
                </v:textbox>
                <w10:wrap anchorx="margin"/>
              </v:rect>
            </w:pict>
          </mc:Fallback>
        </mc:AlternateContent>
      </w:r>
      <w:r w:rsidR="00880E33">
        <w:rPr>
          <w:b/>
          <w:noProof/>
          <w:color w:val="0F9ED5" w:themeColor="accent4"/>
        </w:rPr>
        <mc:AlternateContent>
          <mc:Choice Requires="wps">
            <w:drawing>
              <wp:anchor distT="0" distB="0" distL="114300" distR="114300" simplePos="0" relativeHeight="251672576" behindDoc="0" locked="0" layoutInCell="1" allowOverlap="1" wp14:anchorId="37F81976" wp14:editId="7858C9BC">
                <wp:simplePos x="0" y="0"/>
                <wp:positionH relativeFrom="margin">
                  <wp:posOffset>-742950</wp:posOffset>
                </wp:positionH>
                <wp:positionV relativeFrom="paragraph">
                  <wp:posOffset>2901315</wp:posOffset>
                </wp:positionV>
                <wp:extent cx="4876800" cy="4114800"/>
                <wp:effectExtent l="0" t="0" r="19050" b="19050"/>
                <wp:wrapNone/>
                <wp:docPr id="1209195889" name="Rectangle 2"/>
                <wp:cNvGraphicFramePr/>
                <a:graphic xmlns:a="http://schemas.openxmlformats.org/drawingml/2006/main">
                  <a:graphicData uri="http://schemas.microsoft.com/office/word/2010/wordprocessingShape">
                    <wps:wsp>
                      <wps:cNvSpPr/>
                      <wps:spPr>
                        <a:xfrm>
                          <a:off x="0" y="0"/>
                          <a:ext cx="4876800" cy="4114800"/>
                        </a:xfrm>
                        <a:prstGeom prst="rect">
                          <a:avLst/>
                        </a:prstGeom>
                      </wps:spPr>
                      <wps:style>
                        <a:lnRef idx="2">
                          <a:schemeClr val="accent1">
                            <a:shade val="15000"/>
                          </a:schemeClr>
                        </a:lnRef>
                        <a:fillRef idx="1">
                          <a:schemeClr val="accent1"/>
                        </a:fillRef>
                        <a:effectRef idx="0">
                          <a:schemeClr val="accent1"/>
                        </a:effectRef>
                        <a:fontRef idx="minor">
                          <a:schemeClr val="lt1"/>
                        </a:fontRef>
                      </wps:style>
                      <wps:txbx>
                        <w:txbxContent>
                          <w:p w14:paraId="1D1944C1" w14:textId="77777777" w:rsidR="00E34FF8" w:rsidRPr="00C34D62" w:rsidRDefault="00E34FF8" w:rsidP="00E34FF8">
                            <w:pPr>
                              <w:rPr>
                                <w:b/>
                                <w:bCs/>
                                <w:color w:val="FFFFFF" w:themeColor="background1"/>
                                <w:sz w:val="22"/>
                                <w:szCs w:val="22"/>
                              </w:rPr>
                            </w:pPr>
                            <w:r w:rsidRPr="00C34D62">
                              <w:rPr>
                                <w:b/>
                                <w:bCs/>
                                <w:color w:val="FFFFFF" w:themeColor="background1"/>
                                <w:sz w:val="22"/>
                                <w:szCs w:val="22"/>
                              </w:rPr>
                              <w:t>3. Searching for Information (Step</w:t>
                            </w:r>
                            <w:r w:rsidRPr="00C34D62">
                              <w:rPr>
                                <w:rFonts w:ascii="Cambria Math" w:hAnsi="Cambria Math" w:cs="Cambria Math"/>
                                <w:b/>
                                <w:bCs/>
                                <w:color w:val="FFFFFF" w:themeColor="background1"/>
                                <w:sz w:val="22"/>
                                <w:szCs w:val="22"/>
                              </w:rPr>
                              <w:t>‑</w:t>
                            </w:r>
                            <w:r w:rsidRPr="00C34D62">
                              <w:rPr>
                                <w:b/>
                                <w:bCs/>
                                <w:color w:val="FFFFFF" w:themeColor="background1"/>
                                <w:sz w:val="22"/>
                                <w:szCs w:val="22"/>
                              </w:rPr>
                              <w:t>by</w:t>
                            </w:r>
                            <w:r w:rsidRPr="00C34D62">
                              <w:rPr>
                                <w:rFonts w:ascii="Cambria Math" w:hAnsi="Cambria Math" w:cs="Cambria Math"/>
                                <w:b/>
                                <w:bCs/>
                                <w:color w:val="FFFFFF" w:themeColor="background1"/>
                                <w:sz w:val="22"/>
                                <w:szCs w:val="22"/>
                              </w:rPr>
                              <w:t>‑</w:t>
                            </w:r>
                            <w:r w:rsidRPr="00C34D62">
                              <w:rPr>
                                <w:b/>
                                <w:bCs/>
                                <w:color w:val="FFFFFF" w:themeColor="background1"/>
                                <w:sz w:val="22"/>
                                <w:szCs w:val="22"/>
                              </w:rPr>
                              <w:t>Step Process)</w:t>
                            </w:r>
                          </w:p>
                          <w:p w14:paraId="6D6F7142" w14:textId="77777777" w:rsidR="00E34FF8" w:rsidRPr="00C34D62" w:rsidRDefault="00E34FF8" w:rsidP="00E34FF8">
                            <w:pPr>
                              <w:rPr>
                                <w:b/>
                                <w:bCs/>
                                <w:color w:val="FFFFFF" w:themeColor="background1"/>
                                <w:sz w:val="22"/>
                                <w:szCs w:val="22"/>
                              </w:rPr>
                            </w:pPr>
                            <w:r w:rsidRPr="00C34D62">
                              <w:rPr>
                                <w:b/>
                                <w:bCs/>
                                <w:color w:val="FFFFFF" w:themeColor="background1"/>
                                <w:sz w:val="22"/>
                                <w:szCs w:val="22"/>
                              </w:rPr>
                              <w:t xml:space="preserve">Step 1: Identify Keywords &amp; Boolean Operators  </w:t>
                            </w:r>
                          </w:p>
                          <w:p w14:paraId="58887649" w14:textId="2FF332A9" w:rsidR="00E34FF8" w:rsidRPr="00C34D62" w:rsidRDefault="00E34FF8" w:rsidP="00E34FF8">
                            <w:pPr>
                              <w:rPr>
                                <w:color w:val="FFFFFF" w:themeColor="background1"/>
                                <w:sz w:val="22"/>
                                <w:szCs w:val="22"/>
                              </w:rPr>
                            </w:pPr>
                            <w:r w:rsidRPr="00C34D62">
                              <w:rPr>
                                <w:color w:val="FFFFFF" w:themeColor="background1"/>
                                <w:sz w:val="22"/>
                                <w:szCs w:val="22"/>
                              </w:rPr>
                              <w:t>Keywords were developed based on core concepts in the literature (Braun &amp; Clarke, 2006; Nowell et al., 2017).</w:t>
                            </w:r>
                          </w:p>
                          <w:p w14:paraId="062EA597" w14:textId="77777777" w:rsidR="00E34FF8" w:rsidRPr="00C34D62" w:rsidRDefault="00E34FF8" w:rsidP="00E34FF8">
                            <w:pPr>
                              <w:rPr>
                                <w:b/>
                                <w:bCs/>
                                <w:color w:val="FFFFFF" w:themeColor="background1"/>
                                <w:sz w:val="22"/>
                                <w:szCs w:val="22"/>
                              </w:rPr>
                            </w:pPr>
                            <w:r w:rsidRPr="00C34D62">
                              <w:rPr>
                                <w:b/>
                                <w:bCs/>
                                <w:color w:val="FFFFFF" w:themeColor="background1"/>
                                <w:sz w:val="22"/>
                                <w:szCs w:val="22"/>
                              </w:rPr>
                              <w:t xml:space="preserve">Step 2: Select Databases  </w:t>
                            </w:r>
                          </w:p>
                          <w:p w14:paraId="1B395B28" w14:textId="45986626" w:rsidR="00E34FF8" w:rsidRPr="00C34D62" w:rsidRDefault="00E34FF8" w:rsidP="00E34FF8">
                            <w:pPr>
                              <w:rPr>
                                <w:color w:val="FFFFFF" w:themeColor="background1"/>
                                <w:sz w:val="22"/>
                                <w:szCs w:val="22"/>
                              </w:rPr>
                            </w:pPr>
                            <w:r w:rsidRPr="00C34D62">
                              <w:rPr>
                                <w:color w:val="FFFFFF" w:themeColor="background1"/>
                                <w:sz w:val="22"/>
                                <w:szCs w:val="22"/>
                              </w:rPr>
                              <w:t>PubMed, CINAHL, PsycINFO, Google Scholar, NHS Digital, NIHR Journals Library.</w:t>
                            </w:r>
                          </w:p>
                          <w:p w14:paraId="026ACDE6" w14:textId="77777777" w:rsidR="00E34FF8" w:rsidRPr="00C34D62" w:rsidRDefault="00E34FF8" w:rsidP="00E34FF8">
                            <w:pPr>
                              <w:rPr>
                                <w:b/>
                                <w:bCs/>
                                <w:color w:val="FFFFFF" w:themeColor="background1"/>
                                <w:sz w:val="22"/>
                                <w:szCs w:val="22"/>
                              </w:rPr>
                            </w:pPr>
                            <w:r w:rsidRPr="00C34D62">
                              <w:rPr>
                                <w:b/>
                                <w:bCs/>
                                <w:color w:val="FFFFFF" w:themeColor="background1"/>
                                <w:sz w:val="22"/>
                                <w:szCs w:val="22"/>
                              </w:rPr>
                              <w:t xml:space="preserve">Step 3: Apply Filters  </w:t>
                            </w:r>
                          </w:p>
                          <w:p w14:paraId="2DF1B6A4" w14:textId="5E5CBF3E" w:rsidR="00E34FF8" w:rsidRPr="00C34D62" w:rsidRDefault="00E34FF8" w:rsidP="00E34FF8">
                            <w:pPr>
                              <w:rPr>
                                <w:color w:val="FFFFFF" w:themeColor="background1"/>
                                <w:sz w:val="22"/>
                                <w:szCs w:val="22"/>
                              </w:rPr>
                            </w:pPr>
                            <w:r w:rsidRPr="00C34D62">
                              <w:rPr>
                                <w:color w:val="FFFFFF" w:themeColor="background1"/>
                                <w:sz w:val="22"/>
                                <w:szCs w:val="22"/>
                              </w:rPr>
                              <w:t>Filters ensured relevance, credibility, and recency (CRAAP criteria) (Ayton, 2024).</w:t>
                            </w:r>
                          </w:p>
                          <w:p w14:paraId="2CF88A85" w14:textId="77777777" w:rsidR="00E34FF8" w:rsidRPr="00C34D62" w:rsidRDefault="00E34FF8" w:rsidP="00E34FF8">
                            <w:pPr>
                              <w:rPr>
                                <w:b/>
                                <w:bCs/>
                                <w:color w:val="FFFFFF" w:themeColor="background1"/>
                                <w:sz w:val="22"/>
                                <w:szCs w:val="22"/>
                              </w:rPr>
                            </w:pPr>
                            <w:r w:rsidRPr="00C34D62">
                              <w:rPr>
                                <w:b/>
                                <w:bCs/>
                                <w:color w:val="FFFFFF" w:themeColor="background1"/>
                                <w:sz w:val="22"/>
                                <w:szCs w:val="22"/>
                              </w:rPr>
                              <w:t xml:space="preserve">Step 4: Screen Titles &amp; Abstracts  </w:t>
                            </w:r>
                          </w:p>
                          <w:p w14:paraId="14700C33" w14:textId="77FB4F54" w:rsidR="00E34FF8" w:rsidRPr="00C34D62" w:rsidRDefault="00E34FF8" w:rsidP="00E34FF8">
                            <w:pPr>
                              <w:rPr>
                                <w:color w:val="FFFFFF" w:themeColor="background1"/>
                                <w:sz w:val="22"/>
                                <w:szCs w:val="22"/>
                              </w:rPr>
                            </w:pPr>
                            <w:r w:rsidRPr="00C34D62">
                              <w:rPr>
                                <w:color w:val="FFFFFF" w:themeColor="background1"/>
                                <w:sz w:val="22"/>
                                <w:szCs w:val="22"/>
                              </w:rPr>
                              <w:t>~250 initial results → 75 shortlisted → 42 included after full</w:t>
                            </w:r>
                            <w:r w:rsidRPr="00C34D62">
                              <w:rPr>
                                <w:rFonts w:ascii="Cambria Math" w:hAnsi="Cambria Math" w:cs="Cambria Math"/>
                                <w:color w:val="FFFFFF" w:themeColor="background1"/>
                                <w:sz w:val="22"/>
                                <w:szCs w:val="22"/>
                              </w:rPr>
                              <w:t>‑</w:t>
                            </w:r>
                            <w:r w:rsidRPr="00C34D62">
                              <w:rPr>
                                <w:color w:val="FFFFFF" w:themeColor="background1"/>
                                <w:sz w:val="22"/>
                                <w:szCs w:val="22"/>
                              </w:rPr>
                              <w:t>text review.</w:t>
                            </w:r>
                          </w:p>
                          <w:p w14:paraId="2990CA42" w14:textId="77777777" w:rsidR="00E34FF8" w:rsidRPr="00C34D62" w:rsidRDefault="00E34FF8" w:rsidP="00E34FF8">
                            <w:pPr>
                              <w:rPr>
                                <w:b/>
                                <w:bCs/>
                                <w:color w:val="FFFFFF" w:themeColor="background1"/>
                                <w:sz w:val="22"/>
                                <w:szCs w:val="22"/>
                              </w:rPr>
                            </w:pPr>
                            <w:r w:rsidRPr="00C34D62">
                              <w:rPr>
                                <w:b/>
                                <w:bCs/>
                                <w:color w:val="FFFFFF" w:themeColor="background1"/>
                                <w:sz w:val="22"/>
                                <w:szCs w:val="22"/>
                              </w:rPr>
                              <w:t xml:space="preserve">Step 5: Extract &amp; Organise Data  </w:t>
                            </w:r>
                          </w:p>
                          <w:p w14:paraId="7D99C90C" w14:textId="32AC15A0" w:rsidR="00A038E2" w:rsidRPr="00C34D62" w:rsidRDefault="00E34FF8" w:rsidP="00E34FF8">
                            <w:pPr>
                              <w:rPr>
                                <w:color w:val="FFFFFF" w:themeColor="background1"/>
                                <w:sz w:val="22"/>
                                <w:szCs w:val="22"/>
                              </w:rPr>
                            </w:pPr>
                            <w:r w:rsidRPr="00C34D62">
                              <w:rPr>
                                <w:color w:val="FFFFFF" w:themeColor="background1"/>
                                <w:sz w:val="22"/>
                                <w:szCs w:val="22"/>
                              </w:rPr>
                              <w:t>Sources were logged and coded using thematic analysis (Braun &amp; Clarke, 2006).</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7F81976" id="_x0000_s1034" style="position:absolute;margin-left:-58.5pt;margin-top:228.45pt;width:384pt;height:324pt;z-index:25167257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96zIZQIAACYFAAAOAAAAZHJzL2Uyb0RvYy54bWysVFFP2zAQfp+0/2D5fSSpCnQVKapATJMQ&#10;oMHEs+vYJJLj885uk+7X7+ykKQK0h2kvydl39/nu83e+uOxbw3YKfQO25MVJzpmyEqrGvpT859PN&#10;lwVnPghbCQNWlXyvPL9cff500bmlmkENplLICMT6ZedKXofgllnmZa1a4U/AKUtODdiKQEt8ySoU&#10;HaG3Jpvl+VnWAVYOQSrvafd6cPJVwtdayXCvtVeBmZJTbSF9MX038ZutLsTyBYWrGzmWIf6hilY0&#10;lg6doK5FEGyLzTuotpEIHnQ4kdBmoHUjVeqBuinyN9081sKp1AuR491Ek/9/sPJu9+gekGjonF96&#10;MmMXvcY2/qk+1iey9hNZqg9M0uZ8cX62yIlTSb55UczjgnCyY7pDH74paFk0So50G4kksbv1YQg9&#10;hFDesYBkhb1RsQZjfyjNmoqOnKXspA11ZZDtBN2qkFLZUAyuWlRq2C5O86meKSNVlwAjsm6MmbBH&#10;gKi799hDrWN8TFVJWlNy/rfChuQpI50MNkzJbWMBPwIw1NV48hB/IGmgJrIU+k1P3JR8ESPjzgaq&#10;/QMyhEHq3smbhti/FT48CCRt043RvIZ7+mgDXclhtDirAX9/tB/jSXLk5ayjWSm5/7UVqDgz3y2J&#10;8Wsxn8fhSov56fmMFvjas3ntsdv2CujiCnoZnExmjA/mYGqE9pnGeh1PJZewks4uuQx4WFyFYYbp&#10;YZBqvU5hNFBOhFv76GQEjzxHdT31zwLdKMFA6r2Dw1yJ5RslDrEx08J6G0A3SaZHXscboGFMUhof&#10;jjjtr9cp6vi8rf4AAAD//wMAUEsDBBQABgAIAAAAIQCpKlPl4wAAAA0BAAAPAAAAZHJzL2Rvd25y&#10;ZXYueG1sTI9NT8MwDIbvSPyHyEhc0JZ2H4WVptMEGhInxECc3SZrqzVO16Rb+ffzTnC0/ej182br&#10;0bbiZHrfOFIQTyMQhkqnG6oUfH9tJ08gfEDS2DoyCn6Nh3V+e5Nhqt2ZPs1pFyrBIeRTVFCH0KVS&#10;+rI2Fv3UdYb4tne9xcBjX0nd45nDbStnUZRIiw3xhxo781Kb8rAbrAKrjz/F8HZw8+518zA/bvfv&#10;OPtQ6v5u3DyDCGYMfzBc9VkdcnYq3EDai1bBJI4fuUxQsFgmKxCMJMuYNwWzcbRYgcwz+b9FfgEA&#10;AP//AwBQSwECLQAUAAYACAAAACEAtoM4kv4AAADhAQAAEwAAAAAAAAAAAAAAAAAAAAAAW0NvbnRl&#10;bnRfVHlwZXNdLnhtbFBLAQItABQABgAIAAAAIQA4/SH/1gAAAJQBAAALAAAAAAAAAAAAAAAAAC8B&#10;AABfcmVscy8ucmVsc1BLAQItABQABgAIAAAAIQDi96zIZQIAACYFAAAOAAAAAAAAAAAAAAAAAC4C&#10;AABkcnMvZTJvRG9jLnhtbFBLAQItABQABgAIAAAAIQCpKlPl4wAAAA0BAAAPAAAAAAAAAAAAAAAA&#10;AL8EAABkcnMvZG93bnJldi54bWxQSwUGAAAAAAQABADzAAAAzwUAAAAA&#10;" fillcolor="#156082 [3204]" strokecolor="#030e13 [484]" strokeweight="1.5pt">
                <v:textbox>
                  <w:txbxContent>
                    <w:p w14:paraId="1D1944C1" w14:textId="77777777" w:rsidR="00E34FF8" w:rsidRPr="00C34D62" w:rsidRDefault="00E34FF8" w:rsidP="00E34FF8">
                      <w:pPr>
                        <w:rPr>
                          <w:b/>
                          <w:bCs/>
                          <w:color w:val="FFFFFF" w:themeColor="background1"/>
                          <w:sz w:val="22"/>
                          <w:szCs w:val="22"/>
                        </w:rPr>
                      </w:pPr>
                      <w:r w:rsidRPr="00C34D62">
                        <w:rPr>
                          <w:b/>
                          <w:bCs/>
                          <w:color w:val="FFFFFF" w:themeColor="background1"/>
                          <w:sz w:val="22"/>
                          <w:szCs w:val="22"/>
                        </w:rPr>
                        <w:t>3. Searching for Information (Step</w:t>
                      </w:r>
                      <w:r w:rsidRPr="00C34D62">
                        <w:rPr>
                          <w:rFonts w:ascii="Cambria Math" w:hAnsi="Cambria Math" w:cs="Cambria Math"/>
                          <w:b/>
                          <w:bCs/>
                          <w:color w:val="FFFFFF" w:themeColor="background1"/>
                          <w:sz w:val="22"/>
                          <w:szCs w:val="22"/>
                        </w:rPr>
                        <w:t>‑</w:t>
                      </w:r>
                      <w:r w:rsidRPr="00C34D62">
                        <w:rPr>
                          <w:b/>
                          <w:bCs/>
                          <w:color w:val="FFFFFF" w:themeColor="background1"/>
                          <w:sz w:val="22"/>
                          <w:szCs w:val="22"/>
                        </w:rPr>
                        <w:t>by</w:t>
                      </w:r>
                      <w:r w:rsidRPr="00C34D62">
                        <w:rPr>
                          <w:rFonts w:ascii="Cambria Math" w:hAnsi="Cambria Math" w:cs="Cambria Math"/>
                          <w:b/>
                          <w:bCs/>
                          <w:color w:val="FFFFFF" w:themeColor="background1"/>
                          <w:sz w:val="22"/>
                          <w:szCs w:val="22"/>
                        </w:rPr>
                        <w:t>‑</w:t>
                      </w:r>
                      <w:r w:rsidRPr="00C34D62">
                        <w:rPr>
                          <w:b/>
                          <w:bCs/>
                          <w:color w:val="FFFFFF" w:themeColor="background1"/>
                          <w:sz w:val="22"/>
                          <w:szCs w:val="22"/>
                        </w:rPr>
                        <w:t>Step Process)</w:t>
                      </w:r>
                    </w:p>
                    <w:p w14:paraId="6D6F7142" w14:textId="77777777" w:rsidR="00E34FF8" w:rsidRPr="00C34D62" w:rsidRDefault="00E34FF8" w:rsidP="00E34FF8">
                      <w:pPr>
                        <w:rPr>
                          <w:b/>
                          <w:bCs/>
                          <w:color w:val="FFFFFF" w:themeColor="background1"/>
                          <w:sz w:val="22"/>
                          <w:szCs w:val="22"/>
                        </w:rPr>
                      </w:pPr>
                      <w:r w:rsidRPr="00C34D62">
                        <w:rPr>
                          <w:b/>
                          <w:bCs/>
                          <w:color w:val="FFFFFF" w:themeColor="background1"/>
                          <w:sz w:val="22"/>
                          <w:szCs w:val="22"/>
                        </w:rPr>
                        <w:t xml:space="preserve">Step 1: Identify Keywords &amp; Boolean Operators  </w:t>
                      </w:r>
                    </w:p>
                    <w:p w14:paraId="58887649" w14:textId="2FF332A9" w:rsidR="00E34FF8" w:rsidRPr="00C34D62" w:rsidRDefault="00E34FF8" w:rsidP="00E34FF8">
                      <w:pPr>
                        <w:rPr>
                          <w:color w:val="FFFFFF" w:themeColor="background1"/>
                          <w:sz w:val="22"/>
                          <w:szCs w:val="22"/>
                        </w:rPr>
                      </w:pPr>
                      <w:r w:rsidRPr="00C34D62">
                        <w:rPr>
                          <w:color w:val="FFFFFF" w:themeColor="background1"/>
                          <w:sz w:val="22"/>
                          <w:szCs w:val="22"/>
                        </w:rPr>
                        <w:t>Keywords were developed based on core concepts in the literature (Braun &amp; Clarke, 2006; Nowell et al., 2017).</w:t>
                      </w:r>
                    </w:p>
                    <w:p w14:paraId="062EA597" w14:textId="77777777" w:rsidR="00E34FF8" w:rsidRPr="00C34D62" w:rsidRDefault="00E34FF8" w:rsidP="00E34FF8">
                      <w:pPr>
                        <w:rPr>
                          <w:b/>
                          <w:bCs/>
                          <w:color w:val="FFFFFF" w:themeColor="background1"/>
                          <w:sz w:val="22"/>
                          <w:szCs w:val="22"/>
                        </w:rPr>
                      </w:pPr>
                      <w:r w:rsidRPr="00C34D62">
                        <w:rPr>
                          <w:b/>
                          <w:bCs/>
                          <w:color w:val="FFFFFF" w:themeColor="background1"/>
                          <w:sz w:val="22"/>
                          <w:szCs w:val="22"/>
                        </w:rPr>
                        <w:t xml:space="preserve">Step 2: Select Databases  </w:t>
                      </w:r>
                    </w:p>
                    <w:p w14:paraId="1B395B28" w14:textId="45986626" w:rsidR="00E34FF8" w:rsidRPr="00C34D62" w:rsidRDefault="00E34FF8" w:rsidP="00E34FF8">
                      <w:pPr>
                        <w:rPr>
                          <w:color w:val="FFFFFF" w:themeColor="background1"/>
                          <w:sz w:val="22"/>
                          <w:szCs w:val="22"/>
                        </w:rPr>
                      </w:pPr>
                      <w:r w:rsidRPr="00C34D62">
                        <w:rPr>
                          <w:color w:val="FFFFFF" w:themeColor="background1"/>
                          <w:sz w:val="22"/>
                          <w:szCs w:val="22"/>
                        </w:rPr>
                        <w:t>PubMed, CINAHL, PsycINFO, Google Scholar, NHS Digital, NIHR Journals Library.</w:t>
                      </w:r>
                    </w:p>
                    <w:p w14:paraId="026ACDE6" w14:textId="77777777" w:rsidR="00E34FF8" w:rsidRPr="00C34D62" w:rsidRDefault="00E34FF8" w:rsidP="00E34FF8">
                      <w:pPr>
                        <w:rPr>
                          <w:b/>
                          <w:bCs/>
                          <w:color w:val="FFFFFF" w:themeColor="background1"/>
                          <w:sz w:val="22"/>
                          <w:szCs w:val="22"/>
                        </w:rPr>
                      </w:pPr>
                      <w:r w:rsidRPr="00C34D62">
                        <w:rPr>
                          <w:b/>
                          <w:bCs/>
                          <w:color w:val="FFFFFF" w:themeColor="background1"/>
                          <w:sz w:val="22"/>
                          <w:szCs w:val="22"/>
                        </w:rPr>
                        <w:t xml:space="preserve">Step 3: Apply Filters  </w:t>
                      </w:r>
                    </w:p>
                    <w:p w14:paraId="2DF1B6A4" w14:textId="5E5CBF3E" w:rsidR="00E34FF8" w:rsidRPr="00C34D62" w:rsidRDefault="00E34FF8" w:rsidP="00E34FF8">
                      <w:pPr>
                        <w:rPr>
                          <w:color w:val="FFFFFF" w:themeColor="background1"/>
                          <w:sz w:val="22"/>
                          <w:szCs w:val="22"/>
                        </w:rPr>
                      </w:pPr>
                      <w:r w:rsidRPr="00C34D62">
                        <w:rPr>
                          <w:color w:val="FFFFFF" w:themeColor="background1"/>
                          <w:sz w:val="22"/>
                          <w:szCs w:val="22"/>
                        </w:rPr>
                        <w:t>Filters ensured relevance, credibility, and recency (CRAAP criteria) (Ayton, 2024).</w:t>
                      </w:r>
                    </w:p>
                    <w:p w14:paraId="2CF88A85" w14:textId="77777777" w:rsidR="00E34FF8" w:rsidRPr="00C34D62" w:rsidRDefault="00E34FF8" w:rsidP="00E34FF8">
                      <w:pPr>
                        <w:rPr>
                          <w:b/>
                          <w:bCs/>
                          <w:color w:val="FFFFFF" w:themeColor="background1"/>
                          <w:sz w:val="22"/>
                          <w:szCs w:val="22"/>
                        </w:rPr>
                      </w:pPr>
                      <w:r w:rsidRPr="00C34D62">
                        <w:rPr>
                          <w:b/>
                          <w:bCs/>
                          <w:color w:val="FFFFFF" w:themeColor="background1"/>
                          <w:sz w:val="22"/>
                          <w:szCs w:val="22"/>
                        </w:rPr>
                        <w:t xml:space="preserve">Step 4: Screen Titles &amp; Abstracts  </w:t>
                      </w:r>
                    </w:p>
                    <w:p w14:paraId="14700C33" w14:textId="77FB4F54" w:rsidR="00E34FF8" w:rsidRPr="00C34D62" w:rsidRDefault="00E34FF8" w:rsidP="00E34FF8">
                      <w:pPr>
                        <w:rPr>
                          <w:color w:val="FFFFFF" w:themeColor="background1"/>
                          <w:sz w:val="22"/>
                          <w:szCs w:val="22"/>
                        </w:rPr>
                      </w:pPr>
                      <w:r w:rsidRPr="00C34D62">
                        <w:rPr>
                          <w:color w:val="FFFFFF" w:themeColor="background1"/>
                          <w:sz w:val="22"/>
                          <w:szCs w:val="22"/>
                        </w:rPr>
                        <w:t>~250 initial results → 75 shortlisted → 42 included after full</w:t>
                      </w:r>
                      <w:r w:rsidRPr="00C34D62">
                        <w:rPr>
                          <w:rFonts w:ascii="Cambria Math" w:hAnsi="Cambria Math" w:cs="Cambria Math"/>
                          <w:color w:val="FFFFFF" w:themeColor="background1"/>
                          <w:sz w:val="22"/>
                          <w:szCs w:val="22"/>
                        </w:rPr>
                        <w:t>‑</w:t>
                      </w:r>
                      <w:r w:rsidRPr="00C34D62">
                        <w:rPr>
                          <w:color w:val="FFFFFF" w:themeColor="background1"/>
                          <w:sz w:val="22"/>
                          <w:szCs w:val="22"/>
                        </w:rPr>
                        <w:t>text review.</w:t>
                      </w:r>
                    </w:p>
                    <w:p w14:paraId="2990CA42" w14:textId="77777777" w:rsidR="00E34FF8" w:rsidRPr="00C34D62" w:rsidRDefault="00E34FF8" w:rsidP="00E34FF8">
                      <w:pPr>
                        <w:rPr>
                          <w:b/>
                          <w:bCs/>
                          <w:color w:val="FFFFFF" w:themeColor="background1"/>
                          <w:sz w:val="22"/>
                          <w:szCs w:val="22"/>
                        </w:rPr>
                      </w:pPr>
                      <w:r w:rsidRPr="00C34D62">
                        <w:rPr>
                          <w:b/>
                          <w:bCs/>
                          <w:color w:val="FFFFFF" w:themeColor="background1"/>
                          <w:sz w:val="22"/>
                          <w:szCs w:val="22"/>
                        </w:rPr>
                        <w:t xml:space="preserve">Step 5: Extract &amp; Organise Data  </w:t>
                      </w:r>
                    </w:p>
                    <w:p w14:paraId="7D99C90C" w14:textId="32AC15A0" w:rsidR="00A038E2" w:rsidRPr="00C34D62" w:rsidRDefault="00E34FF8" w:rsidP="00E34FF8">
                      <w:pPr>
                        <w:rPr>
                          <w:color w:val="FFFFFF" w:themeColor="background1"/>
                          <w:sz w:val="22"/>
                          <w:szCs w:val="22"/>
                        </w:rPr>
                      </w:pPr>
                      <w:r w:rsidRPr="00C34D62">
                        <w:rPr>
                          <w:color w:val="FFFFFF" w:themeColor="background1"/>
                          <w:sz w:val="22"/>
                          <w:szCs w:val="22"/>
                        </w:rPr>
                        <w:t>Sources were logged and coded using thematic analysis (Braun &amp; Clarke, 2006).</w:t>
                      </w:r>
                    </w:p>
                  </w:txbxContent>
                </v:textbox>
                <w10:wrap anchorx="margin"/>
              </v:rect>
            </w:pict>
          </mc:Fallback>
        </mc:AlternateContent>
      </w:r>
      <w:r w:rsidR="00880E33">
        <w:rPr>
          <w:b/>
          <w:noProof/>
          <w:color w:val="0F9ED5" w:themeColor="accent4"/>
        </w:rPr>
        <mc:AlternateContent>
          <mc:Choice Requires="wps">
            <w:drawing>
              <wp:anchor distT="0" distB="0" distL="114300" distR="114300" simplePos="0" relativeHeight="251664384" behindDoc="0" locked="0" layoutInCell="1" allowOverlap="1" wp14:anchorId="0E84D61C" wp14:editId="6ED071C2">
                <wp:simplePos x="0" y="0"/>
                <wp:positionH relativeFrom="column">
                  <wp:posOffset>-733426</wp:posOffset>
                </wp:positionH>
                <wp:positionV relativeFrom="paragraph">
                  <wp:posOffset>805815</wp:posOffset>
                </wp:positionV>
                <wp:extent cx="4854575" cy="2049517"/>
                <wp:effectExtent l="0" t="0" r="22225" b="27305"/>
                <wp:wrapNone/>
                <wp:docPr id="1399683288" name="Rectangle 2"/>
                <wp:cNvGraphicFramePr/>
                <a:graphic xmlns:a="http://schemas.openxmlformats.org/drawingml/2006/main">
                  <a:graphicData uri="http://schemas.microsoft.com/office/word/2010/wordprocessingShape">
                    <wps:wsp>
                      <wps:cNvSpPr/>
                      <wps:spPr>
                        <a:xfrm>
                          <a:off x="0" y="0"/>
                          <a:ext cx="4854575" cy="2049517"/>
                        </a:xfrm>
                        <a:prstGeom prst="rect">
                          <a:avLst/>
                        </a:prstGeom>
                      </wps:spPr>
                      <wps:style>
                        <a:lnRef idx="2">
                          <a:schemeClr val="accent1">
                            <a:shade val="15000"/>
                          </a:schemeClr>
                        </a:lnRef>
                        <a:fillRef idx="1">
                          <a:schemeClr val="accent1"/>
                        </a:fillRef>
                        <a:effectRef idx="0">
                          <a:schemeClr val="accent1"/>
                        </a:effectRef>
                        <a:fontRef idx="minor">
                          <a:schemeClr val="lt1"/>
                        </a:fontRef>
                      </wps:style>
                      <wps:txbx>
                        <w:txbxContent>
                          <w:p w14:paraId="57C6C01C" w14:textId="77777777" w:rsidR="008336F4" w:rsidRPr="00C34D62" w:rsidRDefault="008336F4" w:rsidP="008336F4">
                            <w:pPr>
                              <w:rPr>
                                <w:rFonts w:ascii="Arial" w:hAnsi="Arial" w:cs="Arial"/>
                                <w:b/>
                                <w:bCs/>
                                <w:sz w:val="22"/>
                                <w:szCs w:val="22"/>
                              </w:rPr>
                            </w:pPr>
                            <w:r w:rsidRPr="00C34D62">
                              <w:rPr>
                                <w:rFonts w:ascii="Arial" w:hAnsi="Arial" w:cs="Arial"/>
                                <w:b/>
                                <w:bCs/>
                                <w:sz w:val="22"/>
                                <w:szCs w:val="22"/>
                              </w:rPr>
                              <w:t>2. Research Strategy</w:t>
                            </w:r>
                          </w:p>
                          <w:p w14:paraId="5E520694" w14:textId="276C61CB" w:rsidR="008336F4" w:rsidRPr="00C34D62" w:rsidRDefault="008336F4" w:rsidP="008336F4">
                            <w:pPr>
                              <w:rPr>
                                <w:rFonts w:ascii="Arial" w:hAnsi="Arial" w:cs="Arial"/>
                                <w:sz w:val="22"/>
                                <w:szCs w:val="22"/>
                              </w:rPr>
                            </w:pPr>
                            <w:r w:rsidRPr="00C34D62">
                              <w:rPr>
                                <w:rFonts w:ascii="Arial" w:hAnsi="Arial" w:cs="Arial"/>
                                <w:sz w:val="22"/>
                                <w:szCs w:val="22"/>
                              </w:rPr>
                              <w:t>A secondary qualitative research strategy was used. This approach synthesised existing peer</w:t>
                            </w:r>
                            <w:r w:rsidRPr="00C34D62">
                              <w:rPr>
                                <w:rFonts w:ascii="Cambria Math" w:hAnsi="Cambria Math" w:cs="Cambria Math"/>
                                <w:sz w:val="22"/>
                                <w:szCs w:val="22"/>
                              </w:rPr>
                              <w:t>‑</w:t>
                            </w:r>
                            <w:r w:rsidRPr="00C34D62">
                              <w:rPr>
                                <w:rFonts w:ascii="Arial" w:hAnsi="Arial" w:cs="Arial"/>
                                <w:sz w:val="22"/>
                                <w:szCs w:val="22"/>
                              </w:rPr>
                              <w:t>reviewed studies, policy documents, and national datasets to identify recurring themes such as PTSD, depression, anxiety, barriers to care, and gaps in trauma</w:t>
                            </w:r>
                            <w:r w:rsidRPr="00C34D62">
                              <w:rPr>
                                <w:rFonts w:ascii="Cambria Math" w:hAnsi="Cambria Math" w:cs="Cambria Math"/>
                                <w:sz w:val="22"/>
                                <w:szCs w:val="22"/>
                              </w:rPr>
                              <w:t>‑</w:t>
                            </w:r>
                            <w:r w:rsidRPr="00C34D62">
                              <w:rPr>
                                <w:rFonts w:ascii="Arial" w:hAnsi="Arial" w:cs="Arial"/>
                                <w:sz w:val="22"/>
                                <w:szCs w:val="22"/>
                              </w:rPr>
                              <w:t>informed practice (Mulongo et al., 2014; Warne &amp; Mulongo, 2020).</w:t>
                            </w:r>
                          </w:p>
                          <w:p w14:paraId="4FE2EECD" w14:textId="0BD3553A" w:rsidR="00131DA8" w:rsidRPr="00C34D62" w:rsidRDefault="008336F4" w:rsidP="008336F4">
                            <w:pPr>
                              <w:rPr>
                                <w:rFonts w:ascii="Arial" w:hAnsi="Arial" w:cs="Arial"/>
                                <w:sz w:val="22"/>
                                <w:szCs w:val="22"/>
                              </w:rPr>
                            </w:pPr>
                            <w:r w:rsidRPr="00C34D62">
                              <w:rPr>
                                <w:rFonts w:ascii="Arial" w:hAnsi="Arial" w:cs="Arial"/>
                                <w:sz w:val="22"/>
                                <w:szCs w:val="22"/>
                              </w:rPr>
                              <w:t>The strategy followed a systematic, step</w:t>
                            </w:r>
                            <w:r w:rsidRPr="00C34D62">
                              <w:rPr>
                                <w:rFonts w:ascii="Cambria Math" w:hAnsi="Cambria Math" w:cs="Cambria Math"/>
                                <w:sz w:val="22"/>
                                <w:szCs w:val="22"/>
                              </w:rPr>
                              <w:t>‑</w:t>
                            </w:r>
                            <w:r w:rsidRPr="00C34D62">
                              <w:rPr>
                                <w:rFonts w:ascii="Arial" w:hAnsi="Arial" w:cs="Arial"/>
                                <w:sz w:val="22"/>
                                <w:szCs w:val="22"/>
                              </w:rPr>
                              <w:t>by</w:t>
                            </w:r>
                            <w:r w:rsidRPr="00C34D62">
                              <w:rPr>
                                <w:rFonts w:ascii="Cambria Math" w:hAnsi="Cambria Math" w:cs="Cambria Math"/>
                                <w:sz w:val="22"/>
                                <w:szCs w:val="22"/>
                              </w:rPr>
                              <w:t>‑</w:t>
                            </w:r>
                            <w:r w:rsidRPr="00C34D62">
                              <w:rPr>
                                <w:rFonts w:ascii="Arial" w:hAnsi="Arial" w:cs="Arial"/>
                                <w:sz w:val="22"/>
                                <w:szCs w:val="22"/>
                              </w:rPr>
                              <w:t>step search process using academic databases and grey literature to ensure comprehensive coverage of UK</w:t>
                            </w:r>
                            <w:r w:rsidRPr="00C34D62">
                              <w:rPr>
                                <w:rFonts w:ascii="Cambria Math" w:hAnsi="Cambria Math" w:cs="Cambria Math"/>
                                <w:sz w:val="22"/>
                                <w:szCs w:val="22"/>
                              </w:rPr>
                              <w:t>‑</w:t>
                            </w:r>
                            <w:r w:rsidRPr="00C34D62">
                              <w:rPr>
                                <w:rFonts w:ascii="Arial" w:hAnsi="Arial" w:cs="Arial"/>
                                <w:sz w:val="22"/>
                                <w:szCs w:val="22"/>
                              </w:rPr>
                              <w:t>relevant evidence (Largan &amp; Morris, 2024).</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E84D61C" id="_x0000_s1035" style="position:absolute;margin-left:-57.75pt;margin-top:63.45pt;width:382.25pt;height:161.4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crG4aQIAACYFAAAOAAAAZHJzL2Uyb0RvYy54bWysVFFP2zAQfp+0/2D5fSSp2gEVKapATJMQ&#10;oMHEs+vYJJLj885uk+7X7+ykKQK0h2kvie27++7u83e+uOxbw3YKfQO25MVJzpmyEqrGvpT859PN&#10;lzPOfBC2EgasKvleeX65+vzponNLNYMaTKWQEYj1y86VvA7BLbPMy1q1wp+AU5aMGrAVgbb4klUo&#10;OkJvTTbL869ZB1g5BKm8p9PrwchXCV9rJcO91l4FZkpOtYX0xfTdxG+2uhDLFxSubuRYhviHKlrR&#10;WEo6QV2LINgWm3dQbSMRPOhwIqHNQOtGqtQDdVPkb7p5rIVTqRcix7uJJv//YOXd7tE9INHQOb/0&#10;tIxd9Brb+Kf6WJ/I2k9kqT4wSYfzs8V8cbrgTJJtls/PF8VppDM7hjv04ZuClsVFyZFuI5Ekdrc+&#10;DK4HF4o7FpBWYW9UrMHYH0qzpqKUsxSdtKGuDLKdoFsVUiobisFUi0oNx8Uiz9P1Uj1TRKouAUZk&#10;3RgzYY8AUXfvsYdaR/8YqpK0puD8b4UNwVNEygw2TMFtYwE/AjDU1Zh58D+QNFATWQr9piduSn4e&#10;PePJBqr9AzKEQereyZuG2L8VPjwIJG3TFNC8hnv6aANdyWFccVYD/v7oPPqT5MjKWUezUnL/aytQ&#10;cWa+WxLjeTGfx+FKGxLFjDb42rJ5bbHb9gro4gp6GZxMy+gfzGGpEdpnGut1zEomYSXlLrkMeNhc&#10;hWGG6WGQar1ObjRQToRb++hkBI88R3U99c8C3SjBQOq9g8NcieUbJQ6+MdLCehtAN0mmR17HG6Bh&#10;TFIaH4447a/3yev4vK3+AAAA//8DAFBLAwQUAAYACAAAACEAN3S5XeIAAAAMAQAADwAAAGRycy9k&#10;b3ducmV2LnhtbEyPQU+DQBCF7yb+h82YeDHtAqVYKEvTaGriqWk1ngd2C6TsLmWXFv+940mPk/fl&#10;zffyzaQ7dlWDa60REM4DYMpUVramFvD5sZutgDmPRmJnjRLwrRxsivu7HDNpb+agrkdfMyoxLkMB&#10;jfd9xrmrGqXRzW2vDGUnO2j0dA41lwPeqFx3PAqChGtsDX1osFcvjarOx1EL0PLyVY5vZ7voX7dP&#10;i8vu9I7RXojHh2m7BubV5P9g+NUndSjIqbSjkY51AmZhuFwSS0mUpMAISeKU5pUC4jh9Bl7k/P+I&#10;4gcAAP//AwBQSwECLQAUAAYACAAAACEAtoM4kv4AAADhAQAAEwAAAAAAAAAAAAAAAAAAAAAAW0Nv&#10;bnRlbnRfVHlwZXNdLnhtbFBLAQItABQABgAIAAAAIQA4/SH/1gAAAJQBAAALAAAAAAAAAAAAAAAA&#10;AC8BAABfcmVscy8ucmVsc1BLAQItABQABgAIAAAAIQDycrG4aQIAACYFAAAOAAAAAAAAAAAAAAAA&#10;AC4CAABkcnMvZTJvRG9jLnhtbFBLAQItABQABgAIAAAAIQA3dLld4gAAAAwBAAAPAAAAAAAAAAAA&#10;AAAAAMMEAABkcnMvZG93bnJldi54bWxQSwUGAAAAAAQABADzAAAA0gUAAAAA&#10;" fillcolor="#156082 [3204]" strokecolor="#030e13 [484]" strokeweight="1.5pt">
                <v:textbox>
                  <w:txbxContent>
                    <w:p w14:paraId="57C6C01C" w14:textId="77777777" w:rsidR="008336F4" w:rsidRPr="00C34D62" w:rsidRDefault="008336F4" w:rsidP="008336F4">
                      <w:pPr>
                        <w:rPr>
                          <w:rFonts w:ascii="Arial" w:hAnsi="Arial" w:cs="Arial"/>
                          <w:b/>
                          <w:bCs/>
                          <w:sz w:val="22"/>
                          <w:szCs w:val="22"/>
                        </w:rPr>
                      </w:pPr>
                      <w:r w:rsidRPr="00C34D62">
                        <w:rPr>
                          <w:rFonts w:ascii="Arial" w:hAnsi="Arial" w:cs="Arial"/>
                          <w:b/>
                          <w:bCs/>
                          <w:sz w:val="22"/>
                          <w:szCs w:val="22"/>
                        </w:rPr>
                        <w:t>2. Research Strategy</w:t>
                      </w:r>
                    </w:p>
                    <w:p w14:paraId="5E520694" w14:textId="276C61CB" w:rsidR="008336F4" w:rsidRPr="00C34D62" w:rsidRDefault="008336F4" w:rsidP="008336F4">
                      <w:pPr>
                        <w:rPr>
                          <w:rFonts w:ascii="Arial" w:hAnsi="Arial" w:cs="Arial"/>
                          <w:sz w:val="22"/>
                          <w:szCs w:val="22"/>
                        </w:rPr>
                      </w:pPr>
                      <w:r w:rsidRPr="00C34D62">
                        <w:rPr>
                          <w:rFonts w:ascii="Arial" w:hAnsi="Arial" w:cs="Arial"/>
                          <w:sz w:val="22"/>
                          <w:szCs w:val="22"/>
                        </w:rPr>
                        <w:t>A secondary qualitative research strategy was used. This approach synthesised existing peer</w:t>
                      </w:r>
                      <w:r w:rsidRPr="00C34D62">
                        <w:rPr>
                          <w:rFonts w:ascii="Cambria Math" w:hAnsi="Cambria Math" w:cs="Cambria Math"/>
                          <w:sz w:val="22"/>
                          <w:szCs w:val="22"/>
                        </w:rPr>
                        <w:t>‑</w:t>
                      </w:r>
                      <w:r w:rsidRPr="00C34D62">
                        <w:rPr>
                          <w:rFonts w:ascii="Arial" w:hAnsi="Arial" w:cs="Arial"/>
                          <w:sz w:val="22"/>
                          <w:szCs w:val="22"/>
                        </w:rPr>
                        <w:t>reviewed studies, policy documents, and national datasets to identify recurring themes such as PTSD, depression, anxiety, barriers to care, and gaps in trauma</w:t>
                      </w:r>
                      <w:r w:rsidRPr="00C34D62">
                        <w:rPr>
                          <w:rFonts w:ascii="Cambria Math" w:hAnsi="Cambria Math" w:cs="Cambria Math"/>
                          <w:sz w:val="22"/>
                          <w:szCs w:val="22"/>
                        </w:rPr>
                        <w:t>‑</w:t>
                      </w:r>
                      <w:r w:rsidRPr="00C34D62">
                        <w:rPr>
                          <w:rFonts w:ascii="Arial" w:hAnsi="Arial" w:cs="Arial"/>
                          <w:sz w:val="22"/>
                          <w:szCs w:val="22"/>
                        </w:rPr>
                        <w:t>informed practice (Mulongo et al., 2014; Warne &amp; Mulongo, 2020).</w:t>
                      </w:r>
                    </w:p>
                    <w:p w14:paraId="4FE2EECD" w14:textId="0BD3553A" w:rsidR="00131DA8" w:rsidRPr="00C34D62" w:rsidRDefault="008336F4" w:rsidP="008336F4">
                      <w:pPr>
                        <w:rPr>
                          <w:rFonts w:ascii="Arial" w:hAnsi="Arial" w:cs="Arial"/>
                          <w:sz w:val="22"/>
                          <w:szCs w:val="22"/>
                        </w:rPr>
                      </w:pPr>
                      <w:r w:rsidRPr="00C34D62">
                        <w:rPr>
                          <w:rFonts w:ascii="Arial" w:hAnsi="Arial" w:cs="Arial"/>
                          <w:sz w:val="22"/>
                          <w:szCs w:val="22"/>
                        </w:rPr>
                        <w:t>The strategy followed a systematic, step</w:t>
                      </w:r>
                      <w:r w:rsidRPr="00C34D62">
                        <w:rPr>
                          <w:rFonts w:ascii="Cambria Math" w:hAnsi="Cambria Math" w:cs="Cambria Math"/>
                          <w:sz w:val="22"/>
                          <w:szCs w:val="22"/>
                        </w:rPr>
                        <w:t>‑</w:t>
                      </w:r>
                      <w:r w:rsidRPr="00C34D62">
                        <w:rPr>
                          <w:rFonts w:ascii="Arial" w:hAnsi="Arial" w:cs="Arial"/>
                          <w:sz w:val="22"/>
                          <w:szCs w:val="22"/>
                        </w:rPr>
                        <w:t>by</w:t>
                      </w:r>
                      <w:r w:rsidRPr="00C34D62">
                        <w:rPr>
                          <w:rFonts w:ascii="Cambria Math" w:hAnsi="Cambria Math" w:cs="Cambria Math"/>
                          <w:sz w:val="22"/>
                          <w:szCs w:val="22"/>
                        </w:rPr>
                        <w:t>‑</w:t>
                      </w:r>
                      <w:r w:rsidRPr="00C34D62">
                        <w:rPr>
                          <w:rFonts w:ascii="Arial" w:hAnsi="Arial" w:cs="Arial"/>
                          <w:sz w:val="22"/>
                          <w:szCs w:val="22"/>
                        </w:rPr>
                        <w:t>step search process using academic databases and grey literature to ensure comprehensive coverage of UK</w:t>
                      </w:r>
                      <w:r w:rsidRPr="00C34D62">
                        <w:rPr>
                          <w:rFonts w:ascii="Cambria Math" w:hAnsi="Cambria Math" w:cs="Cambria Math"/>
                          <w:sz w:val="22"/>
                          <w:szCs w:val="22"/>
                        </w:rPr>
                        <w:t>‑</w:t>
                      </w:r>
                      <w:r w:rsidRPr="00C34D62">
                        <w:rPr>
                          <w:rFonts w:ascii="Arial" w:hAnsi="Arial" w:cs="Arial"/>
                          <w:sz w:val="22"/>
                          <w:szCs w:val="22"/>
                        </w:rPr>
                        <w:t>relevant evidence (Largan &amp; Morris, 2024).</w:t>
                      </w:r>
                    </w:p>
                  </w:txbxContent>
                </v:textbox>
              </v:rect>
            </w:pict>
          </mc:Fallback>
        </mc:AlternateContent>
      </w:r>
    </w:p>
    <w:sectPr w:rsidR="00131DA8" w:rsidRPr="00131DA8" w:rsidSect="00131DA8">
      <w:pgSz w:w="16838" w:h="23811" w:code="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Cambria Math">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43" w:usb2="00000009" w:usb3="00000000" w:csb0="000001FF" w:csb1="00000000"/>
  </w:font>
  <w:font w:name="Segoe UI Emoji">
    <w:panose1 w:val="020B0502040204020203"/>
    <w:charset w:val="00"/>
    <w:family w:val="swiss"/>
    <w:pitch w:val="variable"/>
    <w:sig w:usb0="00000003" w:usb1="02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30E2FD3"/>
    <w:multiLevelType w:val="hybridMultilevel"/>
    <w:tmpl w:val="CB809F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8D35CF7"/>
    <w:multiLevelType w:val="multilevel"/>
    <w:tmpl w:val="956011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FF91821"/>
    <w:multiLevelType w:val="hybridMultilevel"/>
    <w:tmpl w:val="B9185A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98E41D2"/>
    <w:multiLevelType w:val="multilevel"/>
    <w:tmpl w:val="A0CC40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3BF32372"/>
    <w:multiLevelType w:val="multilevel"/>
    <w:tmpl w:val="F2A2C5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3E10285B"/>
    <w:multiLevelType w:val="multilevel"/>
    <w:tmpl w:val="BF48CF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4BE60CF4"/>
    <w:multiLevelType w:val="multilevel"/>
    <w:tmpl w:val="2CB800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4C8257F5"/>
    <w:multiLevelType w:val="multilevel"/>
    <w:tmpl w:val="290E78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54B86CB3"/>
    <w:multiLevelType w:val="multilevel"/>
    <w:tmpl w:val="B31E23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78D42BC4"/>
    <w:multiLevelType w:val="multilevel"/>
    <w:tmpl w:val="56BA8D3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7AD20B1A"/>
    <w:multiLevelType w:val="multilevel"/>
    <w:tmpl w:val="5134AC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7B60534E"/>
    <w:multiLevelType w:val="multilevel"/>
    <w:tmpl w:val="5A5023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7BF13092"/>
    <w:multiLevelType w:val="multilevel"/>
    <w:tmpl w:val="F59276D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433593532">
    <w:abstractNumId w:val="0"/>
  </w:num>
  <w:num w:numId="2" w16cid:durableId="1363363895">
    <w:abstractNumId w:val="12"/>
  </w:num>
  <w:num w:numId="3" w16cid:durableId="123890289">
    <w:abstractNumId w:val="5"/>
  </w:num>
  <w:num w:numId="4" w16cid:durableId="2040887359">
    <w:abstractNumId w:val="1"/>
  </w:num>
  <w:num w:numId="5" w16cid:durableId="1200049838">
    <w:abstractNumId w:val="8"/>
  </w:num>
  <w:num w:numId="6" w16cid:durableId="1198272804">
    <w:abstractNumId w:val="3"/>
  </w:num>
  <w:num w:numId="7" w16cid:durableId="1207253975">
    <w:abstractNumId w:val="10"/>
  </w:num>
  <w:num w:numId="8" w16cid:durableId="1127813994">
    <w:abstractNumId w:val="6"/>
  </w:num>
  <w:num w:numId="9" w16cid:durableId="1301958849">
    <w:abstractNumId w:val="9"/>
  </w:num>
  <w:num w:numId="10" w16cid:durableId="1197618937">
    <w:abstractNumId w:val="11"/>
  </w:num>
  <w:num w:numId="11" w16cid:durableId="915701615">
    <w:abstractNumId w:val="4"/>
  </w:num>
  <w:num w:numId="12" w16cid:durableId="551232119">
    <w:abstractNumId w:val="7"/>
  </w:num>
  <w:num w:numId="13" w16cid:durableId="212264705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1"/>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xMDc2trQwMzE3NzEzMDVR0lEKTi0uzszPAykwrgUAluJ8SywAAAA="/>
  </w:docVars>
  <w:rsids>
    <w:rsidRoot w:val="00131DA8"/>
    <w:rsid w:val="000A4FAA"/>
    <w:rsid w:val="000F4358"/>
    <w:rsid w:val="0011428E"/>
    <w:rsid w:val="00131DA8"/>
    <w:rsid w:val="00180FBF"/>
    <w:rsid w:val="0020030A"/>
    <w:rsid w:val="00491E88"/>
    <w:rsid w:val="00500B32"/>
    <w:rsid w:val="00507C78"/>
    <w:rsid w:val="0051061A"/>
    <w:rsid w:val="0057237F"/>
    <w:rsid w:val="005C32D4"/>
    <w:rsid w:val="00602E9F"/>
    <w:rsid w:val="00682B0D"/>
    <w:rsid w:val="00766E3D"/>
    <w:rsid w:val="008134CD"/>
    <w:rsid w:val="008336F4"/>
    <w:rsid w:val="00880E33"/>
    <w:rsid w:val="008C3576"/>
    <w:rsid w:val="009176B3"/>
    <w:rsid w:val="00A0194F"/>
    <w:rsid w:val="00A038E2"/>
    <w:rsid w:val="00A31EDE"/>
    <w:rsid w:val="00AD286C"/>
    <w:rsid w:val="00B021CB"/>
    <w:rsid w:val="00B61E3B"/>
    <w:rsid w:val="00C34D62"/>
    <w:rsid w:val="00C61161"/>
    <w:rsid w:val="00C66198"/>
    <w:rsid w:val="00DF6B3C"/>
    <w:rsid w:val="00E34FF8"/>
    <w:rsid w:val="00EB4BF1"/>
    <w:rsid w:val="00F22DD0"/>
    <w:rsid w:val="00F26F0D"/>
    <w:rsid w:val="00F56E0D"/>
    <w:rsid w:val="00FD3F1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08E3884"/>
  <w15:chartTrackingRefBased/>
  <w15:docId w15:val="{2A7FFA98-293D-48B8-8F41-BC49BDC108E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31DA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131DA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131DA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131DA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131DA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131DA8"/>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131DA8"/>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131DA8"/>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131DA8"/>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31DA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131DA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131DA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131DA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131DA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131DA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131DA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131DA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131DA8"/>
    <w:rPr>
      <w:rFonts w:eastAsiaTheme="majorEastAsia" w:cstheme="majorBidi"/>
      <w:color w:val="272727" w:themeColor="text1" w:themeTint="D8"/>
    </w:rPr>
  </w:style>
  <w:style w:type="paragraph" w:styleId="Title">
    <w:name w:val="Title"/>
    <w:basedOn w:val="Normal"/>
    <w:next w:val="Normal"/>
    <w:link w:val="TitleChar"/>
    <w:uiPriority w:val="10"/>
    <w:qFormat/>
    <w:rsid w:val="00131DA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31DA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131DA8"/>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131DA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131DA8"/>
    <w:pPr>
      <w:spacing w:before="160"/>
      <w:jc w:val="center"/>
    </w:pPr>
    <w:rPr>
      <w:i/>
      <w:iCs/>
      <w:color w:val="404040" w:themeColor="text1" w:themeTint="BF"/>
    </w:rPr>
  </w:style>
  <w:style w:type="character" w:customStyle="1" w:styleId="QuoteChar">
    <w:name w:val="Quote Char"/>
    <w:basedOn w:val="DefaultParagraphFont"/>
    <w:link w:val="Quote"/>
    <w:uiPriority w:val="29"/>
    <w:rsid w:val="00131DA8"/>
    <w:rPr>
      <w:i/>
      <w:iCs/>
      <w:color w:val="404040" w:themeColor="text1" w:themeTint="BF"/>
    </w:rPr>
  </w:style>
  <w:style w:type="paragraph" w:styleId="ListParagraph">
    <w:name w:val="List Paragraph"/>
    <w:basedOn w:val="Normal"/>
    <w:uiPriority w:val="34"/>
    <w:qFormat/>
    <w:rsid w:val="00131DA8"/>
    <w:pPr>
      <w:ind w:left="720"/>
      <w:contextualSpacing/>
    </w:pPr>
  </w:style>
  <w:style w:type="character" w:styleId="IntenseEmphasis">
    <w:name w:val="Intense Emphasis"/>
    <w:basedOn w:val="DefaultParagraphFont"/>
    <w:uiPriority w:val="21"/>
    <w:qFormat/>
    <w:rsid w:val="00131DA8"/>
    <w:rPr>
      <w:i/>
      <w:iCs/>
      <w:color w:val="0F4761" w:themeColor="accent1" w:themeShade="BF"/>
    </w:rPr>
  </w:style>
  <w:style w:type="paragraph" w:styleId="IntenseQuote">
    <w:name w:val="Intense Quote"/>
    <w:basedOn w:val="Normal"/>
    <w:next w:val="Normal"/>
    <w:link w:val="IntenseQuoteChar"/>
    <w:uiPriority w:val="30"/>
    <w:qFormat/>
    <w:rsid w:val="00131DA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131DA8"/>
    <w:rPr>
      <w:i/>
      <w:iCs/>
      <w:color w:val="0F4761" w:themeColor="accent1" w:themeShade="BF"/>
    </w:rPr>
  </w:style>
  <w:style w:type="character" w:styleId="IntenseReference">
    <w:name w:val="Intense Reference"/>
    <w:basedOn w:val="DefaultParagraphFont"/>
    <w:uiPriority w:val="32"/>
    <w:qFormat/>
    <w:rsid w:val="00131DA8"/>
    <w:rPr>
      <w:b/>
      <w:bCs/>
      <w:smallCaps/>
      <w:color w:val="0F4761" w:themeColor="accent1" w:themeShade="BF"/>
      <w:spacing w:val="5"/>
    </w:rPr>
  </w:style>
  <w:style w:type="table" w:styleId="TableGrid">
    <w:name w:val="Table Grid"/>
    <w:basedOn w:val="TableNormal"/>
    <w:uiPriority w:val="39"/>
    <w:rsid w:val="008C357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rawpixel.com/image/478374/free-illustration-vector-mental-health-brain-brain-damage" TargetMode="External"/><Relationship Id="rId5" Type="http://schemas.openxmlformats.org/officeDocument/2006/relationships/image" Target="media/image1.1"/><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78</TotalTime>
  <Pages>1</Pages>
  <Words>2</Words>
  <Characters>12</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Humayrah .S</dc:creator>
  <cp:keywords/>
  <dc:description/>
  <cp:lastModifiedBy>Humayrah .S</cp:lastModifiedBy>
  <cp:revision>31</cp:revision>
  <cp:lastPrinted>2025-11-11T13:30:00Z</cp:lastPrinted>
  <dcterms:created xsi:type="dcterms:W3CDTF">2025-11-11T13:04:00Z</dcterms:created>
  <dcterms:modified xsi:type="dcterms:W3CDTF">2026-02-09T01:41:00Z</dcterms:modified>
</cp:coreProperties>
</file>