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sz w:val="24"/>
          <w:lang w:val="en-GB" w:eastAsia="en-US"/>
        </w:rPr>
        <w:id w:val="-1631772772"/>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4E4A63">
            <w:trPr>
              <w:trHeight w:val="2880"/>
              <w:jc w:val="center"/>
            </w:trPr>
            <w:tc>
              <w:tcPr>
                <w:tcW w:w="5000" w:type="pct"/>
              </w:tcPr>
              <w:p w:rsidR="00ED3FF1" w:rsidRDefault="00ED3FF1" w:rsidP="00ED3FF1">
                <w:pPr>
                  <w:pStyle w:val="NoSpacing"/>
                  <w:jc w:val="center"/>
                  <w:rPr>
                    <w:rFonts w:asciiTheme="majorHAnsi" w:eastAsiaTheme="majorEastAsia" w:hAnsiTheme="majorHAnsi" w:cstheme="majorBidi"/>
                    <w:caps/>
                  </w:rPr>
                </w:pPr>
              </w:p>
            </w:tc>
          </w:tr>
          <w:tr w:rsidR="004E4A63">
            <w:trPr>
              <w:trHeight w:val="1440"/>
              <w:jc w:val="center"/>
            </w:trPr>
            <w:tc>
              <w:tcPr>
                <w:tcW w:w="5000" w:type="pct"/>
                <w:tcBorders>
                  <w:bottom w:val="single" w:sz="4" w:space="0" w:color="4F81BD" w:themeColor="accent1"/>
                </w:tcBorders>
                <w:vAlign w:val="center"/>
              </w:tcPr>
              <w:sdt>
                <w:sdtPr>
                  <w:rPr>
                    <w:rFonts w:asciiTheme="majorHAnsi" w:eastAsiaTheme="majorEastAsia" w:hAnsiTheme="majorHAnsi" w:cstheme="majorBidi"/>
                    <w:sz w:val="80"/>
                    <w:szCs w:val="80"/>
                  </w:rPr>
                  <w:alias w:val="Title"/>
                  <w:id w:val="15524250"/>
                  <w:placeholder>
                    <w:docPart w:val="8D17B64583AE441DAB3C796B3A0E6323"/>
                  </w:placeholder>
                  <w:dataBinding w:prefixMappings="xmlns:ns0='http://schemas.openxmlformats.org/package/2006/metadata/core-properties' xmlns:ns1='http://purl.org/dc/elements/1.1/'" w:xpath="/ns0:coreProperties[1]/ns1:title[1]" w:storeItemID="{6C3C8BC8-F283-45AE-878A-BAB7291924A1}"/>
                  <w:text/>
                </w:sdtPr>
                <w:sdtEndPr/>
                <w:sdtContent>
                  <w:p w:rsidR="00D02811" w:rsidRDefault="00F677CE" w:rsidP="00995F98">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COMMUNITY ENGAGEMENT</w:t>
                    </w:r>
                  </w:p>
                </w:sdtContent>
              </w:sdt>
            </w:tc>
          </w:tr>
          <w:tr w:rsidR="004E4A63">
            <w:trPr>
              <w:trHeight w:val="720"/>
              <w:jc w:val="center"/>
            </w:trPr>
            <w:tc>
              <w:tcPr>
                <w:tcW w:w="5000" w:type="pct"/>
                <w:tcBorders>
                  <w:top w:val="single" w:sz="4" w:space="0" w:color="4F81BD" w:themeColor="accent1"/>
                </w:tcBorders>
                <w:vAlign w:val="center"/>
              </w:tcPr>
              <w:p w:rsidR="00ED3FF1" w:rsidRDefault="00ED3FF1" w:rsidP="00ED3FF1">
                <w:pPr>
                  <w:pStyle w:val="NoSpacing"/>
                  <w:jc w:val="center"/>
                  <w:rPr>
                    <w:rFonts w:asciiTheme="majorHAnsi" w:eastAsiaTheme="majorEastAsia" w:hAnsiTheme="majorHAnsi" w:cstheme="majorBidi"/>
                    <w:sz w:val="44"/>
                    <w:szCs w:val="44"/>
                  </w:rPr>
                </w:pPr>
              </w:p>
            </w:tc>
          </w:tr>
          <w:tr w:rsidR="004E4A63">
            <w:trPr>
              <w:trHeight w:val="360"/>
              <w:jc w:val="center"/>
            </w:trPr>
            <w:tc>
              <w:tcPr>
                <w:tcW w:w="5000" w:type="pct"/>
                <w:vAlign w:val="center"/>
              </w:tcPr>
              <w:p w:rsidR="00ED3FF1" w:rsidRDefault="00ED3FF1">
                <w:pPr>
                  <w:pStyle w:val="NoSpacing"/>
                  <w:jc w:val="center"/>
                </w:pPr>
              </w:p>
            </w:tc>
          </w:tr>
          <w:tr w:rsidR="004E4A63" w:rsidTr="00995F98">
            <w:trPr>
              <w:trHeight w:val="360"/>
              <w:jc w:val="center"/>
            </w:trPr>
            <w:tc>
              <w:tcPr>
                <w:tcW w:w="5000" w:type="pct"/>
                <w:vAlign w:val="center"/>
              </w:tcPr>
              <w:p w:rsidR="00995F98" w:rsidRDefault="00790AC7">
                <w:pPr>
                  <w:pStyle w:val="Normal1"/>
                  <w:spacing w:line="360" w:lineRule="auto"/>
                  <w:jc w:val="center"/>
                  <w:divId w:val="1641760808"/>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sidR="00995F98">
                  <w:rPr>
                    <w:rFonts w:ascii="Times New Roman" w:eastAsia="Times New Roman" w:hAnsi="Times New Roman" w:cs="Times New Roman"/>
                    <w:b/>
                    <w:sz w:val="32"/>
                    <w:szCs w:val="32"/>
                    <w:highlight w:val="white"/>
                  </w:rPr>
                  <w:t xml:space="preserve">Student </w:t>
                </w:r>
                <w:r w:rsidR="00995F98">
                  <w:rPr>
                    <w:rFonts w:ascii="Times New Roman" w:eastAsia="Times New Roman" w:hAnsi="Times New Roman" w:cs="Times New Roman"/>
                    <w:b/>
                    <w:sz w:val="32"/>
                    <w:szCs w:val="32"/>
                    <w:highlight w:val="white"/>
                  </w:rPr>
                  <w:t xml:space="preserve">Name:  </w:t>
                </w:r>
                <w:proofErr w:type="spellStart"/>
                <w:r w:rsidR="00995F98">
                  <w:rPr>
                    <w:rFonts w:ascii="Times New Roman" w:eastAsia="Times New Roman" w:hAnsi="Times New Roman" w:cs="Times New Roman"/>
                    <w:b/>
                    <w:sz w:val="32"/>
                    <w:szCs w:val="32"/>
                    <w:highlight w:val="white"/>
                  </w:rPr>
                  <w:t>Bres</w:t>
                </w:r>
                <w:proofErr w:type="spellEnd"/>
                <w:r w:rsidR="00995F98">
                  <w:rPr>
                    <w:rFonts w:ascii="Times New Roman" w:eastAsia="Times New Roman" w:hAnsi="Times New Roman" w:cs="Times New Roman"/>
                    <w:b/>
                    <w:sz w:val="32"/>
                    <w:szCs w:val="32"/>
                    <w:highlight w:val="white"/>
                  </w:rPr>
                  <w:t xml:space="preserve"> </w:t>
                </w:r>
                <w:proofErr w:type="spellStart"/>
                <w:r w:rsidR="00995F98">
                  <w:rPr>
                    <w:rFonts w:ascii="Times New Roman" w:eastAsia="Times New Roman" w:hAnsi="Times New Roman" w:cs="Times New Roman"/>
                    <w:b/>
                    <w:sz w:val="32"/>
                    <w:szCs w:val="32"/>
                    <w:highlight w:val="white"/>
                  </w:rPr>
                  <w:t>Elisabeta</w:t>
                </w:r>
                <w:proofErr w:type="spellEnd"/>
                <w:r w:rsidR="00995F98">
                  <w:rPr>
                    <w:rFonts w:ascii="Times New Roman" w:eastAsia="Times New Roman" w:hAnsi="Times New Roman" w:cs="Times New Roman"/>
                    <w:b/>
                    <w:sz w:val="32"/>
                    <w:szCs w:val="32"/>
                    <w:highlight w:val="white"/>
                  </w:rPr>
                  <w:t xml:space="preserve"> </w:t>
                </w:r>
                <w:proofErr w:type="spellStart"/>
                <w:r w:rsidR="00995F98">
                  <w:rPr>
                    <w:rFonts w:ascii="Times New Roman" w:eastAsia="Times New Roman" w:hAnsi="Times New Roman" w:cs="Times New Roman"/>
                    <w:b/>
                    <w:sz w:val="32"/>
                    <w:szCs w:val="32"/>
                    <w:highlight w:val="white"/>
                  </w:rPr>
                  <w:t>Niculina</w:t>
                </w:r>
                <w:proofErr w:type="spellEnd"/>
                <w:r w:rsidR="00995F98">
                  <w:rPr>
                    <w:rFonts w:ascii="Times New Roman" w:eastAsia="Times New Roman" w:hAnsi="Times New Roman" w:cs="Times New Roman"/>
                    <w:b/>
                    <w:sz w:val="32"/>
                    <w:szCs w:val="32"/>
                    <w:highlight w:val="white"/>
                  </w:rPr>
                  <w:t xml:space="preserve">  </w:t>
                </w:r>
              </w:p>
              <w:p w:rsidR="00995F98" w:rsidRDefault="00995F98">
                <w:pPr>
                  <w:pStyle w:val="Normal1"/>
                  <w:tabs>
                    <w:tab w:val="left" w:pos="2160"/>
                  </w:tabs>
                  <w:spacing w:line="360" w:lineRule="auto"/>
                  <w:divId w:val="1641760808"/>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Pr>
                    <w:rFonts w:ascii="Times New Roman" w:eastAsia="Times New Roman" w:hAnsi="Times New Roman" w:cs="Times New Roman"/>
                    <w:b/>
                    <w:sz w:val="32"/>
                    <w:szCs w:val="32"/>
                    <w:highlight w:val="white"/>
                  </w:rPr>
                  <w:tab/>
                  <w:t xml:space="preserve"> Student number: 180671</w:t>
                </w:r>
                <w:r w:rsidR="00790AC7">
                  <w:rPr>
                    <w:rFonts w:ascii="Times New Roman" w:eastAsia="Times New Roman" w:hAnsi="Times New Roman" w:cs="Times New Roman"/>
                    <w:b/>
                    <w:sz w:val="32"/>
                    <w:szCs w:val="32"/>
                    <w:highlight w:val="white"/>
                  </w:rPr>
                  <w:t>1</w:t>
                </w:r>
              </w:p>
              <w:p w:rsidR="00995F98" w:rsidRDefault="00995F98">
                <w:pPr>
                  <w:pStyle w:val="Normal1"/>
                  <w:tabs>
                    <w:tab w:val="left" w:pos="2276"/>
                  </w:tabs>
                  <w:spacing w:line="360" w:lineRule="auto"/>
                  <w:divId w:val="1641760808"/>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t>Module title:</w:t>
                </w:r>
                <w:r w:rsidR="00790AC7">
                  <w:rPr>
                    <w:rFonts w:ascii="Times New Roman" w:eastAsia="Times New Roman" w:hAnsi="Times New Roman" w:cs="Times New Roman"/>
                    <w:b/>
                    <w:sz w:val="32"/>
                    <w:szCs w:val="32"/>
                    <w:highlight w:val="white"/>
                  </w:rPr>
                  <w:t xml:space="preserve"> Community Engagement </w:t>
                </w:r>
              </w:p>
              <w:p w:rsidR="00995F98" w:rsidRDefault="00995F98">
                <w:pPr>
                  <w:pStyle w:val="Normal1"/>
                  <w:tabs>
                    <w:tab w:val="left" w:pos="2276"/>
                  </w:tabs>
                  <w:spacing w:line="360" w:lineRule="auto"/>
                  <w:divId w:val="1641760808"/>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t>Module code: LCBB400</w:t>
                </w:r>
                <w:r w:rsidR="00E1297A">
                  <w:rPr>
                    <w:rFonts w:ascii="Times New Roman" w:eastAsia="Times New Roman" w:hAnsi="Times New Roman" w:cs="Times New Roman"/>
                    <w:b/>
                    <w:sz w:val="32"/>
                    <w:szCs w:val="32"/>
                    <w:highlight w:val="white"/>
                  </w:rPr>
                  <w:t>2</w:t>
                </w:r>
              </w:p>
              <w:p w:rsidR="00790AC7" w:rsidRDefault="00995F98">
                <w:pPr>
                  <w:pStyle w:val="Normal1"/>
                  <w:tabs>
                    <w:tab w:val="left" w:pos="2323"/>
                  </w:tabs>
                  <w:spacing w:line="360" w:lineRule="auto"/>
                  <w:divId w:val="1641760808"/>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Lecturer name: </w:t>
                </w:r>
                <w:proofErr w:type="spellStart"/>
                <w:r w:rsidR="00790AC7">
                  <w:rPr>
                    <w:rFonts w:ascii="Times New Roman" w:eastAsia="Times New Roman" w:hAnsi="Times New Roman" w:cs="Times New Roman"/>
                    <w:b/>
                    <w:sz w:val="32"/>
                    <w:szCs w:val="32"/>
                    <w:highlight w:val="white"/>
                  </w:rPr>
                  <w:t>Ya</w:t>
                </w:r>
                <w:r w:rsidR="00587B4E">
                  <w:rPr>
                    <w:rFonts w:ascii="Times New Roman" w:eastAsia="Times New Roman" w:hAnsi="Times New Roman" w:cs="Times New Roman"/>
                    <w:b/>
                    <w:sz w:val="32"/>
                    <w:szCs w:val="32"/>
                    <w:highlight w:val="white"/>
                  </w:rPr>
                  <w:t>jesh</w:t>
                </w:r>
                <w:proofErr w:type="spellEnd"/>
                <w:r w:rsidR="00587B4E">
                  <w:rPr>
                    <w:rFonts w:ascii="Times New Roman" w:eastAsia="Times New Roman" w:hAnsi="Times New Roman" w:cs="Times New Roman"/>
                    <w:b/>
                    <w:sz w:val="32"/>
                    <w:szCs w:val="32"/>
                    <w:highlight w:val="white"/>
                  </w:rPr>
                  <w:t xml:space="preserve"> Kumar </w:t>
                </w:r>
              </w:p>
              <w:p w:rsidR="00957E00" w:rsidRPr="00790AC7" w:rsidRDefault="00957E00">
                <w:pPr>
                  <w:pStyle w:val="Normal1"/>
                  <w:tabs>
                    <w:tab w:val="left" w:pos="2323"/>
                  </w:tabs>
                  <w:spacing w:line="360" w:lineRule="auto"/>
                  <w:divId w:val="1641760808"/>
                  <w:rPr>
                    <w:rFonts w:ascii="Times New Roman" w:eastAsia="Times New Roman" w:hAnsi="Times New Roman" w:cs="Times New Roman"/>
                    <w:b/>
                    <w:sz w:val="32"/>
                    <w:szCs w:val="32"/>
                    <w:highlight w:val="white"/>
                  </w:rPr>
                </w:pPr>
                <w:bookmarkStart w:id="0" w:name="_GoBack"/>
                <w:bookmarkEnd w:id="0"/>
              </w:p>
              <w:p w:rsidR="00ED3FF1" w:rsidRDefault="00ED3FF1" w:rsidP="00ED3FF1">
                <w:pPr>
                  <w:pStyle w:val="NoSpacing"/>
                  <w:jc w:val="center"/>
                  <w:rPr>
                    <w:b/>
                    <w:bCs/>
                  </w:rPr>
                </w:pPr>
              </w:p>
            </w:tc>
          </w:tr>
          <w:tr w:rsidR="004E4A63">
            <w:trPr>
              <w:trHeight w:val="360"/>
              <w:jc w:val="center"/>
            </w:trPr>
            <w:tc>
              <w:tcPr>
                <w:tcW w:w="5000" w:type="pct"/>
                <w:vAlign w:val="center"/>
              </w:tcPr>
              <w:p w:rsidR="00ED3FF1" w:rsidRDefault="00ED3FF1" w:rsidP="00ED3FF1">
                <w:pPr>
                  <w:pStyle w:val="NoSpacing"/>
                  <w:jc w:val="center"/>
                  <w:rPr>
                    <w:b/>
                    <w:bCs/>
                  </w:rPr>
                </w:pPr>
              </w:p>
            </w:tc>
          </w:tr>
        </w:tbl>
        <w:p w:rsidR="00ED3FF1" w:rsidRDefault="00ED3FF1"/>
        <w:p w:rsidR="00ED3FF1" w:rsidRDefault="00ED3FF1"/>
        <w:tbl>
          <w:tblPr>
            <w:tblpPr w:leftFromText="187" w:rightFromText="187" w:horzAnchor="margin" w:tblpXSpec="center" w:tblpYSpec="bottom"/>
            <w:tblW w:w="5000" w:type="pct"/>
            <w:tblLook w:val="04A0" w:firstRow="1" w:lastRow="0" w:firstColumn="1" w:lastColumn="0" w:noHBand="0" w:noVBand="1"/>
          </w:tblPr>
          <w:tblGrid>
            <w:gridCol w:w="9576"/>
          </w:tblGrid>
          <w:tr w:rsidR="004E4A63">
            <w:tc>
              <w:tcPr>
                <w:tcW w:w="5000" w:type="pct"/>
              </w:tcPr>
              <w:p w:rsidR="00ED3FF1" w:rsidRDefault="00ED3FF1" w:rsidP="00ED3FF1">
                <w:pPr>
                  <w:pStyle w:val="NoSpacing"/>
                </w:pPr>
              </w:p>
            </w:tc>
          </w:tr>
        </w:tbl>
        <w:p w:rsidR="00ED3FF1" w:rsidRDefault="00ED3FF1"/>
        <w:p w:rsidR="00ED3FF1" w:rsidRDefault="00F677CE">
          <w:pPr>
            <w:spacing w:before="0" w:after="200" w:line="276" w:lineRule="auto"/>
            <w:jc w:val="left"/>
          </w:pPr>
          <w:r>
            <w:lastRenderedPageBreak/>
            <w:br w:type="page"/>
          </w:r>
        </w:p>
      </w:sdtContent>
    </w:sdt>
    <w:sdt>
      <w:sdtPr>
        <w:rPr>
          <w:rFonts w:asciiTheme="minorHAnsi" w:eastAsiaTheme="minorHAnsi" w:hAnsiTheme="minorHAnsi" w:cstheme="minorBidi"/>
          <w:b w:val="0"/>
          <w:bCs w:val="0"/>
          <w:color w:val="auto"/>
          <w:sz w:val="24"/>
          <w:szCs w:val="22"/>
          <w:lang w:val="en-GB" w:eastAsia="en-US"/>
        </w:rPr>
        <w:id w:val="2002384576"/>
        <w:docPartObj>
          <w:docPartGallery w:val="Table of Contents"/>
          <w:docPartUnique/>
        </w:docPartObj>
      </w:sdtPr>
      <w:sdtEndPr>
        <w:rPr>
          <w:noProof/>
        </w:rPr>
      </w:sdtEndPr>
      <w:sdtContent>
        <w:p w:rsidR="00635790" w:rsidRDefault="00F677CE">
          <w:pPr>
            <w:pStyle w:val="TOCHeading"/>
          </w:pPr>
          <w:r>
            <w:t>Table of Contents</w:t>
          </w:r>
        </w:p>
        <w:p w:rsidR="00635790" w:rsidRDefault="00F677CE">
          <w:pPr>
            <w:pStyle w:val="TOC1"/>
            <w:tabs>
              <w:tab w:val="right" w:leader="dot" w:pos="9350"/>
            </w:tabs>
            <w:rPr>
              <w:noProof/>
            </w:rPr>
          </w:pPr>
          <w:r>
            <w:fldChar w:fldCharType="begin"/>
          </w:r>
          <w:r>
            <w:instrText xml:space="preserve"> TOC \o "1-3" \h \z \u </w:instrText>
          </w:r>
          <w:r>
            <w:fldChar w:fldCharType="separate"/>
          </w:r>
          <w:hyperlink w:anchor="_Toc534644520" w:history="1">
            <w:r w:rsidRPr="00CC1794">
              <w:rPr>
                <w:rStyle w:val="Hyperlink"/>
                <w:noProof/>
              </w:rPr>
              <w:t>PART B</w:t>
            </w:r>
            <w:r>
              <w:rPr>
                <w:noProof/>
                <w:webHidden/>
              </w:rPr>
              <w:tab/>
            </w:r>
            <w:r>
              <w:rPr>
                <w:noProof/>
                <w:webHidden/>
              </w:rPr>
              <w:fldChar w:fldCharType="begin"/>
            </w:r>
            <w:r>
              <w:rPr>
                <w:noProof/>
                <w:webHidden/>
              </w:rPr>
              <w:instrText xml:space="preserve"> PAGEREF _Toc534644520 \h </w:instrText>
            </w:r>
            <w:r>
              <w:rPr>
                <w:noProof/>
                <w:webHidden/>
              </w:rPr>
            </w:r>
            <w:r>
              <w:rPr>
                <w:noProof/>
                <w:webHidden/>
              </w:rPr>
              <w:fldChar w:fldCharType="separate"/>
            </w:r>
            <w:r>
              <w:rPr>
                <w:noProof/>
                <w:webHidden/>
              </w:rPr>
              <w:t>2</w:t>
            </w:r>
            <w:r>
              <w:rPr>
                <w:noProof/>
                <w:webHidden/>
              </w:rPr>
              <w:fldChar w:fldCharType="end"/>
            </w:r>
          </w:hyperlink>
        </w:p>
        <w:p w:rsidR="00635790" w:rsidRDefault="00F677CE">
          <w:pPr>
            <w:pStyle w:val="TOC1"/>
            <w:tabs>
              <w:tab w:val="right" w:leader="dot" w:pos="9350"/>
            </w:tabs>
            <w:rPr>
              <w:noProof/>
            </w:rPr>
          </w:pPr>
          <w:hyperlink w:anchor="_Toc534644521" w:history="1">
            <w:r w:rsidRPr="00CC1794">
              <w:rPr>
                <w:rStyle w:val="Hyperlink"/>
                <w:noProof/>
              </w:rPr>
              <w:t>REFERENCES</w:t>
            </w:r>
            <w:r>
              <w:rPr>
                <w:noProof/>
                <w:webHidden/>
              </w:rPr>
              <w:tab/>
            </w:r>
            <w:r>
              <w:rPr>
                <w:noProof/>
                <w:webHidden/>
              </w:rPr>
              <w:fldChar w:fldCharType="begin"/>
            </w:r>
            <w:r>
              <w:rPr>
                <w:noProof/>
                <w:webHidden/>
              </w:rPr>
              <w:instrText xml:space="preserve"> PAGEREF _Toc534644521 \h </w:instrText>
            </w:r>
            <w:r>
              <w:rPr>
                <w:noProof/>
                <w:webHidden/>
              </w:rPr>
            </w:r>
            <w:r>
              <w:rPr>
                <w:noProof/>
                <w:webHidden/>
              </w:rPr>
              <w:fldChar w:fldCharType="separate"/>
            </w:r>
            <w:r>
              <w:rPr>
                <w:noProof/>
                <w:webHidden/>
              </w:rPr>
              <w:t>7</w:t>
            </w:r>
            <w:r>
              <w:rPr>
                <w:noProof/>
                <w:webHidden/>
              </w:rPr>
              <w:fldChar w:fldCharType="end"/>
            </w:r>
          </w:hyperlink>
        </w:p>
        <w:p w:rsidR="00635790" w:rsidRDefault="00F677CE">
          <w:r>
            <w:rPr>
              <w:b/>
              <w:bCs/>
              <w:noProof/>
            </w:rPr>
            <w:fldChar w:fldCharType="end"/>
          </w:r>
        </w:p>
      </w:sdtContent>
    </w:sdt>
    <w:p w:rsidR="00635790" w:rsidRDefault="00F677CE">
      <w:pPr>
        <w:spacing w:before="0" w:after="200" w:line="276" w:lineRule="auto"/>
        <w:jc w:val="left"/>
        <w:rPr>
          <w:rFonts w:asciiTheme="majorHAnsi" w:eastAsiaTheme="majorEastAsia" w:hAnsiTheme="majorHAnsi" w:cstheme="majorBidi"/>
          <w:b/>
          <w:bCs/>
          <w:color w:val="365F91" w:themeColor="accent1" w:themeShade="BF"/>
          <w:sz w:val="28"/>
          <w:szCs w:val="28"/>
        </w:rPr>
      </w:pPr>
      <w:r>
        <w:br w:type="page"/>
      </w:r>
    </w:p>
    <w:p w:rsidR="00ED3FF1" w:rsidRDefault="00F677CE" w:rsidP="00635790">
      <w:pPr>
        <w:pStyle w:val="Heading1"/>
      </w:pPr>
      <w:bookmarkStart w:id="1" w:name="_Toc534644520"/>
      <w:r>
        <w:lastRenderedPageBreak/>
        <w:t>PART B</w:t>
      </w:r>
      <w:bookmarkEnd w:id="1"/>
    </w:p>
    <w:p w:rsidR="004C3AA9" w:rsidRDefault="00F677CE">
      <w:r>
        <w:t xml:space="preserve">Community engagement </w:t>
      </w:r>
      <w:r w:rsidR="001D3FDF">
        <w:t xml:space="preserve">is </w:t>
      </w:r>
      <w:r>
        <w:t xml:space="preserve">defined as the procedure of working together with community groups </w:t>
      </w:r>
      <w:r w:rsidR="00B34BEF">
        <w:t xml:space="preserve">with the development of efficient </w:t>
      </w:r>
      <w:r w:rsidR="00502D85">
        <w:t>self-management str</w:t>
      </w:r>
      <w:r w:rsidR="000362E0">
        <w:t xml:space="preserve">ategies. This is a dynamic process that allows the </w:t>
      </w:r>
      <w:r w:rsidR="0025798F">
        <w:t>communication, interaction and transfer among the organizations and the</w:t>
      </w:r>
      <w:r w:rsidR="00EC3F24">
        <w:t xml:space="preserve"> community with the range of the social and business results.</w:t>
      </w:r>
      <w:r w:rsidR="00AA5B42">
        <w:t xml:space="preserve"> In the health and fitness industry, the community engagement is emphasised on the community'</w:t>
      </w:r>
      <w:r w:rsidR="00171E8A">
        <w:t>s expectations, requirements when designing and implementing the sol</w:t>
      </w:r>
      <w:r w:rsidR="0095520B">
        <w:t>utions linked to the problems that are faced by them</w:t>
      </w:r>
      <w:r w:rsidR="00026B53">
        <w:t xml:space="preserve"> (Wallerstein et al., 2015)</w:t>
      </w:r>
      <w:r w:rsidR="0095520B">
        <w:t xml:space="preserve">. The concept </w:t>
      </w:r>
      <w:r w:rsidR="00AD2656">
        <w:t>of the community en</w:t>
      </w:r>
      <w:r w:rsidR="0095520B">
        <w:t>g</w:t>
      </w:r>
      <w:r w:rsidR="00AD2656">
        <w:t>ag</w:t>
      </w:r>
      <w:r w:rsidR="0095520B">
        <w:t>ement is based on the aspects like the fairness, self-determination, justice,</w:t>
      </w:r>
      <w:r w:rsidR="00AD2656">
        <w:t xml:space="preserve"> participation and empowerment. This offers various benefits such as strengthening the communities, accountability of partners, improvement in the service delivery and betterment of the social outcomes.</w:t>
      </w:r>
    </w:p>
    <w:p w:rsidR="000A7C32" w:rsidRDefault="00F677CE">
      <w:r>
        <w:t>Self-management</w:t>
      </w:r>
      <w:r w:rsidR="000F0F0A">
        <w:t xml:space="preserve"> can be </w:t>
      </w:r>
      <w:r w:rsidR="00A900EB">
        <w:t xml:space="preserve">defined </w:t>
      </w:r>
      <w:r>
        <w:t>as the ability of the individual to</w:t>
      </w:r>
      <w:r w:rsidR="005673C1">
        <w:t xml:space="preserve"> gaining the un</w:t>
      </w:r>
      <w:r w:rsidR="006026AF">
        <w:t xml:space="preserve">derstanding of the emotions and </w:t>
      </w:r>
      <w:r w:rsidR="005673C1">
        <w:t>regulating them for directing the emotions towards the positive desired results.</w:t>
      </w:r>
      <w:r>
        <w:t xml:space="preserve"> </w:t>
      </w:r>
      <w:r w:rsidR="006026AF">
        <w:t xml:space="preserve">This does not </w:t>
      </w:r>
      <w:r w:rsidR="00252C9F">
        <w:t>stand</w:t>
      </w:r>
      <w:r w:rsidR="006026AF">
        <w:t xml:space="preserve"> for neglecting the negative emotion that </w:t>
      </w:r>
      <w:r w:rsidR="00252C9F">
        <w:t>occurs</w:t>
      </w:r>
      <w:r w:rsidR="006026AF">
        <w:t xml:space="preserve"> but acknowledging them and not letting them guide the behaviour.</w:t>
      </w:r>
      <w:r w:rsidR="00A1592F">
        <w:t xml:space="preserve"> The three major self-management abilities </w:t>
      </w:r>
      <w:r w:rsidR="009C7174">
        <w:t>involve</w:t>
      </w:r>
      <w:r w:rsidR="00A1592F">
        <w:t xml:space="preserve"> the initiative, organization and accountability</w:t>
      </w:r>
      <w:r w:rsidR="00026B53">
        <w:t xml:space="preserve"> (Case et al., 2018)</w:t>
      </w:r>
      <w:r w:rsidR="00A1592F">
        <w:t xml:space="preserve">. The initiative is the </w:t>
      </w:r>
      <w:r w:rsidR="007B0DEE">
        <w:t>ability of the individual to respond to the problems in a better manner</w:t>
      </w:r>
      <w:r w:rsidR="00945835">
        <w:t xml:space="preserve"> that is essential for </w:t>
      </w:r>
      <w:r>
        <w:t>becoming one</w:t>
      </w:r>
      <w:r w:rsidR="00945835">
        <w:t xml:space="preserve"> of the most productive employees in the organization. There are some of the leading organizations that have been providin</w:t>
      </w:r>
      <w:r w:rsidR="004E2F2D">
        <w:t xml:space="preserve">g the </w:t>
      </w:r>
      <w:r w:rsidR="00743C0B">
        <w:t>self-management</w:t>
      </w:r>
      <w:r w:rsidR="004E2F2D">
        <w:t xml:space="preserve"> training for training employees so that they can develop the skill set</w:t>
      </w:r>
      <w:r w:rsidR="00743C0B">
        <w:t xml:space="preserve">. </w:t>
      </w:r>
    </w:p>
    <w:p w:rsidR="000A7C32" w:rsidRDefault="00F677CE">
      <w:r>
        <w:t xml:space="preserve">The people </w:t>
      </w:r>
      <w:r w:rsidR="003817A6">
        <w:t>that highly believe in the career development self-management</w:t>
      </w:r>
      <w:r w:rsidR="009E724D">
        <w:t xml:space="preserve"> is extremely important. As </w:t>
      </w:r>
      <w:r w:rsidR="00281C0A">
        <w:t>self-management</w:t>
      </w:r>
      <w:r w:rsidR="009E724D">
        <w:t xml:space="preserve"> skills are the abilities that enable the staff members to feel more efficient while performing the daily tasks </w:t>
      </w:r>
      <w:r w:rsidR="00FB7EBE">
        <w:t xml:space="preserve">regardless of the business environment. </w:t>
      </w:r>
      <w:r w:rsidR="009C7174">
        <w:t>These</w:t>
      </w:r>
      <w:r w:rsidR="007F79C8">
        <w:t xml:space="preserve"> skills will help the workers in communicating effectively with the employees taking the right decision and planning the working time so that the individual can keep </w:t>
      </w:r>
      <w:r w:rsidR="00281C0A">
        <w:t>their</w:t>
      </w:r>
      <w:r w:rsidR="007F79C8">
        <w:t xml:space="preserve"> </w:t>
      </w:r>
      <w:r w:rsidR="00281C0A">
        <w:t>body</w:t>
      </w:r>
      <w:r w:rsidR="007F79C8">
        <w:t xml:space="preserve"> healthy</w:t>
      </w:r>
      <w:r w:rsidR="00026B53">
        <w:t xml:space="preserve"> (Milliken et al., 2015)</w:t>
      </w:r>
      <w:r w:rsidR="007F79C8">
        <w:t>.</w:t>
      </w:r>
      <w:r w:rsidR="001B5402">
        <w:t xml:space="preserve"> The key skills that are required by the employees to be more productive</w:t>
      </w:r>
      <w:r w:rsidR="00281C0A">
        <w:t xml:space="preserve"> include stress resistance, problem-solving, communication, time management and memory.</w:t>
      </w:r>
      <w:r w:rsidR="00432CDC">
        <w:t xml:space="preserve"> </w:t>
      </w:r>
    </w:p>
    <w:p w:rsidR="00122FFC" w:rsidRDefault="00F677CE">
      <w:r>
        <w:lastRenderedPageBreak/>
        <w:t xml:space="preserve">One of the key attributes that are crucial for the </w:t>
      </w:r>
      <w:r w:rsidR="000A7C32">
        <w:t>self-management</w:t>
      </w:r>
      <w:r>
        <w:t xml:space="preserve"> is stress resistance. It is the ability of the indi</w:t>
      </w:r>
      <w:r>
        <w:t xml:space="preserve">vidual to resist any kind </w:t>
      </w:r>
      <w:r w:rsidR="000A7C32">
        <w:t>of</w:t>
      </w:r>
      <w:r>
        <w:t xml:space="preserve"> stressful condition. When there is the proper training of the </w:t>
      </w:r>
      <w:r w:rsidR="00C30354">
        <w:t>self-management</w:t>
      </w:r>
      <w:r>
        <w:t xml:space="preserve"> given to the individual they avoid the several</w:t>
      </w:r>
      <w:r w:rsidR="001038B6">
        <w:t xml:space="preserve"> </w:t>
      </w:r>
      <w:r>
        <w:t>kinds of mistakes with the possibility of occurrence</w:t>
      </w:r>
      <w:r w:rsidR="00026B53">
        <w:t xml:space="preserve"> (Rivera, 2016)</w:t>
      </w:r>
      <w:r>
        <w:t>.</w:t>
      </w:r>
      <w:r w:rsidR="00B06ACC">
        <w:t xml:space="preserve"> As the stressful situations in the business </w:t>
      </w:r>
      <w:r w:rsidR="003B63FF">
        <w:t xml:space="preserve">environment have the potential to block the ability of the individual </w:t>
      </w:r>
      <w:r w:rsidR="001038B6">
        <w:t>takes the rational decisions while reducing the productivity of the organization.</w:t>
      </w:r>
    </w:p>
    <w:p w:rsidR="000A7C32" w:rsidRDefault="00F677CE">
      <w:r>
        <w:t>The success of the company is hugely determined by the comm</w:t>
      </w:r>
      <w:r>
        <w:t xml:space="preserve">unication </w:t>
      </w:r>
      <w:r w:rsidR="00E45B10">
        <w:t>process that channelizes</w:t>
      </w:r>
      <w:r>
        <w:t xml:space="preserve"> the flow of information in the different department</w:t>
      </w:r>
      <w:r w:rsidR="00E45B10">
        <w:t xml:space="preserve">. For </w:t>
      </w:r>
      <w:r w:rsidR="005C2A13">
        <w:t xml:space="preserve">the purpose of both the personal and career development of the individual communication is the significant factor so that the maximum amount of </w:t>
      </w:r>
      <w:r w:rsidR="00473714">
        <w:t>the</w:t>
      </w:r>
      <w:r w:rsidR="005C2A13">
        <w:t xml:space="preserve"> </w:t>
      </w:r>
      <w:r w:rsidR="00473714">
        <w:t>information</w:t>
      </w:r>
      <w:r w:rsidR="005C2A13">
        <w:t xml:space="preserve"> can be </w:t>
      </w:r>
      <w:r w:rsidR="00473714">
        <w:t>transferred</w:t>
      </w:r>
      <w:r w:rsidR="005C2A13">
        <w:t xml:space="preserve"> with the lesser distortion. The employees that are productive have the ability to efficiently interact with the co-workers and management as they deeply </w:t>
      </w:r>
      <w:r w:rsidR="00473714">
        <w:t>understand</w:t>
      </w:r>
      <w:r w:rsidR="005C2A13">
        <w:t xml:space="preserve"> the </w:t>
      </w:r>
      <w:r w:rsidR="002E6D3C">
        <w:t>significance of the clear and timely delivery of the information</w:t>
      </w:r>
      <w:r w:rsidR="00531D2E">
        <w:t xml:space="preserve"> (</w:t>
      </w:r>
      <w:r w:rsidR="00531D2E" w:rsidRPr="00531D2E">
        <w:t>Ibe</w:t>
      </w:r>
      <w:r w:rsidR="00531D2E">
        <w:t xml:space="preserve"> et al</w:t>
      </w:r>
      <w:r w:rsidR="00531D2E" w:rsidRPr="00531D2E">
        <w:t>,</w:t>
      </w:r>
      <w:r w:rsidR="00531D2E">
        <w:t xml:space="preserve"> 2018)</w:t>
      </w:r>
      <w:r w:rsidR="002E6D3C">
        <w:t>.</w:t>
      </w:r>
      <w:r w:rsidR="00F13116">
        <w:t xml:space="preserve"> Communication skills development </w:t>
      </w:r>
      <w:r w:rsidR="0051140C">
        <w:t>workshops are</w:t>
      </w:r>
      <w:r w:rsidR="00F13116">
        <w:t xml:space="preserve"> conducted in the </w:t>
      </w:r>
      <w:r w:rsidR="005B607A">
        <w:t xml:space="preserve">organizations for improving the interactions among the employees and customers. This helps the company in building healthy relationships </w:t>
      </w:r>
      <w:r w:rsidR="009148FF">
        <w:t>that develop a prod</w:t>
      </w:r>
      <w:r w:rsidR="0051140C">
        <w:t xml:space="preserve">uctive community. </w:t>
      </w:r>
    </w:p>
    <w:p w:rsidR="000F0F0A" w:rsidRDefault="00F677CE">
      <w:r>
        <w:t>The wo</w:t>
      </w:r>
      <w:r>
        <w:t>rkshops of the</w:t>
      </w:r>
      <w:r w:rsidR="002E33F9">
        <w:t xml:space="preserve"> development of the communication skills are based on active listening, business </w:t>
      </w:r>
      <w:r w:rsidR="00031D71">
        <w:t>writing,</w:t>
      </w:r>
      <w:r w:rsidR="002E33F9">
        <w:t xml:space="preserve"> conduction of the successful meeting and presentations. Active listening among the individuals is the ability that helps the individual </w:t>
      </w:r>
      <w:r w:rsidR="005A7F6A">
        <w:t>to listen</w:t>
      </w:r>
      <w:r w:rsidR="002E33F9">
        <w:t xml:space="preserve"> and analyse the direct and impli</w:t>
      </w:r>
      <w:r w:rsidR="005A7F6A">
        <w:t xml:space="preserve">ed messages of other employees. The conduction of the meetings is crucial and requires the abilities that </w:t>
      </w:r>
      <w:r w:rsidR="00116B09">
        <w:t>involve</w:t>
      </w:r>
      <w:r w:rsidR="005A7F6A">
        <w:t xml:space="preserve"> the planning, questioning </w:t>
      </w:r>
      <w:r w:rsidR="00315CA1">
        <w:t xml:space="preserve">abilities, obtaining the participation from the attendees and reducing the </w:t>
      </w:r>
      <w:r w:rsidR="00031D71">
        <w:t>distraction and elements that can waste the time of the business operations</w:t>
      </w:r>
      <w:r w:rsidR="00531D2E">
        <w:t xml:space="preserve"> (Mendes et al., 2017)</w:t>
      </w:r>
      <w:r w:rsidR="00031D71">
        <w:t>.</w:t>
      </w:r>
    </w:p>
    <w:p w:rsidR="009218B5" w:rsidRDefault="00F677CE">
      <w:r>
        <w:t>Teamwork in the organization is essential for raising the performance of the organization, employee unity and culture of the company.</w:t>
      </w:r>
      <w:r w:rsidR="00666C10">
        <w:t xml:space="preserve"> The companies that execute on the basis of the concepts of the community engagement generate the new ideas on the frequency interval of time with the utilization of the project based approach assembled in the teams so that the sense of the responsibility can be integrated with the organization.</w:t>
      </w:r>
      <w:r w:rsidR="006928C8">
        <w:t xml:space="preserve"> The diversity of the </w:t>
      </w:r>
      <w:r w:rsidR="006928C8">
        <w:lastRenderedPageBreak/>
        <w:t>individuals in the teams develops the platform that consists of the different kinds of ideas for the project. Through this, the company can decide the best idea for the project and implement it in the organization for the development of the organization</w:t>
      </w:r>
      <w:r w:rsidR="007D7B97">
        <w:t xml:space="preserve"> (Tak, 2017)</w:t>
      </w:r>
      <w:r w:rsidR="006928C8">
        <w:t xml:space="preserve">. Teamwork is beneficial due to the </w:t>
      </w:r>
      <w:r w:rsidR="00C13042">
        <w:t xml:space="preserve">problem-solving synergy that has been facilitated with the combined efforts of the multiple minds that have been working together on the project. </w:t>
      </w:r>
      <w:r w:rsidR="009E59F1">
        <w:t>This gives the pool of ideas by which the problems that are related with the business</w:t>
      </w:r>
      <w:r w:rsidR="00613BFD">
        <w:t xml:space="preserve"> can be resolved with the best idea.</w:t>
      </w:r>
    </w:p>
    <w:p w:rsidR="000F0F0A" w:rsidRDefault="00F677CE">
      <w:r>
        <w:t>In order to gain optimum efficiency for the organization, strong leadership is an important requirement</w:t>
      </w:r>
      <w:r w:rsidR="00DD63F6">
        <w:t xml:space="preserve">. It is the trait that is required to be developed in the individuals that are operating in the businesses. </w:t>
      </w:r>
      <w:r w:rsidR="00C90281">
        <w:t xml:space="preserve">Leaders are the </w:t>
      </w:r>
      <w:r w:rsidR="00116B09">
        <w:t>individual</w:t>
      </w:r>
      <w:r w:rsidR="00C90281">
        <w:t xml:space="preserve"> that has raised above the levels of the normal fears. They possess some of the strategic thinking abilities </w:t>
      </w:r>
      <w:r w:rsidR="00771164">
        <w:t>along with the understanding of the vision of the company</w:t>
      </w:r>
      <w:r w:rsidR="007D7B97">
        <w:t xml:space="preserve"> (Kolopack et al., 2015)</w:t>
      </w:r>
      <w:r w:rsidR="00771164">
        <w:t xml:space="preserve">. Leaders have the capability to effectively communicate the vision of the company to the employees </w:t>
      </w:r>
      <w:r w:rsidR="0088181D">
        <w:t>so that the objectives of the organization can be met successfully. The key features of the good leader include the honesty, loyalty, fairness and respect for other individuals.</w:t>
      </w:r>
    </w:p>
    <w:p w:rsidR="000F0F0A" w:rsidRDefault="00F677CE">
      <w:r>
        <w:t>Interpersonal abilities are</w:t>
      </w:r>
      <w:r w:rsidR="00376FC1">
        <w:t xml:space="preserve"> one of the significant self-management tools that have been utilized by individuals in the business environment</w:t>
      </w:r>
      <w:r w:rsidR="00120A2D">
        <w:t xml:space="preserve">. the main advantage of this ability is that it allows effective communication and interaction among the employees of the business. These skills are further divided into the 7 sectors that </w:t>
      </w:r>
      <w:r>
        <w:t>are verbal communication, nonverbal communication, listening skills, negotiation, problem-solv</w:t>
      </w:r>
      <w:r>
        <w:t>ing skills, decision making and assertiveness. Interpersonal abilities are crucial</w:t>
      </w:r>
      <w:r w:rsidR="006C5AB4">
        <w:t xml:space="preserve"> for resolving the problems that are faced by the individuals in the professional and personal lives</w:t>
      </w:r>
      <w:r w:rsidR="007D7B97" w:rsidRPr="007D7B97">
        <w:t xml:space="preserve"> </w:t>
      </w:r>
      <w:r w:rsidR="007D7B97">
        <w:t>(</w:t>
      </w:r>
      <w:r w:rsidR="007D7B97" w:rsidRPr="007D7B97">
        <w:t>Johnston</w:t>
      </w:r>
      <w:r w:rsidR="007D7B97">
        <w:t xml:space="preserve"> et al</w:t>
      </w:r>
      <w:r w:rsidR="007D7B97" w:rsidRPr="007D7B97">
        <w:t>,</w:t>
      </w:r>
      <w:r w:rsidR="007D7B97">
        <w:t xml:space="preserve"> 2018)</w:t>
      </w:r>
      <w:r w:rsidR="006C5AB4">
        <w:t>.</w:t>
      </w:r>
      <w:r w:rsidR="00AC2C73">
        <w:t xml:space="preserve"> This provides several benefits at the workplace like increment in the credibility, consumers satisfaction, social awareness and expansion of the opportunities.</w:t>
      </w:r>
    </w:p>
    <w:p w:rsidR="00B90C6A" w:rsidRDefault="00F677CE">
      <w:r>
        <w:t xml:space="preserve">The main objective of the reflective practice is to develop the understanding </w:t>
      </w:r>
      <w:r w:rsidR="0027069E">
        <w:t>of the community management practices that are associated with the groups of people belonging to the health and fitness industry</w:t>
      </w:r>
      <w:r w:rsidR="007827B2">
        <w:t>.</w:t>
      </w:r>
      <w:r w:rsidR="003D63F7">
        <w:t xml:space="preserve"> For the purpose of the effective decision making community engagement </w:t>
      </w:r>
      <w:r w:rsidR="003D63F7">
        <w:lastRenderedPageBreak/>
        <w:t xml:space="preserve">has been implied as the major strategy </w:t>
      </w:r>
      <w:r w:rsidR="00A53FD4">
        <w:t>for implying the representative community opinions.</w:t>
      </w:r>
      <w:r w:rsidR="007827B2">
        <w:t xml:space="preserve">As with the rising consciousness of fitness among the </w:t>
      </w:r>
      <w:r w:rsidR="00794B16">
        <w:t>group of individuals the requi</w:t>
      </w:r>
      <w:r w:rsidR="00AD0BC3">
        <w:t>rement of the organizations that are providing the</w:t>
      </w:r>
      <w:r w:rsidR="003D478B">
        <w:t xml:space="preserve"> high standards of health servic</w:t>
      </w:r>
      <w:r w:rsidR="00F1137B">
        <w:t xml:space="preserve">es to the people has increased. Gold’s Gym is one of such organization that has </w:t>
      </w:r>
      <w:r w:rsidR="001B2316">
        <w:t>been providing the best services with the gyms and fitness centres that are present across the globe.</w:t>
      </w:r>
      <w:r w:rsidR="003D0EDE">
        <w:t xml:space="preserve"> </w:t>
      </w:r>
    </w:p>
    <w:p w:rsidR="000A7C32" w:rsidRDefault="00F677CE">
      <w:r>
        <w:t>The key strengths of the Gold's Gym have been analysed that has been contributing to raising the shares of the company in the market.</w:t>
      </w:r>
      <w:r w:rsidR="002833D8">
        <w:t xml:space="preserve"> </w:t>
      </w:r>
      <w:r w:rsidR="003E416E">
        <w:t>This includes the top class equipment and good location</w:t>
      </w:r>
      <w:r w:rsidR="00C25C55">
        <w:t xml:space="preserve"> that has been facilitating the community of the people that are conscious about their health</w:t>
      </w:r>
      <w:r w:rsidR="009D1A2F">
        <w:t xml:space="preserve">. </w:t>
      </w:r>
      <w:r w:rsidR="00CA53D8">
        <w:t>There</w:t>
      </w:r>
      <w:r w:rsidR="00C921B5">
        <w:t xml:space="preserve"> </w:t>
      </w:r>
      <w:r w:rsidR="007A7448">
        <w:t>are large varieties</w:t>
      </w:r>
      <w:r w:rsidR="00C921B5">
        <w:t xml:space="preserve"> of </w:t>
      </w:r>
      <w:r w:rsidR="000F1067">
        <w:t>equipment along with the big space for tr</w:t>
      </w:r>
      <w:r w:rsidR="007A7448">
        <w:t xml:space="preserve">aining and skilled trainers that provide </w:t>
      </w:r>
      <w:r w:rsidR="009D1A2F">
        <w:t>the best of t</w:t>
      </w:r>
      <w:r w:rsidR="00CA53D8">
        <w:t>he training to the customers</w:t>
      </w:r>
      <w:r w:rsidR="007D7B97">
        <w:t xml:space="preserve"> (Ahmed et al., 201</w:t>
      </w:r>
      <w:r w:rsidR="00966323">
        <w:t>6</w:t>
      </w:r>
      <w:r w:rsidR="007D7B97">
        <w:t>)</w:t>
      </w:r>
      <w:r w:rsidR="00CA53D8">
        <w:t xml:space="preserve">. </w:t>
      </w:r>
      <w:r w:rsidR="004474B2">
        <w:t xml:space="preserve">It has been also found that Gold’s gym has managed to establish its centres in the key regions of the cities while establishing the </w:t>
      </w:r>
      <w:r w:rsidR="00F96D99">
        <w:t>huge network of the fitness community.</w:t>
      </w:r>
    </w:p>
    <w:p w:rsidR="00B90C6A" w:rsidRDefault="00F677CE">
      <w:r>
        <w:t xml:space="preserve">The </w:t>
      </w:r>
      <w:r w:rsidR="0086199C">
        <w:t>main source for the management of these widely spread centres is capital that is hig</w:t>
      </w:r>
      <w:r w:rsidR="000606C5">
        <w:t>hly invested by the gym as it has enough source of capital in addition to the substantial income p</w:t>
      </w:r>
      <w:r w:rsidR="00B97B58">
        <w:t>roduction resulting in the rich-</w:t>
      </w:r>
      <w:r w:rsidR="000606C5">
        <w:t>substruction process.</w:t>
      </w:r>
      <w:r w:rsidR="0093102F">
        <w:t xml:space="preserve"> Gold’</w:t>
      </w:r>
      <w:r w:rsidR="009C133B">
        <w:t>s Gym is known because of the training services that are provided to the customers by the</w:t>
      </w:r>
      <w:r w:rsidR="005F7C1A">
        <w:t xml:space="preserve"> highly qualified trainers. They also </w:t>
      </w:r>
      <w:r w:rsidR="006B4BCF">
        <w:t>give</w:t>
      </w:r>
      <w:r w:rsidR="005F7C1A">
        <w:t xml:space="preserve"> the support of the personal trainers to the customers </w:t>
      </w:r>
      <w:r w:rsidR="006B4BCF">
        <w:t xml:space="preserve">with the best fitness experts that doubles ups the experience provided by the personal </w:t>
      </w:r>
      <w:r w:rsidR="00A8768B">
        <w:t>trainers</w:t>
      </w:r>
      <w:r w:rsidR="006B4BCF">
        <w:t>.</w:t>
      </w:r>
      <w:r w:rsidR="00A8768B">
        <w:t xml:space="preserve"> The image of the gym in the</w:t>
      </w:r>
      <w:r w:rsidR="00B75603">
        <w:t xml:space="preserve"> industry was improved when some of the leading celebrities </w:t>
      </w:r>
      <w:r w:rsidR="00FC26C4">
        <w:t>incorporated in improving the brand image in the market.</w:t>
      </w:r>
      <w:r w:rsidR="00F44BDE">
        <w:t xml:space="preserve"> </w:t>
      </w:r>
    </w:p>
    <w:p w:rsidR="0035698A" w:rsidRDefault="00F677CE">
      <w:r>
        <w:t>Praxis can be identified as the informed action that is the procedure of taking the action into practice while implying the theoretical framework of the thou</w:t>
      </w:r>
      <w:r>
        <w:t>ght.</w:t>
      </w:r>
      <w:r w:rsidR="00DC2B0B">
        <w:t xml:space="preserve"> This concept is the integration of the theory and practice</w:t>
      </w:r>
      <w:r w:rsidR="00966323">
        <w:t xml:space="preserve"> (Smith, 2015)</w:t>
      </w:r>
      <w:r w:rsidR="00DC2B0B">
        <w:t xml:space="preserve">. In this, the abstract theorising is only helpful until it informs about the </w:t>
      </w:r>
      <w:r w:rsidR="00D45CE7">
        <w:t>in-depth thinking and justification.</w:t>
      </w:r>
      <w:r w:rsidR="00961ADE">
        <w:t xml:space="preserve"> It is essential in the process that every action has an informed basis while putting every valuable thought in the </w:t>
      </w:r>
      <w:r w:rsidR="004976B7">
        <w:t>action.</w:t>
      </w:r>
      <w:r w:rsidR="00461968">
        <w:t xml:space="preserve"> As providing the services in the health and fitness sector such as the gym </w:t>
      </w:r>
      <w:r w:rsidR="000368B2">
        <w:t>centres</w:t>
      </w:r>
      <w:r w:rsidR="00461968">
        <w:t xml:space="preserve"> is the complex business that requires practical action and other considerations.</w:t>
      </w:r>
      <w:r w:rsidR="001533AC">
        <w:t xml:space="preserve"> Praxis is linked with the </w:t>
      </w:r>
      <w:r w:rsidR="001533AC">
        <w:lastRenderedPageBreak/>
        <w:t xml:space="preserve">reflexivity </w:t>
      </w:r>
      <w:r w:rsidR="00105C5C">
        <w:t>that stands for the continuous multi-layered cy</w:t>
      </w:r>
      <w:r w:rsidR="00555053">
        <w:t>cle that is basically based on the learning through action, reflection and change. This comprises of the four stages that are the initial stage, reflection, development of the new concept and experimental action.</w:t>
      </w:r>
    </w:p>
    <w:p w:rsidR="0035698A" w:rsidRDefault="00F677CE">
      <w:r>
        <w:t>The key issues that are faced during the activities</w:t>
      </w:r>
      <w:r w:rsidR="003B563A">
        <w:t xml:space="preserve"> in the gym are the lack of individual training that leads</w:t>
      </w:r>
      <w:r w:rsidR="00FF4E68">
        <w:t xml:space="preserve"> to consumers that are lagging behind in following the fitness regime that has been set up for them.</w:t>
      </w:r>
      <w:r w:rsidR="00141593">
        <w:t xml:space="preserve"> This develops a sense of lack of energy among the individual leading to the decline in the fitness focus. </w:t>
      </w:r>
      <w:r w:rsidR="008B513D">
        <w:t>The attitude of underestimating the competition in the sectors has been proved out to be costly and negatively impacted the organization</w:t>
      </w:r>
      <w:r w:rsidR="00966323">
        <w:t xml:space="preserve"> (Ojha et al., 2016)</w:t>
      </w:r>
      <w:r w:rsidR="005414D8">
        <w:t xml:space="preserve">. This indicates towards the requirement of development of the </w:t>
      </w:r>
      <w:r w:rsidR="00B72EA4">
        <w:t>appropriate financial management strategies</w:t>
      </w:r>
      <w:r w:rsidR="00FF6F85">
        <w:t xml:space="preserve">. </w:t>
      </w:r>
      <w:r w:rsidR="00F22008">
        <w:t xml:space="preserve">The recent financial management of the company is disadvantageous </w:t>
      </w:r>
      <w:r w:rsidR="003545DE">
        <w:t xml:space="preserve">for the long term as it is concentrated highly on the production of the incomes rather than controlling the cost.  </w:t>
      </w:r>
      <w:r w:rsidR="00FE6ED5">
        <w:t xml:space="preserve">Other than this the activity that requires most of the investment and capital is the maintenance of the </w:t>
      </w:r>
      <w:r w:rsidR="00B43A52">
        <w:t>equipment.</w:t>
      </w:r>
    </w:p>
    <w:p w:rsidR="00B43A52" w:rsidRDefault="00F677CE">
      <w:r>
        <w:t>Gold Gym has transformed the manner in which the people vi</w:t>
      </w:r>
      <w:r w:rsidR="008D3FFF">
        <w:t>ew</w:t>
      </w:r>
      <w:r w:rsidR="005852C0">
        <w:t xml:space="preserve">ed the gyms and fitness centres. It has become the world's most trusted fitness authority with the launch of the personal training programs that </w:t>
      </w:r>
      <w:r w:rsidR="00923BB3">
        <w:t xml:space="preserve">are based on the DNA interpretation and the expert oversight. </w:t>
      </w:r>
      <w:r w:rsidR="003F058E">
        <w:t>Fitness genes are</w:t>
      </w:r>
      <w:r w:rsidR="00CE19C6">
        <w:t xml:space="preserve"> one of the kind DNA testing programs that </w:t>
      </w:r>
      <w:r w:rsidR="003F058E">
        <w:t>remove</w:t>
      </w:r>
      <w:r w:rsidR="00CE19C6">
        <w:t xml:space="preserve"> the guesswork from </w:t>
      </w:r>
      <w:r w:rsidR="003F058E">
        <w:t xml:space="preserve">fitness and nutrition. This is the consumer-friendly program that perform the intricate analysis of the 70000 different kinds of the genes </w:t>
      </w:r>
      <w:r w:rsidR="00A76A69">
        <w:t>by the team of the scientists that reveals the particular traits of the individual involving the metabolic ten</w:t>
      </w:r>
      <w:r w:rsidR="00135512">
        <w:t>dencies, dietary sensitivities, fat burning tendency, muscle type and recovery time</w:t>
      </w:r>
      <w:r w:rsidR="00966323">
        <w:t xml:space="preserve"> (Schooley, 2016)</w:t>
      </w:r>
      <w:r w:rsidR="00135512">
        <w:t>.</w:t>
      </w:r>
    </w:p>
    <w:p w:rsidR="009A412C" w:rsidRDefault="00F677CE">
      <w:r>
        <w:t xml:space="preserve">The rise in the competition with the integration of the gyms everywhere in the locations like the apartments and community </w:t>
      </w:r>
      <w:r w:rsidR="00A8375A">
        <w:t>has been appearing as a threat for the company.</w:t>
      </w:r>
      <w:r w:rsidR="00B2007B">
        <w:t xml:space="preserve"> Other factors that </w:t>
      </w:r>
      <w:r w:rsidR="008F4F97">
        <w:t xml:space="preserve">are </w:t>
      </w:r>
      <w:r>
        <w:t>raising</w:t>
      </w:r>
      <w:r w:rsidR="008F4F97">
        <w:t xml:space="preserve"> the demand for development in the organization include the high staff overturn, low participation and unmotivated instructors. </w:t>
      </w:r>
    </w:p>
    <w:p w:rsidR="009A412C" w:rsidRDefault="00F677CE">
      <w:pPr>
        <w:spacing w:before="0" w:after="200" w:line="276" w:lineRule="auto"/>
        <w:jc w:val="left"/>
      </w:pPr>
      <w:r>
        <w:br w:type="page"/>
      </w:r>
    </w:p>
    <w:p w:rsidR="00135512" w:rsidRDefault="00F677CE" w:rsidP="00065AF5">
      <w:pPr>
        <w:pStyle w:val="Heading1"/>
      </w:pPr>
      <w:bookmarkStart w:id="2" w:name="_Toc534644521"/>
      <w:r>
        <w:lastRenderedPageBreak/>
        <w:t>REFERENCES</w:t>
      </w:r>
      <w:bookmarkEnd w:id="2"/>
    </w:p>
    <w:p w:rsidR="00065AF5" w:rsidRDefault="00F677CE" w:rsidP="00065AF5">
      <w:pPr>
        <w:pStyle w:val="ListParagraph"/>
        <w:numPr>
          <w:ilvl w:val="0"/>
          <w:numId w:val="1"/>
        </w:numPr>
      </w:pPr>
      <w:r>
        <w:t>Ahmed, S.M., Maurana, C., Nelson, D., Meister, T., Young, S.N. and Lucey, P., 2016. O</w:t>
      </w:r>
      <w:r>
        <w:t>pening the black box: Conceptualizing community engagement from 109 community-academic partnership programs. Progress in community health partnerships: research, education, and action, 10(1), pp.51-61.</w:t>
      </w:r>
    </w:p>
    <w:p w:rsidR="00065AF5" w:rsidRDefault="00F677CE" w:rsidP="00065AF5">
      <w:pPr>
        <w:pStyle w:val="ListParagraph"/>
        <w:numPr>
          <w:ilvl w:val="0"/>
          <w:numId w:val="1"/>
        </w:numPr>
      </w:pPr>
      <w:r>
        <w:t>Case, R.A. and Zeglen, L., 2018. Exploring the ebbs an</w:t>
      </w:r>
      <w:r>
        <w:t>d flows of community engagement: The pyramid of engagement and water activism in two Canadian communities. Journal of Community Practice, 26(2), pp.184-203.</w:t>
      </w:r>
    </w:p>
    <w:p w:rsidR="00065AF5" w:rsidRDefault="00F677CE" w:rsidP="00065AF5">
      <w:pPr>
        <w:pStyle w:val="ListParagraph"/>
        <w:numPr>
          <w:ilvl w:val="0"/>
          <w:numId w:val="1"/>
        </w:numPr>
      </w:pPr>
      <w:r>
        <w:t>Ibe, C.A., Basu, L., Gooden, R., Syed, S.B., Dadwal, V., Bone, L.R., Ephraim, P.L., Weston, C.M., W</w:t>
      </w:r>
      <w:r>
        <w:t>u, A.W., Barron, J. and Boonyasai, R.T., 2018. From Kisiizi to Baltimore: cultivating knowledge brokers to support global innovation for community engagement in healthcare. Globalization and health, 14(1), p.19.</w:t>
      </w:r>
    </w:p>
    <w:p w:rsidR="00065AF5" w:rsidRDefault="00F677CE" w:rsidP="00065AF5">
      <w:pPr>
        <w:pStyle w:val="ListParagraph"/>
        <w:numPr>
          <w:ilvl w:val="0"/>
          <w:numId w:val="1"/>
        </w:numPr>
      </w:pPr>
      <w:r>
        <w:t>Johnston, K.A., Lane, A.B., Hurst, B. and Be</w:t>
      </w:r>
      <w:r>
        <w:t>atson, A., 2018. Episodic and Relational Community Engagement. The Handbook of Communication Engagement, p.169.</w:t>
      </w:r>
    </w:p>
    <w:p w:rsidR="00065AF5" w:rsidRDefault="00F677CE" w:rsidP="00065AF5">
      <w:pPr>
        <w:pStyle w:val="ListParagraph"/>
        <w:numPr>
          <w:ilvl w:val="0"/>
          <w:numId w:val="1"/>
        </w:numPr>
      </w:pPr>
      <w:r>
        <w:t>Kolopack, P.A., Parsons, J.A. and Lavery, J.V., 2015. What makes community engagement effective?: lessons from the eliminate dengue program in Q</w:t>
      </w:r>
      <w:r>
        <w:t>ueensland Australia. PLoS neglected tropical diseases, 9(4), p.e0003713.</w:t>
      </w:r>
    </w:p>
    <w:p w:rsidR="00065AF5" w:rsidRDefault="00F677CE" w:rsidP="00065AF5">
      <w:pPr>
        <w:pStyle w:val="ListParagraph"/>
        <w:numPr>
          <w:ilvl w:val="0"/>
          <w:numId w:val="1"/>
        </w:numPr>
      </w:pPr>
      <w:r>
        <w:t>Mendes, G., Pinto, A.J., Marsh, J., Rodrigues, L. and Kiamba, L., 2017. SENSIBLE project community engagement both in Évora</w:t>
      </w:r>
      <w:r>
        <w:t xml:space="preserve"> and Nottingham demonstrator sites. CIRED-Open Access Proceedings Journal, 2017(1), pp.2897-2900.</w:t>
      </w:r>
    </w:p>
    <w:p w:rsidR="00065AF5" w:rsidRDefault="00F677CE" w:rsidP="00065AF5">
      <w:pPr>
        <w:pStyle w:val="ListParagraph"/>
        <w:numPr>
          <w:ilvl w:val="0"/>
          <w:numId w:val="1"/>
        </w:numPr>
      </w:pPr>
      <w:r>
        <w:t>Milliken, F.J., Schipani, C.A., Bishara, N.D. and Prado, A.M., 2015. Linking workplace practices to community engagement: The case for encouraging employee vo</w:t>
      </w:r>
      <w:r>
        <w:t>ice. Academy of Management Perspectives, 29(4), pp.405-421.</w:t>
      </w:r>
    </w:p>
    <w:p w:rsidR="00065AF5" w:rsidRDefault="00F677CE" w:rsidP="00065AF5">
      <w:pPr>
        <w:pStyle w:val="ListParagraph"/>
        <w:numPr>
          <w:ilvl w:val="0"/>
          <w:numId w:val="1"/>
        </w:numPr>
      </w:pPr>
      <w:r>
        <w:t>Ojha, H.R., Ford, R., Keenan, R.J., Race, D., Vega, D.C., Baral, H. and Sapkota, P., 2016. Delocalizing communities: changing forms of community engagement in natural resources governance. World D</w:t>
      </w:r>
      <w:r>
        <w:t>evelopment, 87, pp.274-290.</w:t>
      </w:r>
    </w:p>
    <w:p w:rsidR="00065AF5" w:rsidRDefault="00F677CE" w:rsidP="00065AF5">
      <w:pPr>
        <w:pStyle w:val="ListParagraph"/>
        <w:numPr>
          <w:ilvl w:val="0"/>
          <w:numId w:val="1"/>
        </w:numPr>
      </w:pPr>
      <w:r>
        <w:t>Rivera, R., 2016. The Perceived Community Engagement Survey: Structure, Reliability, and Validity of a Community-based Organization Measure of Engagement with the Broader Community.</w:t>
      </w:r>
    </w:p>
    <w:p w:rsidR="00065AF5" w:rsidRDefault="00F677CE" w:rsidP="00065AF5">
      <w:pPr>
        <w:pStyle w:val="ListParagraph"/>
        <w:numPr>
          <w:ilvl w:val="0"/>
          <w:numId w:val="1"/>
        </w:numPr>
      </w:pPr>
      <w:r>
        <w:lastRenderedPageBreak/>
        <w:t>Schooley, R., 2016. Does Organization Matter?:</w:t>
      </w:r>
      <w:r>
        <w:t xml:space="preserve"> Assessing Engagement Within and Beyond Community Organizing Coalitions (Doctoral dissertation, Peabody College of Vanderbilt University).</w:t>
      </w:r>
    </w:p>
    <w:p w:rsidR="00065AF5" w:rsidRDefault="00F677CE" w:rsidP="00065AF5">
      <w:pPr>
        <w:pStyle w:val="ListParagraph"/>
        <w:numPr>
          <w:ilvl w:val="0"/>
          <w:numId w:val="1"/>
        </w:numPr>
      </w:pPr>
      <w:r>
        <w:t>Smith, E.B., 2015. Understanding Culture, Social Organization, and Leadership to Enhance Community Engagement. Leader</w:t>
      </w:r>
      <w:r>
        <w:t>ship &amp; Organizational Management Journal, 2015(3).</w:t>
      </w:r>
    </w:p>
    <w:p w:rsidR="00065AF5" w:rsidRDefault="00F677CE" w:rsidP="00065AF5">
      <w:pPr>
        <w:pStyle w:val="ListParagraph"/>
        <w:numPr>
          <w:ilvl w:val="0"/>
          <w:numId w:val="1"/>
        </w:numPr>
      </w:pPr>
      <w:r>
        <w:t>Tak, S., 2017, September. Cooperative Membership and Community Engagement: Findings From a Latin American Survey. In Sociological Forum (Vol. 32, No. 3, pp. 566-586).</w:t>
      </w:r>
    </w:p>
    <w:p w:rsidR="00065AF5" w:rsidRDefault="00F677CE" w:rsidP="00065AF5">
      <w:pPr>
        <w:pStyle w:val="ListParagraph"/>
        <w:numPr>
          <w:ilvl w:val="0"/>
          <w:numId w:val="1"/>
        </w:numPr>
      </w:pPr>
      <w:r>
        <w:t>Wallerstein, N., Minkler, M., Carter-E</w:t>
      </w:r>
      <w:r>
        <w:t>dwards, L., Avila, M. and Sanchez, V., 2015. Improving health through community engagement, community organization, and community building. Health behaviour: Theory, research, and practice, pp.277-300.</w:t>
      </w:r>
    </w:p>
    <w:p w:rsidR="00E27EE4" w:rsidRDefault="00E27EE4"/>
    <w:sectPr w:rsidR="00E27EE4" w:rsidSect="00ED3FF1">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F677CE">
      <w:pPr>
        <w:spacing w:before="0" w:after="0" w:line="240" w:lineRule="auto"/>
      </w:pPr>
      <w:r>
        <w:separator/>
      </w:r>
    </w:p>
  </w:endnote>
  <w:endnote w:type="continuationSeparator" w:id="0">
    <w:p w:rsidR="00000000" w:rsidRDefault="00F677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5905834"/>
      <w:docPartObj>
        <w:docPartGallery w:val="Page Numbers (Bottom of Page)"/>
        <w:docPartUnique/>
      </w:docPartObj>
    </w:sdtPr>
    <w:sdtEndPr>
      <w:rPr>
        <w:noProof/>
      </w:rPr>
    </w:sdtEndPr>
    <w:sdtContent>
      <w:p w:rsidR="00065AF5" w:rsidRDefault="00F677CE">
        <w:pPr>
          <w:pStyle w:val="Footer"/>
          <w:jc w:val="center"/>
        </w:pPr>
        <w:r>
          <w:fldChar w:fldCharType="begin"/>
        </w:r>
        <w:r>
          <w:instrText xml:space="preserve"> PAGE   \* MERGEFORMAT </w:instrText>
        </w:r>
        <w:r>
          <w:fldChar w:fldCharType="separate"/>
        </w:r>
        <w:r w:rsidR="00635790">
          <w:rPr>
            <w:noProof/>
          </w:rPr>
          <w:t>6</w:t>
        </w:r>
        <w:r>
          <w:rPr>
            <w:noProof/>
          </w:rPr>
          <w:fldChar w:fldCharType="end"/>
        </w:r>
      </w:p>
    </w:sdtContent>
  </w:sdt>
  <w:p w:rsidR="00065AF5" w:rsidRDefault="00065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F677CE">
      <w:pPr>
        <w:spacing w:before="0" w:after="0" w:line="240" w:lineRule="auto"/>
      </w:pPr>
      <w:r>
        <w:separator/>
      </w:r>
    </w:p>
  </w:footnote>
  <w:footnote w:type="continuationSeparator" w:id="0">
    <w:p w:rsidR="00000000" w:rsidRDefault="00F677C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834723"/>
    <w:multiLevelType w:val="hybridMultilevel"/>
    <w:tmpl w:val="9F26E5D6"/>
    <w:lvl w:ilvl="0" w:tplc="6858574C">
      <w:start w:val="1"/>
      <w:numFmt w:val="bullet"/>
      <w:lvlText w:val=""/>
      <w:lvlJc w:val="left"/>
      <w:pPr>
        <w:ind w:left="720" w:hanging="360"/>
      </w:pPr>
      <w:rPr>
        <w:rFonts w:ascii="Symbol" w:hAnsi="Symbol" w:hint="default"/>
      </w:rPr>
    </w:lvl>
    <w:lvl w:ilvl="1" w:tplc="79E26784" w:tentative="1">
      <w:start w:val="1"/>
      <w:numFmt w:val="bullet"/>
      <w:lvlText w:val="o"/>
      <w:lvlJc w:val="left"/>
      <w:pPr>
        <w:ind w:left="1440" w:hanging="360"/>
      </w:pPr>
      <w:rPr>
        <w:rFonts w:ascii="Courier New" w:hAnsi="Courier New" w:cs="Courier New" w:hint="default"/>
      </w:rPr>
    </w:lvl>
    <w:lvl w:ilvl="2" w:tplc="D4BCB132" w:tentative="1">
      <w:start w:val="1"/>
      <w:numFmt w:val="bullet"/>
      <w:lvlText w:val=""/>
      <w:lvlJc w:val="left"/>
      <w:pPr>
        <w:ind w:left="2160" w:hanging="360"/>
      </w:pPr>
      <w:rPr>
        <w:rFonts w:ascii="Wingdings" w:hAnsi="Wingdings" w:hint="default"/>
      </w:rPr>
    </w:lvl>
    <w:lvl w:ilvl="3" w:tplc="5A641880" w:tentative="1">
      <w:start w:val="1"/>
      <w:numFmt w:val="bullet"/>
      <w:lvlText w:val=""/>
      <w:lvlJc w:val="left"/>
      <w:pPr>
        <w:ind w:left="2880" w:hanging="360"/>
      </w:pPr>
      <w:rPr>
        <w:rFonts w:ascii="Symbol" w:hAnsi="Symbol" w:hint="default"/>
      </w:rPr>
    </w:lvl>
    <w:lvl w:ilvl="4" w:tplc="4F60A8F0" w:tentative="1">
      <w:start w:val="1"/>
      <w:numFmt w:val="bullet"/>
      <w:lvlText w:val="o"/>
      <w:lvlJc w:val="left"/>
      <w:pPr>
        <w:ind w:left="3600" w:hanging="360"/>
      </w:pPr>
      <w:rPr>
        <w:rFonts w:ascii="Courier New" w:hAnsi="Courier New" w:cs="Courier New" w:hint="default"/>
      </w:rPr>
    </w:lvl>
    <w:lvl w:ilvl="5" w:tplc="A0ECF2FE" w:tentative="1">
      <w:start w:val="1"/>
      <w:numFmt w:val="bullet"/>
      <w:lvlText w:val=""/>
      <w:lvlJc w:val="left"/>
      <w:pPr>
        <w:ind w:left="4320" w:hanging="360"/>
      </w:pPr>
      <w:rPr>
        <w:rFonts w:ascii="Wingdings" w:hAnsi="Wingdings" w:hint="default"/>
      </w:rPr>
    </w:lvl>
    <w:lvl w:ilvl="6" w:tplc="7F5C66CA" w:tentative="1">
      <w:start w:val="1"/>
      <w:numFmt w:val="bullet"/>
      <w:lvlText w:val=""/>
      <w:lvlJc w:val="left"/>
      <w:pPr>
        <w:ind w:left="5040" w:hanging="360"/>
      </w:pPr>
      <w:rPr>
        <w:rFonts w:ascii="Symbol" w:hAnsi="Symbol" w:hint="default"/>
      </w:rPr>
    </w:lvl>
    <w:lvl w:ilvl="7" w:tplc="CDC44DF4" w:tentative="1">
      <w:start w:val="1"/>
      <w:numFmt w:val="bullet"/>
      <w:lvlText w:val="o"/>
      <w:lvlJc w:val="left"/>
      <w:pPr>
        <w:ind w:left="5760" w:hanging="360"/>
      </w:pPr>
      <w:rPr>
        <w:rFonts w:ascii="Courier New" w:hAnsi="Courier New" w:cs="Courier New" w:hint="default"/>
      </w:rPr>
    </w:lvl>
    <w:lvl w:ilvl="8" w:tplc="14AA087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14B"/>
    <w:rsid w:val="00026B53"/>
    <w:rsid w:val="00031D71"/>
    <w:rsid w:val="000362E0"/>
    <w:rsid w:val="000368B2"/>
    <w:rsid w:val="000606C5"/>
    <w:rsid w:val="00065AF5"/>
    <w:rsid w:val="000A7C32"/>
    <w:rsid w:val="000F0F0A"/>
    <w:rsid w:val="000F1067"/>
    <w:rsid w:val="001038B6"/>
    <w:rsid w:val="00105C5C"/>
    <w:rsid w:val="00116B09"/>
    <w:rsid w:val="00116ED0"/>
    <w:rsid w:val="00120A2D"/>
    <w:rsid w:val="00122FFC"/>
    <w:rsid w:val="00135512"/>
    <w:rsid w:val="00141056"/>
    <w:rsid w:val="00141593"/>
    <w:rsid w:val="00147E04"/>
    <w:rsid w:val="001533AC"/>
    <w:rsid w:val="00171E8A"/>
    <w:rsid w:val="0019137C"/>
    <w:rsid w:val="001B2316"/>
    <w:rsid w:val="001B5402"/>
    <w:rsid w:val="001D3FDF"/>
    <w:rsid w:val="002209D0"/>
    <w:rsid w:val="00252C9F"/>
    <w:rsid w:val="0025798F"/>
    <w:rsid w:val="0026365F"/>
    <w:rsid w:val="0027069E"/>
    <w:rsid w:val="002733C7"/>
    <w:rsid w:val="00281C0A"/>
    <w:rsid w:val="002833D8"/>
    <w:rsid w:val="002E33F9"/>
    <w:rsid w:val="002E6D3C"/>
    <w:rsid w:val="002F6FE2"/>
    <w:rsid w:val="003045AD"/>
    <w:rsid w:val="00315CA1"/>
    <w:rsid w:val="00344611"/>
    <w:rsid w:val="003545DE"/>
    <w:rsid w:val="0035698A"/>
    <w:rsid w:val="00357F13"/>
    <w:rsid w:val="00363B44"/>
    <w:rsid w:val="00376FC1"/>
    <w:rsid w:val="003817A6"/>
    <w:rsid w:val="003B563A"/>
    <w:rsid w:val="003B63FF"/>
    <w:rsid w:val="003D0EDE"/>
    <w:rsid w:val="003D478B"/>
    <w:rsid w:val="003D63F7"/>
    <w:rsid w:val="003E416E"/>
    <w:rsid w:val="003F058E"/>
    <w:rsid w:val="00432CDC"/>
    <w:rsid w:val="00433052"/>
    <w:rsid w:val="004474B2"/>
    <w:rsid w:val="0046014B"/>
    <w:rsid w:val="00461968"/>
    <w:rsid w:val="00473714"/>
    <w:rsid w:val="004976B7"/>
    <w:rsid w:val="004C3AA9"/>
    <w:rsid w:val="004E2F2D"/>
    <w:rsid w:val="004E4A63"/>
    <w:rsid w:val="00502D85"/>
    <w:rsid w:val="00510BE6"/>
    <w:rsid w:val="0051140C"/>
    <w:rsid w:val="00531D2E"/>
    <w:rsid w:val="005414D8"/>
    <w:rsid w:val="0054313D"/>
    <w:rsid w:val="00554FFE"/>
    <w:rsid w:val="00555053"/>
    <w:rsid w:val="005673C1"/>
    <w:rsid w:val="005852C0"/>
    <w:rsid w:val="00587B4E"/>
    <w:rsid w:val="00591EA5"/>
    <w:rsid w:val="005A7F6A"/>
    <w:rsid w:val="005B607A"/>
    <w:rsid w:val="005C2A13"/>
    <w:rsid w:val="005F7C1A"/>
    <w:rsid w:val="006026AF"/>
    <w:rsid w:val="00613BFD"/>
    <w:rsid w:val="00635790"/>
    <w:rsid w:val="0066252D"/>
    <w:rsid w:val="00666C10"/>
    <w:rsid w:val="006928C8"/>
    <w:rsid w:val="006B4BCF"/>
    <w:rsid w:val="006C5AB4"/>
    <w:rsid w:val="00743C0B"/>
    <w:rsid w:val="00771164"/>
    <w:rsid w:val="007827B2"/>
    <w:rsid w:val="00790AC7"/>
    <w:rsid w:val="00794B16"/>
    <w:rsid w:val="007A7448"/>
    <w:rsid w:val="007B0DEE"/>
    <w:rsid w:val="007D7B97"/>
    <w:rsid w:val="007E357E"/>
    <w:rsid w:val="007F79C8"/>
    <w:rsid w:val="0086199C"/>
    <w:rsid w:val="0088181D"/>
    <w:rsid w:val="008B513D"/>
    <w:rsid w:val="008D316B"/>
    <w:rsid w:val="008D3FFF"/>
    <w:rsid w:val="008F4F97"/>
    <w:rsid w:val="009148FF"/>
    <w:rsid w:val="009218B5"/>
    <w:rsid w:val="00923BB3"/>
    <w:rsid w:val="0093102F"/>
    <w:rsid w:val="00945835"/>
    <w:rsid w:val="0095520B"/>
    <w:rsid w:val="00955996"/>
    <w:rsid w:val="00957E00"/>
    <w:rsid w:val="00961ADE"/>
    <w:rsid w:val="00966323"/>
    <w:rsid w:val="00986CE1"/>
    <w:rsid w:val="00995F98"/>
    <w:rsid w:val="009A412C"/>
    <w:rsid w:val="009A6679"/>
    <w:rsid w:val="009C133B"/>
    <w:rsid w:val="009C7174"/>
    <w:rsid w:val="009D1A2F"/>
    <w:rsid w:val="009E1C52"/>
    <w:rsid w:val="009E59F1"/>
    <w:rsid w:val="009E724D"/>
    <w:rsid w:val="00A1592F"/>
    <w:rsid w:val="00A528CF"/>
    <w:rsid w:val="00A53FD4"/>
    <w:rsid w:val="00A76A69"/>
    <w:rsid w:val="00A8339B"/>
    <w:rsid w:val="00A8375A"/>
    <w:rsid w:val="00A8768B"/>
    <w:rsid w:val="00A900EB"/>
    <w:rsid w:val="00AA5B42"/>
    <w:rsid w:val="00AC2C73"/>
    <w:rsid w:val="00AD096D"/>
    <w:rsid w:val="00AD0BC3"/>
    <w:rsid w:val="00AD2656"/>
    <w:rsid w:val="00AD34ED"/>
    <w:rsid w:val="00B06ACC"/>
    <w:rsid w:val="00B1471B"/>
    <w:rsid w:val="00B171D8"/>
    <w:rsid w:val="00B2007B"/>
    <w:rsid w:val="00B34BEF"/>
    <w:rsid w:val="00B43A52"/>
    <w:rsid w:val="00B45970"/>
    <w:rsid w:val="00B72EA4"/>
    <w:rsid w:val="00B75603"/>
    <w:rsid w:val="00B90C6A"/>
    <w:rsid w:val="00B97B58"/>
    <w:rsid w:val="00C13042"/>
    <w:rsid w:val="00C25C55"/>
    <w:rsid w:val="00C30354"/>
    <w:rsid w:val="00C90281"/>
    <w:rsid w:val="00C921B5"/>
    <w:rsid w:val="00CA53D8"/>
    <w:rsid w:val="00CB5988"/>
    <w:rsid w:val="00CC1794"/>
    <w:rsid w:val="00CE19C6"/>
    <w:rsid w:val="00D02811"/>
    <w:rsid w:val="00D11697"/>
    <w:rsid w:val="00D45CE7"/>
    <w:rsid w:val="00D9015B"/>
    <w:rsid w:val="00DC2B0B"/>
    <w:rsid w:val="00DD63F6"/>
    <w:rsid w:val="00E1297A"/>
    <w:rsid w:val="00E27EE4"/>
    <w:rsid w:val="00E44E66"/>
    <w:rsid w:val="00E45B10"/>
    <w:rsid w:val="00EC3F24"/>
    <w:rsid w:val="00ED3FF1"/>
    <w:rsid w:val="00F1137B"/>
    <w:rsid w:val="00F13116"/>
    <w:rsid w:val="00F22008"/>
    <w:rsid w:val="00F44A8D"/>
    <w:rsid w:val="00F44BDE"/>
    <w:rsid w:val="00F6464F"/>
    <w:rsid w:val="00F677CE"/>
    <w:rsid w:val="00F96D99"/>
    <w:rsid w:val="00FB7EBE"/>
    <w:rsid w:val="00FC26C4"/>
    <w:rsid w:val="00FE6ED5"/>
    <w:rsid w:val="00FF4E68"/>
    <w:rsid w:val="00FF6F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EC494EB"/>
  <w15:docId w15:val="{86CA61E3-07B0-1945-9420-244FACED6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1E8A"/>
    <w:pPr>
      <w:spacing w:before="120" w:after="320" w:line="360" w:lineRule="auto"/>
      <w:jc w:val="both"/>
    </w:pPr>
    <w:rPr>
      <w:sz w:val="24"/>
      <w:lang w:val="en-GB"/>
    </w:rPr>
  </w:style>
  <w:style w:type="paragraph" w:styleId="Heading1">
    <w:name w:val="heading 1"/>
    <w:basedOn w:val="Normal"/>
    <w:next w:val="Normal"/>
    <w:link w:val="Heading1Char"/>
    <w:uiPriority w:val="9"/>
    <w:qFormat/>
    <w:rsid w:val="00065A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AF5"/>
    <w:pPr>
      <w:ind w:left="720"/>
      <w:contextualSpacing/>
    </w:pPr>
  </w:style>
  <w:style w:type="character" w:customStyle="1" w:styleId="Heading1Char">
    <w:name w:val="Heading 1 Char"/>
    <w:basedOn w:val="DefaultParagraphFont"/>
    <w:link w:val="Heading1"/>
    <w:uiPriority w:val="9"/>
    <w:rsid w:val="00065AF5"/>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065AF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65AF5"/>
    <w:rPr>
      <w:sz w:val="24"/>
      <w:lang w:val="en-GB"/>
    </w:rPr>
  </w:style>
  <w:style w:type="paragraph" w:styleId="Footer">
    <w:name w:val="footer"/>
    <w:basedOn w:val="Normal"/>
    <w:link w:val="FooterChar"/>
    <w:uiPriority w:val="99"/>
    <w:unhideWhenUsed/>
    <w:rsid w:val="00065AF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65AF5"/>
    <w:rPr>
      <w:sz w:val="24"/>
      <w:lang w:val="en-GB"/>
    </w:rPr>
  </w:style>
  <w:style w:type="paragraph" w:styleId="NoSpacing">
    <w:name w:val="No Spacing"/>
    <w:link w:val="NoSpacingChar"/>
    <w:uiPriority w:val="1"/>
    <w:qFormat/>
    <w:rsid w:val="00ED3FF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D3FF1"/>
    <w:rPr>
      <w:rFonts w:eastAsiaTheme="minorEastAsia"/>
      <w:lang w:eastAsia="ja-JP"/>
    </w:rPr>
  </w:style>
  <w:style w:type="paragraph" w:styleId="BalloonText">
    <w:name w:val="Balloon Text"/>
    <w:basedOn w:val="Normal"/>
    <w:link w:val="BalloonTextChar"/>
    <w:uiPriority w:val="99"/>
    <w:semiHidden/>
    <w:unhideWhenUsed/>
    <w:rsid w:val="00ED3FF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3FF1"/>
    <w:rPr>
      <w:rFonts w:ascii="Tahoma" w:hAnsi="Tahoma" w:cs="Tahoma"/>
      <w:sz w:val="16"/>
      <w:szCs w:val="16"/>
      <w:lang w:val="en-GB"/>
    </w:rPr>
  </w:style>
  <w:style w:type="paragraph" w:styleId="TOCHeading">
    <w:name w:val="TOC Heading"/>
    <w:basedOn w:val="Heading1"/>
    <w:next w:val="Normal"/>
    <w:uiPriority w:val="39"/>
    <w:semiHidden/>
    <w:unhideWhenUsed/>
    <w:qFormat/>
    <w:rsid w:val="00635790"/>
    <w:pPr>
      <w:spacing w:line="276" w:lineRule="auto"/>
      <w:jc w:val="left"/>
      <w:outlineLvl w:val="9"/>
    </w:pPr>
    <w:rPr>
      <w:lang w:val="en-US" w:eastAsia="ja-JP"/>
    </w:rPr>
  </w:style>
  <w:style w:type="paragraph" w:styleId="TOC1">
    <w:name w:val="toc 1"/>
    <w:basedOn w:val="Normal"/>
    <w:next w:val="Normal"/>
    <w:autoRedefine/>
    <w:uiPriority w:val="39"/>
    <w:unhideWhenUsed/>
    <w:rsid w:val="00635790"/>
    <w:pPr>
      <w:spacing w:after="100"/>
    </w:pPr>
  </w:style>
  <w:style w:type="character" w:styleId="Hyperlink">
    <w:name w:val="Hyperlink"/>
    <w:basedOn w:val="DefaultParagraphFont"/>
    <w:uiPriority w:val="99"/>
    <w:unhideWhenUsed/>
    <w:rsid w:val="00635790"/>
    <w:rPr>
      <w:color w:val="0000FF" w:themeColor="hyperlink"/>
      <w:u w:val="single"/>
    </w:rPr>
  </w:style>
  <w:style w:type="paragraph" w:customStyle="1" w:styleId="Normal1">
    <w:name w:val="Normal1"/>
    <w:rsid w:val="00995F98"/>
    <w:pPr>
      <w:spacing w:after="0"/>
      <w:contextualSpacing/>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176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D17B64583AE441DAB3C796B3A0E6323"/>
        <w:category>
          <w:name w:val="General"/>
          <w:gallery w:val="placeholder"/>
        </w:category>
        <w:types>
          <w:type w:val="bbPlcHdr"/>
        </w:types>
        <w:behaviors>
          <w:behavior w:val="content"/>
        </w:behaviors>
        <w:guid w:val="{6DBD52D0-788E-4C1B-8CA5-068E26AB3D43}"/>
      </w:docPartPr>
      <w:docPartBody>
        <w:p w:rsidR="007C78F1" w:rsidRDefault="007C78F1" w:rsidP="00363B44">
          <w:pPr>
            <w:pStyle w:val="8D17B64583AE441DAB3C796B3A0E6323"/>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3B44"/>
    <w:rsid w:val="00363B44"/>
    <w:rsid w:val="006A1B18"/>
    <w:rsid w:val="007C78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3B79A600704B018C5ECAD2E2E8FBCA">
    <w:name w:val="433B79A600704B018C5ECAD2E2E8FBCA"/>
    <w:rsid w:val="00363B44"/>
  </w:style>
  <w:style w:type="paragraph" w:customStyle="1" w:styleId="8D17B64583AE441DAB3C796B3A0E6323">
    <w:name w:val="8D17B64583AE441DAB3C796B3A0E6323"/>
    <w:rsid w:val="00363B44"/>
  </w:style>
  <w:style w:type="paragraph" w:customStyle="1" w:styleId="E41BDFBA85844E5A9B8BA3BF133E4883">
    <w:name w:val="E41BDFBA85844E5A9B8BA3BF133E4883"/>
    <w:rsid w:val="00363B44"/>
  </w:style>
  <w:style w:type="paragraph" w:customStyle="1" w:styleId="604C0DD2AC8C4DE8A1845B32841CEFF6">
    <w:name w:val="604C0DD2AC8C4DE8A1845B32841CEFF6"/>
    <w:rsid w:val="00363B44"/>
  </w:style>
  <w:style w:type="paragraph" w:customStyle="1" w:styleId="D75A8524B18C45E086EA6098C989B38A">
    <w:name w:val="D75A8524B18C45E086EA6098C989B38A"/>
    <w:rsid w:val="00363B44"/>
  </w:style>
  <w:style w:type="paragraph" w:customStyle="1" w:styleId="F80A04DD70E440D3B169F7A19783B0F6">
    <w:name w:val="F80A04DD70E440D3B169F7A19783B0F6"/>
    <w:rsid w:val="00363B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3AFDFD-7EA5-2B49-ACEB-3119A2D0F1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creator>Lous</dc:creator>
  <cp:lastModifiedBy>Elisabeta Bres (1806711)</cp:lastModifiedBy>
  <cp:revision>2</cp:revision>
  <dcterms:created xsi:type="dcterms:W3CDTF">2019-01-07T15:35:00Z</dcterms:created>
  <dcterms:modified xsi:type="dcterms:W3CDTF">2019-01-07T15:35:00Z</dcterms:modified>
</cp:coreProperties>
</file>