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6C90" w:rsidRDefault="00836C90" w:rsidP="00836C90">
      <w:pPr>
        <w:pStyle w:val="Heading2"/>
      </w:pPr>
      <w:bookmarkStart w:id="0" w:name="_Toc57910074"/>
      <w:bookmarkStart w:id="1" w:name="_Toc58251290"/>
      <w:bookmarkStart w:id="2" w:name="_Toc72413618"/>
      <w:r w:rsidRPr="00BA2696">
        <w:t>CHAPTER 2: LITERATURE REVIEW</w:t>
      </w:r>
      <w:bookmarkEnd w:id="0"/>
      <w:bookmarkEnd w:id="1"/>
      <w:bookmarkEnd w:id="2"/>
    </w:p>
    <w:p w:rsidR="00836C90" w:rsidRPr="00C9500D" w:rsidRDefault="00836C90" w:rsidP="00836C90"/>
    <w:p w:rsidR="00836C90" w:rsidRPr="00BA2696" w:rsidRDefault="00836C90" w:rsidP="00836C90">
      <w:pPr>
        <w:spacing w:after="0" w:line="480" w:lineRule="auto"/>
        <w:rPr>
          <w:rFonts w:cs="Calibri"/>
          <w:iCs/>
          <w:sz w:val="24"/>
          <w:szCs w:val="24"/>
        </w:rPr>
      </w:pPr>
      <w:r w:rsidRPr="00BA2696">
        <w:rPr>
          <w:rFonts w:cs="Calibri"/>
          <w:iCs/>
          <w:sz w:val="24"/>
          <w:szCs w:val="24"/>
        </w:rPr>
        <w:t>The purpose of this literature review is to present how the concepts of ‘race’, racism and whiteness are understood in this research, and does this by focusing on key issues associated with this original doctoral research. These key issues are divided into three parts in this chapter. To begin, part 1 outlines the social construction of ‘race’ and whiteness (Sections 2.1.1 and 2.1.2). Then, it considers racial identity (Section 2.1.3), white privilege (Section 2.1.4) and white ignorance (Section 2.1.5). The focus on whiteness is not intended to be exclusionary, rather, it is done with critical whiteness studies aim to ‘</w:t>
      </w:r>
      <w:r w:rsidRPr="00BA2696">
        <w:rPr>
          <w:rFonts w:cs="Calibri"/>
          <w:sz w:val="24"/>
          <w:szCs w:val="24"/>
        </w:rPr>
        <w:t>reveal the invisible structures that produce and reproduce white supremacy and privilege’ (Applebaum, 2016a, p. 1). Thus, examining whiteness is done as a way to critique, not centralise, whiteness. This intention is analogous with the methodology of post-critical ethnography</w:t>
      </w:r>
      <w:r>
        <w:rPr>
          <w:rFonts w:cs="Calibri"/>
          <w:sz w:val="24"/>
          <w:szCs w:val="24"/>
        </w:rPr>
        <w:t xml:space="preserve"> adopted in this study</w:t>
      </w:r>
      <w:r w:rsidRPr="00BA2696">
        <w:rPr>
          <w:rFonts w:cs="Calibri"/>
          <w:sz w:val="24"/>
          <w:szCs w:val="24"/>
        </w:rPr>
        <w:t xml:space="preserve"> which understands research as political (Anders, 2019) and a way of achieving ‘social transformation’ (Gerstl-Pepin, 2004, p. 385). The contemporary implications of ‘race’ are then discussed by focusing on education</w:t>
      </w:r>
      <w:r w:rsidRPr="004939FF">
        <w:rPr>
          <w:rFonts w:cs="Calibri"/>
          <w:sz w:val="24"/>
          <w:szCs w:val="24"/>
        </w:rPr>
        <w:t xml:space="preserve"> (Section 2.1.6)</w:t>
      </w:r>
      <w:r w:rsidRPr="00BA2696">
        <w:rPr>
          <w:rFonts w:cs="Calibri"/>
          <w:sz w:val="24"/>
          <w:szCs w:val="24"/>
        </w:rPr>
        <w:t xml:space="preserve"> as this research took place in an educational setting. After which, three forms of racism are considered: systemic/institutional, racialisation and colour-blind (Section 2.1.7). In part 2, counselling and ‘race’ are discussed (Section 2.2), through exploring Eurocentrism and mental health (Section 2.2.1), counselling (Section 2.2.2) and counselling pedagogy (Section 2.2.3). Again, the aim of the literature review is to make whiteness visible (Applebaum, 2016a) through explicitly discussing ‘race’, racism and whiteness. </w:t>
      </w:r>
      <w:r w:rsidRPr="00BA2696">
        <w:rPr>
          <w:rFonts w:cs="Calibri"/>
          <w:iCs/>
          <w:sz w:val="24"/>
          <w:szCs w:val="24"/>
        </w:rPr>
        <w:t xml:space="preserve">Part 3 (Section 2.3.3) seeks to synthesise the preceding parts by considering them through the theoretical lens of critical whiteness studies (Delgado and Stefancic, 1997; </w:t>
      </w:r>
      <w:r w:rsidRPr="00BA2696">
        <w:rPr>
          <w:rFonts w:cs="Calibri"/>
          <w:iCs/>
          <w:sz w:val="24"/>
          <w:szCs w:val="24"/>
        </w:rPr>
        <w:lastRenderedPageBreak/>
        <w:t xml:space="preserve">Applebaum, 2016a) and critical race theory (Crenshaw </w:t>
      </w:r>
      <w:r w:rsidRPr="00BA2696">
        <w:rPr>
          <w:rFonts w:cs="Calibri"/>
          <w:i/>
          <w:iCs/>
          <w:sz w:val="24"/>
          <w:szCs w:val="24"/>
        </w:rPr>
        <w:t>et al</w:t>
      </w:r>
      <w:r w:rsidRPr="00BA2696">
        <w:rPr>
          <w:rFonts w:cs="Calibri"/>
          <w:iCs/>
          <w:sz w:val="24"/>
          <w:szCs w:val="24"/>
        </w:rPr>
        <w:t xml:space="preserve">, 1995; Delgado and Stefancic, 2017). Using these theories for a social justice doctoral studies in Wales, as well as using them to consider counselling practice and pedagogy, is a unique contribution to Welsh academic knowledge. </w:t>
      </w:r>
    </w:p>
    <w:p w:rsidR="00836C90" w:rsidRDefault="00836C90" w:rsidP="00836C90">
      <w:pPr>
        <w:spacing w:after="0" w:line="480" w:lineRule="auto"/>
        <w:rPr>
          <w:rFonts w:cs="Calibri"/>
          <w:iCs/>
          <w:sz w:val="24"/>
          <w:szCs w:val="24"/>
        </w:rPr>
      </w:pPr>
    </w:p>
    <w:p w:rsidR="00836C90" w:rsidRPr="00BA2696" w:rsidRDefault="00836C90" w:rsidP="00836C90">
      <w:pPr>
        <w:spacing w:after="0" w:line="480" w:lineRule="auto"/>
        <w:rPr>
          <w:rFonts w:cs="Calibri"/>
          <w:iCs/>
          <w:sz w:val="24"/>
          <w:szCs w:val="24"/>
        </w:rPr>
      </w:pPr>
      <w:r w:rsidRPr="00BA2696">
        <w:rPr>
          <w:rFonts w:cs="Calibri"/>
          <w:iCs/>
          <w:sz w:val="24"/>
          <w:szCs w:val="24"/>
        </w:rPr>
        <w:t xml:space="preserve">To achieve this, the literature review is interdisciplinary and considers historical, psychological, social science and counselling perspectives. Given the scope of literature and the various disciplines it draws upon, this literature review is intended to present a firm foundation to understand these topics and the original research that follows. It will also allow identification of the gaps in knowledge and present a rationale for the choice of methodology; this will be presented in part 3 of this chapter (Section 2.3.3). </w:t>
      </w:r>
    </w:p>
    <w:p w:rsidR="00836C90" w:rsidRPr="00BA2696" w:rsidRDefault="00836C90" w:rsidP="00836C90">
      <w:pPr>
        <w:spacing w:after="0" w:line="480" w:lineRule="auto"/>
        <w:rPr>
          <w:rFonts w:cs="Calibri"/>
          <w:iCs/>
          <w:sz w:val="24"/>
          <w:szCs w:val="24"/>
        </w:rPr>
      </w:pPr>
    </w:p>
    <w:p w:rsidR="00836C90" w:rsidRPr="00BA2696" w:rsidRDefault="00836C90" w:rsidP="00836C90">
      <w:pPr>
        <w:pStyle w:val="Heading4"/>
      </w:pPr>
      <w:r w:rsidRPr="00BA2696">
        <w:t>Key Terms</w:t>
      </w:r>
    </w:p>
    <w:p w:rsidR="00836C90" w:rsidRPr="00BA2696" w:rsidRDefault="00836C90" w:rsidP="00836C90">
      <w:pPr>
        <w:spacing w:after="0" w:line="480" w:lineRule="auto"/>
        <w:rPr>
          <w:rFonts w:cs="Calibri"/>
          <w:iCs/>
          <w:sz w:val="24"/>
          <w:szCs w:val="24"/>
        </w:rPr>
      </w:pPr>
      <w:r w:rsidRPr="00BA2696">
        <w:rPr>
          <w:rFonts w:cs="Calibri"/>
          <w:iCs/>
          <w:sz w:val="24"/>
          <w:szCs w:val="24"/>
        </w:rPr>
        <w:t xml:space="preserve">To research ‘race’, it is important to clarify what is meant by the word and those closely associated with it. For the purpose of this research, </w:t>
      </w:r>
      <w:r>
        <w:rPr>
          <w:rFonts w:cs="Calibri"/>
          <w:iCs/>
          <w:sz w:val="24"/>
          <w:szCs w:val="24"/>
        </w:rPr>
        <w:t>Fernando’s (2010; Table 2)</w:t>
      </w:r>
      <w:r w:rsidRPr="00BA2696">
        <w:rPr>
          <w:rFonts w:cs="Calibri"/>
          <w:iCs/>
          <w:sz w:val="24"/>
          <w:szCs w:val="24"/>
        </w:rPr>
        <w:t xml:space="preserve"> definitions have been used as the framework for understanding these terms:</w:t>
      </w:r>
    </w:p>
    <w:p w:rsidR="00836C90" w:rsidRDefault="00836C90" w:rsidP="00836C90">
      <w:pPr>
        <w:suppressAutoHyphens w:val="0"/>
        <w:autoSpaceDN/>
        <w:spacing w:after="0" w:line="240" w:lineRule="auto"/>
        <w:textAlignment w:val="auto"/>
        <w:rPr>
          <w:i/>
          <w:iCs/>
          <w:color w:val="44546A" w:themeColor="text2"/>
          <w:sz w:val="24"/>
          <w:szCs w:val="24"/>
        </w:rPr>
      </w:pPr>
      <w:r>
        <w:rPr>
          <w:sz w:val="24"/>
          <w:szCs w:val="24"/>
        </w:rPr>
        <w:br w:type="page"/>
      </w:r>
    </w:p>
    <w:p w:rsidR="00836C90" w:rsidRPr="009C3ADD" w:rsidRDefault="00836C90" w:rsidP="00836C90">
      <w:pPr>
        <w:pStyle w:val="Caption"/>
        <w:keepNext/>
        <w:rPr>
          <w:sz w:val="24"/>
          <w:szCs w:val="24"/>
        </w:rPr>
      </w:pPr>
      <w:bookmarkStart w:id="3" w:name="_Toc72253516"/>
      <w:bookmarkStart w:id="4" w:name="_Toc72253838"/>
      <w:bookmarkStart w:id="5" w:name="_Toc72253860"/>
      <w:bookmarkStart w:id="6" w:name="_Toc72324663"/>
      <w:r w:rsidRPr="009C3ADD">
        <w:rPr>
          <w:sz w:val="24"/>
          <w:szCs w:val="24"/>
        </w:rPr>
        <w:lastRenderedPageBreak/>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2</w:t>
      </w:r>
      <w:r w:rsidRPr="009C3ADD">
        <w:rPr>
          <w:sz w:val="24"/>
          <w:szCs w:val="24"/>
        </w:rPr>
        <w:fldChar w:fldCharType="end"/>
      </w:r>
      <w:r w:rsidRPr="009C3ADD">
        <w:rPr>
          <w:sz w:val="24"/>
          <w:szCs w:val="24"/>
        </w:rPr>
        <w:t xml:space="preserve"> Definitions of Race, culture, ethnicity and identity</w:t>
      </w:r>
      <w:bookmarkEnd w:id="3"/>
      <w:bookmarkEnd w:id="4"/>
      <w:bookmarkEnd w:id="5"/>
      <w:bookmarkEnd w:id="6"/>
    </w:p>
    <w:tbl>
      <w:tblPr>
        <w:tblW w:w="8675" w:type="dxa"/>
        <w:tblBorders>
          <w:top w:val="double" w:sz="4" w:space="0" w:color="auto"/>
          <w:bottom w:val="double" w:sz="4" w:space="0" w:color="auto"/>
          <w:insideH w:val="single" w:sz="6" w:space="0" w:color="auto"/>
          <w:insideV w:val="single" w:sz="6" w:space="0" w:color="auto"/>
        </w:tblBorders>
        <w:tblLayout w:type="fixed"/>
        <w:tblLook w:val="0400" w:firstRow="0" w:lastRow="0" w:firstColumn="0" w:lastColumn="0" w:noHBand="0" w:noVBand="1"/>
      </w:tblPr>
      <w:tblGrid>
        <w:gridCol w:w="1101"/>
        <w:gridCol w:w="1984"/>
        <w:gridCol w:w="1985"/>
        <w:gridCol w:w="1870"/>
        <w:gridCol w:w="1735"/>
      </w:tblGrid>
      <w:tr w:rsidR="00836C90" w:rsidRPr="00BA2696" w:rsidTr="00C75158">
        <w:tc>
          <w:tcPr>
            <w:tcW w:w="1101" w:type="dxa"/>
            <w:tcBorders>
              <w:top w:val="double" w:sz="4"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b/>
                <w:sz w:val="24"/>
                <w:szCs w:val="24"/>
              </w:rPr>
            </w:pPr>
          </w:p>
        </w:tc>
        <w:tc>
          <w:tcPr>
            <w:tcW w:w="1984" w:type="dxa"/>
            <w:tcBorders>
              <w:top w:val="double" w:sz="4" w:space="0" w:color="auto"/>
              <w:left w:val="single" w:sz="6"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b/>
                <w:sz w:val="24"/>
                <w:szCs w:val="24"/>
              </w:rPr>
            </w:pPr>
            <w:r w:rsidRPr="00BA2696">
              <w:rPr>
                <w:b/>
                <w:sz w:val="24"/>
                <w:szCs w:val="24"/>
              </w:rPr>
              <w:t>Characterised by</w:t>
            </w:r>
          </w:p>
        </w:tc>
        <w:tc>
          <w:tcPr>
            <w:tcW w:w="1985" w:type="dxa"/>
            <w:tcBorders>
              <w:top w:val="double" w:sz="4" w:space="0" w:color="auto"/>
              <w:left w:val="single" w:sz="6"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b/>
                <w:sz w:val="24"/>
                <w:szCs w:val="24"/>
              </w:rPr>
            </w:pPr>
            <w:r w:rsidRPr="00BA2696">
              <w:rPr>
                <w:b/>
                <w:sz w:val="24"/>
                <w:szCs w:val="24"/>
              </w:rPr>
              <w:t>Perceived as</w:t>
            </w:r>
          </w:p>
        </w:tc>
        <w:tc>
          <w:tcPr>
            <w:tcW w:w="1870" w:type="dxa"/>
            <w:tcBorders>
              <w:top w:val="double" w:sz="4" w:space="0" w:color="auto"/>
              <w:left w:val="single" w:sz="6"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b/>
                <w:sz w:val="24"/>
                <w:szCs w:val="24"/>
              </w:rPr>
            </w:pPr>
            <w:r w:rsidRPr="00BA2696">
              <w:rPr>
                <w:b/>
                <w:sz w:val="24"/>
                <w:szCs w:val="24"/>
              </w:rPr>
              <w:t>Assumed to be</w:t>
            </w:r>
          </w:p>
        </w:tc>
        <w:tc>
          <w:tcPr>
            <w:tcW w:w="1735" w:type="dxa"/>
            <w:tcBorders>
              <w:top w:val="double" w:sz="4" w:space="0" w:color="auto"/>
              <w:left w:val="single" w:sz="6" w:space="0" w:color="auto"/>
              <w:bottom w:val="double" w:sz="4" w:space="0" w:color="auto"/>
            </w:tcBorders>
            <w:shd w:val="clear" w:color="auto" w:fill="auto"/>
          </w:tcPr>
          <w:p w:rsidR="00836C90" w:rsidRPr="00BA2696" w:rsidRDefault="00836C90" w:rsidP="00C75158">
            <w:pPr>
              <w:spacing w:after="0" w:line="240" w:lineRule="auto"/>
              <w:rPr>
                <w:b/>
                <w:sz w:val="24"/>
                <w:szCs w:val="24"/>
              </w:rPr>
            </w:pPr>
            <w:r w:rsidRPr="00BA2696">
              <w:rPr>
                <w:b/>
                <w:sz w:val="24"/>
                <w:szCs w:val="24"/>
              </w:rPr>
              <w:t>In reality</w:t>
            </w:r>
          </w:p>
        </w:tc>
      </w:tr>
      <w:tr w:rsidR="00836C90" w:rsidRPr="00BA2696" w:rsidTr="00C75158">
        <w:tc>
          <w:tcPr>
            <w:tcW w:w="1101" w:type="dxa"/>
            <w:tcBorders>
              <w:top w:val="double" w:sz="4" w:space="0" w:color="auto"/>
              <w:left w:val="nil"/>
              <w:bottom w:val="single" w:sz="6" w:space="0" w:color="auto"/>
              <w:right w:val="single" w:sz="6" w:space="0" w:color="auto"/>
            </w:tcBorders>
            <w:shd w:val="clear" w:color="auto" w:fill="F2F2F2"/>
          </w:tcPr>
          <w:p w:rsidR="00836C90" w:rsidRPr="00BA2696" w:rsidRDefault="00836C90" w:rsidP="00C75158">
            <w:pPr>
              <w:spacing w:after="0" w:line="240" w:lineRule="auto"/>
              <w:rPr>
                <w:b/>
                <w:sz w:val="24"/>
                <w:szCs w:val="24"/>
              </w:rPr>
            </w:pPr>
            <w:r w:rsidRPr="00BA2696">
              <w:rPr>
                <w:b/>
                <w:sz w:val="24"/>
                <w:szCs w:val="24"/>
              </w:rPr>
              <w:t>Race</w:t>
            </w:r>
          </w:p>
        </w:tc>
        <w:tc>
          <w:tcPr>
            <w:tcW w:w="1984" w:type="dxa"/>
            <w:tcBorders>
              <w:top w:val="double" w:sz="4" w:space="0" w:color="auto"/>
              <w:left w:val="single" w:sz="6" w:space="0" w:color="auto"/>
              <w:bottom w:val="single" w:sz="6" w:space="0" w:color="auto"/>
              <w:right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Physical appearance</w:t>
            </w:r>
          </w:p>
        </w:tc>
        <w:tc>
          <w:tcPr>
            <w:tcW w:w="1985" w:type="dxa"/>
            <w:tcBorders>
              <w:top w:val="double" w:sz="4" w:space="0" w:color="auto"/>
              <w:left w:val="single" w:sz="6" w:space="0" w:color="auto"/>
              <w:bottom w:val="single" w:sz="6" w:space="0" w:color="auto"/>
              <w:right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Physical, permanent</w:t>
            </w:r>
          </w:p>
        </w:tc>
        <w:tc>
          <w:tcPr>
            <w:tcW w:w="1870" w:type="dxa"/>
            <w:tcBorders>
              <w:top w:val="double" w:sz="4" w:space="0" w:color="auto"/>
              <w:left w:val="single" w:sz="6" w:space="0" w:color="auto"/>
              <w:bottom w:val="single" w:sz="6" w:space="0" w:color="auto"/>
              <w:right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Genetically determined</w:t>
            </w:r>
          </w:p>
        </w:tc>
        <w:tc>
          <w:tcPr>
            <w:tcW w:w="1735" w:type="dxa"/>
            <w:tcBorders>
              <w:top w:val="double" w:sz="4" w:space="0" w:color="auto"/>
              <w:left w:val="single" w:sz="6" w:space="0" w:color="auto"/>
              <w:bottom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Socially constructed</w:t>
            </w:r>
          </w:p>
        </w:tc>
      </w:tr>
      <w:tr w:rsidR="00836C90" w:rsidRPr="00BA2696" w:rsidTr="00C75158">
        <w:tc>
          <w:tcPr>
            <w:tcW w:w="1101" w:type="dxa"/>
            <w:tcBorders>
              <w:top w:val="single" w:sz="6" w:space="0" w:color="auto"/>
              <w:left w:val="nil"/>
              <w:bottom w:val="single" w:sz="6" w:space="0" w:color="auto"/>
              <w:right w:val="single" w:sz="6" w:space="0" w:color="auto"/>
            </w:tcBorders>
            <w:shd w:val="clear" w:color="auto" w:fill="auto"/>
          </w:tcPr>
          <w:p w:rsidR="00836C90" w:rsidRPr="00BA2696" w:rsidRDefault="00836C90" w:rsidP="00C75158">
            <w:pPr>
              <w:spacing w:after="0" w:line="240" w:lineRule="auto"/>
              <w:rPr>
                <w:b/>
                <w:sz w:val="24"/>
                <w:szCs w:val="24"/>
              </w:rPr>
            </w:pPr>
            <w:r w:rsidRPr="00BA2696">
              <w:rPr>
                <w:b/>
                <w:sz w:val="24"/>
                <w:szCs w:val="24"/>
              </w:rPr>
              <w:t>Culture</w:t>
            </w:r>
          </w:p>
        </w:tc>
        <w:tc>
          <w:tcPr>
            <w:tcW w:w="1984" w:type="dxa"/>
            <w:tcBorders>
              <w:top w:val="single" w:sz="6" w:space="0" w:color="auto"/>
              <w:left w:val="single" w:sz="6" w:space="0" w:color="auto"/>
              <w:bottom w:val="single" w:sz="6" w:space="0" w:color="auto"/>
              <w:right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Behaviour, attitudes, etc</w:t>
            </w:r>
          </w:p>
        </w:tc>
        <w:tc>
          <w:tcPr>
            <w:tcW w:w="1985" w:type="dxa"/>
            <w:tcBorders>
              <w:top w:val="single" w:sz="6" w:space="0" w:color="auto"/>
              <w:left w:val="single" w:sz="6" w:space="0" w:color="auto"/>
              <w:bottom w:val="single" w:sz="6" w:space="0" w:color="auto"/>
              <w:right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Social, changeable</w:t>
            </w:r>
          </w:p>
        </w:tc>
        <w:tc>
          <w:tcPr>
            <w:tcW w:w="1870" w:type="dxa"/>
            <w:tcBorders>
              <w:top w:val="single" w:sz="6" w:space="0" w:color="auto"/>
              <w:left w:val="single" w:sz="6" w:space="0" w:color="auto"/>
              <w:bottom w:val="single" w:sz="6" w:space="0" w:color="auto"/>
              <w:right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Passed down by parents/ parent substitutes</w:t>
            </w:r>
          </w:p>
        </w:tc>
        <w:tc>
          <w:tcPr>
            <w:tcW w:w="1735" w:type="dxa"/>
            <w:tcBorders>
              <w:top w:val="single" w:sz="6" w:space="0" w:color="auto"/>
              <w:left w:val="single" w:sz="6" w:space="0" w:color="auto"/>
              <w:bottom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 xml:space="preserve">Variable and changeable blue-print for living </w:t>
            </w:r>
          </w:p>
        </w:tc>
      </w:tr>
      <w:tr w:rsidR="00836C90" w:rsidRPr="00BA2696" w:rsidTr="00C75158">
        <w:tc>
          <w:tcPr>
            <w:tcW w:w="1101" w:type="dxa"/>
            <w:tcBorders>
              <w:top w:val="single" w:sz="6" w:space="0" w:color="auto"/>
              <w:left w:val="nil"/>
              <w:bottom w:val="single" w:sz="6" w:space="0" w:color="auto"/>
              <w:right w:val="single" w:sz="6" w:space="0" w:color="auto"/>
            </w:tcBorders>
            <w:shd w:val="clear" w:color="auto" w:fill="F2F2F2"/>
          </w:tcPr>
          <w:p w:rsidR="00836C90" w:rsidRPr="00BA2696" w:rsidRDefault="00836C90" w:rsidP="00C75158">
            <w:pPr>
              <w:spacing w:after="0" w:line="240" w:lineRule="auto"/>
              <w:rPr>
                <w:b/>
                <w:sz w:val="24"/>
                <w:szCs w:val="24"/>
              </w:rPr>
            </w:pPr>
            <w:r w:rsidRPr="00BA2696">
              <w:rPr>
                <w:b/>
                <w:sz w:val="24"/>
                <w:szCs w:val="24"/>
              </w:rPr>
              <w:t>Ethnicity</w:t>
            </w:r>
          </w:p>
        </w:tc>
        <w:tc>
          <w:tcPr>
            <w:tcW w:w="1984" w:type="dxa"/>
            <w:tcBorders>
              <w:top w:val="single" w:sz="6" w:space="0" w:color="auto"/>
              <w:left w:val="single" w:sz="6" w:space="0" w:color="auto"/>
              <w:bottom w:val="single" w:sz="6" w:space="0" w:color="auto"/>
              <w:right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Sense of belonging</w:t>
            </w:r>
          </w:p>
        </w:tc>
        <w:tc>
          <w:tcPr>
            <w:tcW w:w="1985" w:type="dxa"/>
            <w:tcBorders>
              <w:top w:val="single" w:sz="6" w:space="0" w:color="auto"/>
              <w:left w:val="single" w:sz="6" w:space="0" w:color="auto"/>
              <w:bottom w:val="single" w:sz="6" w:space="0" w:color="auto"/>
              <w:right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Psychosocial, partially changeable</w:t>
            </w:r>
          </w:p>
        </w:tc>
        <w:tc>
          <w:tcPr>
            <w:tcW w:w="1870" w:type="dxa"/>
            <w:tcBorders>
              <w:top w:val="single" w:sz="6" w:space="0" w:color="auto"/>
              <w:left w:val="single" w:sz="6" w:space="0" w:color="auto"/>
              <w:bottom w:val="single" w:sz="6" w:space="0" w:color="auto"/>
              <w:right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How people see themselves in terms of background and parentage</w:t>
            </w:r>
          </w:p>
        </w:tc>
        <w:tc>
          <w:tcPr>
            <w:tcW w:w="1735" w:type="dxa"/>
            <w:tcBorders>
              <w:top w:val="single" w:sz="6" w:space="0" w:color="auto"/>
              <w:left w:val="single" w:sz="6" w:space="0" w:color="auto"/>
              <w:bottom w:val="single" w:sz="6" w:space="0" w:color="auto"/>
            </w:tcBorders>
            <w:shd w:val="clear" w:color="auto" w:fill="F2F2F2"/>
          </w:tcPr>
          <w:p w:rsidR="00836C90" w:rsidRPr="00BA2696" w:rsidRDefault="00836C90" w:rsidP="00C75158">
            <w:pPr>
              <w:spacing w:after="0" w:line="240" w:lineRule="auto"/>
              <w:rPr>
                <w:sz w:val="24"/>
                <w:szCs w:val="24"/>
              </w:rPr>
            </w:pPr>
            <w:r w:rsidRPr="00BA2696">
              <w:rPr>
                <w:sz w:val="24"/>
                <w:szCs w:val="24"/>
              </w:rPr>
              <w:t>Culture-race mixture</w:t>
            </w:r>
          </w:p>
        </w:tc>
      </w:tr>
      <w:tr w:rsidR="00836C90" w:rsidRPr="00BA2696" w:rsidTr="00C75158">
        <w:tc>
          <w:tcPr>
            <w:tcW w:w="1101" w:type="dxa"/>
            <w:tcBorders>
              <w:top w:val="single" w:sz="6" w:space="0" w:color="auto"/>
              <w:left w:val="nil"/>
              <w:bottom w:val="double" w:sz="4" w:space="0" w:color="auto"/>
              <w:right w:val="single" w:sz="6" w:space="0" w:color="auto"/>
            </w:tcBorders>
            <w:shd w:val="clear" w:color="auto" w:fill="auto"/>
          </w:tcPr>
          <w:p w:rsidR="00836C90" w:rsidRPr="00BA2696" w:rsidRDefault="00836C90" w:rsidP="00C75158">
            <w:pPr>
              <w:spacing w:after="0" w:line="240" w:lineRule="auto"/>
              <w:rPr>
                <w:b/>
                <w:sz w:val="24"/>
                <w:szCs w:val="24"/>
              </w:rPr>
            </w:pPr>
            <w:r w:rsidRPr="00BA2696">
              <w:rPr>
                <w:b/>
                <w:sz w:val="24"/>
                <w:szCs w:val="24"/>
              </w:rPr>
              <w:t>Identity</w:t>
            </w:r>
          </w:p>
        </w:tc>
        <w:tc>
          <w:tcPr>
            <w:tcW w:w="1984" w:type="dxa"/>
            <w:tcBorders>
              <w:top w:val="single" w:sz="6" w:space="0" w:color="auto"/>
              <w:left w:val="single" w:sz="6"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Subjective feelings</w:t>
            </w:r>
          </w:p>
        </w:tc>
        <w:tc>
          <w:tcPr>
            <w:tcW w:w="1985" w:type="dxa"/>
            <w:tcBorders>
              <w:top w:val="single" w:sz="6" w:space="0" w:color="auto"/>
              <w:left w:val="single" w:sz="6"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Psycho-personal, several parts. Each fairly fixed once formed</w:t>
            </w:r>
          </w:p>
        </w:tc>
        <w:tc>
          <w:tcPr>
            <w:tcW w:w="1870" w:type="dxa"/>
            <w:tcBorders>
              <w:top w:val="single" w:sz="6" w:space="0" w:color="auto"/>
              <w:left w:val="single" w:sz="6" w:space="0" w:color="auto"/>
              <w:bottom w:val="double" w:sz="4" w:space="0" w:color="auto"/>
              <w:right w:val="single" w:sz="6"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Formed through upbringing and experience</w:t>
            </w:r>
          </w:p>
        </w:tc>
        <w:tc>
          <w:tcPr>
            <w:tcW w:w="1735" w:type="dxa"/>
            <w:tcBorders>
              <w:top w:val="single" w:sz="6" w:space="0" w:color="auto"/>
              <w:left w:val="single" w:sz="6" w:space="0" w:color="auto"/>
              <w:bottom w:val="double" w:sz="4" w:space="0" w:color="auto"/>
            </w:tcBorders>
            <w:shd w:val="clear" w:color="auto" w:fill="auto"/>
          </w:tcPr>
          <w:p w:rsidR="00836C90" w:rsidRPr="00BA2696" w:rsidRDefault="00836C90" w:rsidP="00C75158">
            <w:pPr>
              <w:spacing w:after="0" w:line="240" w:lineRule="auto"/>
              <w:rPr>
                <w:sz w:val="24"/>
                <w:szCs w:val="24"/>
              </w:rPr>
            </w:pPr>
            <w:r w:rsidRPr="00BA2696">
              <w:rPr>
                <w:sz w:val="24"/>
                <w:szCs w:val="24"/>
              </w:rPr>
              <w:t>Feelings about heritage; personal choice</w:t>
            </w:r>
          </w:p>
        </w:tc>
      </w:tr>
    </w:tbl>
    <w:p w:rsidR="00836C90" w:rsidRPr="00BA2696" w:rsidRDefault="00836C90" w:rsidP="00836C90">
      <w:pPr>
        <w:spacing w:after="0" w:line="480" w:lineRule="auto"/>
        <w:jc w:val="right"/>
        <w:rPr>
          <w:sz w:val="24"/>
          <w:szCs w:val="24"/>
        </w:rPr>
      </w:pPr>
      <w:r w:rsidRPr="00BA2696">
        <w:rPr>
          <w:sz w:val="24"/>
          <w:szCs w:val="24"/>
        </w:rPr>
        <w:t>(</w:t>
      </w:r>
      <w:r w:rsidRPr="00BA2696">
        <w:rPr>
          <w:i/>
          <w:sz w:val="24"/>
          <w:szCs w:val="24"/>
        </w:rPr>
        <w:t>taken from</w:t>
      </w:r>
      <w:r w:rsidRPr="00BA2696">
        <w:rPr>
          <w:sz w:val="24"/>
          <w:szCs w:val="24"/>
        </w:rPr>
        <w:t xml:space="preserve"> Fernando, 2010, p. 8)</w:t>
      </w:r>
    </w:p>
    <w:p w:rsidR="00836C90" w:rsidRPr="00BA2696" w:rsidRDefault="00836C90" w:rsidP="00836C90">
      <w:pPr>
        <w:spacing w:after="0" w:line="480" w:lineRule="auto"/>
        <w:jc w:val="right"/>
        <w:rPr>
          <w:rFonts w:cs="Calibri"/>
          <w:iCs/>
          <w:sz w:val="24"/>
          <w:szCs w:val="24"/>
        </w:rPr>
      </w:pPr>
    </w:p>
    <w:p w:rsidR="00836C90" w:rsidRPr="00BA2696" w:rsidRDefault="00836C90" w:rsidP="00836C90">
      <w:pPr>
        <w:spacing w:after="0" w:line="480" w:lineRule="auto"/>
        <w:rPr>
          <w:rFonts w:cs="Calibri"/>
          <w:iCs/>
          <w:sz w:val="24"/>
          <w:szCs w:val="24"/>
        </w:rPr>
      </w:pPr>
      <w:bookmarkStart w:id="7" w:name="_30j0zll" w:colFirst="0" w:colLast="0"/>
      <w:bookmarkEnd w:id="7"/>
      <w:r w:rsidRPr="00BA2696">
        <w:rPr>
          <w:rFonts w:cs="Calibri"/>
          <w:iCs/>
          <w:sz w:val="24"/>
          <w:szCs w:val="24"/>
        </w:rPr>
        <w:t xml:space="preserve">The recognition that ‘race’ is a socially constructed category underpins the entirety of this research. How ‘race’ became socially constructed is outlined </w:t>
      </w:r>
      <w:r w:rsidRPr="004939FF">
        <w:rPr>
          <w:rFonts w:cs="Calibri"/>
          <w:iCs/>
          <w:sz w:val="24"/>
          <w:szCs w:val="24"/>
        </w:rPr>
        <w:t>below</w:t>
      </w:r>
      <w:r w:rsidRPr="00BA2696">
        <w:rPr>
          <w:rFonts w:cs="Calibri"/>
          <w:iCs/>
          <w:sz w:val="24"/>
          <w:szCs w:val="24"/>
        </w:rPr>
        <w:t xml:space="preserve"> (Section 2.1.1). More specifically, a definition of what is meant by ‘black’ and ‘white’ is also required. Clarke and Garner (2010) suggest that ‘white’ is an ambiguous term, with a lack of agreement on a definition within the field of social science. However, they do suggest that whiteness relates to issues of power and privilege that are not necessarily related to socio-economic status, as even lower income white people will unintentionally benefit from their whiteness (Clarke and Garner, 2010). For this research, ‘white’ refers to those of Western European heritage. This is because despite having a white phenotype, or skin colour, those who are of Eastern European heritage and those from the Gypsy, Romany, Traveller communities face discrimination (Equality and Human Rights Commission, 2009) and are not given </w:t>
      </w:r>
      <w:r w:rsidRPr="00BA2696">
        <w:rPr>
          <w:rFonts w:cs="Calibri"/>
          <w:iCs/>
          <w:sz w:val="24"/>
          <w:szCs w:val="24"/>
        </w:rPr>
        <w:lastRenderedPageBreak/>
        <w:t>access to the category o</w:t>
      </w:r>
      <w:r>
        <w:rPr>
          <w:rFonts w:cs="Calibri"/>
          <w:iCs/>
          <w:sz w:val="24"/>
          <w:szCs w:val="24"/>
        </w:rPr>
        <w:t>f</w:t>
      </w:r>
      <w:r w:rsidRPr="00BA2696">
        <w:rPr>
          <w:rFonts w:cs="Calibri"/>
          <w:iCs/>
          <w:sz w:val="24"/>
          <w:szCs w:val="24"/>
        </w:rPr>
        <w:t xml:space="preserve"> ‘whiteness’, including its privileges (Bhopal, 2018). This is considered below (Section 2.1.2). ‘Black’ will refer to people of Afro-Caribbean heritage. I have used ‘black’ when discussing black people specifically and ‘people/person of colour’ for those who have been racialised as non-white. As noted in Chapter 1, it</w:t>
      </w:r>
      <w:r>
        <w:rPr>
          <w:rFonts w:cs="Calibri"/>
          <w:iCs/>
          <w:sz w:val="24"/>
          <w:szCs w:val="24"/>
        </w:rPr>
        <w:t xml:space="preserve"> is</w:t>
      </w:r>
      <w:r w:rsidRPr="00BA2696">
        <w:rPr>
          <w:rFonts w:cs="Calibri"/>
          <w:iCs/>
          <w:sz w:val="24"/>
          <w:szCs w:val="24"/>
        </w:rPr>
        <w:t xml:space="preserve"> accepted that ‘race’ is a social construct, </w:t>
      </w:r>
      <w:r>
        <w:rPr>
          <w:rFonts w:cs="Calibri"/>
          <w:iCs/>
          <w:sz w:val="24"/>
          <w:szCs w:val="24"/>
        </w:rPr>
        <w:t xml:space="preserve">so </w:t>
      </w:r>
      <w:r w:rsidRPr="00BA2696">
        <w:rPr>
          <w:rFonts w:cs="Calibri"/>
          <w:iCs/>
          <w:sz w:val="24"/>
          <w:szCs w:val="24"/>
        </w:rPr>
        <w:t>inverted commas are used throughout this thesis to acknowledge the false categorisation of humans into a racial typology. However, when ‘race’ appears without inverted commas in direct quotations, it is because I have followed the author’s stylistic decision. Racism has been described as a:</w:t>
      </w:r>
    </w:p>
    <w:p w:rsidR="00836C90" w:rsidRPr="00BA2696" w:rsidRDefault="00836C90" w:rsidP="00836C90">
      <w:pPr>
        <w:spacing w:after="0" w:line="240" w:lineRule="auto"/>
        <w:ind w:left="567" w:right="567"/>
        <w:rPr>
          <w:rFonts w:cs="Calibri"/>
          <w:iCs/>
          <w:sz w:val="24"/>
          <w:szCs w:val="24"/>
        </w:rPr>
      </w:pPr>
      <w:r w:rsidRPr="00BA2696">
        <w:rPr>
          <w:rFonts w:cs="Calibri"/>
          <w:iCs/>
          <w:sz w:val="24"/>
          <w:szCs w:val="24"/>
        </w:rPr>
        <w:t>frighteningly real, burning and omnipresent issue. It i</w:t>
      </w:r>
      <w:r w:rsidRPr="004939FF">
        <w:rPr>
          <w:rFonts w:cs="Calibri"/>
          <w:iCs/>
          <w:sz w:val="24"/>
          <w:szCs w:val="24"/>
        </w:rPr>
        <w:t>s directed at people because of a number of perceived ‘identities’: ‘race’, ethnicity, nationality, religion or a combination of these… Racism can also be unintentional as well as intentional…Racism can be direct or indirect; it can be overt or covert… Rac</w:t>
      </w:r>
      <w:r w:rsidRPr="00BA2696">
        <w:rPr>
          <w:rFonts w:cs="Calibri"/>
          <w:iCs/>
          <w:sz w:val="24"/>
          <w:szCs w:val="24"/>
        </w:rPr>
        <w:t>ism can be dominative (direct and oppressive) as well as aversive (exclusion and cold-shouldering) (Cole, 2016, p. 2)</w:t>
      </w:r>
    </w:p>
    <w:p w:rsidR="00836C90" w:rsidRPr="00BA2696" w:rsidRDefault="00836C90" w:rsidP="00836C90">
      <w:pPr>
        <w:spacing w:after="0" w:line="480" w:lineRule="auto"/>
        <w:rPr>
          <w:rFonts w:cs="Calibri"/>
          <w:iCs/>
          <w:sz w:val="24"/>
          <w:szCs w:val="24"/>
        </w:rPr>
      </w:pPr>
    </w:p>
    <w:p w:rsidR="00836C90" w:rsidRPr="00BA2696" w:rsidRDefault="00836C90" w:rsidP="00836C90">
      <w:pPr>
        <w:spacing w:after="0" w:line="480" w:lineRule="auto"/>
        <w:rPr>
          <w:sz w:val="24"/>
          <w:szCs w:val="24"/>
        </w:rPr>
      </w:pPr>
      <w:r w:rsidRPr="00BA2696">
        <w:rPr>
          <w:rFonts w:cs="Calibri"/>
          <w:iCs/>
          <w:sz w:val="24"/>
          <w:szCs w:val="24"/>
        </w:rPr>
        <w:t xml:space="preserve">Consequently, racism can be obvious, ambiguous and mutable. For clarity, Chapter 2 (Section 2.1.7) considered three forms of racism: institutional/systemic, racialisation and colour-blind as these were most relevant to the research. However, it is acknowledged that racism is not limited to these three specific types. </w:t>
      </w:r>
      <w:r w:rsidRPr="00BA2696">
        <w:rPr>
          <w:sz w:val="24"/>
          <w:szCs w:val="24"/>
        </w:rPr>
        <w:t xml:space="preserve">It is also recognised that the term ‘colour-blind’ may be offensive to some people, given its ableist connotations. Given that ‘colour-blind’ is the prevalent term to describe the ‘not seeing’ of ‘race’ and is a key concept to the research findings, it will be used in this thesis. However, it is done so in recognition that this terminology may evolve and thus its use in this thesis may seem incongruous to future readers. </w:t>
      </w:r>
    </w:p>
    <w:p w:rsidR="00836C90" w:rsidRPr="00BA2696" w:rsidRDefault="00836C90" w:rsidP="00836C90">
      <w:pPr>
        <w:spacing w:after="0" w:line="480" w:lineRule="auto"/>
        <w:rPr>
          <w:rFonts w:cs="Calibri"/>
          <w:iCs/>
          <w:sz w:val="24"/>
          <w:szCs w:val="24"/>
        </w:rPr>
      </w:pPr>
    </w:p>
    <w:p w:rsidR="00836C90" w:rsidRPr="00BA2696" w:rsidRDefault="00836C90" w:rsidP="00836C90">
      <w:pPr>
        <w:spacing w:after="0" w:line="480" w:lineRule="auto"/>
        <w:rPr>
          <w:rFonts w:cs="Calibri"/>
          <w:iCs/>
          <w:sz w:val="24"/>
          <w:szCs w:val="24"/>
        </w:rPr>
      </w:pPr>
      <w:r w:rsidRPr="00BA2696">
        <w:rPr>
          <w:rFonts w:cs="Calibri"/>
          <w:iCs/>
          <w:sz w:val="24"/>
          <w:szCs w:val="24"/>
        </w:rPr>
        <w:lastRenderedPageBreak/>
        <w:t xml:space="preserve">The British Association for Counselling and Psychotherapy (BACP) is the largest professional association for counsellors and psychotherapists in the UK, with over 50,000 members (BACP, 2020a). The next largest professional body, the UK Council for Psychotherapy, has 10,000 members (UKCP, 2020a). The reason for focusing on the BACP in this thesis is because the training course observed for this research is a BACP accredited course (BACP, 2012) and the research participants follow its ethical framework (BACP, 2018a). Hence, the BACP was in one sense an invisible stakeholder in the research and so ‘counselling’ and counselling pedagogy is understood through their specific requirements. The BACP (2020b) use ‘therapy’ as an umbrella term to describe both counselling and psychotherapy, and state that counselling and psychotherapy can ‘help you understand yourself, your behaviours and your relationship with others’ though weekly sessions in a ‘safe and confidential space’ (BACP, 2020b, p. 3). The word ‘counselling’ is used in this research despite the BACP preferring the terms therapy/therapist because the training course observed for this research was a first year (of three) Foundation Degree in Counselling course and the participants self-described as trainee counsellors, not ‘therapists’. Part 2 of the literature review explores counselling in greater depth. </w:t>
      </w:r>
    </w:p>
    <w:p w:rsidR="00836C90" w:rsidRPr="00BA2696" w:rsidRDefault="00836C90" w:rsidP="00836C90">
      <w:pPr>
        <w:spacing w:after="0" w:line="480" w:lineRule="auto"/>
        <w:rPr>
          <w:rFonts w:cs="Calibri"/>
          <w:iCs/>
          <w:sz w:val="24"/>
          <w:szCs w:val="24"/>
        </w:rPr>
      </w:pPr>
    </w:p>
    <w:p w:rsidR="00836C90" w:rsidRPr="00BA2696" w:rsidRDefault="00836C90" w:rsidP="00836C90">
      <w:pPr>
        <w:pStyle w:val="Heading4"/>
      </w:pPr>
      <w:r w:rsidRPr="00BA2696">
        <w:t>The Gap in Knowledge</w:t>
      </w:r>
    </w:p>
    <w:p w:rsidR="00836C90" w:rsidRPr="00BA2696" w:rsidRDefault="00836C90" w:rsidP="00836C90">
      <w:pPr>
        <w:spacing w:after="0" w:line="480" w:lineRule="auto"/>
        <w:rPr>
          <w:rFonts w:cs="Calibri"/>
          <w:sz w:val="24"/>
          <w:szCs w:val="24"/>
        </w:rPr>
      </w:pPr>
      <w:r w:rsidRPr="00BA2696">
        <w:rPr>
          <w:rFonts w:cs="Calibri"/>
          <w:sz w:val="24"/>
          <w:szCs w:val="24"/>
        </w:rPr>
        <w:t xml:space="preserve">When considering the literature reviewed in this chapter, spanning the historical construction of ‘race’, the contemporary reality in education and current counselling practice and pedagogy, it is possible to conclude a gap in knowledge resides in clarity around how white trainee counsellors living in Wales understand ‘race’, racism and </w:t>
      </w:r>
      <w:r w:rsidRPr="00BA2696">
        <w:rPr>
          <w:rFonts w:cs="Calibri"/>
          <w:sz w:val="24"/>
          <w:szCs w:val="24"/>
        </w:rPr>
        <w:lastRenderedPageBreak/>
        <w:t>whiteness. This was evidenced through not finding research that asked white trainee counsellors for their own understanding of ‘race’, racism and whiteness. Similarly, an in-depth analysis of the history of the social construction of ‘race’ and whiteness was not found in British counselling research/theory. However, it is recognised that Tuckwell (2002) and Lago and Thompson (2003) provide brief historical contexts in their books about counselling and ‘race’. This literature review will address this exclusion.</w:t>
      </w:r>
    </w:p>
    <w:p w:rsidR="00836C90" w:rsidRPr="00BA2696" w:rsidRDefault="00836C90" w:rsidP="00836C90">
      <w:pPr>
        <w:spacing w:after="0" w:line="480" w:lineRule="auto"/>
        <w:rPr>
          <w:rFonts w:cs="Calibri"/>
          <w:color w:val="0070C0"/>
          <w:sz w:val="24"/>
          <w:szCs w:val="24"/>
        </w:rPr>
      </w:pPr>
    </w:p>
    <w:p w:rsidR="00836C90" w:rsidRPr="00BA2696" w:rsidRDefault="00836C90" w:rsidP="00836C90">
      <w:pPr>
        <w:pStyle w:val="Heading4"/>
      </w:pPr>
      <w:r w:rsidRPr="00BA2696">
        <w:t>The Contribution of this Thesis</w:t>
      </w:r>
    </w:p>
    <w:p w:rsidR="00836C90" w:rsidRPr="00BA2696" w:rsidRDefault="00836C90" w:rsidP="00836C90">
      <w:pPr>
        <w:spacing w:after="0" w:line="480" w:lineRule="auto"/>
        <w:rPr>
          <w:rFonts w:cs="Calibri"/>
          <w:sz w:val="24"/>
          <w:szCs w:val="24"/>
        </w:rPr>
      </w:pPr>
      <w:r w:rsidRPr="00BA2696">
        <w:rPr>
          <w:rFonts w:cs="Calibri"/>
          <w:sz w:val="24"/>
          <w:szCs w:val="24"/>
        </w:rPr>
        <w:t xml:space="preserve">The original contribution to knowledge that will be presented in this thesis will address the omission within the literature, of </w:t>
      </w:r>
      <w:r>
        <w:rPr>
          <w:rFonts w:cs="Calibri"/>
          <w:sz w:val="24"/>
          <w:szCs w:val="24"/>
        </w:rPr>
        <w:t xml:space="preserve">the </w:t>
      </w:r>
      <w:r w:rsidRPr="00BA2696">
        <w:rPr>
          <w:rFonts w:cs="Calibri"/>
          <w:sz w:val="24"/>
          <w:szCs w:val="24"/>
        </w:rPr>
        <w:t xml:space="preserve">lack of clarification around how white trainee counsellors understand ‘race’, racism and whiteness. </w:t>
      </w:r>
      <w:bookmarkStart w:id="8" w:name="_Hlk58770735"/>
      <w:r w:rsidRPr="00BA2696">
        <w:rPr>
          <w:rFonts w:cs="Calibri"/>
          <w:sz w:val="24"/>
          <w:szCs w:val="24"/>
        </w:rPr>
        <w:t xml:space="preserve">The overall research question is: </w:t>
      </w:r>
    </w:p>
    <w:p w:rsidR="00836C90" w:rsidRPr="00BA2696" w:rsidRDefault="00836C90" w:rsidP="00836C90">
      <w:pPr>
        <w:spacing w:after="0" w:line="276" w:lineRule="auto"/>
        <w:ind w:left="1287" w:right="567" w:hanging="720"/>
        <w:rPr>
          <w:rFonts w:cs="Calibri"/>
          <w:i/>
          <w:sz w:val="24"/>
          <w:szCs w:val="24"/>
        </w:rPr>
      </w:pPr>
      <w:r w:rsidRPr="00BA2696">
        <w:rPr>
          <w:rFonts w:cs="Calibri"/>
          <w:i/>
          <w:sz w:val="24"/>
          <w:szCs w:val="24"/>
        </w:rPr>
        <w:t>RQ: How do white trainee counsellors in Wales understand ‘race’, racism and whiteness?</w:t>
      </w:r>
    </w:p>
    <w:p w:rsidR="00836C90" w:rsidRPr="00BA2696" w:rsidRDefault="00836C90" w:rsidP="00836C90">
      <w:pPr>
        <w:spacing w:after="0" w:line="480" w:lineRule="auto"/>
        <w:rPr>
          <w:rFonts w:cs="Calibri"/>
          <w:sz w:val="24"/>
          <w:szCs w:val="24"/>
        </w:rPr>
      </w:pPr>
      <w:r w:rsidRPr="00BA2696">
        <w:rPr>
          <w:rFonts w:cs="Calibri"/>
          <w:sz w:val="24"/>
          <w:szCs w:val="24"/>
        </w:rPr>
        <w:t xml:space="preserve"> </w:t>
      </w:r>
    </w:p>
    <w:p w:rsidR="00836C90" w:rsidRPr="00BA2696" w:rsidRDefault="00836C90" w:rsidP="00836C90">
      <w:pPr>
        <w:spacing w:after="0" w:line="480" w:lineRule="auto"/>
        <w:rPr>
          <w:rFonts w:cs="Calibri"/>
          <w:sz w:val="24"/>
          <w:szCs w:val="24"/>
        </w:rPr>
      </w:pPr>
      <w:r w:rsidRPr="00BA2696">
        <w:rPr>
          <w:rFonts w:cs="Calibri"/>
          <w:sz w:val="24"/>
          <w:szCs w:val="24"/>
        </w:rPr>
        <w:t>This question will be explored by asking the following research questions:</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How do white counselling trainees understand ‘race’?</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Do they understand ‘race’ to be a social construct?</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How do they understand racism?</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Do they perceive whiteness as a racialised identity?</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How do they feel discussing ‘race’ and racism?</w:t>
      </w:r>
    </w:p>
    <w:p w:rsidR="00836C90" w:rsidRPr="00BA2696" w:rsidRDefault="00836C90" w:rsidP="00836C90">
      <w:pPr>
        <w:spacing w:after="0" w:line="480" w:lineRule="auto"/>
        <w:ind w:left="720"/>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This doctoral research will provide an original contribution to knowledge in the following ways:</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Discovering how white trainee counsellors understand ‘race’, racism and whiteness.</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lastRenderedPageBreak/>
        <w:t>Including the historical and contemporary context of ‘race’ within the research to provide a broader context.</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 xml:space="preserve">Contribute to the field of critical whiteness studies by providing research originating from Wales and Welsh academia. </w:t>
      </w:r>
    </w:p>
    <w:p w:rsidR="00836C90" w:rsidRPr="00BA2696" w:rsidRDefault="00836C90" w:rsidP="00836C90">
      <w:pPr>
        <w:numPr>
          <w:ilvl w:val="0"/>
          <w:numId w:val="1"/>
        </w:numPr>
        <w:spacing w:after="0" w:line="240" w:lineRule="auto"/>
        <w:ind w:left="714" w:right="567" w:hanging="357"/>
        <w:rPr>
          <w:rFonts w:cs="Calibri"/>
          <w:sz w:val="24"/>
          <w:szCs w:val="24"/>
        </w:rPr>
      </w:pPr>
      <w:r w:rsidRPr="00BA2696">
        <w:rPr>
          <w:rFonts w:cs="Calibri"/>
          <w:sz w:val="24"/>
          <w:szCs w:val="24"/>
        </w:rPr>
        <w:t>It will be an original contribution to the knowledge base of ‘race’ and counselling in Wales and Welsh academia.</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In addition, Golash-Boza (2016) argues that ‘race’ and racism are often treated as separate subjects in research but contends that the two cannot be separated given the consequence of the social construction of race is racist ideology and practice. By researching both ‘race’ </w:t>
      </w:r>
      <w:r w:rsidRPr="00BA2696">
        <w:rPr>
          <w:rFonts w:cs="Calibri"/>
          <w:i/>
          <w:iCs/>
          <w:sz w:val="24"/>
          <w:szCs w:val="24"/>
        </w:rPr>
        <w:t>and</w:t>
      </w:r>
      <w:r w:rsidRPr="00BA2696">
        <w:rPr>
          <w:rFonts w:cs="Calibri"/>
          <w:sz w:val="24"/>
          <w:szCs w:val="24"/>
        </w:rPr>
        <w:t xml:space="preserve"> racism in the same research project, and using a critical whiteness studies lens, will also add to the understanding of these subjects in Welsh academia.  </w:t>
      </w:r>
    </w:p>
    <w:p w:rsidR="00836C90" w:rsidRPr="00BA2696" w:rsidRDefault="00836C90" w:rsidP="00836C90">
      <w:pPr>
        <w:pStyle w:val="Heading3"/>
      </w:pPr>
      <w:bookmarkStart w:id="9" w:name="_Toc56522985"/>
      <w:bookmarkStart w:id="10" w:name="_Toc56523267"/>
      <w:bookmarkStart w:id="11" w:name="_Toc57910075"/>
      <w:bookmarkStart w:id="12" w:name="_Toc58251291"/>
      <w:bookmarkStart w:id="13" w:name="_Toc72413619"/>
      <w:bookmarkEnd w:id="8"/>
      <w:r w:rsidRPr="00BA2696">
        <w:t>2.1 Understanding ‘Race’</w:t>
      </w:r>
      <w:bookmarkEnd w:id="9"/>
      <w:bookmarkEnd w:id="10"/>
      <w:bookmarkEnd w:id="11"/>
      <w:bookmarkEnd w:id="12"/>
      <w:bookmarkEnd w:id="13"/>
    </w:p>
    <w:p w:rsidR="00836C90" w:rsidRPr="00BA2696" w:rsidRDefault="00836C90" w:rsidP="00836C90">
      <w:pPr>
        <w:spacing w:after="0" w:line="480" w:lineRule="auto"/>
        <w:rPr>
          <w:rFonts w:cs="Calibri"/>
          <w:bCs/>
          <w:sz w:val="24"/>
          <w:szCs w:val="24"/>
        </w:rPr>
      </w:pPr>
      <w:r w:rsidRPr="00BA2696">
        <w:rPr>
          <w:rFonts w:cs="Calibri"/>
          <w:color w:val="000000"/>
          <w:sz w:val="24"/>
          <w:szCs w:val="24"/>
        </w:rPr>
        <w:t xml:space="preserve">In an attempt to redress the absence of the history of ‘race’ in research </w:t>
      </w:r>
      <w:r w:rsidRPr="00BA2696">
        <w:rPr>
          <w:rFonts w:cs="Calibri"/>
          <w:sz w:val="24"/>
          <w:szCs w:val="24"/>
        </w:rPr>
        <w:t>within the context of</w:t>
      </w:r>
      <w:r w:rsidRPr="00BA2696">
        <w:rPr>
          <w:rFonts w:cs="Calibri"/>
          <w:color w:val="FF0000"/>
          <w:sz w:val="24"/>
          <w:szCs w:val="24"/>
        </w:rPr>
        <w:t xml:space="preserve"> </w:t>
      </w:r>
      <w:r w:rsidRPr="00BA2696">
        <w:rPr>
          <w:rFonts w:cs="Calibri"/>
          <w:color w:val="000000"/>
          <w:sz w:val="24"/>
          <w:szCs w:val="24"/>
        </w:rPr>
        <w:t xml:space="preserve">counselling, this literature review will begin with an overview of the origins and </w:t>
      </w:r>
      <w:r w:rsidRPr="00BA2696">
        <w:rPr>
          <w:rFonts w:cs="Calibri"/>
          <w:sz w:val="24"/>
          <w:szCs w:val="24"/>
        </w:rPr>
        <w:t>implications of ‘race’ as a social construct. This absence of an historical context in counselling related research may be due to the notion that white history is history itself, given that whiteness is perceived</w:t>
      </w:r>
      <w:r>
        <w:rPr>
          <w:rFonts w:cs="Calibri"/>
          <w:sz w:val="24"/>
          <w:szCs w:val="24"/>
        </w:rPr>
        <w:t xml:space="preserve"> as</w:t>
      </w:r>
      <w:r w:rsidRPr="00BA2696">
        <w:rPr>
          <w:rFonts w:cs="Calibri"/>
          <w:sz w:val="24"/>
          <w:szCs w:val="24"/>
        </w:rPr>
        <w:t xml:space="preserve"> ‘normal’ </w:t>
      </w:r>
      <w:r w:rsidRPr="00BA2696">
        <w:rPr>
          <w:rFonts w:cs="Calibri"/>
          <w:bCs/>
          <w:sz w:val="24"/>
          <w:szCs w:val="24"/>
        </w:rPr>
        <w:t xml:space="preserve">(Halley, Eshleman, and Mahadevan-Vijaya, 2011; Hayes </w:t>
      </w:r>
      <w:r w:rsidRPr="00BA2696">
        <w:rPr>
          <w:rFonts w:cs="Calibri"/>
          <w:bCs/>
          <w:i/>
          <w:iCs/>
          <w:sz w:val="24"/>
          <w:szCs w:val="24"/>
        </w:rPr>
        <w:t>et al</w:t>
      </w:r>
      <w:r w:rsidRPr="00BA2696">
        <w:rPr>
          <w:rFonts w:cs="Calibri"/>
          <w:bCs/>
          <w:sz w:val="24"/>
          <w:szCs w:val="24"/>
        </w:rPr>
        <w:t>, 2013), with whiteness dominating the cultural narrative (Dyer, 2017). Contrary to this perception, as will be demonstrated, the notion of whiteness is itself ambiguous and changeable (Section 2.1.2).  Hence, this literature review will make whiteness visible (Applebaum, 2016a).</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color w:val="000000"/>
          <w:sz w:val="24"/>
          <w:szCs w:val="24"/>
        </w:rPr>
      </w:pPr>
      <w:r w:rsidRPr="00BA2696">
        <w:rPr>
          <w:rFonts w:cs="Calibri"/>
          <w:color w:val="000000"/>
          <w:sz w:val="24"/>
          <w:szCs w:val="24"/>
        </w:rPr>
        <w:t>To begin the process of making whiteness visible, the f</w:t>
      </w:r>
      <w:r w:rsidRPr="00BA2696">
        <w:rPr>
          <w:rFonts w:cs="Calibri"/>
          <w:sz w:val="24"/>
          <w:szCs w:val="24"/>
        </w:rPr>
        <w:t>ollowing section</w:t>
      </w:r>
      <w:r w:rsidRPr="00BA2696">
        <w:rPr>
          <w:rFonts w:cs="Calibri"/>
          <w:color w:val="000000"/>
          <w:sz w:val="24"/>
          <w:szCs w:val="24"/>
        </w:rPr>
        <w:t xml:space="preserve"> will provide a succinct yet sensitive overview of how ‘race’ as</w:t>
      </w:r>
      <w:r>
        <w:rPr>
          <w:rFonts w:cs="Calibri"/>
          <w:color w:val="000000"/>
          <w:sz w:val="24"/>
          <w:szCs w:val="24"/>
        </w:rPr>
        <w:t xml:space="preserve"> a</w:t>
      </w:r>
      <w:r w:rsidRPr="00BA2696">
        <w:rPr>
          <w:rFonts w:cs="Calibri"/>
          <w:color w:val="000000"/>
          <w:sz w:val="24"/>
          <w:szCs w:val="24"/>
        </w:rPr>
        <w:t xml:space="preserve"> concept became formulated and </w:t>
      </w:r>
      <w:r w:rsidRPr="00BA2696">
        <w:rPr>
          <w:rFonts w:cs="Calibri"/>
          <w:color w:val="000000"/>
          <w:sz w:val="24"/>
          <w:szCs w:val="24"/>
        </w:rPr>
        <w:lastRenderedPageBreak/>
        <w:t>ingrained into society and its consequences. It is hoped this will overcome ‘the uniquely British combination of convenient ignorance and awkward squeamishness that prevents us from confronting the past’ (Hirsch, 2018, p. 316).</w:t>
      </w:r>
    </w:p>
    <w:p w:rsidR="00836C90" w:rsidRPr="00BA2696" w:rsidRDefault="00836C90" w:rsidP="00836C90">
      <w:pPr>
        <w:pStyle w:val="Heading3"/>
      </w:pPr>
    </w:p>
    <w:p w:rsidR="00836C90" w:rsidRPr="00BA2696" w:rsidRDefault="00836C90" w:rsidP="00836C90">
      <w:pPr>
        <w:pStyle w:val="Heading3"/>
      </w:pPr>
      <w:bookmarkStart w:id="14" w:name="_Toc56522986"/>
      <w:bookmarkStart w:id="15" w:name="_Toc56523268"/>
      <w:bookmarkStart w:id="16" w:name="_Toc57910076"/>
      <w:bookmarkStart w:id="17" w:name="_Toc58251292"/>
      <w:bookmarkStart w:id="18" w:name="_Toc72413620"/>
      <w:r w:rsidRPr="00BA2696">
        <w:t>2.1.1 The Historical Construction of ‘Race’</w:t>
      </w:r>
      <w:bookmarkEnd w:id="14"/>
      <w:bookmarkEnd w:id="15"/>
      <w:bookmarkEnd w:id="16"/>
      <w:bookmarkEnd w:id="17"/>
      <w:bookmarkEnd w:id="18"/>
      <w:r w:rsidRPr="00BA2696">
        <w:t xml:space="preserve">  </w:t>
      </w:r>
    </w:p>
    <w:p w:rsidR="00836C90" w:rsidRPr="00BA2696" w:rsidRDefault="00836C90" w:rsidP="00836C90">
      <w:pPr>
        <w:spacing w:after="0" w:line="480" w:lineRule="auto"/>
        <w:rPr>
          <w:rFonts w:cs="Calibri"/>
          <w:color w:val="000000"/>
          <w:sz w:val="24"/>
          <w:szCs w:val="24"/>
        </w:rPr>
      </w:pPr>
      <w:r w:rsidRPr="00BA2696">
        <w:rPr>
          <w:rFonts w:cs="Calibri"/>
          <w:color w:val="000000"/>
          <w:sz w:val="24"/>
          <w:szCs w:val="24"/>
        </w:rPr>
        <w:t>In ancient Egyptian and Greek civilizations, and later the Roman Empire, colour differences were not used a means of classification or separatism within society. Whilst cultural and language differences may have led to notions of superiority, this was not dependent upon ‘race’ as we understand it now (Rattansi, 2007). This was highlighted by the fact that although the Greeks did refer to some people as barbarians, this was not related to skin colour but rather, it was a pejorative reference to non-Greek speaking people (Rattansi, 2007).  Indeed, the Roman Empire had a North African Emperor named Septimius Severus who ruled the Empire for eighteen years, starting in 193 AD (Birley, 1999); this counters</w:t>
      </w:r>
      <w:r>
        <w:rPr>
          <w:rFonts w:cs="Calibri"/>
          <w:color w:val="000000"/>
          <w:sz w:val="24"/>
          <w:szCs w:val="24"/>
        </w:rPr>
        <w:t xml:space="preserve"> the</w:t>
      </w:r>
      <w:r w:rsidRPr="00BA2696">
        <w:rPr>
          <w:rFonts w:cs="Calibri"/>
          <w:color w:val="000000"/>
          <w:sz w:val="24"/>
          <w:szCs w:val="24"/>
        </w:rPr>
        <w:t xml:space="preserve"> notion held by some that the Roman Empire was only ruled by the (white) Romans. Later, the fourth-century AD saw the commencement of anti-Semitic rhetoric amongst Christian preachers which culminated in the massacre of European Jewish communities living in France, Germany and England in 1096 (Rattansi, 2007). It was during this time, known as the Crusades, the belief that Jewish and Muslim people were of impure blood, was established within Christian Europe; a concept later applied to African and Native American people (Bethencourt, 2013). Whilst there has been a consensus that in the Middle Ages ‘race’ referred to lineage or bloodline (Biddis, 1979; Hannaford, 1996), contemporary medieval historians are challenging this idea by re-examining medieval </w:t>
      </w:r>
      <w:r w:rsidRPr="00BA2696">
        <w:rPr>
          <w:rFonts w:cs="Calibri"/>
          <w:color w:val="000000"/>
          <w:sz w:val="24"/>
          <w:szCs w:val="24"/>
        </w:rPr>
        <w:lastRenderedPageBreak/>
        <w:t xml:space="preserve">society’s perceptions of ‘race’. Heng (2018), has viewed medieval history through the lens of critical race theory and puts forward the argument that ‘race’ was invented in the Middle Ages and outlines how black became synonymous with negative connotations of malevolence and white became a symbol of purity and elitism within Christianity. Indeed, it is here we find ‘the ascension of </w:t>
      </w:r>
      <w:r w:rsidRPr="00BA2696">
        <w:rPr>
          <w:rFonts w:cs="Calibri"/>
          <w:i/>
          <w:color w:val="000000"/>
          <w:sz w:val="24"/>
          <w:szCs w:val="24"/>
        </w:rPr>
        <w:t>whiteness</w:t>
      </w:r>
      <w:r w:rsidRPr="00BA2696">
        <w:rPr>
          <w:rFonts w:cs="Calibri"/>
          <w:color w:val="000000"/>
          <w:sz w:val="24"/>
          <w:szCs w:val="24"/>
        </w:rPr>
        <w:t xml:space="preserve"> to supremacy as a category of identity’ (Heng, 2018, p. 44).</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color w:val="000000"/>
          <w:sz w:val="24"/>
          <w:szCs w:val="24"/>
        </w:rPr>
      </w:pPr>
      <w:r w:rsidRPr="00BA2696">
        <w:rPr>
          <w:rFonts w:cs="Calibri"/>
          <w:sz w:val="24"/>
          <w:szCs w:val="24"/>
        </w:rPr>
        <w:t>There is consensus between</w:t>
      </w:r>
      <w:r w:rsidRPr="00BA2696">
        <w:rPr>
          <w:rFonts w:cs="Calibri"/>
          <w:color w:val="000000"/>
          <w:sz w:val="24"/>
          <w:szCs w:val="24"/>
        </w:rPr>
        <w:t xml:space="preserve"> scholars that the concept of ‘race’ began during the Enlightenment in the eighteenth-century, most notably with Carl Linnaues (1707-1778) who in 1735 introduced the classification, or taxonomy, of humans (Fara, 2017). Linnaues divided humans into four categories of descending import: Europaeus</w:t>
      </w:r>
      <w:r w:rsidRPr="00BA2696">
        <w:rPr>
          <w:rFonts w:cs="Calibri"/>
          <w:i/>
          <w:color w:val="000000"/>
          <w:sz w:val="24"/>
          <w:szCs w:val="24"/>
        </w:rPr>
        <w:t xml:space="preserve"> </w:t>
      </w:r>
      <w:r w:rsidRPr="00BA2696">
        <w:rPr>
          <w:rFonts w:cs="Calibri"/>
          <w:color w:val="000000"/>
          <w:sz w:val="24"/>
          <w:szCs w:val="24"/>
        </w:rPr>
        <w:t>(white)</w:t>
      </w:r>
      <w:r w:rsidRPr="00BA2696">
        <w:rPr>
          <w:rFonts w:cs="Calibri"/>
          <w:i/>
          <w:color w:val="000000"/>
          <w:sz w:val="24"/>
          <w:szCs w:val="24"/>
        </w:rPr>
        <w:t xml:space="preserve">, </w:t>
      </w:r>
      <w:r w:rsidRPr="00BA2696">
        <w:rPr>
          <w:rFonts w:cs="Calibri"/>
          <w:color w:val="000000"/>
          <w:sz w:val="24"/>
          <w:szCs w:val="24"/>
        </w:rPr>
        <w:t>Americanus (red)</w:t>
      </w:r>
      <w:r w:rsidRPr="00BA2696">
        <w:rPr>
          <w:rFonts w:cs="Calibri"/>
          <w:i/>
          <w:color w:val="000000"/>
          <w:sz w:val="24"/>
          <w:szCs w:val="24"/>
        </w:rPr>
        <w:t xml:space="preserve">, </w:t>
      </w:r>
      <w:r w:rsidRPr="00BA2696">
        <w:rPr>
          <w:rFonts w:cs="Calibri"/>
          <w:color w:val="000000"/>
          <w:sz w:val="24"/>
          <w:szCs w:val="24"/>
        </w:rPr>
        <w:t>Asiaticus</w:t>
      </w:r>
      <w:r w:rsidRPr="00BA2696">
        <w:rPr>
          <w:rFonts w:cs="Calibri"/>
          <w:i/>
          <w:color w:val="000000"/>
          <w:sz w:val="24"/>
          <w:szCs w:val="24"/>
        </w:rPr>
        <w:t xml:space="preserve"> </w:t>
      </w:r>
      <w:r w:rsidRPr="00BA2696">
        <w:rPr>
          <w:rFonts w:cs="Calibri"/>
          <w:color w:val="000000"/>
          <w:sz w:val="24"/>
          <w:szCs w:val="24"/>
        </w:rPr>
        <w:t>(yellow)</w:t>
      </w:r>
      <w:r w:rsidRPr="00BA2696">
        <w:rPr>
          <w:rFonts w:cs="Calibri"/>
          <w:i/>
          <w:color w:val="000000"/>
          <w:sz w:val="24"/>
          <w:szCs w:val="24"/>
        </w:rPr>
        <w:t xml:space="preserve"> </w:t>
      </w:r>
      <w:r w:rsidRPr="00BA2696">
        <w:rPr>
          <w:rFonts w:cs="Calibri"/>
          <w:color w:val="000000"/>
          <w:sz w:val="24"/>
          <w:szCs w:val="24"/>
        </w:rPr>
        <w:t>and Afer</w:t>
      </w:r>
      <w:r w:rsidRPr="00BA2696">
        <w:rPr>
          <w:rFonts w:cs="Calibri"/>
          <w:i/>
          <w:color w:val="000000"/>
          <w:sz w:val="24"/>
          <w:szCs w:val="24"/>
        </w:rPr>
        <w:t xml:space="preserve"> </w:t>
      </w:r>
      <w:r w:rsidRPr="00BA2696">
        <w:rPr>
          <w:rFonts w:cs="Calibri"/>
          <w:color w:val="000000"/>
          <w:sz w:val="24"/>
          <w:szCs w:val="24"/>
        </w:rPr>
        <w:t>(black) (</w:t>
      </w:r>
      <w:bookmarkStart w:id="19" w:name="_Hlk52795748"/>
      <w:r w:rsidRPr="00BA2696">
        <w:rPr>
          <w:rFonts w:cs="Calibri"/>
          <w:color w:val="000000"/>
          <w:sz w:val="24"/>
          <w:szCs w:val="24"/>
        </w:rPr>
        <w:t>Rattansi, 2007</w:t>
      </w:r>
      <w:bookmarkEnd w:id="19"/>
      <w:r w:rsidRPr="00BA2696">
        <w:rPr>
          <w:rFonts w:cs="Calibri"/>
          <w:color w:val="000000"/>
          <w:sz w:val="24"/>
          <w:szCs w:val="24"/>
        </w:rPr>
        <w:t>). In a continuation of the Middle Ages association between morality and colour</w:t>
      </w:r>
      <w:r>
        <w:rPr>
          <w:rFonts w:cs="Calibri"/>
          <w:color w:val="000000"/>
          <w:sz w:val="24"/>
          <w:szCs w:val="24"/>
        </w:rPr>
        <w:t>,</w:t>
      </w:r>
      <w:r w:rsidRPr="00BA2696">
        <w:rPr>
          <w:rFonts w:cs="Calibri"/>
          <w:color w:val="000000"/>
          <w:sz w:val="24"/>
          <w:szCs w:val="24"/>
        </w:rPr>
        <w:t xml:space="preserve"> Linnaues viewed the white Europeus as intelligent and the black Afer</w:t>
      </w:r>
      <w:r w:rsidRPr="00BA2696">
        <w:rPr>
          <w:rFonts w:cs="Calibri"/>
          <w:i/>
          <w:color w:val="000000"/>
          <w:sz w:val="24"/>
          <w:szCs w:val="24"/>
        </w:rPr>
        <w:t xml:space="preserve"> </w:t>
      </w:r>
      <w:r w:rsidRPr="00BA2696">
        <w:rPr>
          <w:rFonts w:cs="Calibri"/>
          <w:color w:val="000000"/>
          <w:sz w:val="24"/>
          <w:szCs w:val="24"/>
        </w:rPr>
        <w:t xml:space="preserve">as lazy (Fara, 2017). It is possible to read this almost three-hundred-year-old taxonomy of human beings and with ease relate them to our modern lexicon regarding ‘race’ and nationality. This was further developed through the </w:t>
      </w:r>
      <w:bookmarkStart w:id="20" w:name="_Hlk37066866"/>
      <w:r w:rsidRPr="00BA2696">
        <w:rPr>
          <w:rFonts w:cs="Calibri"/>
          <w:color w:val="000000"/>
          <w:sz w:val="24"/>
          <w:szCs w:val="24"/>
        </w:rPr>
        <w:t>scientist, craniologist and anthropologist Johann Friedrich Blumenbach</w:t>
      </w:r>
      <w:r w:rsidRPr="00BA2696">
        <w:rPr>
          <w:rFonts w:cs="Calibri"/>
          <w:sz w:val="24"/>
          <w:szCs w:val="24"/>
        </w:rPr>
        <w:t xml:space="preserve"> </w:t>
      </w:r>
      <w:r w:rsidRPr="00BA2696">
        <w:rPr>
          <w:rFonts w:cs="Calibri"/>
          <w:color w:val="000000"/>
          <w:sz w:val="24"/>
          <w:szCs w:val="24"/>
        </w:rPr>
        <w:t xml:space="preserve">(1752-1840) who has been cited as one of the most important contributors to ‘race’ as a scientific concept (Bhopal, 2007). </w:t>
      </w:r>
      <w:bookmarkEnd w:id="20"/>
      <w:r w:rsidRPr="00BA2696">
        <w:rPr>
          <w:rFonts w:cs="Calibri"/>
          <w:color w:val="000000"/>
          <w:sz w:val="24"/>
          <w:szCs w:val="24"/>
        </w:rPr>
        <w:t>It has been argued the work of Blumenbach has been misinterpreted and misjudged by modern readers who fail to place his work within its historical context (Livingstone, 2017). Painter (2003, p. 12) also highlights that Blumenbach</w:t>
      </w:r>
      <w:r w:rsidRPr="00BA2696">
        <w:rPr>
          <w:rFonts w:cs="Calibri"/>
          <w:sz w:val="24"/>
          <w:szCs w:val="24"/>
        </w:rPr>
        <w:t xml:space="preserve"> ‘rejected racial hierarchy and emphasised the unity of mankind’.</w:t>
      </w:r>
      <w:r w:rsidRPr="00BA2696">
        <w:rPr>
          <w:rFonts w:cs="Calibri"/>
          <w:color w:val="000000"/>
          <w:sz w:val="24"/>
          <w:szCs w:val="24"/>
        </w:rPr>
        <w:t xml:space="preserve"> What is undeniable is that Blumenbach introduced the term ‘Caucasian’ (Painter, 2010). Around this time, and influenced by Blumenbach, ideals of </w:t>
      </w:r>
      <w:r w:rsidRPr="00BA2696">
        <w:rPr>
          <w:rFonts w:cs="Calibri"/>
          <w:color w:val="000000"/>
          <w:sz w:val="24"/>
          <w:szCs w:val="24"/>
        </w:rPr>
        <w:lastRenderedPageBreak/>
        <w:t>beauty were also being placed upon physical appearance through</w:t>
      </w:r>
      <w:r>
        <w:rPr>
          <w:rFonts w:cs="Calibri"/>
          <w:color w:val="000000"/>
          <w:sz w:val="24"/>
          <w:szCs w:val="24"/>
        </w:rPr>
        <w:t xml:space="preserve"> the work of the</w:t>
      </w:r>
      <w:r w:rsidRPr="00BA2696">
        <w:rPr>
          <w:rFonts w:cs="Calibri"/>
          <w:color w:val="000000"/>
          <w:sz w:val="24"/>
          <w:szCs w:val="24"/>
        </w:rPr>
        <w:t xml:space="preserve"> philosopher Christoph Meiners, whose dualistic concept of race, the Tartar-Caucasian (white) and the Mongolian (brown and black), were differentiated through his notion of beautiful (Tartar-Caucasian) and ugly (Mongolian) (Guédron, 2014).</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color w:val="000000"/>
          <w:sz w:val="24"/>
          <w:szCs w:val="24"/>
        </w:rPr>
      </w:pPr>
      <w:r w:rsidRPr="00BA2696">
        <w:rPr>
          <w:rFonts w:cs="Calibri"/>
          <w:color w:val="000000"/>
          <w:sz w:val="24"/>
          <w:szCs w:val="24"/>
        </w:rPr>
        <w:t>When combined with already established notions of moral character and physical appearance, we can see the elevation of whiteness as good and attractive and black</w:t>
      </w:r>
      <w:r>
        <w:rPr>
          <w:rFonts w:cs="Calibri"/>
          <w:color w:val="000000"/>
          <w:sz w:val="24"/>
          <w:szCs w:val="24"/>
        </w:rPr>
        <w:t>ness perceived</w:t>
      </w:r>
      <w:r w:rsidRPr="00BA2696">
        <w:rPr>
          <w:rFonts w:cs="Calibri"/>
          <w:color w:val="000000"/>
          <w:sz w:val="24"/>
          <w:szCs w:val="24"/>
        </w:rPr>
        <w:t xml:space="preserve"> as bad and ugly. By this point in history, it was believed that ‘physical appearance and social behaviour of individuals was an alterable expression of biological type’ (Meer, 2014, p. 115). This is known as biological determinism, whereby one’s behaviour is determined by one’s biology; it is now a discredited theory (Marks, 2017).</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color w:val="000000"/>
          <w:sz w:val="24"/>
          <w:szCs w:val="24"/>
        </w:rPr>
        <w:t xml:space="preserve">In considering the history of ‘race’ the fact of the transatlantic slave trade cannot be overlooked, yet I am aware that a brief overview of this era of history will not be sufficient to explain the horrors and injustices experienced by millions of people. Equally, it will be a gross oversight to not mention this important part of history. Therefore, it is with this awareness that slavery is discussed. The moral and physical attributes being placed upon black people were reinforced and used as justification for the slave trade. This justification was sought from the Bible in the Story of Ham, condemned to slavery by his father Noah, and used to perpetuate the erroneous argument that Africans were therefore fated by God to slavery (Whitford, 2016; </w:t>
      </w:r>
      <w:r w:rsidRPr="00BA2696">
        <w:rPr>
          <w:rFonts w:cs="Calibri"/>
          <w:sz w:val="24"/>
          <w:szCs w:val="24"/>
        </w:rPr>
        <w:t>The Bible, Genesis 9:20-27</w:t>
      </w:r>
      <w:r w:rsidRPr="00BA2696">
        <w:rPr>
          <w:rFonts w:cs="Calibri"/>
          <w:color w:val="000000"/>
          <w:sz w:val="24"/>
          <w:szCs w:val="24"/>
        </w:rPr>
        <w:t xml:space="preserve">). Despite Britain’s early involvement in the slave trade, they were not major participants until the mid-eighteenth-century when slavery </w:t>
      </w:r>
      <w:r w:rsidRPr="00BA2696">
        <w:rPr>
          <w:rFonts w:cs="Calibri"/>
          <w:color w:val="000000"/>
          <w:sz w:val="24"/>
          <w:szCs w:val="24"/>
        </w:rPr>
        <w:lastRenderedPageBreak/>
        <w:t xml:space="preserve">overshadowed life in the Americas (Walvin, 2007). It would appear that the increase in slavery coincided with the Enlightenment’s early scientific endeavour of categorising humans and </w:t>
      </w:r>
      <w:r>
        <w:rPr>
          <w:rFonts w:cs="Calibri"/>
          <w:color w:val="000000"/>
          <w:sz w:val="24"/>
          <w:szCs w:val="24"/>
        </w:rPr>
        <w:t xml:space="preserve">ascribing </w:t>
      </w:r>
      <w:r w:rsidRPr="00BA2696">
        <w:rPr>
          <w:rFonts w:cs="Calibri"/>
          <w:color w:val="000000"/>
          <w:sz w:val="24"/>
          <w:szCs w:val="24"/>
        </w:rPr>
        <w:t xml:space="preserve">superiority (white) and inferiority (black) </w:t>
      </w:r>
      <w:bookmarkStart w:id="21" w:name="_Hlk18945175"/>
      <w:r w:rsidRPr="00BA2696">
        <w:rPr>
          <w:rFonts w:cs="Calibri"/>
          <w:color w:val="000000"/>
          <w:sz w:val="24"/>
          <w:szCs w:val="24"/>
        </w:rPr>
        <w:t>(Fara, 2017</w:t>
      </w:r>
      <w:bookmarkEnd w:id="21"/>
      <w:r w:rsidRPr="00BA2696">
        <w:rPr>
          <w:rFonts w:cs="Calibri"/>
          <w:color w:val="000000"/>
          <w:sz w:val="24"/>
          <w:szCs w:val="24"/>
        </w:rPr>
        <w:t>).  Approximately eleven million black African people were taken across the Atlantic to work on plantations, and whilst Britain had slave ports (such as Liverpool, Bristol and London) these were</w:t>
      </w:r>
      <w:r>
        <w:rPr>
          <w:rFonts w:cs="Calibri"/>
          <w:color w:val="000000"/>
          <w:sz w:val="24"/>
          <w:szCs w:val="24"/>
        </w:rPr>
        <w:t xml:space="preserve"> </w:t>
      </w:r>
      <w:r w:rsidRPr="00BA2696">
        <w:rPr>
          <w:rFonts w:cs="Calibri"/>
          <w:color w:val="000000"/>
          <w:sz w:val="24"/>
          <w:szCs w:val="24"/>
        </w:rPr>
        <w:t xml:space="preserve">stops along the journey to the British Colonies, meaning ‘unlike in America, most British people saw the money without the blood’ (Eddo-Lodge, 2017, p. 5). Indeed, it has been suggested whilst parliament passed through the Abolition Act in 1807 ending the buying and selling of slaves and later the </w:t>
      </w:r>
      <w:bookmarkStart w:id="22" w:name="_Hlk55567450"/>
      <w:r w:rsidRPr="00BA2696">
        <w:rPr>
          <w:rFonts w:cs="Calibri"/>
          <w:color w:val="000000"/>
          <w:sz w:val="24"/>
          <w:szCs w:val="24"/>
        </w:rPr>
        <w:t>Slavery Abolition Act in 1833</w:t>
      </w:r>
      <w:bookmarkEnd w:id="22"/>
      <w:r w:rsidRPr="00BA2696">
        <w:rPr>
          <w:rFonts w:cs="Calibri"/>
          <w:color w:val="000000"/>
          <w:sz w:val="24"/>
          <w:szCs w:val="24"/>
        </w:rPr>
        <w:t xml:space="preserve">, Britain in fact grew wealthier after abolition through its reliance on slave grown cotton, allowing Britain’s manufacturing economy to grow (Sherwood, 2007).  Similarly, Imperial rule of India led to Britain’s wealth and rise in power with the formation of the British East India Company in 1600 which grew in economic dominance via the oppression of, and violence toward, Indian people under British rule (Tharoor, 2018). </w:t>
      </w:r>
      <w:r w:rsidRPr="00BA2696">
        <w:rPr>
          <w:rFonts w:cs="Calibri"/>
          <w:sz w:val="24"/>
          <w:szCs w:val="24"/>
        </w:rPr>
        <w:t>Therefore, colonialism and imperialism have been significant aspects of British history. However, a clear definition</w:t>
      </w:r>
      <w:r>
        <w:rPr>
          <w:rFonts w:cs="Calibri"/>
          <w:sz w:val="24"/>
          <w:szCs w:val="24"/>
        </w:rPr>
        <w:t xml:space="preserve"> of</w:t>
      </w:r>
      <w:r w:rsidRPr="00BA2696">
        <w:rPr>
          <w:rFonts w:cs="Calibri"/>
          <w:sz w:val="24"/>
          <w:szCs w:val="24"/>
        </w:rPr>
        <w:t xml:space="preserve"> these terms can be challenging given their changing semantic meaning depending on the historical context of their use (Loomba, 1998). Simply put, ‘colonialism can be defined as the conquest and control of other people’s lands and goods’ (Loomba, 1998, p. 1). Whereas imperialism can take political and economic forms; with the former relating to the governance of colonised countries and the latter to control of the economic markets (Loomba, 1998).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lastRenderedPageBreak/>
        <w:t xml:space="preserve">Therefore, colonisation could be viewed as the practice or the means by which imperial political and economic power is achieved. The effects of colonialisation is that it ‘locked the original inhabitants and the newcomers in the most complex and traumatic relationships in human histories’ </w:t>
      </w:r>
      <w:bookmarkStart w:id="23" w:name="_Hlk9773038"/>
      <w:r w:rsidRPr="00BA2696">
        <w:rPr>
          <w:rFonts w:cs="Calibri"/>
          <w:sz w:val="24"/>
          <w:szCs w:val="24"/>
        </w:rPr>
        <w:t>(Loomba, 1998, p. 2).</w:t>
      </w:r>
      <w:bookmarkEnd w:id="23"/>
      <w:r w:rsidRPr="00BA2696">
        <w:rPr>
          <w:rFonts w:cs="Calibri"/>
          <w:sz w:val="24"/>
          <w:szCs w:val="24"/>
        </w:rPr>
        <w:t xml:space="preserve"> Indeed, Memmi (2016) argued in the 1960s that there are long-term psychological effects of colonialism for both the coloniser and the colonised. Postcolonial theory (Said, 1978; Loomba, 1998; Gandhi 2019) contests colonial domination and offers a way of understanding the complicated legacy of colonialism and imperialism. Whilst postcolonialism can be used as a theoretical lens in ‘race’ studies, critical whiteness studies was the preferred primary theoretical lens due to the significance of whiteness in this research (my own, the participants’ and the dominance of whiteness in counselling). Critical whiteness studies is discussed in Chapter 3 (Section 3.4).</w:t>
      </w:r>
    </w:p>
    <w:p w:rsidR="00836C90" w:rsidRPr="004939FF" w:rsidRDefault="00836C90" w:rsidP="00836C90">
      <w:pPr>
        <w:spacing w:after="0" w:line="480" w:lineRule="auto"/>
        <w:rPr>
          <w:rFonts w:cs="Calibri"/>
          <w:color w:val="FF0000"/>
          <w:sz w:val="24"/>
          <w:szCs w:val="24"/>
        </w:rPr>
      </w:pP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color w:val="000000"/>
          <w:sz w:val="24"/>
          <w:szCs w:val="24"/>
        </w:rPr>
      </w:pPr>
      <w:r w:rsidRPr="00BA2696">
        <w:rPr>
          <w:rFonts w:cs="Calibri"/>
          <w:color w:val="000000"/>
          <w:sz w:val="24"/>
          <w:szCs w:val="24"/>
        </w:rPr>
        <w:t xml:space="preserve">The culmination of attempting to turn the socially constructed idea of ‘race’ into biological and scientific fact was reinforced </w:t>
      </w:r>
      <w:r>
        <w:rPr>
          <w:rFonts w:cs="Calibri"/>
          <w:color w:val="000000"/>
          <w:sz w:val="24"/>
          <w:szCs w:val="24"/>
        </w:rPr>
        <w:t>with</w:t>
      </w:r>
      <w:r w:rsidRPr="00BA2696">
        <w:rPr>
          <w:rFonts w:cs="Calibri"/>
          <w:color w:val="000000"/>
          <w:sz w:val="24"/>
          <w:szCs w:val="24"/>
        </w:rPr>
        <w:t xml:space="preserve"> the rise of the Eugenics Movement (</w:t>
      </w:r>
      <w:bookmarkStart w:id="24" w:name="_Hlk339122"/>
      <w:r w:rsidRPr="00BA2696">
        <w:rPr>
          <w:rFonts w:cs="Calibri"/>
          <w:color w:val="000000"/>
          <w:sz w:val="24"/>
          <w:szCs w:val="24"/>
        </w:rPr>
        <w:t>Kühl</w:t>
      </w:r>
      <w:bookmarkEnd w:id="24"/>
      <w:r w:rsidRPr="00BA2696">
        <w:rPr>
          <w:rFonts w:cs="Calibri"/>
          <w:color w:val="000000"/>
          <w:sz w:val="24"/>
          <w:szCs w:val="24"/>
        </w:rPr>
        <w:t xml:space="preserve">, 2013). </w:t>
      </w:r>
      <w:r w:rsidRPr="00BA2696">
        <w:rPr>
          <w:rFonts w:cs="Calibri"/>
          <w:sz w:val="24"/>
          <w:szCs w:val="24"/>
        </w:rPr>
        <w:t>In the early 20</w:t>
      </w:r>
      <w:r w:rsidRPr="00BA2696">
        <w:rPr>
          <w:rFonts w:cs="Calibri"/>
          <w:sz w:val="24"/>
          <w:szCs w:val="24"/>
          <w:vertAlign w:val="superscript"/>
        </w:rPr>
        <w:t>th</w:t>
      </w:r>
      <w:r w:rsidRPr="00BA2696">
        <w:rPr>
          <w:rFonts w:cs="Calibri"/>
          <w:sz w:val="24"/>
          <w:szCs w:val="24"/>
        </w:rPr>
        <w:t xml:space="preserve"> century, eugenics was a combination of science and social policy which intended to promote healthy human reproduction and prevent unhealthy reproduction from those deemed undesirable (Levine, 2017). Intelligence and purity were primary concerns for eugenicists (Levine, 2017) and in regard to ‘race’, it is relevant to remember that the earliest taxonomy of ‘race’ by Carl Linnaeus had asserted that white people possessed a superior intellect (Fara, 2017).</w:t>
      </w:r>
      <w:r w:rsidRPr="00BA2696">
        <w:rPr>
          <w:rFonts w:cs="Calibri"/>
          <w:color w:val="4472C4"/>
          <w:sz w:val="24"/>
          <w:szCs w:val="24"/>
        </w:rPr>
        <w:t xml:space="preserve"> </w:t>
      </w:r>
      <w:r w:rsidRPr="00BA2696">
        <w:rPr>
          <w:rFonts w:cs="Calibri"/>
          <w:sz w:val="24"/>
          <w:szCs w:val="24"/>
        </w:rPr>
        <w:t>Eugenics was further catastrophically developed in Nazi ideology and policy (Conroy, 2017).</w:t>
      </w:r>
      <w:r w:rsidRPr="00BA2696">
        <w:rPr>
          <w:rFonts w:cs="Calibri"/>
          <w:color w:val="000000"/>
          <w:sz w:val="24"/>
          <w:szCs w:val="24"/>
        </w:rPr>
        <w:t xml:space="preserve"> Nazi racial ideology began with Social Darwinism, which was an adaptation of Charles </w:t>
      </w:r>
      <w:r w:rsidRPr="00BA2696">
        <w:rPr>
          <w:rFonts w:cs="Calibri"/>
          <w:color w:val="000000"/>
          <w:sz w:val="24"/>
          <w:szCs w:val="24"/>
        </w:rPr>
        <w:lastRenderedPageBreak/>
        <w:t>Darwin’s theory of natural selection and extrapolated to human society (Gasman, 2017). From Social Darwinism, Darwin’s cousin, Francis Galton developed the theory of Eugenics, the main principle being the reduction of those deemed as ‘inferior’ ‘races’ and the promotion of those seen as ‘superior’, concepts which were predicated on a belief that characteristics, behaviour and intelligence ‘were in and of themselves determined by heredity’ (Ifekwunigwe, 1999, p. 6). The Eugenic Movement’s idea of racial superiority and the need to eradicate inferior ‘races’ was subsumed into Nazi ideology and its effects tragically witnessed in the Holocaust (Bergman, 2014). As a strong refutation to Nazism and scientific explanations for ‘race’, the United Nations Education Scientific and Cultural Organization (UNESCO) stated:</w:t>
      </w:r>
    </w:p>
    <w:p w:rsidR="00836C90" w:rsidRPr="00BA2696" w:rsidRDefault="00836C90" w:rsidP="00836C90">
      <w:pPr>
        <w:spacing w:after="0" w:line="240" w:lineRule="auto"/>
        <w:ind w:left="567" w:right="567"/>
        <w:rPr>
          <w:rFonts w:cs="Calibri"/>
          <w:color w:val="000000"/>
          <w:sz w:val="24"/>
          <w:szCs w:val="24"/>
        </w:rPr>
      </w:pPr>
      <w:r w:rsidRPr="00BA2696">
        <w:rPr>
          <w:rFonts w:cs="Calibri"/>
          <w:color w:val="000000"/>
          <w:sz w:val="24"/>
          <w:szCs w:val="24"/>
        </w:rPr>
        <w:t>There was no delay or hesitation or lack of unanimity in reaching the primary conclusion that there were no scientific grounds whatever for the racialist position regarding purity of race and the hierarchy of inferior and superior races to which this leads. (UNESCO, 1949, p.36).</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sz w:val="24"/>
          <w:szCs w:val="24"/>
        </w:rPr>
      </w:pPr>
      <w:r w:rsidRPr="00BA2696">
        <w:rPr>
          <w:rFonts w:cs="Calibri"/>
          <w:color w:val="000000"/>
          <w:sz w:val="24"/>
          <w:szCs w:val="24"/>
        </w:rPr>
        <w:t xml:space="preserve">An evolution of the history of ‘race’ can be traced from the Middle Ages idea of impure blood to the Enlightenment’s emerging scientific pursuit of categorising human beings, to Social Darwinism and the Eugenics Movement’s belief in the eradication of ‘inferior’ ‘races’. </w:t>
      </w:r>
      <w:r w:rsidRPr="00BA2696">
        <w:rPr>
          <w:rFonts w:cs="Calibri"/>
          <w:sz w:val="24"/>
          <w:szCs w:val="24"/>
        </w:rPr>
        <w:t>This has been demonstrated by linking the progression from the Medieval conception of ‘race’ being related to bloodlines (Biddis, 1979; Hannaford, 1996) and whiteness equating moral purity (Heng, 2018), to the Enlightenment</w:t>
      </w:r>
      <w:r>
        <w:rPr>
          <w:rFonts w:cs="Calibri"/>
          <w:sz w:val="24"/>
          <w:szCs w:val="24"/>
        </w:rPr>
        <w:t>’s</w:t>
      </w:r>
      <w:r w:rsidRPr="00BA2696">
        <w:rPr>
          <w:rFonts w:cs="Calibri"/>
          <w:sz w:val="24"/>
          <w:szCs w:val="24"/>
        </w:rPr>
        <w:t xml:space="preserve"> notion of white intellectual and aesthetic superiority (Fara, 2017; Guédron, 2014). This led to the Eugenicist emphasis on intellect and the purity of blood and nation (Levine, 2017). The commonality of these ideas is the superiority of one group of people (white) over another (non-white).</w:t>
      </w:r>
      <w:r w:rsidRPr="00BA2696">
        <w:rPr>
          <w:rFonts w:cs="Calibri"/>
          <w:color w:val="000000"/>
          <w:sz w:val="24"/>
          <w:szCs w:val="24"/>
        </w:rPr>
        <w:t xml:space="preserve"> These theories have been used to justify atrocities including the transatlantic slave trade, </w:t>
      </w:r>
      <w:r w:rsidRPr="00BA2696">
        <w:rPr>
          <w:rFonts w:cs="Calibri"/>
          <w:sz w:val="24"/>
          <w:szCs w:val="24"/>
        </w:rPr>
        <w:t xml:space="preserve">Imperialism </w:t>
      </w:r>
      <w:r w:rsidRPr="00BA2696">
        <w:rPr>
          <w:rFonts w:cs="Calibri"/>
          <w:color w:val="000000"/>
          <w:sz w:val="24"/>
          <w:szCs w:val="24"/>
        </w:rPr>
        <w:t xml:space="preserve">and the </w:t>
      </w:r>
      <w:r w:rsidRPr="00BA2696">
        <w:rPr>
          <w:rFonts w:cs="Calibri"/>
          <w:color w:val="000000"/>
          <w:sz w:val="24"/>
          <w:szCs w:val="24"/>
        </w:rPr>
        <w:lastRenderedPageBreak/>
        <w:t xml:space="preserve">Holocaust. However, the historical way of thinking of ‘race’ as being determined by biology is now known as biological determinism, biological racism or scientific racism and is rejected by the scientific community (Marks, 2017). It is important to highlight that although discredited, such theories are still propounded, notably in the controversial work of Herrnstein and Murray (1994) who claim African-Americans have lower IQs than whites. The authors’ work has been </w:t>
      </w:r>
      <w:r>
        <w:rPr>
          <w:rFonts w:cs="Calibri"/>
          <w:color w:val="000000"/>
          <w:sz w:val="24"/>
          <w:szCs w:val="24"/>
        </w:rPr>
        <w:t>critiqued</w:t>
      </w:r>
      <w:r w:rsidRPr="00BA2696">
        <w:rPr>
          <w:rFonts w:cs="Calibri"/>
          <w:color w:val="000000"/>
          <w:sz w:val="24"/>
          <w:szCs w:val="24"/>
        </w:rPr>
        <w:t xml:space="preserve"> for ignoring c</w:t>
      </w:r>
      <w:r>
        <w:rPr>
          <w:rFonts w:cs="Calibri"/>
          <w:color w:val="000000"/>
          <w:sz w:val="24"/>
          <w:szCs w:val="24"/>
        </w:rPr>
        <w:t>ontemporary</w:t>
      </w:r>
      <w:r w:rsidRPr="00BA2696">
        <w:rPr>
          <w:rFonts w:cs="Calibri"/>
          <w:color w:val="000000"/>
          <w:sz w:val="24"/>
          <w:szCs w:val="24"/>
        </w:rPr>
        <w:t xml:space="preserve"> research (Rattansi, 2007) and for allowing pre-existing prejudices, in regard to racial stereotypes, to affect the research (Hilliard, 2012</w:t>
      </w:r>
      <w:r w:rsidRPr="00BA2696">
        <w:rPr>
          <w:rFonts w:cs="Calibri"/>
          <w:sz w:val="24"/>
          <w:szCs w:val="24"/>
        </w:rPr>
        <w:t xml:space="preserve">). Indeed, when considering the USA social context when Herrnstein and Murray’s (1994) work was produced, there was a ‘social and legislative backlash to the progress of the civil rights era’ (Serrianne, 2015, p. 172).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color w:val="000000"/>
          <w:sz w:val="24"/>
          <w:szCs w:val="24"/>
        </w:rPr>
      </w:pPr>
      <w:r w:rsidRPr="00BA2696">
        <w:rPr>
          <w:rFonts w:cs="Calibri"/>
          <w:sz w:val="24"/>
          <w:szCs w:val="24"/>
        </w:rPr>
        <w:t xml:space="preserve">More recently, controversy has surrounded Nobel-prize winning biologist James Watson’s assertion that genetics affect intelligence along racial lines; this led to Watson’s honorary professional titles being removed (BBC, 2019; Charlton, 2019). </w:t>
      </w:r>
      <w:r w:rsidRPr="00BA2696">
        <w:rPr>
          <w:rFonts w:cs="Calibri"/>
          <w:color w:val="000000"/>
          <w:sz w:val="24"/>
          <w:szCs w:val="24"/>
        </w:rPr>
        <w:t>Therefore, whilst biological determinism is no longer an accepted rationale such ideas continue to persist (</w:t>
      </w:r>
      <w:bookmarkStart w:id="25" w:name="_Hlk52787110"/>
      <w:r w:rsidRPr="00BA2696">
        <w:rPr>
          <w:rFonts w:cs="Calibri"/>
          <w:color w:val="000000"/>
          <w:sz w:val="24"/>
          <w:szCs w:val="24"/>
        </w:rPr>
        <w:t>Saini</w:t>
      </w:r>
      <w:bookmarkEnd w:id="25"/>
      <w:r w:rsidRPr="00BA2696">
        <w:rPr>
          <w:rFonts w:cs="Calibri"/>
          <w:color w:val="000000"/>
          <w:sz w:val="24"/>
          <w:szCs w:val="24"/>
        </w:rPr>
        <w:t xml:space="preserve">, 2019). </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Hall (2017) has recognised the persistence of ‘race’ despite academic contributions proving it is not a biological category, but rather a socially constructed one. He argues that ‘race’ is ‘the floating signifier’ (or ‘the sliding signifier’) a category that is discursively constructed, changing its meaning depending on historical time, context and relational dynamics. In this way, ‘race’ continues to persist as a method of classifying people which has consequences that can be witnessed in systemic </w:t>
      </w:r>
      <w:r w:rsidRPr="00BA2696">
        <w:rPr>
          <w:rFonts w:cs="Calibri"/>
          <w:sz w:val="24"/>
          <w:szCs w:val="24"/>
        </w:rPr>
        <w:lastRenderedPageBreak/>
        <w:t>inequalities. As Hall (2017, p.</w:t>
      </w:r>
      <w:r>
        <w:rPr>
          <w:rFonts w:cs="Calibri"/>
          <w:sz w:val="24"/>
          <w:szCs w:val="24"/>
        </w:rPr>
        <w:t xml:space="preserve"> </w:t>
      </w:r>
      <w:r w:rsidRPr="00BA2696">
        <w:rPr>
          <w:rFonts w:cs="Calibri"/>
          <w:sz w:val="24"/>
          <w:szCs w:val="24"/>
        </w:rPr>
        <w:t>43) argues ‘we still have to account for why race is so tenacious in human history, so impossible to dislodge’. Therefore, in outlining the social construction of ‘race’, it is also recognised that ‘race’ continues to exist as a form of categorisation.</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pStyle w:val="Heading3"/>
      </w:pPr>
      <w:bookmarkStart w:id="26" w:name="_Toc56522987"/>
      <w:bookmarkStart w:id="27" w:name="_Toc56523269"/>
      <w:bookmarkStart w:id="28" w:name="_Toc57910077"/>
      <w:bookmarkStart w:id="29" w:name="_Toc58251293"/>
      <w:bookmarkStart w:id="30" w:name="_Toc72413621"/>
      <w:r w:rsidRPr="00BA2696">
        <w:t>2.1.2 The Historical Construction of ‘Whiteness’</w:t>
      </w:r>
      <w:bookmarkEnd w:id="26"/>
      <w:bookmarkEnd w:id="27"/>
      <w:bookmarkEnd w:id="28"/>
      <w:bookmarkEnd w:id="29"/>
      <w:bookmarkEnd w:id="30"/>
      <w:r w:rsidRPr="00BA2696">
        <w:t xml:space="preserve"> </w:t>
      </w:r>
    </w:p>
    <w:p w:rsidR="00836C90" w:rsidRPr="00BA2696" w:rsidRDefault="00836C90" w:rsidP="00836C90">
      <w:pPr>
        <w:spacing w:after="0" w:line="480" w:lineRule="auto"/>
        <w:rPr>
          <w:rFonts w:cs="Calibri"/>
          <w:color w:val="000000"/>
          <w:sz w:val="24"/>
          <w:szCs w:val="24"/>
        </w:rPr>
      </w:pPr>
      <w:r w:rsidRPr="00BA2696">
        <w:rPr>
          <w:rFonts w:cs="Calibri"/>
          <w:color w:val="000000"/>
          <w:sz w:val="24"/>
          <w:szCs w:val="24"/>
        </w:rPr>
        <w:t>The historical implications of ‘race’ and the categorisation of humans has been considered and arguably would be known to even those who are not well-versed in this area. The transatlantic slave trade (Walvin, 2007), the British Empire (Tharoor, 2018) segregation in the Deep South of the United States of America and the subsequent civil rights movement (Tuck and Umoren, 2019) and apartheid in South Africa (Clark and Worger, 2016) are points in history that most will be aware of. Contemporary iterations would include the Windrush scandal (Gentleman, 2018), the refugee crisis in Europe (Kingsley, 2017), the Black Lives Matter movement (Lowrey, 2017) and the tragedy of Grenfell Tower (Bulley, Edkins, El-Nany, 2019). However,</w:t>
      </w:r>
      <w:r>
        <w:rPr>
          <w:rFonts w:cs="Calibri"/>
          <w:color w:val="000000"/>
          <w:sz w:val="24"/>
          <w:szCs w:val="24"/>
        </w:rPr>
        <w:t xml:space="preserve"> Painter (2010, p. ix) states that although history ‘offers up a large bounty of commentary on what it means to be nonwhite’, the history of whiteness has rarely been examined in the same way. One reason for this may be found in the argument that white people have been the traditional gatekeepers of the cultural and historical understanding of ‘race’ (Dyer, 2017).</w:t>
      </w:r>
      <w:r w:rsidRPr="00BA2696">
        <w:rPr>
          <w:rFonts w:cs="Calibri"/>
          <w:color w:val="000000"/>
          <w:sz w:val="24"/>
          <w:szCs w:val="24"/>
        </w:rPr>
        <w:t xml:space="preserve"> </w:t>
      </w:r>
      <w:r>
        <w:rPr>
          <w:rFonts w:cs="Calibri"/>
          <w:color w:val="000000"/>
          <w:sz w:val="24"/>
          <w:szCs w:val="24"/>
        </w:rPr>
        <w:t xml:space="preserve"> </w:t>
      </w:r>
      <w:r w:rsidRPr="00BA2696">
        <w:rPr>
          <w:rFonts w:cs="Calibri"/>
          <w:color w:val="000000"/>
          <w:sz w:val="24"/>
          <w:szCs w:val="24"/>
        </w:rPr>
        <w:t>The aim of this section is to offer a context i</w:t>
      </w:r>
      <w:r w:rsidRPr="004939FF">
        <w:rPr>
          <w:rFonts w:cs="Calibri"/>
          <w:color w:val="000000"/>
          <w:sz w:val="24"/>
          <w:szCs w:val="24"/>
        </w:rPr>
        <w:t>n</w:t>
      </w:r>
      <w:r w:rsidRPr="00BA2696">
        <w:rPr>
          <w:rFonts w:cs="Calibri"/>
          <w:color w:val="000000"/>
          <w:sz w:val="24"/>
          <w:szCs w:val="24"/>
        </w:rPr>
        <w:t xml:space="preserve">to which this research can be placed. </w:t>
      </w:r>
      <w:r w:rsidRPr="00BA2696">
        <w:rPr>
          <w:rFonts w:cs="Calibri"/>
          <w:sz w:val="24"/>
          <w:szCs w:val="24"/>
        </w:rPr>
        <w:t>The reason for the inclusion of the construction of whiteness is to avoid ambiguity about the notion of whiteness</w:t>
      </w:r>
      <w:r>
        <w:rPr>
          <w:rFonts w:cs="Calibri"/>
          <w:sz w:val="24"/>
          <w:szCs w:val="24"/>
        </w:rPr>
        <w:t xml:space="preserve"> </w:t>
      </w:r>
      <w:r w:rsidRPr="00BA2696">
        <w:rPr>
          <w:rFonts w:cs="Calibri"/>
          <w:sz w:val="24"/>
          <w:szCs w:val="24"/>
        </w:rPr>
        <w:t xml:space="preserve">and to offer parity with the exploration of ‘race’. In other words, this section is intended to counteract the </w:t>
      </w:r>
      <w:r w:rsidRPr="00BA2696">
        <w:rPr>
          <w:rFonts w:cs="Calibri"/>
          <w:sz w:val="24"/>
          <w:szCs w:val="24"/>
        </w:rPr>
        <w:lastRenderedPageBreak/>
        <w:t>presumption that whiteness is the norm through considering its origins.</w:t>
      </w:r>
      <w:r w:rsidRPr="00BA2696">
        <w:rPr>
          <w:rFonts w:cs="Calibri"/>
          <w:color w:val="0070C0"/>
          <w:sz w:val="24"/>
          <w:szCs w:val="24"/>
        </w:rPr>
        <w:t xml:space="preserve"> </w:t>
      </w:r>
      <w:r w:rsidRPr="00BA2696">
        <w:rPr>
          <w:rFonts w:cs="Calibri"/>
          <w:sz w:val="24"/>
          <w:szCs w:val="24"/>
        </w:rPr>
        <w:t>Indeed, it has not been possible to source research conducted in Wales that utilises</w:t>
      </w:r>
      <w:r w:rsidRPr="00BA2696">
        <w:rPr>
          <w:rFonts w:cs="Calibri"/>
          <w:color w:val="000000"/>
          <w:sz w:val="24"/>
          <w:szCs w:val="24"/>
        </w:rPr>
        <w:t xml:space="preserve"> critical whiteness studies in conjunction with counselling, placing this doctoral research in a unique position in Welsh academia. </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bCs/>
          <w:color w:val="000000"/>
          <w:sz w:val="24"/>
          <w:szCs w:val="24"/>
        </w:rPr>
      </w:pPr>
      <w:r w:rsidRPr="00BA2696">
        <w:rPr>
          <w:rFonts w:cs="Calibri"/>
          <w:bCs/>
          <w:color w:val="000000"/>
          <w:sz w:val="24"/>
          <w:szCs w:val="24"/>
        </w:rPr>
        <w:t xml:space="preserve">It is important to consider what is meant by ‘white’. As will be explored, who or what is defined as ‘white’ is not static, but rather an ever evolving and redefined category. Despite this, white people do not generally consider themselves as having a ‘race’ (Ryde, 2009), whiteness is largely invisible to white people and is the standard white people use to gauge what is ‘normal’ </w:t>
      </w:r>
      <w:bookmarkStart w:id="31" w:name="_Hlk531175906"/>
      <w:bookmarkStart w:id="32" w:name="_Hlk7339725"/>
      <w:r w:rsidRPr="00BA2696">
        <w:rPr>
          <w:rFonts w:cs="Calibri"/>
          <w:bCs/>
          <w:color w:val="000000"/>
          <w:sz w:val="24"/>
          <w:szCs w:val="24"/>
        </w:rPr>
        <w:t>(</w:t>
      </w:r>
      <w:bookmarkStart w:id="33" w:name="_Hlk52364563"/>
      <w:r w:rsidRPr="00BA2696">
        <w:rPr>
          <w:rFonts w:cs="Calibri"/>
          <w:bCs/>
          <w:color w:val="000000"/>
          <w:sz w:val="24"/>
          <w:szCs w:val="24"/>
        </w:rPr>
        <w:t>Halley, Eshleman, and Mahadevan-Vijaya, 2011</w:t>
      </w:r>
      <w:bookmarkEnd w:id="31"/>
      <w:bookmarkEnd w:id="33"/>
      <w:r w:rsidRPr="00BA2696">
        <w:rPr>
          <w:rFonts w:cs="Calibri"/>
          <w:bCs/>
          <w:color w:val="000000"/>
          <w:sz w:val="24"/>
          <w:szCs w:val="24"/>
        </w:rPr>
        <w:t xml:space="preserve">) leading to whiteness being seen as non-problematic and legitimate (Hayes </w:t>
      </w:r>
      <w:r w:rsidRPr="00BA2696">
        <w:rPr>
          <w:rFonts w:cs="Calibri"/>
          <w:bCs/>
          <w:i/>
          <w:iCs/>
          <w:color w:val="000000"/>
          <w:sz w:val="24"/>
          <w:szCs w:val="24"/>
        </w:rPr>
        <w:t>et al</w:t>
      </w:r>
      <w:r w:rsidRPr="00BA2696">
        <w:rPr>
          <w:rFonts w:cs="Calibri"/>
          <w:bCs/>
          <w:color w:val="000000"/>
          <w:sz w:val="24"/>
          <w:szCs w:val="24"/>
        </w:rPr>
        <w:t>, 2013). Likewise, it has been argued that historically white people have had more control over how they are represented culturally, meaning that other groups are viewed within racial terms, whilst white people are seen as people or human (Dyer, 2017)</w:t>
      </w:r>
      <w:bookmarkEnd w:id="32"/>
      <w:r w:rsidRPr="00BA2696">
        <w:rPr>
          <w:rFonts w:cs="Calibri"/>
          <w:bCs/>
          <w:color w:val="000000"/>
          <w:sz w:val="24"/>
          <w:szCs w:val="24"/>
        </w:rPr>
        <w:t xml:space="preserve">. This normalisation of whiteness results in a powerful position as ‘the claim to power is the claim to speak for the commonality of humanity’ (Dyer, 2017, p. 2). Therefore, it is possible to contend that generally white people do not consider themselves as belonging to a ‘race’, but rather as the standardisation of humanity. This normalcy coupled with the authority to control the representation of whiteness (and by extension other ‘race’s’) has led to whiteness being a dominant power. This can be reflected in the British educational system which will be discussed below (Section 2.1.6). </w:t>
      </w:r>
    </w:p>
    <w:p w:rsidR="00836C90" w:rsidRPr="00BA2696" w:rsidRDefault="00836C90" w:rsidP="00836C90">
      <w:pPr>
        <w:spacing w:after="0" w:line="480" w:lineRule="auto"/>
        <w:rPr>
          <w:rFonts w:cs="Calibri"/>
          <w:bCs/>
          <w:color w:val="000000"/>
          <w:sz w:val="24"/>
          <w:szCs w:val="24"/>
        </w:rPr>
      </w:pPr>
    </w:p>
    <w:p w:rsidR="00836C90" w:rsidRPr="00BA2696" w:rsidRDefault="00836C90" w:rsidP="00836C90">
      <w:pPr>
        <w:spacing w:after="0" w:line="480" w:lineRule="auto"/>
        <w:rPr>
          <w:rFonts w:cs="Calibri"/>
          <w:bCs/>
          <w:color w:val="000000"/>
          <w:sz w:val="24"/>
          <w:szCs w:val="24"/>
        </w:rPr>
      </w:pPr>
      <w:r w:rsidRPr="00BA2696">
        <w:rPr>
          <w:rFonts w:cs="Calibri"/>
          <w:bCs/>
          <w:color w:val="000000"/>
          <w:sz w:val="24"/>
          <w:szCs w:val="24"/>
        </w:rPr>
        <w:lastRenderedPageBreak/>
        <w:t xml:space="preserve">As with the social construction of the concept of ‘race’, the notion of ‘white people’ was also constructed. Through the exploration of ancient texts and artefacts, it is apparent that Northern Europeans were viewed not as a homogenous entity but rather as tribes with names ascribed to them by the Greeks and Romans (Painter, 2010). From this we derive amongst others, the Celts (Painter, 2010). In the sixteenth century, the </w:t>
      </w:r>
      <w:bookmarkStart w:id="34" w:name="_Hlk18919044"/>
      <w:r w:rsidRPr="00BA2696">
        <w:rPr>
          <w:rFonts w:cs="Calibri"/>
          <w:bCs/>
          <w:color w:val="000000"/>
          <w:sz w:val="24"/>
          <w:szCs w:val="24"/>
        </w:rPr>
        <w:t>art historian Johann Joachim Winckelmann (1711-1768) promoted the aesthetic ideal of whiteness</w:t>
      </w:r>
      <w:bookmarkEnd w:id="34"/>
      <w:r w:rsidRPr="00BA2696">
        <w:rPr>
          <w:rFonts w:cs="Calibri"/>
          <w:bCs/>
          <w:color w:val="000000"/>
          <w:sz w:val="24"/>
          <w:szCs w:val="24"/>
        </w:rPr>
        <w:t xml:space="preserve">, believing whiteness equated beauty based upon Greek art and sculpture; an idea that gained prominence and influence in later burgeoning scientific thought (Painter, 2010). </w:t>
      </w:r>
      <w:r w:rsidRPr="00BA2696">
        <w:rPr>
          <w:rFonts w:cs="Calibri"/>
          <w:bCs/>
          <w:sz w:val="24"/>
          <w:szCs w:val="24"/>
        </w:rPr>
        <w:t>As noted earlier, white people became classified as ‘Caucasian’ by Blumenbach in the eighteenth-century and his assertion of the superior beauty of the Caucasian skull (Guédron, 2014) is reminiscent of Winckelmann’s belief in the white aesthetic ideal (Painter, 2010). If one returns to the Medieval Christian idea that whiteness symbolised purity (Heng, 2018), and combine this with artistic notions of whiteness equating beauty, it is possible to conclude how the artistic representation of Jesus Christ as a white man came to be. The implication of this use of skin colour for ‘Christ representations’ offers a reinforcement of the perceived connection between whiteness and morality (Yancy, 2012b; Dyer, 2017).</w:t>
      </w:r>
      <w:r w:rsidRPr="00BA2696">
        <w:rPr>
          <w:rFonts w:cs="Calibri"/>
          <w:bCs/>
          <w:color w:val="FF0000"/>
          <w:sz w:val="24"/>
          <w:szCs w:val="24"/>
        </w:rPr>
        <w:t xml:space="preserve"> </w:t>
      </w:r>
      <w:r w:rsidRPr="00BA2696">
        <w:rPr>
          <w:rFonts w:cs="Calibri"/>
          <w:bCs/>
          <w:color w:val="000000"/>
          <w:sz w:val="24"/>
          <w:szCs w:val="24"/>
        </w:rPr>
        <w:t xml:space="preserve">It was during this time of the scientific zeitgeist of classifying human beings, that the notion of white people being intellectually, morally and aesthetically superior became established and accepted as scientific fact (Rattansi, 2007; Painter, 2010; Marks, 2017). </w:t>
      </w:r>
    </w:p>
    <w:p w:rsidR="00836C90" w:rsidRPr="00BA2696" w:rsidRDefault="00836C90" w:rsidP="00836C90">
      <w:pPr>
        <w:spacing w:after="0" w:line="480" w:lineRule="auto"/>
        <w:rPr>
          <w:rFonts w:cs="Calibri"/>
          <w:bCs/>
          <w:color w:val="000000"/>
          <w:sz w:val="24"/>
          <w:szCs w:val="24"/>
        </w:rPr>
      </w:pPr>
    </w:p>
    <w:p w:rsidR="00836C90" w:rsidRPr="00BA2696" w:rsidRDefault="00836C90" w:rsidP="00836C90">
      <w:pPr>
        <w:spacing w:after="0" w:line="480" w:lineRule="auto"/>
        <w:rPr>
          <w:rFonts w:cs="Calibri"/>
          <w:color w:val="000000"/>
          <w:sz w:val="24"/>
          <w:szCs w:val="24"/>
        </w:rPr>
      </w:pPr>
      <w:r w:rsidRPr="00BA2696">
        <w:rPr>
          <w:rFonts w:cs="Calibri"/>
          <w:bCs/>
          <w:color w:val="000000"/>
          <w:sz w:val="24"/>
          <w:szCs w:val="24"/>
        </w:rPr>
        <w:t xml:space="preserve">Although the intellectuals and scientists of the eighteenth and nineteenth century, themselves white men, proposed white superiority, there was an expectation found in the historical exclusion of the Irish into the category of whiteness (Allen, 1994; </w:t>
      </w:r>
      <w:r w:rsidRPr="00BA2696">
        <w:rPr>
          <w:rFonts w:cs="Calibri"/>
          <w:bCs/>
          <w:color w:val="000000"/>
          <w:sz w:val="24"/>
          <w:szCs w:val="24"/>
        </w:rPr>
        <w:lastRenderedPageBreak/>
        <w:t>Ignatiev, 2009; Painter, 2010; Dyer, 2017). This exclusion demonstrates that the concept of ‘white’ has been a changeable category that is not necessarily predicated on skin colour. Dyer (2017) states the Irish (as well as Latins and Jews) were often insecure in the category of whiteness and were frequently represented by the English as ape-like in nineteenth century caricatures (Kenny, 2007; Pearl, 2010). Likewise, contemporary cartoons also depicted the Irish as poor, violent, and ugly drunkards (Painter, 2010).  During the potato famine in the mid-nineteenth century, many Irish emigrated to the United States where they initially lived and worshipped alongside African-American communities; at this point the Irish immigrants were not seen as black but simultaneously they were not seen as white (Halley, Eshleman, and Mahadevan-Vijaya, 2011).</w:t>
      </w:r>
      <w:r w:rsidRPr="00BA2696">
        <w:rPr>
          <w:rFonts w:cs="Calibri"/>
          <w:bCs/>
          <w:color w:val="0070C0"/>
          <w:sz w:val="24"/>
          <w:szCs w:val="24"/>
        </w:rPr>
        <w:t xml:space="preserve"> </w:t>
      </w:r>
      <w:bookmarkStart w:id="35" w:name="_Hlk55570536"/>
      <w:r w:rsidRPr="00BA2696">
        <w:rPr>
          <w:rFonts w:cs="Calibri"/>
          <w:bCs/>
          <w:color w:val="000000"/>
          <w:sz w:val="24"/>
          <w:szCs w:val="24"/>
        </w:rPr>
        <w:t>Ignatiev (2009</w:t>
      </w:r>
      <w:bookmarkEnd w:id="35"/>
      <w:r w:rsidRPr="00BA2696">
        <w:rPr>
          <w:rFonts w:cs="Calibri"/>
          <w:bCs/>
          <w:color w:val="000000"/>
          <w:sz w:val="24"/>
          <w:szCs w:val="24"/>
        </w:rPr>
        <w:t xml:space="preserve">) argues that the Irish became to be seen as white by distancing themselves from the black communities, forming the working class, and through violent means. Whilst the Irish immigrants in the United States may not have achieved overt prosperity, it was seen that they elevated and distanced themselves from the African-American population, became ‘white’ and consequently gained access to the privilege this identity affords (Ignatiev, 2009). </w:t>
      </w:r>
      <w:r w:rsidRPr="00BA2696">
        <w:rPr>
          <w:rFonts w:cs="Calibri"/>
          <w:bCs/>
          <w:sz w:val="24"/>
          <w:szCs w:val="24"/>
        </w:rPr>
        <w:t>The experiences of the Irish illustrate that whiteness is not a static category that relies on self-identification but rather</w:t>
      </w:r>
      <w:r>
        <w:rPr>
          <w:rFonts w:cs="Calibri"/>
          <w:bCs/>
          <w:sz w:val="24"/>
          <w:szCs w:val="24"/>
        </w:rPr>
        <w:t xml:space="preserve"> relies upon</w:t>
      </w:r>
      <w:r w:rsidRPr="00BA2696">
        <w:rPr>
          <w:rFonts w:cs="Calibri"/>
          <w:bCs/>
          <w:sz w:val="24"/>
          <w:szCs w:val="24"/>
        </w:rPr>
        <w:t xml:space="preserve"> the perception</w:t>
      </w:r>
      <w:r>
        <w:rPr>
          <w:rFonts w:cs="Calibri"/>
          <w:bCs/>
          <w:sz w:val="24"/>
          <w:szCs w:val="24"/>
        </w:rPr>
        <w:t xml:space="preserve"> and acceptance</w:t>
      </w:r>
      <w:r w:rsidRPr="00BA2696">
        <w:rPr>
          <w:rFonts w:cs="Calibri"/>
          <w:bCs/>
          <w:sz w:val="24"/>
          <w:szCs w:val="24"/>
        </w:rPr>
        <w:t xml:space="preserve"> of </w:t>
      </w:r>
      <w:r>
        <w:rPr>
          <w:rFonts w:cs="Calibri"/>
          <w:bCs/>
          <w:sz w:val="24"/>
          <w:szCs w:val="24"/>
        </w:rPr>
        <w:t>others already established into the category of whiteness</w:t>
      </w:r>
      <w:r w:rsidRPr="00BA2696">
        <w:rPr>
          <w:rFonts w:cs="Calibri"/>
          <w:bCs/>
          <w:sz w:val="24"/>
          <w:szCs w:val="24"/>
        </w:rPr>
        <w:t>. This is evident in the contemporary context of Brexit whereby white immigrants, such as the Polish, faced increased hostility from some British people (Lowe, 2016) and as a consequence left the UK (Hughes, 2016; Travis, 2017). Therefore, possessing a white skin colour does not equate to inclusion into the category of whiteness nor allow access to its privileges.</w:t>
      </w:r>
      <w:r w:rsidRPr="00BA2696">
        <w:rPr>
          <w:rFonts w:cs="Calibri"/>
          <w:bCs/>
          <w:color w:val="FF0000"/>
          <w:sz w:val="24"/>
          <w:szCs w:val="24"/>
        </w:rPr>
        <w:t xml:space="preserve"> </w:t>
      </w:r>
      <w:r w:rsidRPr="00BA2696">
        <w:rPr>
          <w:rFonts w:cs="Calibri"/>
          <w:color w:val="000000"/>
          <w:sz w:val="24"/>
          <w:szCs w:val="24"/>
        </w:rPr>
        <w:t xml:space="preserve">Bhopal (2018) presents the notion of acceptable and non-acceptable whiteness, the </w:t>
      </w:r>
      <w:r w:rsidRPr="00BA2696">
        <w:rPr>
          <w:rFonts w:cs="Calibri"/>
          <w:color w:val="000000"/>
          <w:sz w:val="24"/>
          <w:szCs w:val="24"/>
        </w:rPr>
        <w:lastRenderedPageBreak/>
        <w:t xml:space="preserve">former being represented by middle-class values and the latter being applied to ‘chavs’ and the Gypsy, Romany and Traveller (GRT) communities. Therefore, an intersection of ‘race’ and class can ensure a stronger foothold into the category of ‘white’. </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color w:val="000000"/>
          <w:sz w:val="24"/>
          <w:szCs w:val="24"/>
        </w:rPr>
      </w:pPr>
      <w:r>
        <w:rPr>
          <w:rFonts w:cs="Calibri"/>
          <w:color w:val="000000"/>
          <w:sz w:val="24"/>
          <w:szCs w:val="24"/>
        </w:rPr>
        <w:t>The</w:t>
      </w:r>
      <w:r w:rsidRPr="00BA2696">
        <w:rPr>
          <w:rFonts w:cs="Calibri"/>
          <w:color w:val="000000"/>
          <w:sz w:val="24"/>
          <w:szCs w:val="24"/>
        </w:rPr>
        <w:t xml:space="preserve"> contemporary lives of Gypsy, Romany and Traveller (GRT) communities</w:t>
      </w:r>
      <w:r>
        <w:rPr>
          <w:rFonts w:cs="Calibri"/>
          <w:color w:val="000000"/>
          <w:sz w:val="24"/>
          <w:szCs w:val="24"/>
        </w:rPr>
        <w:t xml:space="preserve"> reflect the consequences of being perceived as possessing a non-acceptable form of whiteness</w:t>
      </w:r>
      <w:r w:rsidRPr="00BA2696">
        <w:rPr>
          <w:rFonts w:cs="Calibri"/>
          <w:color w:val="000000"/>
          <w:sz w:val="24"/>
          <w:szCs w:val="24"/>
        </w:rPr>
        <w:t xml:space="preserve">. Whilst GRT communities may have a white ethnic identity, they are not recipients of white privilege (Bhopal, 2018) (Section 2.1.4 explores white privilege). Research has shown that GRT communities experience inequality, racism and discrimination across various areas of life including sectors such as education, criminal justice and health (Equality and Human Rights Commission, 2009). This exclusion and discrimination can cause anxiety, depression, self-harm and suicide </w:t>
      </w:r>
      <w:bookmarkStart w:id="36" w:name="_Hlk18830698"/>
      <w:r w:rsidRPr="00BA2696">
        <w:rPr>
          <w:rFonts w:cs="Calibri"/>
          <w:color w:val="000000"/>
          <w:sz w:val="24"/>
          <w:szCs w:val="24"/>
        </w:rPr>
        <w:t>(Equality and Human Rights Commission, 2009)</w:t>
      </w:r>
      <w:bookmarkEnd w:id="36"/>
      <w:r w:rsidRPr="00BA2696">
        <w:rPr>
          <w:rFonts w:cs="Calibri"/>
          <w:color w:val="000000"/>
          <w:sz w:val="24"/>
          <w:szCs w:val="24"/>
        </w:rPr>
        <w:t xml:space="preserve">. Research conducted across 32 countries discovered that GRT communities face barriers in accessing health care, with a dominant theme being discrimination by healthcare professionals and staff in the form of hostility, lack of sympathy and negative stereotyping (McFadden </w:t>
      </w:r>
      <w:r w:rsidRPr="00BA2696">
        <w:rPr>
          <w:rFonts w:cs="Calibri"/>
          <w:i/>
          <w:iCs/>
          <w:color w:val="000000"/>
          <w:sz w:val="24"/>
          <w:szCs w:val="24"/>
        </w:rPr>
        <w:t>et al</w:t>
      </w:r>
      <w:r w:rsidRPr="00BA2696">
        <w:rPr>
          <w:rFonts w:cs="Calibri"/>
          <w:color w:val="000000"/>
          <w:sz w:val="24"/>
          <w:szCs w:val="24"/>
        </w:rPr>
        <w:t xml:space="preserve">, 2018). Supporting this finding, research conducted by </w:t>
      </w:r>
      <w:r w:rsidRPr="00BA2696">
        <w:rPr>
          <w:rFonts w:cs="Calibri"/>
          <w:sz w:val="24"/>
          <w:szCs w:val="24"/>
        </w:rPr>
        <w:t xml:space="preserve">Stonewall (2004) which considered prejudice against minority groups in Britain, ranging from older people, disabled people, </w:t>
      </w:r>
      <w:r>
        <w:rPr>
          <w:rFonts w:cs="Calibri"/>
          <w:sz w:val="24"/>
          <w:szCs w:val="24"/>
        </w:rPr>
        <w:t xml:space="preserve">people from the </w:t>
      </w:r>
      <w:r w:rsidRPr="00BA2696">
        <w:rPr>
          <w:rFonts w:cs="Calibri"/>
          <w:sz w:val="24"/>
          <w:szCs w:val="24"/>
        </w:rPr>
        <w:t xml:space="preserve">LGBT+ </w:t>
      </w:r>
      <w:r>
        <w:rPr>
          <w:rFonts w:cs="Calibri"/>
          <w:sz w:val="24"/>
          <w:szCs w:val="24"/>
        </w:rPr>
        <w:t xml:space="preserve">community </w:t>
      </w:r>
      <w:r w:rsidRPr="00BA2696">
        <w:rPr>
          <w:rFonts w:cs="Calibri"/>
          <w:sz w:val="24"/>
          <w:szCs w:val="24"/>
        </w:rPr>
        <w:t>and ethnic minorities. It</w:t>
      </w:r>
      <w:r w:rsidRPr="00BA2696">
        <w:rPr>
          <w:rFonts w:cs="Calibri"/>
          <w:color w:val="000000"/>
          <w:sz w:val="24"/>
          <w:szCs w:val="24"/>
        </w:rPr>
        <w:t xml:space="preserve"> was found 14 million British people admitted being prejudiced against GRT communities, the largest number polled in the six categories provided, with refugees and asylum seekers a close second (Stonewall, 2004). Similarly, a discourse analysis of comments made on internet forums found that Gypsies, Romany’s and Travellers are often demonised and dehumanised (Lowe </w:t>
      </w:r>
      <w:r w:rsidRPr="00BA2696">
        <w:rPr>
          <w:rFonts w:cs="Calibri"/>
          <w:color w:val="000000"/>
          <w:sz w:val="24"/>
          <w:szCs w:val="24"/>
        </w:rPr>
        <w:lastRenderedPageBreak/>
        <w:t xml:space="preserve">and Goodman, 2014), this prejudice and discrimination is a phenomenon Ljujic </w:t>
      </w:r>
      <w:r w:rsidRPr="00BA2696">
        <w:rPr>
          <w:rFonts w:cs="Calibri"/>
          <w:i/>
          <w:iCs/>
          <w:color w:val="000000"/>
          <w:sz w:val="24"/>
          <w:szCs w:val="24"/>
        </w:rPr>
        <w:t>et al</w:t>
      </w:r>
      <w:r w:rsidRPr="00BA2696">
        <w:rPr>
          <w:rFonts w:cs="Calibri"/>
          <w:color w:val="000000"/>
          <w:sz w:val="24"/>
          <w:szCs w:val="24"/>
        </w:rPr>
        <w:t xml:space="preserve"> (2012) term ‘Romaphobia’, akin to Islamophobia and anti-Semitism. Therefore, the overtness and breadth of racism that GRT communities encounter illustrates that a white skin tone does not necessarily mean inclusion into the category of whiteness. </w:t>
      </w:r>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color w:val="000000"/>
          <w:sz w:val="24"/>
          <w:szCs w:val="24"/>
        </w:rPr>
      </w:pPr>
      <w:r w:rsidRPr="00BA2696">
        <w:rPr>
          <w:rFonts w:cs="Calibri"/>
          <w:color w:val="000000"/>
          <w:sz w:val="24"/>
          <w:szCs w:val="24"/>
        </w:rPr>
        <w:t xml:space="preserve">The history of the Irish, from being perceived as socially, morally and intellectually inferior by the British, to becoming integrated immigrants within white USA society is an illustration of whiteness as a mutable construct. This is echoed in the contemporary discrimination experienced by Gypsy, Romany and Traveller communities. Both of these lived realities deftly demonstrate that ‘race’ is a fluid social construct without fixed parameters. Consequently, it indicates than an absolute definition of whiteness has been, and continues to be, alterable. </w:t>
      </w:r>
    </w:p>
    <w:p w:rsidR="00836C90" w:rsidRPr="00BA2696" w:rsidRDefault="00836C90" w:rsidP="00836C90">
      <w:pPr>
        <w:spacing w:after="0" w:line="480" w:lineRule="auto"/>
        <w:rPr>
          <w:rFonts w:cs="Calibri"/>
          <w:i/>
          <w:sz w:val="24"/>
          <w:szCs w:val="24"/>
        </w:rPr>
      </w:pPr>
    </w:p>
    <w:p w:rsidR="00836C90" w:rsidRPr="00BA2696" w:rsidRDefault="00836C90" w:rsidP="00836C90">
      <w:pPr>
        <w:pStyle w:val="Heading3"/>
      </w:pPr>
      <w:bookmarkStart w:id="37" w:name="_Toc56522991"/>
      <w:bookmarkStart w:id="38" w:name="_Toc56523273"/>
      <w:bookmarkStart w:id="39" w:name="_Toc57910081"/>
      <w:bookmarkStart w:id="40" w:name="_Toc58251297"/>
      <w:bookmarkStart w:id="41" w:name="_Toc56522989"/>
      <w:bookmarkStart w:id="42" w:name="_Toc56523271"/>
      <w:bookmarkStart w:id="43" w:name="_Toc57910079"/>
      <w:bookmarkStart w:id="44" w:name="_Toc58251295"/>
      <w:bookmarkStart w:id="45" w:name="_Toc72413622"/>
      <w:r w:rsidRPr="00BA2696">
        <w:t>2.1.3 Racial Identity</w:t>
      </w:r>
      <w:bookmarkEnd w:id="37"/>
      <w:bookmarkEnd w:id="38"/>
      <w:bookmarkEnd w:id="39"/>
      <w:bookmarkEnd w:id="40"/>
      <w:bookmarkEnd w:id="45"/>
    </w:p>
    <w:p w:rsidR="00836C90" w:rsidRPr="00BA2696" w:rsidRDefault="00836C90" w:rsidP="00836C90">
      <w:pPr>
        <w:spacing w:after="0" w:line="480" w:lineRule="auto"/>
        <w:rPr>
          <w:rFonts w:cs="Calibri"/>
          <w:bCs/>
          <w:color w:val="000000"/>
          <w:sz w:val="24"/>
          <w:szCs w:val="24"/>
        </w:rPr>
      </w:pPr>
      <w:r w:rsidRPr="00BA2696">
        <w:rPr>
          <w:rFonts w:cs="Calibri"/>
          <w:sz w:val="24"/>
          <w:szCs w:val="24"/>
        </w:rPr>
        <w:t xml:space="preserve">An important aspect of ‘race’ is the formation of racial identity; </w:t>
      </w:r>
      <w:r>
        <w:rPr>
          <w:rFonts w:cs="Calibri"/>
          <w:sz w:val="24"/>
          <w:szCs w:val="24"/>
        </w:rPr>
        <w:t xml:space="preserve">therefore, </w:t>
      </w:r>
      <w:r w:rsidRPr="00BA2696">
        <w:rPr>
          <w:rFonts w:cs="Calibri"/>
          <w:sz w:val="24"/>
          <w:szCs w:val="24"/>
        </w:rPr>
        <w:t>this section of the literature review will consider black and white racial identity. Thus far, there has been a critique of the word ‘race’ and the ensuing consequences of such a category, therefore a consideration of racial identity may seem incongruous. However, given that racial identity development can offer a means of understanding oneself within wider social and historical factors (Wijeyesinghe and Jackson, 2012) the consideration of it fits within the aims of this literature review to contextualise the thesis within social and historical perspectives.</w:t>
      </w:r>
      <w:r w:rsidRPr="00BA2696">
        <w:rPr>
          <w:rFonts w:cs="Calibri"/>
          <w:bCs/>
          <w:color w:val="000000"/>
          <w:sz w:val="24"/>
          <w:szCs w:val="24"/>
        </w:rPr>
        <w:t xml:space="preserv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lastRenderedPageBreak/>
        <w:t>Helms (1990) is a pioneer in the field of racial identity, defining it as ‘a sense of group or collective identity based on one’s perceptions that he or she shares a common racial heritage with a particular racial group’ (Helms, 1990, p. 3). Racial identity has also been defined as ‘how people view themselves and the world through racialized (</w:t>
      </w:r>
      <w:r w:rsidRPr="00BA2696">
        <w:rPr>
          <w:rFonts w:cs="Calibri"/>
          <w:i/>
          <w:sz w:val="24"/>
          <w:szCs w:val="24"/>
        </w:rPr>
        <w:t>sic</w:t>
      </w:r>
      <w:r w:rsidRPr="00BA2696">
        <w:rPr>
          <w:rFonts w:cs="Calibri"/>
          <w:sz w:val="24"/>
          <w:szCs w:val="24"/>
        </w:rPr>
        <w:t>) lenses’ (Thompson and Carter, 2012, p. xv). However, the authors caution that one’s racialised lens may be unacknowledged and unrecognised by the individual (Thompson and Carter, 2012). Similarly, it has been argued that racial categories are imbued with historical use, located within societal norms, internalised within the individual and given the fluid nature of racial categorisation in a diverse society, one’s racial identity may not neatly fit within a prescribed category (Deaux, 2018). Social science research has been criticised for a tendency toward perpetuating notions of ‘a “damaged” black psyche’ when considering racial identity (Zirkel and Johnson, 2016, p. 301). This section does not seek to sustain this stereotype. However, I am also cognisant of my positionality of being a white woman writing about black racial identity</w:t>
      </w:r>
      <w:r>
        <w:rPr>
          <w:rFonts w:cs="Calibri"/>
          <w:sz w:val="24"/>
          <w:szCs w:val="24"/>
        </w:rPr>
        <w:t xml:space="preserve"> and</w:t>
      </w:r>
      <w:r w:rsidRPr="00BA2696">
        <w:rPr>
          <w:rFonts w:cs="Calibri"/>
          <w:sz w:val="24"/>
          <w:szCs w:val="24"/>
        </w:rPr>
        <w:t xml:space="preserve"> have feelings of apprehension permeating my thoughts. This apprehension is predicated on awareness that my understanding of black racial identity is filtered through the experiences of being a white person. Therefore, it is with this consciousness the topic of racial identity is considered. </w:t>
      </w:r>
    </w:p>
    <w:p w:rsidR="00836C90" w:rsidRPr="00BA2696" w:rsidRDefault="00836C90" w:rsidP="00836C90">
      <w:pPr>
        <w:spacing w:after="0" w:line="480" w:lineRule="auto"/>
        <w:rPr>
          <w:rFonts w:cs="Calibri"/>
          <w:i/>
          <w:sz w:val="24"/>
          <w:szCs w:val="24"/>
        </w:rPr>
      </w:pPr>
    </w:p>
    <w:p w:rsidR="00836C90" w:rsidRPr="00BA2696" w:rsidRDefault="00836C90" w:rsidP="00836C90">
      <w:pPr>
        <w:pStyle w:val="Heading4"/>
      </w:pPr>
      <w:r w:rsidRPr="00BA2696">
        <w:t>Racial identity models</w:t>
      </w:r>
    </w:p>
    <w:p w:rsidR="00836C90" w:rsidRPr="00BA2696" w:rsidRDefault="00836C90" w:rsidP="00836C90">
      <w:pPr>
        <w:spacing w:after="0" w:line="480" w:lineRule="auto"/>
        <w:rPr>
          <w:rFonts w:cs="Calibri"/>
          <w:sz w:val="24"/>
          <w:szCs w:val="24"/>
        </w:rPr>
      </w:pPr>
      <w:r w:rsidRPr="00BA2696">
        <w:rPr>
          <w:rFonts w:cs="Calibri"/>
          <w:sz w:val="24"/>
          <w:szCs w:val="24"/>
        </w:rPr>
        <w:t xml:space="preserve">The two most influential models of racial identity are arguably Helms (1990) White Racial Identity Development Model and Cross’s (1991) Nigrescence Model. These models have provided the foundation for subsequent research and understanding of </w:t>
      </w:r>
      <w:r w:rsidRPr="00BA2696">
        <w:rPr>
          <w:rFonts w:cs="Calibri"/>
          <w:sz w:val="24"/>
          <w:szCs w:val="24"/>
        </w:rPr>
        <w:lastRenderedPageBreak/>
        <w:t xml:space="preserve">racial identity development. Both Helms (1990) and Cross (1991) are based in North America, meaning their work comes from an American perspective and may not be directly applicable to UK society. However, giving the impact and longevity of these models they are worthy of consideration.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Helms (1990) believed that creating a positive white racial identity comprises of two phases, first the relinquishing of racism and secondly the development of a non-racist identity </w:t>
      </w:r>
      <w:r>
        <w:rPr>
          <w:rFonts w:cs="Calibri"/>
          <w:sz w:val="24"/>
          <w:szCs w:val="24"/>
        </w:rPr>
        <w:t>(</w:t>
      </w:r>
      <w:r w:rsidRPr="00BA2696">
        <w:rPr>
          <w:rFonts w:cs="Calibri"/>
          <w:sz w:val="24"/>
          <w:szCs w:val="24"/>
        </w:rPr>
        <w:t xml:space="preserve">Table </w:t>
      </w:r>
      <w:r>
        <w:rPr>
          <w:rFonts w:cs="Calibri"/>
          <w:sz w:val="24"/>
          <w:szCs w:val="24"/>
        </w:rPr>
        <w:t>3</w:t>
      </w:r>
      <w:r w:rsidRPr="00BA2696">
        <w:rPr>
          <w:rFonts w:cs="Calibri"/>
          <w:sz w:val="24"/>
          <w:szCs w:val="24"/>
        </w:rPr>
        <w:t>). Each of these two phases consist of three statuses (</w:t>
      </w:r>
      <w:bookmarkStart w:id="46" w:name="_Hlk18051375"/>
      <w:r w:rsidRPr="00BA2696">
        <w:rPr>
          <w:rFonts w:cs="Calibri"/>
          <w:sz w:val="24"/>
          <w:szCs w:val="24"/>
        </w:rPr>
        <w:t>Helms, 1990, pp 54-66</w:t>
      </w:r>
      <w:bookmarkEnd w:id="46"/>
      <w:r w:rsidRPr="00BA2696">
        <w:rPr>
          <w:rFonts w:cs="Calibri"/>
          <w:sz w:val="24"/>
          <w:szCs w:val="24"/>
        </w:rPr>
        <w:t>):</w:t>
      </w:r>
    </w:p>
    <w:p w:rsidR="00836C90" w:rsidRPr="00BA2696" w:rsidRDefault="00836C90" w:rsidP="00836C90">
      <w:pPr>
        <w:spacing w:after="0" w:line="480" w:lineRule="auto"/>
        <w:rPr>
          <w:rFonts w:cs="Calibri"/>
          <w:i/>
          <w:sz w:val="24"/>
          <w:szCs w:val="24"/>
        </w:rPr>
      </w:pPr>
    </w:p>
    <w:p w:rsidR="00836C90" w:rsidRPr="009C3ADD" w:rsidRDefault="00836C90" w:rsidP="00836C90">
      <w:pPr>
        <w:pStyle w:val="Caption"/>
        <w:keepNext/>
        <w:rPr>
          <w:sz w:val="24"/>
          <w:szCs w:val="24"/>
        </w:rPr>
      </w:pPr>
      <w:bookmarkStart w:id="47" w:name="_Toc72253517"/>
      <w:bookmarkStart w:id="48" w:name="_Toc72253839"/>
      <w:bookmarkStart w:id="49" w:name="_Toc72253861"/>
      <w:bookmarkStart w:id="50" w:name="_Toc72324664"/>
      <w:r w:rsidRPr="009C3ADD">
        <w:rPr>
          <w:sz w:val="24"/>
          <w:szCs w:val="24"/>
        </w:rPr>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3</w:t>
      </w:r>
      <w:r w:rsidRPr="009C3ADD">
        <w:rPr>
          <w:sz w:val="24"/>
          <w:szCs w:val="24"/>
        </w:rPr>
        <w:fldChar w:fldCharType="end"/>
      </w:r>
      <w:r w:rsidRPr="009C3ADD">
        <w:rPr>
          <w:sz w:val="24"/>
          <w:szCs w:val="24"/>
        </w:rPr>
        <w:t xml:space="preserve"> Summary of Helms (1990) White Racial Identity Model.</w:t>
      </w:r>
      <w:bookmarkEnd w:id="47"/>
      <w:bookmarkEnd w:id="48"/>
      <w:bookmarkEnd w:id="49"/>
      <w:bookmarkEnd w:id="50"/>
    </w:p>
    <w:tbl>
      <w:tblPr>
        <w:tblW w:w="9016" w:type="dxa"/>
        <w:tblBorders>
          <w:top w:val="double" w:sz="4" w:space="0" w:color="auto"/>
          <w:bottom w:val="double" w:sz="4" w:space="0" w:color="auto"/>
          <w:insideH w:val="single" w:sz="6" w:space="0" w:color="auto"/>
          <w:insideV w:val="single" w:sz="6" w:space="0" w:color="auto"/>
        </w:tblBorders>
        <w:tblCellMar>
          <w:left w:w="10" w:type="dxa"/>
          <w:right w:w="10" w:type="dxa"/>
        </w:tblCellMar>
        <w:tblLook w:val="04A0" w:firstRow="1" w:lastRow="0" w:firstColumn="1" w:lastColumn="0" w:noHBand="0" w:noVBand="1"/>
      </w:tblPr>
      <w:tblGrid>
        <w:gridCol w:w="2660"/>
        <w:gridCol w:w="6356"/>
      </w:tblGrid>
      <w:tr w:rsidR="00836C90" w:rsidRPr="00BA2696" w:rsidTr="00C75158">
        <w:tc>
          <w:tcPr>
            <w:tcW w:w="266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Phase 1: </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Description </w:t>
            </w:r>
          </w:p>
        </w:tc>
      </w:tr>
      <w:tr w:rsidR="00836C90" w:rsidRPr="00BA2696" w:rsidTr="00C75158">
        <w:tc>
          <w:tcPr>
            <w:tcW w:w="266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Contact</w:t>
            </w:r>
          </w:p>
        </w:tc>
        <w:tc>
          <w:tcPr>
            <w:tcW w:w="635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 xml:space="preserve">Unaware, naïve, unsophisticated. Limited interaction with Black people/communities. </w:t>
            </w:r>
          </w:p>
        </w:tc>
      </w:tr>
      <w:tr w:rsidR="00836C90" w:rsidRPr="00BA2696" w:rsidTr="00C75158">
        <w:tc>
          <w:tcPr>
            <w:tcW w:w="266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Disintegration</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Conscious, conflicted awareness whiteness, questioning the racial reality that has been taught.</w:t>
            </w:r>
          </w:p>
        </w:tc>
      </w:tr>
      <w:tr w:rsidR="00836C90" w:rsidRPr="00BA2696" w:rsidTr="00C75158">
        <w:tc>
          <w:tcPr>
            <w:tcW w:w="266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Reintegration</w:t>
            </w:r>
          </w:p>
        </w:tc>
        <w:tc>
          <w:tcPr>
            <w:tcW w:w="635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 xml:space="preserve">Conscious of white identity but maintains belief in racial superiority. Easy to get stuck at this stage. </w:t>
            </w:r>
          </w:p>
        </w:tc>
      </w:tr>
      <w:tr w:rsidR="00836C90" w:rsidRPr="00BA2696" w:rsidTr="00C75158">
        <w:trPr>
          <w:trHeight w:val="169"/>
        </w:trPr>
        <w:tc>
          <w:tcPr>
            <w:tcW w:w="266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Phase 2: </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b/>
                <w:bCs/>
                <w:sz w:val="24"/>
                <w:szCs w:val="24"/>
              </w:rPr>
              <w:t>Description</w:t>
            </w:r>
          </w:p>
        </w:tc>
      </w:tr>
      <w:tr w:rsidR="00836C90" w:rsidRPr="00BA2696" w:rsidTr="00C75158">
        <w:tc>
          <w:tcPr>
            <w:tcW w:w="266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Pseudo-Independent </w:t>
            </w:r>
          </w:p>
        </w:tc>
        <w:tc>
          <w:tcPr>
            <w:tcW w:w="635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Active questions of ides of white superiority, acknowledges racism and engages in self-examination on how one perpetuates racism.</w:t>
            </w:r>
          </w:p>
        </w:tc>
      </w:tr>
      <w:tr w:rsidR="00836C90" w:rsidRPr="00BA2696" w:rsidTr="00C75158">
        <w:tc>
          <w:tcPr>
            <w:tcW w:w="266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Immersion/Emersion </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Re-educating oneself to substitute racial stereotypes with accurate knowledge. Emotional and intellectual re-formation.</w:t>
            </w:r>
          </w:p>
        </w:tc>
      </w:tr>
      <w:tr w:rsidR="00836C90" w:rsidRPr="00BA2696" w:rsidTr="00C75158">
        <w:tc>
          <w:tcPr>
            <w:tcW w:w="266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Autonomy </w:t>
            </w:r>
          </w:p>
        </w:tc>
        <w:tc>
          <w:tcPr>
            <w:tcW w:w="635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 xml:space="preserve">Abandonment of personal, cultural and institutional racism. Possesses a new understanding of whiteness. Not a static stage but part of an ongoing process. </w:t>
            </w:r>
          </w:p>
        </w:tc>
      </w:tr>
    </w:tbl>
    <w:p w:rsidR="00836C90" w:rsidRPr="00BA2696" w:rsidRDefault="00836C90" w:rsidP="00836C90">
      <w:pPr>
        <w:spacing w:after="0" w:line="480" w:lineRule="auto"/>
        <w:jc w:val="right"/>
        <w:rPr>
          <w:rFonts w:cs="Calibri"/>
          <w:sz w:val="24"/>
          <w:szCs w:val="24"/>
        </w:rPr>
      </w:pPr>
      <w:r w:rsidRPr="00BA2696">
        <w:rPr>
          <w:rFonts w:cs="Calibri"/>
          <w:sz w:val="24"/>
          <w:szCs w:val="24"/>
        </w:rPr>
        <w:t>(</w:t>
      </w:r>
      <w:r w:rsidRPr="00BA2696">
        <w:rPr>
          <w:rFonts w:cs="Calibri"/>
          <w:i/>
          <w:sz w:val="24"/>
          <w:szCs w:val="24"/>
        </w:rPr>
        <w:t>adapted from</w:t>
      </w:r>
      <w:r w:rsidRPr="00BA2696">
        <w:rPr>
          <w:rFonts w:cs="Calibri"/>
          <w:sz w:val="24"/>
          <w:szCs w:val="24"/>
        </w:rPr>
        <w:t xml:space="preserve"> Helms, 1990, pp 54-66).</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Finding criticism of Helms (1990) model proved difficult, indicating its canonical position within racial identity theory. However, disadvantages have been highlighted, </w:t>
      </w:r>
      <w:r w:rsidRPr="00BA2696">
        <w:rPr>
          <w:rFonts w:cs="Calibri"/>
          <w:sz w:val="24"/>
          <w:szCs w:val="24"/>
        </w:rPr>
        <w:lastRenderedPageBreak/>
        <w:t>particularly the model’s focus on reframing attitudes toward racial groups rather than addressing white identity attitudes and the assumption that the progression of racial identity development will be linear (Rowe, Bennett and Atkinson, 1994).</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Ryde (2009), a white British psychotherapist who has considered what i</w:t>
      </w:r>
      <w:r>
        <w:rPr>
          <w:rFonts w:cs="Calibri"/>
          <w:sz w:val="24"/>
          <w:szCs w:val="24"/>
        </w:rPr>
        <w:t>t</w:t>
      </w:r>
      <w:r w:rsidRPr="00BA2696">
        <w:rPr>
          <w:rFonts w:cs="Calibri"/>
          <w:sz w:val="24"/>
          <w:szCs w:val="24"/>
        </w:rPr>
        <w:t xml:space="preserve"> means to be white in the helping professions, developed her own ‘Cycle of White Awareness’ (</w:t>
      </w:r>
      <w:bookmarkStart w:id="51" w:name="_Hlk18051493"/>
      <w:r w:rsidRPr="00BA2696">
        <w:rPr>
          <w:rFonts w:cs="Calibri"/>
          <w:sz w:val="24"/>
          <w:szCs w:val="24"/>
        </w:rPr>
        <w:t>Ryde, 2009, pp. 50-55</w:t>
      </w:r>
      <w:bookmarkEnd w:id="51"/>
      <w:r w:rsidRPr="00BA2696">
        <w:rPr>
          <w:rFonts w:cs="Calibri"/>
          <w:sz w:val="24"/>
          <w:szCs w:val="24"/>
        </w:rPr>
        <w:t xml:space="preserve">; Table </w:t>
      </w:r>
      <w:r>
        <w:rPr>
          <w:rFonts w:cs="Calibri"/>
          <w:sz w:val="24"/>
          <w:szCs w:val="24"/>
        </w:rPr>
        <w:t>4</w:t>
      </w:r>
      <w:r w:rsidRPr="00BA2696">
        <w:rPr>
          <w:rFonts w:cs="Calibri"/>
          <w:sz w:val="24"/>
          <w:szCs w:val="24"/>
        </w:rPr>
        <w:t xml:space="preserve">). </w:t>
      </w:r>
      <w:r>
        <w:rPr>
          <w:rFonts w:cs="Calibri"/>
          <w:sz w:val="24"/>
          <w:szCs w:val="24"/>
        </w:rPr>
        <w:t xml:space="preserve">This </w:t>
      </w:r>
      <w:r w:rsidRPr="00BA2696">
        <w:rPr>
          <w:rFonts w:cs="Calibri"/>
          <w:sz w:val="24"/>
          <w:szCs w:val="24"/>
        </w:rPr>
        <w:t xml:space="preserve">model includes feelings of guilt and shame that are absent from </w:t>
      </w:r>
      <w:r>
        <w:rPr>
          <w:rFonts w:cs="Calibri"/>
          <w:sz w:val="24"/>
          <w:szCs w:val="24"/>
        </w:rPr>
        <w:t>Helms’ (1990)</w:t>
      </w:r>
      <w:r w:rsidRPr="00BA2696">
        <w:rPr>
          <w:rFonts w:cs="Calibri"/>
          <w:sz w:val="24"/>
          <w:szCs w:val="24"/>
        </w:rPr>
        <w:t xml:space="preserve"> model. The cycle comprises of five stages: </w:t>
      </w:r>
    </w:p>
    <w:p w:rsidR="00836C90" w:rsidRPr="009C3ADD" w:rsidRDefault="00836C90" w:rsidP="00836C90">
      <w:pPr>
        <w:pStyle w:val="Caption"/>
        <w:keepNext/>
        <w:rPr>
          <w:sz w:val="24"/>
          <w:szCs w:val="24"/>
        </w:rPr>
      </w:pPr>
      <w:bookmarkStart w:id="52" w:name="_Toc72253518"/>
      <w:bookmarkStart w:id="53" w:name="_Toc72253840"/>
      <w:bookmarkStart w:id="54" w:name="_Toc72253862"/>
      <w:bookmarkStart w:id="55" w:name="_Toc72324665"/>
      <w:bookmarkStart w:id="56" w:name="_Hlk67126571"/>
      <w:r w:rsidRPr="009C3ADD">
        <w:rPr>
          <w:sz w:val="24"/>
          <w:szCs w:val="24"/>
        </w:rPr>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4</w:t>
      </w:r>
      <w:r w:rsidRPr="009C3ADD">
        <w:rPr>
          <w:sz w:val="24"/>
          <w:szCs w:val="24"/>
        </w:rPr>
        <w:fldChar w:fldCharType="end"/>
      </w:r>
      <w:r w:rsidRPr="009C3ADD">
        <w:rPr>
          <w:sz w:val="24"/>
          <w:szCs w:val="24"/>
        </w:rPr>
        <w:t xml:space="preserve"> Summary of Ryde’s (2009) Cycle of White Awareness</w:t>
      </w:r>
      <w:bookmarkEnd w:id="52"/>
      <w:bookmarkEnd w:id="53"/>
      <w:bookmarkEnd w:id="54"/>
      <w:bookmarkEnd w:id="55"/>
    </w:p>
    <w:tbl>
      <w:tblPr>
        <w:tblW w:w="9016" w:type="dxa"/>
        <w:tblBorders>
          <w:top w:val="double" w:sz="4" w:space="0" w:color="auto"/>
          <w:bottom w:val="double" w:sz="4" w:space="0" w:color="auto"/>
          <w:insideH w:val="single" w:sz="6" w:space="0" w:color="auto"/>
          <w:insideV w:val="single" w:sz="6" w:space="0" w:color="auto"/>
        </w:tblBorders>
        <w:tblCellMar>
          <w:left w:w="10" w:type="dxa"/>
          <w:right w:w="10" w:type="dxa"/>
        </w:tblCellMar>
        <w:tblLook w:val="04A0" w:firstRow="1" w:lastRow="0" w:firstColumn="1" w:lastColumn="0" w:noHBand="0" w:noVBand="1"/>
      </w:tblPr>
      <w:tblGrid>
        <w:gridCol w:w="3510"/>
        <w:gridCol w:w="5506"/>
      </w:tblGrid>
      <w:tr w:rsidR="00836C90" w:rsidRPr="00BA2696" w:rsidTr="00C75158">
        <w:tc>
          <w:tcPr>
            <w:tcW w:w="3510" w:type="dxa"/>
            <w:shd w:val="clear" w:color="auto" w:fill="auto"/>
            <w:tcMar>
              <w:top w:w="0" w:type="dxa"/>
              <w:left w:w="108" w:type="dxa"/>
              <w:bottom w:w="0" w:type="dxa"/>
              <w:right w:w="108" w:type="dxa"/>
            </w:tcMar>
          </w:tcPr>
          <w:bookmarkEnd w:id="56"/>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Stage: </w:t>
            </w:r>
          </w:p>
        </w:tc>
        <w:tc>
          <w:tcPr>
            <w:tcW w:w="550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b/>
                <w:bCs/>
                <w:sz w:val="24"/>
                <w:szCs w:val="24"/>
              </w:rPr>
              <w:t>Description</w:t>
            </w:r>
          </w:p>
        </w:tc>
      </w:tr>
      <w:tr w:rsidR="00836C90" w:rsidRPr="00BA2696" w:rsidTr="00C75158">
        <w:tc>
          <w:tcPr>
            <w:tcW w:w="351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Denial </w:t>
            </w:r>
          </w:p>
        </w:tc>
        <w:tc>
          <w:tcPr>
            <w:tcW w:w="550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Denial of accountability white people have for racism.</w:t>
            </w:r>
          </w:p>
        </w:tc>
      </w:tr>
      <w:tr w:rsidR="00836C90" w:rsidRPr="00BA2696" w:rsidTr="00C75158">
        <w:tc>
          <w:tcPr>
            <w:tcW w:w="351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Struggle to understand other</w:t>
            </w:r>
          </w:p>
        </w:tc>
        <w:tc>
          <w:tcPr>
            <w:tcW w:w="550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The implication of being white is not deeply comprehended.</w:t>
            </w:r>
          </w:p>
        </w:tc>
      </w:tr>
      <w:tr w:rsidR="00836C90" w:rsidRPr="00BA2696" w:rsidTr="00C75158">
        <w:tc>
          <w:tcPr>
            <w:tcW w:w="351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Guilt and shame</w:t>
            </w:r>
          </w:p>
        </w:tc>
        <w:tc>
          <w:tcPr>
            <w:tcW w:w="550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Alerts us that something is amiss but can leave the individual feeling helpless.</w:t>
            </w:r>
          </w:p>
        </w:tc>
      </w:tr>
      <w:tr w:rsidR="00836C90" w:rsidRPr="00BA2696" w:rsidTr="00C75158">
        <w:tc>
          <w:tcPr>
            <w:tcW w:w="351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Struggle to understand self</w:t>
            </w:r>
          </w:p>
        </w:tc>
        <w:tc>
          <w:tcPr>
            <w:tcW w:w="550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 xml:space="preserve">The effect and meaning of whiteness are understood deeply. </w:t>
            </w:r>
          </w:p>
        </w:tc>
      </w:tr>
      <w:tr w:rsidR="00836C90" w:rsidRPr="00BA2696" w:rsidTr="00C75158">
        <w:tc>
          <w:tcPr>
            <w:tcW w:w="351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Integration </w:t>
            </w:r>
          </w:p>
        </w:tc>
        <w:tc>
          <w:tcPr>
            <w:tcW w:w="550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 xml:space="preserve">Integration of learning but can lead to complacency and then denial that continued learning is required. The cycle continues. </w:t>
            </w:r>
          </w:p>
        </w:tc>
      </w:tr>
    </w:tbl>
    <w:p w:rsidR="00836C90" w:rsidRPr="00BA2696" w:rsidRDefault="00836C90" w:rsidP="00836C90">
      <w:pPr>
        <w:spacing w:after="0" w:line="480" w:lineRule="auto"/>
        <w:jc w:val="right"/>
        <w:rPr>
          <w:rFonts w:cs="Calibri"/>
          <w:sz w:val="24"/>
          <w:szCs w:val="24"/>
        </w:rPr>
      </w:pPr>
      <w:r w:rsidRPr="00BA2696">
        <w:rPr>
          <w:rFonts w:cs="Calibri"/>
          <w:sz w:val="24"/>
          <w:szCs w:val="24"/>
        </w:rPr>
        <w:t>(</w:t>
      </w:r>
      <w:r w:rsidRPr="00BA2696">
        <w:rPr>
          <w:rFonts w:cs="Calibri"/>
          <w:i/>
          <w:sz w:val="24"/>
          <w:szCs w:val="24"/>
        </w:rPr>
        <w:t>adapted from</w:t>
      </w:r>
      <w:r w:rsidRPr="00BA2696">
        <w:rPr>
          <w:rFonts w:cs="Calibri"/>
          <w:sz w:val="24"/>
          <w:szCs w:val="24"/>
        </w:rPr>
        <w:t xml:space="preserve"> Ryde, 2009, pp. 50-55).</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Both Helms (1990) and Ryde’s (2009) models of white identity seem to present the process as a personal, individualistic one. It appears that the interpersonal aspect of white identity development has been neglected, specifically in regards as to how developing an </w:t>
      </w:r>
      <w:r>
        <w:rPr>
          <w:rFonts w:cs="Calibri"/>
          <w:sz w:val="24"/>
          <w:szCs w:val="24"/>
        </w:rPr>
        <w:t>anti-racist</w:t>
      </w:r>
      <w:r w:rsidRPr="00BA2696">
        <w:rPr>
          <w:rFonts w:cs="Calibri"/>
          <w:sz w:val="24"/>
          <w:szCs w:val="24"/>
        </w:rPr>
        <w:t xml:space="preserve"> white identity effects one’s relationship with white family, friends and colleagues whose own attitudes may remain unchanged. Possibly, white racial identity models are failing to address complex feelings that may occur during </w:t>
      </w:r>
      <w:r w:rsidRPr="00BA2696">
        <w:rPr>
          <w:rFonts w:cs="Calibri"/>
          <w:sz w:val="24"/>
          <w:szCs w:val="24"/>
        </w:rPr>
        <w:lastRenderedPageBreak/>
        <w:t xml:space="preserve">the process and the impact these feelings have on the individual and their social circle. This is a potential area for further research.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 Nigrescence Model (Cross, 1991) presents the development of black racial identity and is based on an earlier black identity model titled the ‘Negro-to-Black conversion experience’ (Cross, 1971). A later model, known as the expanded model, was presented by Vandiver </w:t>
      </w:r>
      <w:r w:rsidRPr="00BA2696">
        <w:rPr>
          <w:rFonts w:cs="Calibri"/>
          <w:i/>
          <w:iCs/>
          <w:sz w:val="24"/>
          <w:szCs w:val="24"/>
        </w:rPr>
        <w:t>et al</w:t>
      </w:r>
      <w:r w:rsidRPr="00BA2696">
        <w:rPr>
          <w:rFonts w:cs="Calibri"/>
          <w:sz w:val="24"/>
          <w:szCs w:val="24"/>
        </w:rPr>
        <w:t xml:space="preserve"> (2001). The original model was created during the Civil Rights movement and the rise of the Black Power movement where embracing a black identity took on political import (Worrell, 2012). Cross (1991) notes that the term ‘negro’ was already outmoded by the early 1990s and was being replaced with African-American, Black American and Afrocentric. As a white woman I note my discomfort at including the word, however given the influence of this model it seems congruent to use the terminology the author chose. Cross’s (1991) model is viewed as the foundation of black racial identity theory (Sullivan, Winburn and Cross, 2018) and for that reason it is this version that is considered here.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 model (Table </w:t>
      </w:r>
      <w:r>
        <w:rPr>
          <w:rFonts w:cs="Calibri"/>
          <w:sz w:val="24"/>
          <w:szCs w:val="24"/>
        </w:rPr>
        <w:t>5</w:t>
      </w:r>
      <w:r w:rsidRPr="00BA2696">
        <w:rPr>
          <w:rFonts w:cs="Calibri"/>
          <w:sz w:val="24"/>
          <w:szCs w:val="24"/>
        </w:rPr>
        <w:t>) consists of five progressive stages of development and within those stages exist certain attitudes and characteristics (</w:t>
      </w:r>
      <w:bookmarkStart w:id="57" w:name="_Hlk18051589"/>
      <w:r w:rsidRPr="00BA2696">
        <w:rPr>
          <w:rFonts w:cs="Calibri"/>
          <w:sz w:val="24"/>
          <w:szCs w:val="24"/>
        </w:rPr>
        <w:t>Cross, 1991, pp. 190-223</w:t>
      </w:r>
      <w:bookmarkEnd w:id="57"/>
      <w:r w:rsidRPr="00BA2696">
        <w:rPr>
          <w:rFonts w:cs="Calibri"/>
          <w:sz w:val="24"/>
          <w:szCs w:val="24"/>
        </w:rPr>
        <w:t>):</w:t>
      </w:r>
    </w:p>
    <w:p w:rsidR="00836C90" w:rsidRPr="00BA2696" w:rsidRDefault="00836C90" w:rsidP="00836C90">
      <w:pPr>
        <w:spacing w:after="0" w:line="480" w:lineRule="auto"/>
        <w:rPr>
          <w:rFonts w:cs="Calibri"/>
          <w:i/>
          <w:sz w:val="24"/>
          <w:szCs w:val="24"/>
        </w:rPr>
        <w:sectPr w:rsidR="00836C90" w:rsidRPr="00BA2696" w:rsidSect="00FD1D4F">
          <w:footerReference w:type="default" r:id="rId5"/>
          <w:pgSz w:w="11906" w:h="16838"/>
          <w:pgMar w:top="1440" w:right="1440" w:bottom="1440" w:left="1440" w:header="720" w:footer="720" w:gutter="567"/>
          <w:pgNumType w:start="1"/>
          <w:cols w:space="720"/>
          <w:docGrid w:linePitch="299"/>
        </w:sectPr>
      </w:pPr>
    </w:p>
    <w:p w:rsidR="00836C90" w:rsidRPr="009C3ADD" w:rsidRDefault="00836C90" w:rsidP="00836C90">
      <w:pPr>
        <w:pStyle w:val="Caption"/>
        <w:keepNext/>
        <w:rPr>
          <w:sz w:val="24"/>
          <w:szCs w:val="24"/>
        </w:rPr>
      </w:pPr>
      <w:bookmarkStart w:id="58" w:name="_Toc72253519"/>
      <w:bookmarkStart w:id="59" w:name="_Toc72253841"/>
      <w:bookmarkStart w:id="60" w:name="_Toc72253863"/>
      <w:bookmarkStart w:id="61" w:name="_Toc72324666"/>
      <w:bookmarkStart w:id="62" w:name="_Hlk67126692"/>
      <w:r w:rsidRPr="009C3ADD">
        <w:rPr>
          <w:sz w:val="24"/>
          <w:szCs w:val="24"/>
        </w:rPr>
        <w:lastRenderedPageBreak/>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5</w:t>
      </w:r>
      <w:r w:rsidRPr="009C3ADD">
        <w:rPr>
          <w:sz w:val="24"/>
          <w:szCs w:val="24"/>
        </w:rPr>
        <w:fldChar w:fldCharType="end"/>
      </w:r>
      <w:r w:rsidRPr="009C3ADD">
        <w:rPr>
          <w:sz w:val="24"/>
          <w:szCs w:val="24"/>
        </w:rPr>
        <w:t xml:space="preserve"> Summary of Cross’ (1991) Nigresence Model</w:t>
      </w:r>
      <w:bookmarkEnd w:id="58"/>
      <w:bookmarkEnd w:id="59"/>
      <w:bookmarkEnd w:id="60"/>
      <w:bookmarkEnd w:id="61"/>
    </w:p>
    <w:tbl>
      <w:tblPr>
        <w:tblW w:w="14142" w:type="dxa"/>
        <w:tblBorders>
          <w:top w:val="double" w:sz="4" w:space="0" w:color="auto"/>
          <w:bottom w:val="double" w:sz="4" w:space="0" w:color="auto"/>
          <w:insideH w:val="single" w:sz="6" w:space="0" w:color="auto"/>
          <w:insideV w:val="single" w:sz="6" w:space="0" w:color="auto"/>
        </w:tblBorders>
        <w:tblCellMar>
          <w:left w:w="10" w:type="dxa"/>
          <w:right w:w="10" w:type="dxa"/>
        </w:tblCellMar>
        <w:tblLook w:val="04A0" w:firstRow="1" w:lastRow="0" w:firstColumn="1" w:lastColumn="0" w:noHBand="0" w:noVBand="1"/>
      </w:tblPr>
      <w:tblGrid>
        <w:gridCol w:w="5920"/>
        <w:gridCol w:w="8222"/>
      </w:tblGrid>
      <w:tr w:rsidR="00836C90" w:rsidRPr="00BA2696" w:rsidTr="00C75158">
        <w:tc>
          <w:tcPr>
            <w:tcW w:w="5920" w:type="dxa"/>
            <w:shd w:val="clear" w:color="auto" w:fill="auto"/>
            <w:tcMar>
              <w:top w:w="0" w:type="dxa"/>
              <w:left w:w="108" w:type="dxa"/>
              <w:bottom w:w="0" w:type="dxa"/>
              <w:right w:w="108" w:type="dxa"/>
            </w:tcMar>
          </w:tcPr>
          <w:bookmarkEnd w:id="62"/>
          <w:p w:rsidR="00836C90" w:rsidRPr="00BA2696" w:rsidRDefault="00836C90" w:rsidP="00C75158">
            <w:pPr>
              <w:spacing w:after="0" w:line="240" w:lineRule="auto"/>
              <w:rPr>
                <w:rFonts w:cs="Calibri"/>
                <w:b/>
                <w:bCs/>
                <w:szCs w:val="24"/>
              </w:rPr>
            </w:pPr>
            <w:r w:rsidRPr="00BA2696">
              <w:rPr>
                <w:rFonts w:cs="Calibri"/>
                <w:b/>
                <w:bCs/>
                <w:szCs w:val="24"/>
              </w:rPr>
              <w:t>Stage:</w:t>
            </w:r>
          </w:p>
        </w:tc>
        <w:tc>
          <w:tcPr>
            <w:tcW w:w="8222"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Cs w:val="24"/>
              </w:rPr>
            </w:pPr>
            <w:r w:rsidRPr="00BA2696">
              <w:rPr>
                <w:rFonts w:cs="Calibri"/>
                <w:b/>
                <w:bCs/>
                <w:szCs w:val="24"/>
              </w:rPr>
              <w:t>Description:</w:t>
            </w:r>
          </w:p>
        </w:tc>
      </w:tr>
      <w:tr w:rsidR="00836C90" w:rsidRPr="00BA2696" w:rsidTr="00C75158">
        <w:tc>
          <w:tcPr>
            <w:tcW w:w="5920" w:type="dxa"/>
            <w:shd w:val="clear" w:color="auto" w:fill="F2F2F2"/>
            <w:tcMar>
              <w:top w:w="0" w:type="dxa"/>
              <w:left w:w="108" w:type="dxa"/>
              <w:bottom w:w="0" w:type="dxa"/>
              <w:right w:w="108" w:type="dxa"/>
            </w:tcMar>
          </w:tcPr>
          <w:p w:rsidR="00836C90" w:rsidRPr="00BA2696" w:rsidRDefault="00836C90" w:rsidP="00C75158">
            <w:pPr>
              <w:numPr>
                <w:ilvl w:val="0"/>
                <w:numId w:val="2"/>
              </w:numPr>
              <w:spacing w:after="0" w:line="240" w:lineRule="auto"/>
              <w:rPr>
                <w:rFonts w:cs="Calibri"/>
                <w:b/>
                <w:bCs/>
                <w:szCs w:val="24"/>
              </w:rPr>
            </w:pPr>
            <w:r w:rsidRPr="00BA2696">
              <w:rPr>
                <w:rFonts w:cs="Calibri"/>
                <w:b/>
                <w:bCs/>
                <w:szCs w:val="24"/>
              </w:rPr>
              <w:t>Pre-encounter:</w:t>
            </w:r>
          </w:p>
          <w:p w:rsidR="00836C90" w:rsidRPr="00BA2696" w:rsidRDefault="00836C90" w:rsidP="00C75158">
            <w:pPr>
              <w:spacing w:after="0" w:line="240" w:lineRule="auto"/>
              <w:rPr>
                <w:rFonts w:cs="Calibri"/>
                <w:szCs w:val="24"/>
              </w:rPr>
            </w:pPr>
          </w:p>
          <w:p w:rsidR="00836C90" w:rsidRPr="00BA2696" w:rsidRDefault="00836C90" w:rsidP="00C75158">
            <w:pPr>
              <w:spacing w:after="0" w:line="240" w:lineRule="auto"/>
              <w:rPr>
                <w:rFonts w:cs="Calibri"/>
                <w:szCs w:val="24"/>
              </w:rPr>
            </w:pPr>
            <w:r w:rsidRPr="00BA2696">
              <w:rPr>
                <w:rFonts w:cs="Calibri"/>
                <w:szCs w:val="24"/>
              </w:rPr>
              <w:t xml:space="preserve">Low-Salience Attitudes </w:t>
            </w:r>
          </w:p>
          <w:p w:rsidR="00836C90" w:rsidRPr="00BA2696" w:rsidRDefault="00836C90" w:rsidP="00C75158">
            <w:pPr>
              <w:spacing w:after="0" w:line="240" w:lineRule="auto"/>
              <w:rPr>
                <w:rFonts w:cs="Calibri"/>
                <w:szCs w:val="24"/>
              </w:rPr>
            </w:pPr>
            <w:r w:rsidRPr="00BA2696">
              <w:rPr>
                <w:rFonts w:cs="Calibri"/>
                <w:szCs w:val="24"/>
              </w:rPr>
              <w:t>Social Stigma Attitudes</w:t>
            </w:r>
          </w:p>
          <w:p w:rsidR="00836C90" w:rsidRPr="00BA2696" w:rsidRDefault="00836C90" w:rsidP="00C75158">
            <w:pPr>
              <w:spacing w:after="0" w:line="240" w:lineRule="auto"/>
              <w:rPr>
                <w:rFonts w:cs="Calibri"/>
                <w:szCs w:val="24"/>
              </w:rPr>
            </w:pPr>
            <w:r w:rsidRPr="00BA2696">
              <w:rPr>
                <w:rFonts w:cs="Calibri"/>
                <w:szCs w:val="24"/>
              </w:rPr>
              <w:t xml:space="preserve">Anti-Black Attitudes </w:t>
            </w:r>
          </w:p>
          <w:p w:rsidR="00836C90" w:rsidRPr="00BA2696" w:rsidRDefault="00836C90" w:rsidP="00C75158">
            <w:pPr>
              <w:spacing w:after="0" w:line="240" w:lineRule="auto"/>
              <w:rPr>
                <w:rFonts w:cs="Calibri"/>
                <w:szCs w:val="24"/>
              </w:rPr>
            </w:pPr>
            <w:r w:rsidRPr="00BA2696">
              <w:rPr>
                <w:rFonts w:cs="Calibri"/>
                <w:szCs w:val="24"/>
              </w:rPr>
              <w:t>Miseducation</w:t>
            </w:r>
          </w:p>
          <w:p w:rsidR="00836C90" w:rsidRPr="00BA2696" w:rsidRDefault="00836C90" w:rsidP="00C75158">
            <w:pPr>
              <w:spacing w:after="0" w:line="240" w:lineRule="auto"/>
              <w:rPr>
                <w:rFonts w:cs="Calibri"/>
                <w:szCs w:val="24"/>
              </w:rPr>
            </w:pPr>
            <w:r w:rsidRPr="00BA2696">
              <w:rPr>
                <w:rFonts w:cs="Calibri"/>
                <w:szCs w:val="24"/>
              </w:rPr>
              <w:t xml:space="preserve">A Eurocentric Cultural Perspective </w:t>
            </w:r>
          </w:p>
          <w:p w:rsidR="00836C90" w:rsidRPr="00BA2696" w:rsidRDefault="00836C90" w:rsidP="00C75158">
            <w:pPr>
              <w:spacing w:after="0" w:line="240" w:lineRule="auto"/>
              <w:rPr>
                <w:rFonts w:cs="Calibri"/>
                <w:szCs w:val="24"/>
              </w:rPr>
            </w:pPr>
            <w:r w:rsidRPr="00BA2696">
              <w:rPr>
                <w:rFonts w:cs="Calibri"/>
                <w:szCs w:val="24"/>
              </w:rPr>
              <w:t>Spotlight, or Race image, anxiety Assimilation-Integration</w:t>
            </w:r>
          </w:p>
          <w:p w:rsidR="00836C90" w:rsidRPr="00BA2696" w:rsidRDefault="00836C90" w:rsidP="00C75158">
            <w:pPr>
              <w:spacing w:after="0" w:line="240" w:lineRule="auto"/>
              <w:rPr>
                <w:rFonts w:cs="Calibri"/>
                <w:b/>
                <w:bCs/>
                <w:szCs w:val="24"/>
              </w:rPr>
            </w:pPr>
            <w:r w:rsidRPr="00BA2696">
              <w:rPr>
                <w:rFonts w:cs="Calibri"/>
                <w:szCs w:val="24"/>
              </w:rPr>
              <w:t>Value Structure and Value Orientation</w:t>
            </w:r>
          </w:p>
        </w:tc>
        <w:tc>
          <w:tcPr>
            <w:tcW w:w="8222"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Cs w:val="24"/>
              </w:rPr>
            </w:pPr>
            <w:r w:rsidRPr="00BA2696">
              <w:rPr>
                <w:rFonts w:cs="Calibri"/>
                <w:szCs w:val="24"/>
              </w:rPr>
              <w:t>Value placed on things other than Blackness.</w:t>
            </w:r>
          </w:p>
          <w:p w:rsidR="00836C90" w:rsidRPr="00BA2696" w:rsidRDefault="00836C90" w:rsidP="00C75158">
            <w:pPr>
              <w:spacing w:after="0" w:line="240" w:lineRule="auto"/>
              <w:rPr>
                <w:rFonts w:cs="Calibri"/>
                <w:szCs w:val="24"/>
              </w:rPr>
            </w:pPr>
          </w:p>
          <w:p w:rsidR="00836C90" w:rsidRPr="00BA2696" w:rsidRDefault="00836C90" w:rsidP="00C75158">
            <w:pPr>
              <w:spacing w:after="0" w:line="240" w:lineRule="auto"/>
              <w:rPr>
                <w:rFonts w:cs="Calibri"/>
                <w:szCs w:val="24"/>
              </w:rPr>
            </w:pPr>
            <w:r w:rsidRPr="00BA2696">
              <w:rPr>
                <w:rFonts w:cs="Calibri"/>
                <w:szCs w:val="24"/>
              </w:rPr>
              <w:t xml:space="preserve">Race is largely viewed as insignificant. </w:t>
            </w:r>
          </w:p>
          <w:p w:rsidR="00836C90" w:rsidRPr="00BA2696" w:rsidRDefault="00836C90" w:rsidP="00C75158">
            <w:pPr>
              <w:spacing w:after="0" w:line="240" w:lineRule="auto"/>
              <w:rPr>
                <w:rFonts w:cs="Calibri"/>
                <w:szCs w:val="24"/>
              </w:rPr>
            </w:pPr>
            <w:r w:rsidRPr="00BA2696">
              <w:rPr>
                <w:rFonts w:cs="Calibri"/>
                <w:szCs w:val="24"/>
              </w:rPr>
              <w:t>Race perceived as a problem.</w:t>
            </w:r>
          </w:p>
          <w:p w:rsidR="00836C90" w:rsidRPr="00BA2696" w:rsidRDefault="00836C90" w:rsidP="00C75158">
            <w:pPr>
              <w:spacing w:after="0" w:line="240" w:lineRule="auto"/>
              <w:rPr>
                <w:rFonts w:cs="Calibri"/>
                <w:szCs w:val="24"/>
              </w:rPr>
            </w:pPr>
            <w:r w:rsidRPr="00BA2696">
              <w:rPr>
                <w:rFonts w:cs="Calibri"/>
                <w:szCs w:val="24"/>
              </w:rPr>
              <w:t xml:space="preserve">Blackness seen as negative. </w:t>
            </w:r>
          </w:p>
          <w:p w:rsidR="00836C90" w:rsidRPr="00BA2696" w:rsidRDefault="00836C90" w:rsidP="00C75158">
            <w:pPr>
              <w:spacing w:after="0" w:line="240" w:lineRule="auto"/>
              <w:rPr>
                <w:rFonts w:cs="Calibri"/>
                <w:szCs w:val="24"/>
              </w:rPr>
            </w:pPr>
            <w:r w:rsidRPr="00BA2696">
              <w:rPr>
                <w:rFonts w:cs="Calibri"/>
                <w:szCs w:val="24"/>
              </w:rPr>
              <w:t>Inaccurate understanding of Black history.</w:t>
            </w:r>
          </w:p>
          <w:p w:rsidR="00836C90" w:rsidRPr="00BA2696" w:rsidRDefault="00836C90" w:rsidP="00C75158">
            <w:pPr>
              <w:spacing w:after="0" w:line="240" w:lineRule="auto"/>
              <w:rPr>
                <w:rFonts w:cs="Calibri"/>
                <w:szCs w:val="24"/>
              </w:rPr>
            </w:pPr>
            <w:r w:rsidRPr="00BA2696">
              <w:rPr>
                <w:rFonts w:cs="Calibri"/>
                <w:szCs w:val="24"/>
              </w:rPr>
              <w:t>Internalised Eurocentric frame of reference.</w:t>
            </w:r>
          </w:p>
          <w:p w:rsidR="00836C90" w:rsidRPr="00BA2696" w:rsidRDefault="00836C90" w:rsidP="00C75158">
            <w:pPr>
              <w:spacing w:after="0" w:line="240" w:lineRule="auto"/>
              <w:rPr>
                <w:rFonts w:cs="Calibri"/>
                <w:szCs w:val="24"/>
              </w:rPr>
            </w:pPr>
            <w:r w:rsidRPr="00BA2696">
              <w:rPr>
                <w:rFonts w:cs="Calibri"/>
                <w:szCs w:val="24"/>
              </w:rPr>
              <w:t>Hypersensitivity regarding racial issues.</w:t>
            </w:r>
          </w:p>
          <w:p w:rsidR="00836C90" w:rsidRPr="00BA2696" w:rsidRDefault="00836C90" w:rsidP="00C75158">
            <w:pPr>
              <w:spacing w:after="0" w:line="240" w:lineRule="auto"/>
              <w:rPr>
                <w:rFonts w:cs="Calibri"/>
                <w:szCs w:val="24"/>
              </w:rPr>
            </w:pPr>
            <w:r w:rsidRPr="00BA2696">
              <w:rPr>
                <w:rFonts w:cs="Calibri"/>
                <w:szCs w:val="24"/>
              </w:rPr>
              <w:t xml:space="preserve">Belief that assimilation and integration to whiteness will resolve racial discrimination. </w:t>
            </w:r>
          </w:p>
          <w:p w:rsidR="00836C90" w:rsidRPr="00BA2696" w:rsidRDefault="00836C90" w:rsidP="00C75158">
            <w:pPr>
              <w:spacing w:after="0" w:line="240" w:lineRule="auto"/>
              <w:rPr>
                <w:rFonts w:cs="Calibri"/>
                <w:szCs w:val="24"/>
              </w:rPr>
            </w:pPr>
            <w:r w:rsidRPr="00BA2696">
              <w:rPr>
                <w:rFonts w:cs="Calibri"/>
                <w:szCs w:val="24"/>
              </w:rPr>
              <w:t xml:space="preserve">Priority placed on organisations and causes that place little emphasis on race. </w:t>
            </w:r>
          </w:p>
        </w:tc>
      </w:tr>
      <w:tr w:rsidR="00836C90" w:rsidRPr="00BA2696" w:rsidTr="00C75158">
        <w:tc>
          <w:tcPr>
            <w:tcW w:w="5920" w:type="dxa"/>
            <w:shd w:val="clear" w:color="auto" w:fill="auto"/>
            <w:tcMar>
              <w:top w:w="0" w:type="dxa"/>
              <w:left w:w="108" w:type="dxa"/>
              <w:bottom w:w="0" w:type="dxa"/>
              <w:right w:w="108" w:type="dxa"/>
            </w:tcMar>
          </w:tcPr>
          <w:p w:rsidR="00836C90" w:rsidRPr="00BA2696" w:rsidRDefault="00836C90" w:rsidP="00C75158">
            <w:pPr>
              <w:numPr>
                <w:ilvl w:val="0"/>
                <w:numId w:val="2"/>
              </w:numPr>
              <w:spacing w:after="0" w:line="240" w:lineRule="auto"/>
              <w:rPr>
                <w:rFonts w:cs="Calibri"/>
                <w:b/>
                <w:bCs/>
                <w:szCs w:val="24"/>
              </w:rPr>
            </w:pPr>
            <w:r w:rsidRPr="00BA2696">
              <w:rPr>
                <w:rFonts w:cs="Calibri"/>
                <w:b/>
                <w:bCs/>
                <w:szCs w:val="24"/>
              </w:rPr>
              <w:t>Encounter</w:t>
            </w:r>
          </w:p>
        </w:tc>
        <w:tc>
          <w:tcPr>
            <w:tcW w:w="8222"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Cs w:val="24"/>
              </w:rPr>
            </w:pPr>
            <w:r w:rsidRPr="00BA2696">
              <w:rPr>
                <w:rFonts w:cs="Calibri"/>
                <w:szCs w:val="24"/>
              </w:rPr>
              <w:t xml:space="preserve">A big event, or series of small events, occurs that disrupts the pre-encounter world view. Individual must feel personally and powerfully impacted by the event(s). Range of emotions including anger, guilt and shame experienced. </w:t>
            </w:r>
          </w:p>
        </w:tc>
      </w:tr>
      <w:tr w:rsidR="00836C90" w:rsidRPr="00BA2696" w:rsidTr="00C75158">
        <w:tc>
          <w:tcPr>
            <w:tcW w:w="5920" w:type="dxa"/>
            <w:shd w:val="clear" w:color="auto" w:fill="F2F2F2"/>
            <w:tcMar>
              <w:top w:w="0" w:type="dxa"/>
              <w:left w:w="108" w:type="dxa"/>
              <w:bottom w:w="0" w:type="dxa"/>
              <w:right w:w="108" w:type="dxa"/>
            </w:tcMar>
          </w:tcPr>
          <w:p w:rsidR="00836C90" w:rsidRPr="00BA2696" w:rsidRDefault="00836C90" w:rsidP="00C75158">
            <w:pPr>
              <w:numPr>
                <w:ilvl w:val="0"/>
                <w:numId w:val="2"/>
              </w:numPr>
              <w:spacing w:after="0" w:line="240" w:lineRule="auto"/>
              <w:rPr>
                <w:rFonts w:cs="Calibri"/>
                <w:b/>
                <w:bCs/>
                <w:szCs w:val="24"/>
              </w:rPr>
            </w:pPr>
            <w:r w:rsidRPr="00BA2696">
              <w:rPr>
                <w:rFonts w:cs="Calibri"/>
                <w:b/>
                <w:bCs/>
                <w:szCs w:val="24"/>
              </w:rPr>
              <w:t>Immersion-Emersion</w:t>
            </w:r>
          </w:p>
        </w:tc>
        <w:tc>
          <w:tcPr>
            <w:tcW w:w="8222"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Cs w:val="24"/>
              </w:rPr>
            </w:pPr>
            <w:r w:rsidRPr="00BA2696">
              <w:rPr>
                <w:rFonts w:cs="Calibri"/>
                <w:szCs w:val="24"/>
              </w:rPr>
              <w:t xml:space="preserve">Commitment to change. Deconstructing old perspective whilst creating a new one. Immersion into black culture. Emersion from ideologies. </w:t>
            </w:r>
          </w:p>
        </w:tc>
      </w:tr>
      <w:tr w:rsidR="00836C90" w:rsidRPr="00BA2696" w:rsidTr="00C75158">
        <w:tc>
          <w:tcPr>
            <w:tcW w:w="5920" w:type="dxa"/>
            <w:shd w:val="clear" w:color="auto" w:fill="auto"/>
            <w:tcMar>
              <w:top w:w="0" w:type="dxa"/>
              <w:left w:w="108" w:type="dxa"/>
              <w:bottom w:w="0" w:type="dxa"/>
              <w:right w:w="108" w:type="dxa"/>
            </w:tcMar>
          </w:tcPr>
          <w:p w:rsidR="00836C90" w:rsidRPr="00BA2696" w:rsidRDefault="00836C90" w:rsidP="00C75158">
            <w:pPr>
              <w:numPr>
                <w:ilvl w:val="0"/>
                <w:numId w:val="2"/>
              </w:numPr>
              <w:spacing w:after="0" w:line="240" w:lineRule="auto"/>
              <w:rPr>
                <w:rFonts w:cs="Calibri"/>
                <w:b/>
                <w:bCs/>
                <w:szCs w:val="24"/>
              </w:rPr>
            </w:pPr>
            <w:r w:rsidRPr="00BA2696">
              <w:rPr>
                <w:rFonts w:cs="Calibri"/>
                <w:b/>
                <w:bCs/>
                <w:szCs w:val="24"/>
              </w:rPr>
              <w:t>Internalisation</w:t>
            </w:r>
          </w:p>
        </w:tc>
        <w:tc>
          <w:tcPr>
            <w:tcW w:w="8222"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Cs w:val="24"/>
              </w:rPr>
            </w:pPr>
            <w:r w:rsidRPr="00BA2696">
              <w:rPr>
                <w:rFonts w:cs="Calibri"/>
                <w:szCs w:val="24"/>
              </w:rPr>
              <w:t>High salience of Blackness internalised. Other identity concerns (gender, religion, sexuality) have space to be considered.</w:t>
            </w:r>
          </w:p>
        </w:tc>
      </w:tr>
      <w:tr w:rsidR="00836C90" w:rsidRPr="00BA2696" w:rsidTr="00C75158">
        <w:tc>
          <w:tcPr>
            <w:tcW w:w="5920" w:type="dxa"/>
            <w:shd w:val="clear" w:color="auto" w:fill="F2F2F2"/>
            <w:tcMar>
              <w:top w:w="0" w:type="dxa"/>
              <w:left w:w="108" w:type="dxa"/>
              <w:bottom w:w="0" w:type="dxa"/>
              <w:right w:w="108" w:type="dxa"/>
            </w:tcMar>
          </w:tcPr>
          <w:p w:rsidR="00836C90" w:rsidRPr="00BA2696" w:rsidRDefault="00836C90" w:rsidP="00C75158">
            <w:pPr>
              <w:numPr>
                <w:ilvl w:val="0"/>
                <w:numId w:val="2"/>
              </w:numPr>
              <w:spacing w:after="0" w:line="240" w:lineRule="auto"/>
              <w:rPr>
                <w:rFonts w:cs="Calibri"/>
                <w:b/>
                <w:bCs/>
                <w:szCs w:val="24"/>
              </w:rPr>
            </w:pPr>
            <w:r w:rsidRPr="00BA2696">
              <w:rPr>
                <w:rFonts w:cs="Calibri"/>
                <w:b/>
                <w:bCs/>
                <w:szCs w:val="24"/>
              </w:rPr>
              <w:t>Internalisation-Commitment</w:t>
            </w:r>
          </w:p>
        </w:tc>
        <w:tc>
          <w:tcPr>
            <w:tcW w:w="8222"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Cs w:val="24"/>
              </w:rPr>
            </w:pPr>
            <w:r w:rsidRPr="00BA2696">
              <w:rPr>
                <w:rFonts w:cs="Calibri"/>
                <w:szCs w:val="24"/>
              </w:rPr>
              <w:t xml:space="preserve">Internalisation of black identity and commitment to black community and black issues. </w:t>
            </w:r>
          </w:p>
        </w:tc>
      </w:tr>
    </w:tbl>
    <w:p w:rsidR="00836C90" w:rsidRPr="00BA2696" w:rsidRDefault="00836C90" w:rsidP="00836C90">
      <w:pPr>
        <w:spacing w:after="0" w:line="480" w:lineRule="auto"/>
        <w:jc w:val="right"/>
        <w:rPr>
          <w:rFonts w:cs="Calibri"/>
          <w:sz w:val="24"/>
          <w:szCs w:val="24"/>
        </w:rPr>
      </w:pPr>
      <w:r w:rsidRPr="00BA2696">
        <w:rPr>
          <w:rFonts w:cs="Calibri"/>
          <w:sz w:val="24"/>
          <w:szCs w:val="24"/>
        </w:rPr>
        <w:t>(</w:t>
      </w:r>
      <w:r w:rsidRPr="00BA2696">
        <w:rPr>
          <w:rFonts w:cs="Calibri"/>
          <w:i/>
          <w:sz w:val="24"/>
          <w:szCs w:val="24"/>
        </w:rPr>
        <w:t>adapted from</w:t>
      </w:r>
      <w:r w:rsidRPr="00BA2696">
        <w:rPr>
          <w:rFonts w:cs="Calibri"/>
          <w:sz w:val="24"/>
          <w:szCs w:val="24"/>
        </w:rPr>
        <w:t xml:space="preserve"> Cross, 1991, pp. 190-223).</w:t>
      </w:r>
    </w:p>
    <w:p w:rsidR="00836C90" w:rsidRPr="00BA2696" w:rsidRDefault="00836C90" w:rsidP="00836C90">
      <w:pPr>
        <w:spacing w:after="0" w:line="240" w:lineRule="auto"/>
        <w:rPr>
          <w:rFonts w:cs="Calibri"/>
          <w:sz w:val="24"/>
          <w:szCs w:val="24"/>
        </w:rPr>
      </w:pPr>
    </w:p>
    <w:p w:rsidR="00836C90" w:rsidRPr="00BA2696" w:rsidRDefault="00836C90" w:rsidP="00836C90">
      <w:pPr>
        <w:spacing w:after="0" w:line="480" w:lineRule="auto"/>
        <w:rPr>
          <w:rFonts w:cs="Calibri"/>
          <w:sz w:val="24"/>
          <w:szCs w:val="24"/>
        </w:rPr>
        <w:sectPr w:rsidR="00836C90" w:rsidRPr="00BA2696" w:rsidSect="00BA3AAE">
          <w:pgSz w:w="16838" w:h="11906" w:orient="landscape"/>
          <w:pgMar w:top="1440" w:right="1440" w:bottom="1440" w:left="1440" w:header="720" w:footer="720" w:gutter="567"/>
          <w:cols w:space="720"/>
          <w:docGrid w:linePitch="299"/>
        </w:sectPr>
      </w:pPr>
    </w:p>
    <w:p w:rsidR="00836C90" w:rsidRPr="00BA2696" w:rsidRDefault="00836C90" w:rsidP="00836C90">
      <w:pPr>
        <w:spacing w:after="0" w:line="480" w:lineRule="auto"/>
        <w:rPr>
          <w:rFonts w:cs="Calibri"/>
          <w:sz w:val="24"/>
          <w:szCs w:val="24"/>
        </w:rPr>
      </w:pPr>
      <w:r>
        <w:rPr>
          <w:rFonts w:cs="Calibri"/>
          <w:sz w:val="24"/>
          <w:szCs w:val="24"/>
        </w:rPr>
        <w:lastRenderedPageBreak/>
        <w:t>The</w:t>
      </w:r>
      <w:r w:rsidRPr="00BA2696">
        <w:rPr>
          <w:rFonts w:cs="Calibri"/>
          <w:sz w:val="24"/>
          <w:szCs w:val="24"/>
        </w:rPr>
        <w:t xml:space="preserve"> 1971 model (</w:t>
      </w:r>
      <w:r>
        <w:rPr>
          <w:rFonts w:cs="Calibri"/>
          <w:sz w:val="24"/>
          <w:szCs w:val="24"/>
        </w:rPr>
        <w:t>Cross, 1971</w:t>
      </w:r>
      <w:r w:rsidRPr="00BA2696">
        <w:rPr>
          <w:rFonts w:cs="Calibri"/>
          <w:sz w:val="24"/>
          <w:szCs w:val="24"/>
        </w:rPr>
        <w:t xml:space="preserve">) was originally presented as a linear process and conceived as a one-time occurrence during the individual’s lifespan. However, Parham (1989) contested this assertion and suggested the formation of black racial identity was more cyclical in nature. In order to address this critique, Cross (1991) included Parham’s (1989) idea of recycling through the stages at different points in one’s lifetime, where gaps in knowledge may be identified and challenged.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Both Helms’s (1990) and Cross’</w:t>
      </w:r>
      <w:r>
        <w:rPr>
          <w:rFonts w:cs="Calibri"/>
          <w:sz w:val="24"/>
          <w:szCs w:val="24"/>
        </w:rPr>
        <w:t>s</w:t>
      </w:r>
      <w:r w:rsidRPr="00BA2696">
        <w:rPr>
          <w:rFonts w:cs="Calibri"/>
          <w:sz w:val="24"/>
          <w:szCs w:val="24"/>
        </w:rPr>
        <w:t xml:space="preserve"> (1991) racial identity models share similarities in that they each describe a process whereby the individual moves from a place of unconsciousness to conscious awareness of racial identity and acknowledges the meaning of their racial identity personally and socially. Likewise, both share the same terminology in the ‘immersion-emersion’ phase and with it being the penultimate stage. However, Cross (1991) offers a more nuanced description of the ‘pre-encounter’ stage, recognising the different forms it may take whereas Helms (1990) first ‘contact’ stage is dependent upon contact with black people/communities and considers how the white individual manages those encounters. A stage similar to the ‘pre-encounter’ stage that considers the white person’s self-concept of whiteness would prove illuminating. In the same way, Helms (1990) seems to overlook the emotional experience of developing a white racial identity, preferring to focus on the cognitive progression whereas Cross (1991) does acknowledge that challenging feelings may occur. Overall, it seems that the intention of Helms’s (1990) model is concerned</w:t>
      </w:r>
      <w:r>
        <w:rPr>
          <w:rFonts w:cs="Calibri"/>
          <w:sz w:val="24"/>
          <w:szCs w:val="24"/>
        </w:rPr>
        <w:t xml:space="preserve"> with</w:t>
      </w:r>
      <w:r w:rsidRPr="00BA2696">
        <w:rPr>
          <w:rFonts w:cs="Calibri"/>
          <w:sz w:val="24"/>
          <w:szCs w:val="24"/>
        </w:rPr>
        <w:t xml:space="preserve"> the way that white pe</w:t>
      </w:r>
      <w:r>
        <w:rPr>
          <w:rFonts w:cs="Calibri"/>
          <w:sz w:val="24"/>
          <w:szCs w:val="24"/>
        </w:rPr>
        <w:t>ople</w:t>
      </w:r>
      <w:r w:rsidRPr="00BA2696">
        <w:rPr>
          <w:rFonts w:cs="Calibri"/>
          <w:sz w:val="24"/>
          <w:szCs w:val="24"/>
        </w:rPr>
        <w:t xml:space="preserve"> renounce individual and systemic forms of </w:t>
      </w:r>
      <w:r w:rsidRPr="00BA2696">
        <w:rPr>
          <w:rFonts w:cs="Calibri"/>
          <w:sz w:val="24"/>
          <w:szCs w:val="24"/>
        </w:rPr>
        <w:lastRenderedPageBreak/>
        <w:t xml:space="preserve">white power whereas Cross’s (1991) model is about gaining a powerful positive black racial identity that will help the individual and wider black communities.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When considering these models, it is important to remember that white and black people are individuals with their own experiences which will influence how, when and why their racial identity is formed. Correspondingly, the social, economic and political background of the individual may also influence the formation of racial identity. The acknowledgment of these factors avoids essentialising (Delgado and Stefancic, 2017) subjective experience and considers the role of intersectional identities (Crenshaw, 1989). Therefore, these USA specific models may not be directly applicable t</w:t>
      </w:r>
      <w:r>
        <w:rPr>
          <w:rFonts w:cs="Calibri"/>
          <w:sz w:val="24"/>
          <w:szCs w:val="24"/>
        </w:rPr>
        <w:t>o a British context</w:t>
      </w:r>
      <w:r w:rsidRPr="00BA2696">
        <w:rPr>
          <w:rFonts w:cs="Calibri"/>
          <w:sz w:val="24"/>
          <w:szCs w:val="24"/>
        </w:rPr>
        <w:t xml:space="preserve"> given the different social, economic and political histories. Ryde’s (2009) ‘Cycle of White Awareness’ is a British consideration of white racial identity and does include the emotional implications of white guilt and shame. However, these are negative emotions and the cycle neglects to consider that once the cycle of awareness is complete, the white person may experience positive emotions through clarity of thought and a commitment to social justice, such as </w:t>
      </w:r>
      <w:r>
        <w:rPr>
          <w:rFonts w:cs="Calibri"/>
          <w:sz w:val="24"/>
          <w:szCs w:val="24"/>
        </w:rPr>
        <w:t>anti-racism</w:t>
      </w:r>
      <w:r w:rsidRPr="00BA2696">
        <w:rPr>
          <w:rFonts w:cs="Calibri"/>
          <w:sz w:val="24"/>
          <w:szCs w:val="24"/>
        </w:rPr>
        <w:t xml:space="preserve"> activism. Despite these criticisms, both Helms (1990) and Cross (1991) have provided influential frameworks to understand racial identity development which offer a sound platform for further insights on this topic, whilst Ryde (2009) has put forward</w:t>
      </w:r>
      <w:r>
        <w:rPr>
          <w:rFonts w:cs="Calibri"/>
          <w:sz w:val="24"/>
          <w:szCs w:val="24"/>
        </w:rPr>
        <w:t xml:space="preserve"> a</w:t>
      </w:r>
      <w:r w:rsidRPr="00BA2696">
        <w:rPr>
          <w:rFonts w:cs="Calibri"/>
          <w:sz w:val="24"/>
          <w:szCs w:val="24"/>
        </w:rPr>
        <w:t xml:space="preserve"> British perspective which links the disciplines of racial identity and psychotherapy. </w:t>
      </w:r>
    </w:p>
    <w:p w:rsidR="00836C90" w:rsidRPr="00BA2696" w:rsidRDefault="00836C90" w:rsidP="00836C90">
      <w:pPr>
        <w:spacing w:after="0" w:line="480" w:lineRule="auto"/>
        <w:rPr>
          <w:rFonts w:cs="Calibri"/>
          <w:sz w:val="24"/>
          <w:szCs w:val="24"/>
        </w:rPr>
      </w:pPr>
      <w:bookmarkStart w:id="63" w:name="_Hlk54849917"/>
    </w:p>
    <w:p w:rsidR="00836C90" w:rsidRPr="00BA2696" w:rsidRDefault="00836C90" w:rsidP="00836C90">
      <w:pPr>
        <w:pStyle w:val="Heading4"/>
      </w:pPr>
      <w:r w:rsidRPr="00BA2696">
        <w:lastRenderedPageBreak/>
        <w:t>White racial identity</w:t>
      </w:r>
    </w:p>
    <w:p w:rsidR="00836C90" w:rsidRPr="00BA2696" w:rsidRDefault="00836C90" w:rsidP="00836C90">
      <w:pPr>
        <w:spacing w:after="0" w:line="480" w:lineRule="auto"/>
        <w:rPr>
          <w:rFonts w:cs="Calibri"/>
          <w:sz w:val="24"/>
          <w:szCs w:val="24"/>
        </w:rPr>
      </w:pPr>
      <w:r w:rsidRPr="00BA2696">
        <w:rPr>
          <w:rFonts w:cs="Calibri"/>
          <w:sz w:val="24"/>
          <w:szCs w:val="24"/>
        </w:rPr>
        <w:t>A prominent contribution to understanding white racial identity, and to critical whiteness studies, is Frankenberg’s (1993) research into how white women construct their ‘race’. She conducted 30 in-depth interviews with white American women of various ages, class and sexualities over a 2-year period. Frankenberg found that the white women she interviewed tended to evade conscious awareness of colour and power, failed to recognise that whiteness is structurally advantageous and saw whiteness as normal. Frankenberg (1993) concluded:</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 xml:space="preserve">the process of altering present and future meanings of whiteness is inextricably connected to that of altering the meanings of other co-constructed racial and cultural identities (p.243). </w:t>
      </w:r>
    </w:p>
    <w:p w:rsidR="00836C90" w:rsidRPr="00BA2696" w:rsidRDefault="00836C90" w:rsidP="00836C90">
      <w:pPr>
        <w:spacing w:after="0" w:line="480" w:lineRule="auto"/>
        <w:ind w:left="567" w:right="567"/>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This assertion that co-construction is necessary concurs with white racial identity models, such as Helms (1990) ‘immersion-emersion’ status and Ryde’s (2009) ‘understanding the other’ phase. What these stages seem to overlook is the impact the development of white racial identity may have on people of colour if this learning takes place with an expectation that people of colour become facilitators in the development of a white racial identity. It has been argued that expecting black people to educate white people about ‘race’ is ‘an old and primary tool of all oppressors to keep the oppressed occupied with the master’s concerns’ (Lorde, 1984, p. 113). </w:t>
      </w:r>
    </w:p>
    <w:p w:rsidR="00836C90" w:rsidRPr="00BA2696" w:rsidRDefault="00836C90" w:rsidP="00836C90">
      <w:pPr>
        <w:spacing w:after="0" w:line="480" w:lineRule="auto"/>
        <w:rPr>
          <w:rFonts w:cs="Calibri"/>
          <w:sz w:val="24"/>
          <w:szCs w:val="24"/>
        </w:rPr>
      </w:pPr>
    </w:p>
    <w:p w:rsidR="00836C90" w:rsidRPr="00BA2696" w:rsidRDefault="00836C90" w:rsidP="00836C90">
      <w:pPr>
        <w:suppressAutoHyphens w:val="0"/>
        <w:autoSpaceDN/>
        <w:spacing w:line="480" w:lineRule="auto"/>
        <w:textAlignment w:val="auto"/>
        <w:rPr>
          <w:sz w:val="24"/>
          <w:szCs w:val="24"/>
        </w:rPr>
      </w:pPr>
      <w:r w:rsidRPr="00BA2696">
        <w:rPr>
          <w:sz w:val="24"/>
          <w:szCs w:val="24"/>
        </w:rPr>
        <w:t xml:space="preserve">Echoing Frankenberg’s (1993) findings that white women avoid ‘race’, the feminist movement has been criticised for focusing solely on the struggles of white women who ignore the contributions of feminists of colour and fail to understand the intersection of ‘race’, gender, and class (Phipps, 2020). Crenshaw (1989) developed </w:t>
      </w:r>
      <w:r w:rsidRPr="00BA2696">
        <w:rPr>
          <w:sz w:val="24"/>
          <w:szCs w:val="24"/>
        </w:rPr>
        <w:lastRenderedPageBreak/>
        <w:t>the theory of intersectionality to describe the intricate way in which black women are discriminated against in the North American criminal justice system for both their gender and their ‘race’. Crenshaw (1989) argues that intersectionality relates to the ways in which institutions (i.e., the law) leaves those with intersecting identities (i.e., black woman) vulnerable through systemic means (i.e., discrimination policies). This is pertinent as the inequalities black women face are not singular identity issues and their needs have often been overlooked by social justice causes, such as ‘race’ equality and feminism</w:t>
      </w:r>
      <w:bookmarkStart w:id="64" w:name="_Hlk19255590"/>
      <w:r w:rsidRPr="00BA2696">
        <w:rPr>
          <w:sz w:val="24"/>
          <w:szCs w:val="24"/>
        </w:rPr>
        <w:t xml:space="preserve"> (Hill Collins and Bilge, 2016</w:t>
      </w:r>
      <w:bookmarkEnd w:id="64"/>
      <w:r w:rsidRPr="00BA2696">
        <w:rPr>
          <w:sz w:val="24"/>
          <w:szCs w:val="24"/>
        </w:rPr>
        <w:t xml:space="preserve">). To overcome the traditional exclusion of black women by white feminists (Phipps, 2020) it has been suggested the development of a white racial identity can lead to an </w:t>
      </w:r>
      <w:r>
        <w:rPr>
          <w:sz w:val="24"/>
          <w:szCs w:val="24"/>
        </w:rPr>
        <w:t>anti-racist</w:t>
      </w:r>
      <w:r w:rsidRPr="00BA2696">
        <w:rPr>
          <w:sz w:val="24"/>
          <w:szCs w:val="24"/>
        </w:rPr>
        <w:t xml:space="preserve"> white identity and intersectional ally status (Linder, 2015; Feenstra, 2017). </w:t>
      </w:r>
    </w:p>
    <w:p w:rsidR="00836C90" w:rsidRPr="00BA2696" w:rsidRDefault="00836C90" w:rsidP="00836C90">
      <w:pPr>
        <w:suppressAutoHyphens w:val="0"/>
        <w:autoSpaceDN/>
        <w:spacing w:line="480" w:lineRule="auto"/>
        <w:textAlignment w:val="auto"/>
        <w:rPr>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However, developing an intersectional white racial identity and engagement in </w:t>
      </w:r>
      <w:r>
        <w:rPr>
          <w:rFonts w:cs="Calibri"/>
          <w:sz w:val="24"/>
          <w:szCs w:val="24"/>
        </w:rPr>
        <w:t>anti-racist</w:t>
      </w:r>
      <w:r w:rsidRPr="00BA2696">
        <w:rPr>
          <w:rFonts w:cs="Calibri"/>
          <w:sz w:val="24"/>
          <w:szCs w:val="24"/>
        </w:rPr>
        <w:t xml:space="preserve"> activism can lead to conflicting experiences. Malott </w:t>
      </w:r>
      <w:r w:rsidRPr="00BA2696">
        <w:rPr>
          <w:rFonts w:cs="Calibri"/>
          <w:i/>
          <w:iCs/>
          <w:sz w:val="24"/>
          <w:szCs w:val="24"/>
        </w:rPr>
        <w:t>et al</w:t>
      </w:r>
      <w:r w:rsidRPr="00BA2696">
        <w:rPr>
          <w:rFonts w:cs="Calibri"/>
          <w:sz w:val="24"/>
          <w:szCs w:val="24"/>
        </w:rPr>
        <w:t xml:space="preserve"> (2015) conducted semi-structured interviews with 10 American participants who considered themselves in Helm’s (1990) ‘autonomy stage’. The results indicated the participants viewed whiteness as an oppressive force, felt they needed to construct a positive, intersectional identity and felt active participation in </w:t>
      </w:r>
      <w:r>
        <w:rPr>
          <w:rFonts w:cs="Calibri"/>
          <w:sz w:val="24"/>
          <w:szCs w:val="24"/>
        </w:rPr>
        <w:t>anti-racist</w:t>
      </w:r>
      <w:r w:rsidRPr="00BA2696">
        <w:rPr>
          <w:rFonts w:cs="Calibri"/>
          <w:sz w:val="24"/>
          <w:szCs w:val="24"/>
        </w:rPr>
        <w:t xml:space="preserve"> activism counteracted their negative associations with whiteness. Yet challenges occurred, primarily with feelings of isolation from, and frustration with, white peers who remained unaware of their ‘race’. This study partly addresses the gap found in white racial identity models which overlook the impact on interpersonal relationships with white peers.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Research has emphasised that possessing a strong white racial identity does not necessarily equate to intersectional inclusivity. In a quantitative study, comprising of a randomised telephone survey with 2081 North American participants, Croll (2007) found those who view diversity positively are less likely to have a strong white racial identity and the participants who perceived America as a ‘white nation’ positively (Croll, 20007, p. 628) had a stronger white racial identity and placed more importance on it. Although scholars posit that the development of racial identity is a ‘path to enlightenment and activism’ (Croll, 2007, p. 632) it can also be a marker of racist beliefs. This is supported by Goren and Plaut (2012) who highlight the importance of considering not just the strength of the person’s white racial identity but also the form it takes: racist or </w:t>
      </w:r>
      <w:r>
        <w:rPr>
          <w:rFonts w:cs="Calibri"/>
          <w:sz w:val="24"/>
          <w:szCs w:val="24"/>
        </w:rPr>
        <w:t>anti-racist</w:t>
      </w:r>
      <w:r w:rsidRPr="00BA2696">
        <w:rPr>
          <w:rFonts w:cs="Calibri"/>
          <w:sz w:val="24"/>
          <w:szCs w:val="24"/>
        </w:rPr>
        <w:t xml:space="preserve">. Indeed, Hughey’s (2010) year-long ethnographic research into </w:t>
      </w:r>
      <w:r>
        <w:rPr>
          <w:rFonts w:cs="Calibri"/>
          <w:sz w:val="24"/>
          <w:szCs w:val="24"/>
        </w:rPr>
        <w:t>anti-racist</w:t>
      </w:r>
      <w:r w:rsidRPr="00BA2696">
        <w:rPr>
          <w:rFonts w:cs="Calibri"/>
          <w:sz w:val="24"/>
          <w:szCs w:val="24"/>
        </w:rPr>
        <w:t xml:space="preserve"> and white nationalist organisations, led him to conclude these apparently disparate groups shared similarities. These included both groups feeling victimised for their whiteness, the nationalists because of political correctness and the </w:t>
      </w:r>
      <w:r>
        <w:rPr>
          <w:rFonts w:cs="Calibri"/>
          <w:sz w:val="24"/>
          <w:szCs w:val="24"/>
        </w:rPr>
        <w:t>anti-racist</w:t>
      </w:r>
      <w:r w:rsidRPr="00BA2696">
        <w:rPr>
          <w:rFonts w:cs="Calibri"/>
          <w:sz w:val="24"/>
          <w:szCs w:val="24"/>
        </w:rPr>
        <w:t xml:space="preserve">s feeling they were targeted for their activism. They also viewed black people as inferior, with the nationalists citing biological inferiority and the </w:t>
      </w:r>
      <w:r>
        <w:rPr>
          <w:rFonts w:cs="Calibri"/>
          <w:sz w:val="24"/>
          <w:szCs w:val="24"/>
        </w:rPr>
        <w:t>anti-racist</w:t>
      </w:r>
      <w:r w:rsidRPr="00BA2696">
        <w:rPr>
          <w:rFonts w:cs="Calibri"/>
          <w:sz w:val="24"/>
          <w:szCs w:val="24"/>
        </w:rPr>
        <w:t>s citing cultural inferiority. This led Hughey (2010, p. 1306) to conclude:</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white racial identities cannot be distilled into static political formations that are distinct and separable; rather they share a common allegiance to dominant racial (and often racist) ideologies that transcend differing belief systems.</w:t>
      </w:r>
    </w:p>
    <w:p w:rsidR="00836C90" w:rsidRPr="00BA2696" w:rsidRDefault="00836C90" w:rsidP="00836C90">
      <w:pPr>
        <w:spacing w:after="0" w:line="480" w:lineRule="auto"/>
        <w:rPr>
          <w:rFonts w:cs="Calibri"/>
          <w:sz w:val="24"/>
          <w:szCs w:val="24"/>
        </w:rPr>
      </w:pPr>
      <w:r w:rsidRPr="00BA2696">
        <w:rPr>
          <w:rFonts w:cs="Calibri"/>
          <w:sz w:val="24"/>
          <w:szCs w:val="24"/>
        </w:rPr>
        <w:t xml:space="preserve"> </w:t>
      </w:r>
    </w:p>
    <w:p w:rsidR="00836C90" w:rsidRPr="00BA2696" w:rsidRDefault="00836C90" w:rsidP="00836C90">
      <w:pPr>
        <w:spacing w:after="0" w:line="480" w:lineRule="auto"/>
        <w:rPr>
          <w:rFonts w:cs="Calibri"/>
          <w:sz w:val="24"/>
          <w:szCs w:val="24"/>
        </w:rPr>
      </w:pPr>
      <w:r w:rsidRPr="00BA2696">
        <w:rPr>
          <w:rFonts w:cs="Calibri"/>
          <w:sz w:val="24"/>
          <w:szCs w:val="24"/>
        </w:rPr>
        <w:t xml:space="preserve">Therefore, it seems that simply claiming to have a white racial identity does not mean the individual is </w:t>
      </w:r>
      <w:r>
        <w:rPr>
          <w:rFonts w:cs="Calibri"/>
          <w:sz w:val="24"/>
          <w:szCs w:val="24"/>
        </w:rPr>
        <w:t>anti-racist</w:t>
      </w:r>
      <w:r w:rsidRPr="00BA2696">
        <w:rPr>
          <w:rFonts w:cs="Calibri"/>
          <w:sz w:val="24"/>
          <w:szCs w:val="24"/>
        </w:rPr>
        <w:t xml:space="preserve"> and even within those who identify as </w:t>
      </w:r>
      <w:r>
        <w:rPr>
          <w:rFonts w:cs="Calibri"/>
          <w:sz w:val="24"/>
          <w:szCs w:val="24"/>
        </w:rPr>
        <w:t>anti-racist</w:t>
      </w:r>
      <w:r w:rsidRPr="00BA2696">
        <w:rPr>
          <w:rFonts w:cs="Calibri"/>
          <w:sz w:val="24"/>
          <w:szCs w:val="24"/>
        </w:rPr>
        <w:t xml:space="preserve">, prejudice </w:t>
      </w:r>
      <w:r w:rsidRPr="00BA2696">
        <w:rPr>
          <w:rFonts w:cs="Calibri"/>
          <w:sz w:val="24"/>
          <w:szCs w:val="24"/>
        </w:rPr>
        <w:lastRenderedPageBreak/>
        <w:t xml:space="preserve">may still remain. This suggests that there is ambiguity around what having a white racial identity means for a white person. However, through asking white trainee counsellors how they understand ‘race’, racism and whiteness, this research has brought some clarity as to how they understand whiteness and their racial identity. This is presented in Chapters 5, 6 and 7.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pPr>
    </w:p>
    <w:p w:rsidR="00836C90" w:rsidRPr="00BA2696" w:rsidRDefault="00836C90" w:rsidP="00836C90">
      <w:pPr>
        <w:pStyle w:val="Heading3"/>
      </w:pPr>
      <w:bookmarkStart w:id="65" w:name="_Toc72413623"/>
      <w:bookmarkEnd w:id="63"/>
      <w:r w:rsidRPr="00BA2696">
        <w:t>2.1.4 White Privilege</w:t>
      </w:r>
      <w:bookmarkEnd w:id="41"/>
      <w:bookmarkEnd w:id="42"/>
      <w:bookmarkEnd w:id="43"/>
      <w:bookmarkEnd w:id="44"/>
      <w:bookmarkEnd w:id="65"/>
      <w:r w:rsidRPr="00BA2696">
        <w:t xml:space="preserve"> </w:t>
      </w:r>
    </w:p>
    <w:p w:rsidR="00836C90" w:rsidRPr="00BA2696" w:rsidRDefault="00836C90" w:rsidP="00836C90">
      <w:pPr>
        <w:spacing w:after="0" w:line="480" w:lineRule="auto"/>
        <w:rPr>
          <w:rFonts w:eastAsia="Times New Roman" w:cs="Calibri"/>
          <w:bCs/>
          <w:color w:val="000000"/>
          <w:sz w:val="24"/>
          <w:szCs w:val="24"/>
          <w:lang w:eastAsia="en-GB"/>
        </w:rPr>
      </w:pPr>
      <w:r w:rsidRPr="00BA2696">
        <w:rPr>
          <w:rFonts w:eastAsia="Times New Roman" w:cs="Calibri"/>
          <w:bCs/>
          <w:color w:val="000000"/>
          <w:sz w:val="24"/>
          <w:szCs w:val="24"/>
          <w:lang w:eastAsia="en-GB"/>
        </w:rPr>
        <w:t>The consequence of a pervasive belief of the superiority of whiteness as a form of racial identity has led to what has been termed as ‘white privilege’. The term is most closely associated with McIntosh (1988) who outlined forty-six ways in which she benefitted from, or was privileged by, being white; a phenomenon she coined as the ‘invisible knapsack of white privilege’ (McIntosh, 1988, p. 8). The recurrent theme in her list of white privilege is the lack of repercussion for being white and an ability to move adroitly through different aspects of life including schooling, medical care, housing, employment and culture without having to consider whether her white racial identity would be a barrier in doing so. McIntosh (1988) reflects upon the elusiveness of whiteness as a subject and the pressure to avoid it by comparing it</w:t>
      </w:r>
      <w:r>
        <w:rPr>
          <w:rFonts w:eastAsia="Times New Roman" w:cs="Calibri"/>
          <w:bCs/>
          <w:color w:val="000000"/>
          <w:sz w:val="24"/>
          <w:szCs w:val="24"/>
          <w:lang w:eastAsia="en-GB"/>
        </w:rPr>
        <w:t xml:space="preserve"> to</w:t>
      </w:r>
      <w:r w:rsidRPr="00BA2696">
        <w:rPr>
          <w:rFonts w:eastAsia="Times New Roman" w:cs="Calibri"/>
          <w:bCs/>
          <w:color w:val="000000"/>
          <w:sz w:val="24"/>
          <w:szCs w:val="24"/>
          <w:lang w:eastAsia="en-GB"/>
        </w:rPr>
        <w:t xml:space="preserve"> male privilege, as both white people and men are taught not to consider their privilege and the ensuing advantages: </w:t>
      </w:r>
    </w:p>
    <w:p w:rsidR="00836C90" w:rsidRPr="00BA2696" w:rsidRDefault="00836C90" w:rsidP="00836C90">
      <w:pPr>
        <w:spacing w:after="0" w:line="240" w:lineRule="auto"/>
        <w:ind w:left="567" w:right="567"/>
        <w:rPr>
          <w:rFonts w:eastAsia="Times New Roman" w:cs="Calibri"/>
          <w:bCs/>
          <w:color w:val="000000"/>
          <w:sz w:val="24"/>
          <w:szCs w:val="24"/>
          <w:lang w:eastAsia="en-GB"/>
        </w:rPr>
      </w:pPr>
      <w:r w:rsidRPr="00BA2696">
        <w:rPr>
          <w:rFonts w:eastAsia="Times New Roman" w:cs="Calibri"/>
          <w:bCs/>
          <w:color w:val="000000"/>
          <w:sz w:val="24"/>
          <w:szCs w:val="24"/>
          <w:lang w:eastAsia="en-GB"/>
        </w:rPr>
        <w:t xml:space="preserve">As a white person, I realized I had been taught about racism as something that puts others at a disadvantage but had been taught not to see one of its corollary aspects, white privilege, which puts me at an advantage (McIntosh, 1988, p. 2). </w:t>
      </w:r>
    </w:p>
    <w:p w:rsidR="00836C90" w:rsidRPr="00BA2696" w:rsidRDefault="00836C90" w:rsidP="00836C90">
      <w:pPr>
        <w:spacing w:after="0" w:line="480" w:lineRule="auto"/>
        <w:rPr>
          <w:rFonts w:eastAsia="Times New Roman" w:cs="Calibri"/>
          <w:bCs/>
          <w:color w:val="000000"/>
          <w:sz w:val="24"/>
          <w:szCs w:val="24"/>
          <w:lang w:eastAsia="en-GB"/>
        </w:rPr>
      </w:pPr>
    </w:p>
    <w:p w:rsidR="00836C90" w:rsidRPr="00BA2696" w:rsidRDefault="00836C90" w:rsidP="00836C90">
      <w:pPr>
        <w:spacing w:after="0" w:line="480" w:lineRule="auto"/>
        <w:rPr>
          <w:rFonts w:eastAsia="Times New Roman" w:cs="Calibri"/>
          <w:bCs/>
          <w:color w:val="000000"/>
          <w:sz w:val="24"/>
          <w:szCs w:val="24"/>
          <w:lang w:eastAsia="en-GB"/>
        </w:rPr>
      </w:pPr>
      <w:r w:rsidRPr="00BA2696">
        <w:rPr>
          <w:rFonts w:eastAsia="Times New Roman" w:cs="Calibri"/>
          <w:bCs/>
          <w:color w:val="000000"/>
          <w:sz w:val="24"/>
          <w:szCs w:val="24"/>
          <w:lang w:eastAsia="en-GB"/>
        </w:rPr>
        <w:lastRenderedPageBreak/>
        <w:t xml:space="preserve">A contemporary definition of white privilege is that it is a hierarchical expression of power within formal and informal frameworks, which is maintained by white people rationalising the categorisation of people of colour, through racism and cultural insensitivity (Bhopal, 2018). To operate in a society where whiteness is upheld at the cost of minorities, it has been suggested that white people numb themselves to the pain their actions can cause (Kendell, 2013, p. 61). The concept of white privilege can be a complex one, with many white people denying its existence but it has been argued that nonetheless, white people do consistently experience some privilege of some kind (Jensen, 2005). The contention that can surround white privilege was recently illustrated when a UK Government minister stated in the Houses of Parliament that teaching the existence of white privilege (alongside critical race theory) as a fact and ‘without balanced views’ in schools was considered illegal </w:t>
      </w:r>
      <w:bookmarkStart w:id="66" w:name="_Hlk70935058"/>
      <w:r w:rsidRPr="00BA2696">
        <w:rPr>
          <w:rFonts w:eastAsia="Times New Roman" w:cs="Calibri"/>
          <w:bCs/>
          <w:color w:val="000000"/>
          <w:sz w:val="24"/>
          <w:szCs w:val="24"/>
          <w:lang w:eastAsia="en-GB"/>
        </w:rPr>
        <w:t xml:space="preserve">(Murray, 2020). </w:t>
      </w:r>
    </w:p>
    <w:bookmarkEnd w:id="66"/>
    <w:p w:rsidR="00836C90" w:rsidRPr="00BA2696" w:rsidRDefault="00836C90" w:rsidP="00836C90">
      <w:pPr>
        <w:spacing w:after="0" w:line="480" w:lineRule="auto"/>
        <w:rPr>
          <w:rFonts w:eastAsia="Times New Roman" w:cs="Calibri"/>
          <w:bCs/>
          <w:color w:val="000000"/>
          <w:sz w:val="24"/>
          <w:szCs w:val="24"/>
          <w:lang w:eastAsia="en-GB"/>
        </w:rPr>
      </w:pPr>
    </w:p>
    <w:p w:rsidR="00836C90" w:rsidRPr="00BA2696" w:rsidRDefault="00836C90" w:rsidP="00836C90">
      <w:pPr>
        <w:spacing w:after="0" w:line="480" w:lineRule="auto"/>
        <w:rPr>
          <w:rFonts w:eastAsia="Times New Roman" w:cs="Calibri"/>
          <w:bCs/>
          <w:color w:val="000000"/>
          <w:sz w:val="24"/>
          <w:szCs w:val="24"/>
          <w:lang w:eastAsia="en-GB"/>
        </w:rPr>
      </w:pPr>
      <w:r w:rsidRPr="00BA2696">
        <w:rPr>
          <w:rFonts w:eastAsia="Times New Roman" w:cs="Calibri"/>
          <w:bCs/>
          <w:color w:val="000000"/>
          <w:sz w:val="24"/>
          <w:szCs w:val="24"/>
          <w:lang w:eastAsia="en-GB"/>
        </w:rPr>
        <w:t xml:space="preserve">Another barrier to the notion of white privilege is the semantic connotation that ‘privilege’ has and the barrier the word can create for working-class white people, whose subjective experience may seem removed from notions of privilege. Reflecting on her experiences of teaching McIntosh’s (1988) work to white working-class students, Fuller (2016) suggests that oftentimes these students do not feel they have encountered privilege which hinders their engagement with the concept. McIntosh (1988) describes and questions whether class inequality and oppression needs to be taught adjacent to white privilege to recognise the disparity of privilege. Countering this argument is Roediger (1991) who argues that in American society, whiteness is </w:t>
      </w:r>
      <w:r w:rsidRPr="00BA2696">
        <w:rPr>
          <w:rFonts w:eastAsia="Times New Roman" w:cs="Calibri"/>
          <w:bCs/>
          <w:color w:val="000000"/>
          <w:sz w:val="24"/>
          <w:szCs w:val="24"/>
          <w:lang w:eastAsia="en-GB"/>
        </w:rPr>
        <w:lastRenderedPageBreak/>
        <w:t xml:space="preserve">more relevant to the concept of class than money. </w:t>
      </w:r>
      <w:r w:rsidRPr="00BA2696">
        <w:rPr>
          <w:rFonts w:eastAsia="Times New Roman" w:cs="Calibri"/>
          <w:bCs/>
          <w:sz w:val="24"/>
          <w:szCs w:val="24"/>
          <w:lang w:eastAsia="en-GB"/>
        </w:rPr>
        <w:t>Roediger (1991) states that the lack of unification between the black and white Americans in the United States to improve their collective economic poverty, indicates that white working classes value their whiteness more than economic status. In other words, poor white people can actively vote against their best interests in order to feel aligned with economically privileged white Americans rather than unify with African-Americans for collective economic advancement. Succinctly, the psychological benefits of whiteness trump the economic benefit of class unity (Roediger, 1991).</w:t>
      </w:r>
      <w:r w:rsidRPr="00BA2696">
        <w:rPr>
          <w:rFonts w:eastAsia="Times New Roman" w:cs="Calibri"/>
          <w:bCs/>
          <w:color w:val="0070C0"/>
          <w:sz w:val="24"/>
          <w:szCs w:val="24"/>
          <w:lang w:eastAsia="en-GB"/>
        </w:rPr>
        <w:t xml:space="preserve"> </w:t>
      </w:r>
      <w:r w:rsidRPr="00BA2696">
        <w:rPr>
          <w:rFonts w:eastAsia="Times New Roman" w:cs="Calibri"/>
          <w:bCs/>
          <w:color w:val="000000"/>
          <w:sz w:val="24"/>
          <w:szCs w:val="24"/>
          <w:lang w:eastAsia="en-GB"/>
        </w:rPr>
        <w:t xml:space="preserve">Jensen (2005) also recognises that whilst class does effect lives, society </w:t>
      </w:r>
      <w:r>
        <w:rPr>
          <w:rFonts w:eastAsia="Times New Roman" w:cs="Calibri"/>
          <w:bCs/>
          <w:color w:val="000000"/>
          <w:sz w:val="24"/>
          <w:szCs w:val="24"/>
          <w:lang w:eastAsia="en-GB"/>
        </w:rPr>
        <w:t xml:space="preserve">is </w:t>
      </w:r>
      <w:r w:rsidRPr="00BA2696">
        <w:rPr>
          <w:rFonts w:eastAsia="Times New Roman" w:cs="Calibri"/>
          <w:bCs/>
          <w:color w:val="000000"/>
          <w:sz w:val="24"/>
          <w:szCs w:val="24"/>
          <w:lang w:eastAsia="en-GB"/>
        </w:rPr>
        <w:t>constructed to uphold whiteness to a position of power and privilege.</w:t>
      </w:r>
    </w:p>
    <w:p w:rsidR="00836C90" w:rsidRPr="00BA2696" w:rsidRDefault="00836C90" w:rsidP="00836C90">
      <w:pPr>
        <w:spacing w:after="0" w:line="480" w:lineRule="auto"/>
        <w:rPr>
          <w:rFonts w:eastAsia="Times New Roman" w:cs="Calibri"/>
          <w:bCs/>
          <w:color w:val="0070C0"/>
          <w:sz w:val="24"/>
          <w:szCs w:val="24"/>
          <w:lang w:eastAsia="en-GB"/>
        </w:rPr>
      </w:pPr>
    </w:p>
    <w:p w:rsidR="00836C90" w:rsidRPr="00BA2696" w:rsidRDefault="00836C90" w:rsidP="00836C90">
      <w:pPr>
        <w:spacing w:after="0" w:line="480" w:lineRule="auto"/>
        <w:rPr>
          <w:rFonts w:eastAsia="Times New Roman" w:cs="Calibri"/>
          <w:bCs/>
          <w:sz w:val="24"/>
          <w:szCs w:val="24"/>
          <w:lang w:eastAsia="en-GB"/>
        </w:rPr>
      </w:pPr>
      <w:r w:rsidRPr="00BA2696">
        <w:rPr>
          <w:rFonts w:eastAsia="Times New Roman" w:cs="Calibri"/>
          <w:bCs/>
          <w:color w:val="000000"/>
          <w:sz w:val="24"/>
          <w:szCs w:val="24"/>
          <w:lang w:eastAsia="en-GB"/>
        </w:rPr>
        <w:t>A critique of McIntosh’s (1988) work has been put forward by Blum (2008) who suggests that although the exploration of white privilege is a powerful force in tackling racial injustice, it presents itself in generalised terms and fails to provide a structural analysis. Blum (2008) also argues the term ‘privilege’ is too generalised, to address this he refines it into three categories: ‘spared injustice’; ‘unjust enrichment’; and ‘non-justice-related privileges’. The former relates to a white person being spared the discrimination as faced by a black person; the second to a white person benefitting from the discrimination of a black person; and the latter refers to privileges whereby injustice is not present, but benefits are accrued, such as one language being privileged over another</w:t>
      </w:r>
      <w:r w:rsidRPr="00BA2696">
        <w:rPr>
          <w:rFonts w:eastAsia="Times New Roman" w:cs="Calibri"/>
          <w:bCs/>
          <w:sz w:val="24"/>
          <w:szCs w:val="24"/>
          <w:lang w:eastAsia="en-GB"/>
        </w:rPr>
        <w:t xml:space="preserve">. In the same way, Sullivan (2017) reframes ‘white privilege’ as ‘white priority’ to overcome universalist generalisations of privilege that exclude issues of poverty and class. Instead, ‘white priority’ refers to all white people, </w:t>
      </w:r>
      <w:r w:rsidRPr="00BA2696">
        <w:rPr>
          <w:rFonts w:eastAsia="Times New Roman" w:cs="Calibri"/>
          <w:bCs/>
          <w:sz w:val="24"/>
          <w:szCs w:val="24"/>
          <w:lang w:eastAsia="en-GB"/>
        </w:rPr>
        <w:lastRenderedPageBreak/>
        <w:t>including lower-economic whites, who will still retain the belief that: ‘at least I’m not the lowest of the low. I come before someone else: people of color (</w:t>
      </w:r>
      <w:r w:rsidRPr="00BA2696">
        <w:rPr>
          <w:rFonts w:eastAsia="Times New Roman" w:cs="Calibri"/>
          <w:bCs/>
          <w:i/>
          <w:iCs/>
          <w:sz w:val="24"/>
          <w:szCs w:val="24"/>
          <w:lang w:eastAsia="en-GB"/>
        </w:rPr>
        <w:t>sic</w:t>
      </w:r>
      <w:r w:rsidRPr="00BA2696">
        <w:rPr>
          <w:rFonts w:eastAsia="Times New Roman" w:cs="Calibri"/>
          <w:bCs/>
          <w:sz w:val="24"/>
          <w:szCs w:val="24"/>
          <w:lang w:eastAsia="en-GB"/>
        </w:rPr>
        <w:t xml:space="preserve">) and black people in particular’ (Sullivan, 2017, p. 178). Whilst Sullivan (2017) herself recognises no term will perfectly encapsulate the reality of racial and class disparity, her ‘white priority’ does at least try to address the exclusionary, class-based connotations the word ‘privilege’ invokes. However, it has been argued that the notion of ‘white privilege’ focuses attention away from racism by reframing the issue of whiteness to the more palatable idea of privilege, even when the exploration of privilege is done with good intent (Chen, 2017). Supporting this argument, Lensmire </w:t>
      </w:r>
      <w:r w:rsidRPr="00BA2696">
        <w:rPr>
          <w:rFonts w:eastAsia="Times New Roman" w:cs="Calibri"/>
          <w:bCs/>
          <w:i/>
          <w:iCs/>
          <w:sz w:val="24"/>
          <w:szCs w:val="24"/>
          <w:lang w:eastAsia="en-GB"/>
        </w:rPr>
        <w:t>et al</w:t>
      </w:r>
      <w:r w:rsidRPr="00BA2696">
        <w:rPr>
          <w:rFonts w:eastAsia="Times New Roman" w:cs="Calibri"/>
          <w:bCs/>
          <w:sz w:val="24"/>
          <w:szCs w:val="24"/>
          <w:lang w:eastAsia="en-GB"/>
        </w:rPr>
        <w:t xml:space="preserve"> (2013) suggested that whilst initially useful, McIntosh’s (1988) concept of white privilege is used as ‘stand-in’ for all </w:t>
      </w:r>
      <w:r>
        <w:rPr>
          <w:rFonts w:eastAsia="Times New Roman" w:cs="Calibri"/>
          <w:bCs/>
          <w:sz w:val="24"/>
          <w:szCs w:val="24"/>
          <w:lang w:eastAsia="en-GB"/>
        </w:rPr>
        <w:t>anti-racism</w:t>
      </w:r>
      <w:r w:rsidRPr="00BA2696">
        <w:rPr>
          <w:rFonts w:eastAsia="Times New Roman" w:cs="Calibri"/>
          <w:bCs/>
          <w:sz w:val="24"/>
          <w:szCs w:val="24"/>
          <w:lang w:eastAsia="en-GB"/>
        </w:rPr>
        <w:t xml:space="preserve"> work in the North American education sector, homogenises and simplifies white racial identities, and argues that the term ‘white supremacy’ needs to replace ‘white privilege’ in racial discourse. Therefore, it would seem that whatever the semantics used, considering the benefits of whiteness may be a way to avoid the realities of racism and racial inequality. This echoes Dyer’s (2017) warning </w:t>
      </w:r>
      <w:r>
        <w:rPr>
          <w:rFonts w:eastAsia="Times New Roman" w:cs="Calibri"/>
          <w:bCs/>
          <w:sz w:val="24"/>
          <w:szCs w:val="24"/>
          <w:lang w:eastAsia="en-GB"/>
        </w:rPr>
        <w:t>that</w:t>
      </w:r>
      <w:r w:rsidRPr="00BA2696">
        <w:rPr>
          <w:rFonts w:eastAsia="Times New Roman" w:cs="Calibri"/>
          <w:bCs/>
          <w:sz w:val="24"/>
          <w:szCs w:val="24"/>
          <w:lang w:eastAsia="en-GB"/>
        </w:rPr>
        <w:t xml:space="preserve"> critical whiteness studies </w:t>
      </w:r>
      <w:r>
        <w:rPr>
          <w:rFonts w:eastAsia="Times New Roman" w:cs="Calibri"/>
          <w:bCs/>
          <w:sz w:val="24"/>
          <w:szCs w:val="24"/>
          <w:lang w:eastAsia="en-GB"/>
        </w:rPr>
        <w:t xml:space="preserve">may </w:t>
      </w:r>
      <w:r w:rsidRPr="00BA2696">
        <w:rPr>
          <w:rFonts w:eastAsia="Times New Roman" w:cs="Calibri"/>
          <w:bCs/>
          <w:sz w:val="24"/>
          <w:szCs w:val="24"/>
          <w:lang w:eastAsia="en-GB"/>
        </w:rPr>
        <w:t xml:space="preserve">be a way of centralising whiteness. </w:t>
      </w:r>
    </w:p>
    <w:p w:rsidR="00836C90" w:rsidRPr="00BA2696" w:rsidRDefault="00836C90" w:rsidP="00836C90">
      <w:pPr>
        <w:spacing w:after="0" w:line="480" w:lineRule="auto"/>
        <w:rPr>
          <w:rFonts w:eastAsia="Times New Roman" w:cs="Calibri"/>
          <w:bCs/>
          <w:sz w:val="24"/>
          <w:szCs w:val="24"/>
          <w:lang w:eastAsia="en-GB"/>
        </w:rPr>
      </w:pPr>
    </w:p>
    <w:p w:rsidR="00836C90" w:rsidRPr="00BA2696" w:rsidRDefault="00836C90" w:rsidP="00836C90">
      <w:pPr>
        <w:spacing w:after="0" w:line="480" w:lineRule="auto"/>
        <w:rPr>
          <w:rFonts w:eastAsia="Times New Roman" w:cs="Calibri"/>
          <w:bCs/>
          <w:iCs/>
          <w:sz w:val="24"/>
          <w:szCs w:val="24"/>
          <w:lang w:eastAsia="en-GB"/>
        </w:rPr>
      </w:pPr>
      <w:r w:rsidRPr="00BA2696">
        <w:rPr>
          <w:rFonts w:eastAsia="Times New Roman" w:cs="Calibri"/>
          <w:bCs/>
          <w:color w:val="000000"/>
          <w:sz w:val="24"/>
          <w:szCs w:val="24"/>
          <w:lang w:eastAsia="en-GB"/>
        </w:rPr>
        <w:t xml:space="preserve">Although white privilege seeks to critique the ways in which white people benefit from their white racial identity no matter their socio-economic status, white people can be affronted when it is suggested that such a phenomenon exists (Jenson, 2005; Kendell, 2013; Bhopal, 2018). However, Yancy (2012a) also highlights an interesting point: when white people do consider whiteness and its implications, they do so from their point of view and experience which is itself located in white power and privilege </w:t>
      </w:r>
      <w:r w:rsidRPr="00BA2696">
        <w:rPr>
          <w:rFonts w:eastAsia="Times New Roman" w:cs="Calibri"/>
          <w:bCs/>
          <w:color w:val="000000"/>
          <w:sz w:val="24"/>
          <w:szCs w:val="24"/>
          <w:lang w:eastAsia="en-GB"/>
        </w:rPr>
        <w:lastRenderedPageBreak/>
        <w:t>(Yancy, 2012, p. 8). This would indicate that white privilege needs to be not only contemplated from the point of view of individual benefits but requires recognition of the systemic benefits of being white</w:t>
      </w:r>
      <w:r w:rsidRPr="00BA2696">
        <w:rPr>
          <w:rFonts w:eastAsia="Times New Roman" w:cs="Calibri"/>
          <w:bCs/>
          <w:i/>
          <w:color w:val="000000"/>
          <w:sz w:val="24"/>
          <w:szCs w:val="24"/>
          <w:lang w:eastAsia="en-GB"/>
        </w:rPr>
        <w:t>.</w:t>
      </w:r>
      <w:r w:rsidRPr="00BA2696">
        <w:rPr>
          <w:rFonts w:eastAsia="Times New Roman" w:cs="Calibri"/>
          <w:bCs/>
          <w:iCs/>
          <w:color w:val="000000"/>
          <w:sz w:val="24"/>
          <w:szCs w:val="24"/>
          <w:lang w:eastAsia="en-GB"/>
        </w:rPr>
        <w:t xml:space="preserve"> </w:t>
      </w:r>
      <w:r w:rsidRPr="00BA2696">
        <w:rPr>
          <w:rFonts w:eastAsia="Times New Roman" w:cs="Calibri"/>
          <w:bCs/>
          <w:iCs/>
          <w:sz w:val="24"/>
          <w:szCs w:val="24"/>
          <w:lang w:eastAsia="en-GB"/>
        </w:rPr>
        <w:t>This form of consciousness raising may be achieved through education of the history of whiteness and its contemporary implications. However, the term ‘privilege’ may be a barrier to those from a low socio-economic background who find the notion of being ‘privileged’ an anathema (Blum, 2008; Sullivan, 2017). Therefore, unpacking the word ‘privilege’ may be the first step in consciousness raising.</w:t>
      </w:r>
    </w:p>
    <w:p w:rsidR="00836C90" w:rsidRPr="00BA2696" w:rsidRDefault="00836C90" w:rsidP="00836C90">
      <w:pPr>
        <w:spacing w:after="0" w:line="480" w:lineRule="auto"/>
        <w:rPr>
          <w:rFonts w:eastAsia="Times New Roman" w:cs="Calibri"/>
          <w:bCs/>
          <w:iCs/>
          <w:color w:val="FF0000"/>
          <w:sz w:val="24"/>
          <w:szCs w:val="24"/>
          <w:lang w:eastAsia="en-GB"/>
        </w:rPr>
      </w:pPr>
    </w:p>
    <w:p w:rsidR="00836C90" w:rsidRPr="00BA2696" w:rsidRDefault="00836C90" w:rsidP="00836C90">
      <w:pPr>
        <w:spacing w:after="0" w:line="480" w:lineRule="auto"/>
        <w:rPr>
          <w:rFonts w:eastAsia="Times New Roman" w:cs="Calibri"/>
          <w:bCs/>
          <w:color w:val="000000"/>
          <w:sz w:val="24"/>
          <w:szCs w:val="24"/>
          <w:lang w:eastAsia="en-GB"/>
        </w:rPr>
      </w:pPr>
      <w:r w:rsidRPr="00BA2696">
        <w:rPr>
          <w:rFonts w:eastAsia="Times New Roman" w:cs="Calibri"/>
          <w:bCs/>
          <w:color w:val="000000"/>
          <w:sz w:val="24"/>
          <w:szCs w:val="24"/>
          <w:lang w:eastAsia="en-GB"/>
        </w:rPr>
        <w:t>Truly contemplating the accumulated effects of being the (often unaware) recipient of white privilege can lead to a range of emotional and behavioural responses; this has been termed ‘white fragility’ (DiAngelo, 2018). White fragility is ‘triggered by discomfort and anxiety, it is born of superiority and entitlement’ and is a means of racial control (DiAngelo, 2018 p. 2). One expression of discomfort is feeling individual or collective guilt about the actions of white people and/or nations. There is a tendency for white people to avoid their feelings of guilt, which can in fact reinforce racist attitudes, because confronting the impact of suffering black people (and people of colour) have be</w:t>
      </w:r>
      <w:r>
        <w:rPr>
          <w:rFonts w:eastAsia="Times New Roman" w:cs="Calibri"/>
          <w:bCs/>
          <w:color w:val="000000"/>
          <w:sz w:val="24"/>
          <w:szCs w:val="24"/>
          <w:lang w:eastAsia="en-GB"/>
        </w:rPr>
        <w:t>en</w:t>
      </w:r>
      <w:r w:rsidRPr="00BA2696">
        <w:rPr>
          <w:rFonts w:eastAsia="Times New Roman" w:cs="Calibri"/>
          <w:bCs/>
          <w:color w:val="000000"/>
          <w:sz w:val="24"/>
          <w:szCs w:val="24"/>
          <w:lang w:eastAsia="en-GB"/>
        </w:rPr>
        <w:t xml:space="preserve"> subjected to would produce ‘an intolerable level of pain’ (Altman, 2003, p. 97). Likewise, white people feel more comfort when they deny their feelings of guilt, so it persists from one generation to the next meaning there is never a proper reparation made (Maddison, 2011). This denial is often coupled with guilt, fear and anger, and demonstrated in behaviours such as silencing and withdrawal (DiAngelo, 2018). On the other hand, Ryde (2009) </w:t>
      </w:r>
      <w:r>
        <w:rPr>
          <w:rFonts w:eastAsia="Times New Roman" w:cs="Calibri"/>
          <w:bCs/>
          <w:color w:val="000000"/>
          <w:sz w:val="24"/>
          <w:szCs w:val="24"/>
          <w:lang w:eastAsia="en-GB"/>
        </w:rPr>
        <w:t>suggests</w:t>
      </w:r>
      <w:r w:rsidRPr="00BA2696">
        <w:rPr>
          <w:rFonts w:eastAsia="Times New Roman" w:cs="Calibri"/>
          <w:bCs/>
          <w:color w:val="000000"/>
          <w:sz w:val="24"/>
          <w:szCs w:val="24"/>
          <w:lang w:eastAsia="en-GB"/>
        </w:rPr>
        <w:t xml:space="preserve"> that the guilt and shame </w:t>
      </w:r>
      <w:r w:rsidRPr="00BA2696">
        <w:rPr>
          <w:rFonts w:eastAsia="Times New Roman" w:cs="Calibri"/>
          <w:bCs/>
          <w:color w:val="000000"/>
          <w:sz w:val="24"/>
          <w:szCs w:val="24"/>
          <w:lang w:eastAsia="en-GB"/>
        </w:rPr>
        <w:lastRenderedPageBreak/>
        <w:t xml:space="preserve">experienced by white people around privilege and racism can be re-framed in a positive way and viewed as an opportunity to work through those feelings in order to reach a more balanced power relationship between black and white people. </w:t>
      </w:r>
    </w:p>
    <w:p w:rsidR="00836C90" w:rsidRPr="00BA2696" w:rsidRDefault="00836C90" w:rsidP="00836C90">
      <w:pPr>
        <w:spacing w:after="0" w:line="480" w:lineRule="auto"/>
        <w:rPr>
          <w:rFonts w:eastAsia="Times New Roman" w:cs="Calibri"/>
          <w:bCs/>
          <w:color w:val="0070C0"/>
          <w:sz w:val="24"/>
          <w:szCs w:val="24"/>
          <w:lang w:eastAsia="en-GB"/>
        </w:rPr>
      </w:pPr>
    </w:p>
    <w:p w:rsidR="00836C90" w:rsidRPr="00BA2696" w:rsidRDefault="00836C90" w:rsidP="00836C90">
      <w:pPr>
        <w:spacing w:after="0" w:line="480" w:lineRule="auto"/>
        <w:rPr>
          <w:rFonts w:eastAsia="Times New Roman" w:cs="Calibri"/>
          <w:bCs/>
          <w:color w:val="000000"/>
          <w:sz w:val="24"/>
          <w:szCs w:val="24"/>
          <w:lang w:eastAsia="en-GB"/>
        </w:rPr>
      </w:pPr>
      <w:r w:rsidRPr="00BA2696">
        <w:rPr>
          <w:rFonts w:eastAsia="Times New Roman" w:cs="Calibri"/>
          <w:bCs/>
          <w:color w:val="000000"/>
          <w:sz w:val="24"/>
          <w:szCs w:val="24"/>
          <w:lang w:eastAsia="en-GB"/>
        </w:rPr>
        <w:t xml:space="preserve">Therefore, whilst it can be argued that white privilege does exist as the often-unconscious reward of white supremacy, it is often denied and rejected by white people.  When it is brought the attention of white people it can be met with hostility or feelings of guilt that can be potentially overwhelming. However, those white people who do accept white privilege and are able to tolerate the ensuing challenging feelings need to be vigilant to the fact they are doing so whilst still situated within a position of power and privilege. </w:t>
      </w:r>
    </w:p>
    <w:p w:rsidR="00836C90" w:rsidRPr="00BA2696" w:rsidRDefault="00836C90" w:rsidP="00836C90">
      <w:pPr>
        <w:spacing w:after="0" w:line="480" w:lineRule="auto"/>
        <w:rPr>
          <w:rFonts w:eastAsia="Times New Roman" w:cs="Calibri"/>
          <w:bCs/>
          <w:color w:val="000000"/>
          <w:sz w:val="24"/>
          <w:szCs w:val="24"/>
          <w:lang w:eastAsia="en-GB"/>
        </w:rPr>
      </w:pPr>
    </w:p>
    <w:p w:rsidR="00836C90" w:rsidRPr="00BA2696" w:rsidRDefault="00836C90" w:rsidP="00836C90">
      <w:pPr>
        <w:pStyle w:val="Heading3"/>
      </w:pPr>
      <w:bookmarkStart w:id="67" w:name="_Toc56522990"/>
      <w:bookmarkStart w:id="68" w:name="_Toc56523272"/>
      <w:bookmarkStart w:id="69" w:name="_Toc57910080"/>
      <w:bookmarkStart w:id="70" w:name="_Toc58251296"/>
      <w:bookmarkStart w:id="71" w:name="_Toc72413624"/>
      <w:r w:rsidRPr="00BA2696">
        <w:t>2.1.5 White Ignorance</w:t>
      </w:r>
      <w:bookmarkEnd w:id="67"/>
      <w:bookmarkEnd w:id="68"/>
      <w:bookmarkEnd w:id="69"/>
      <w:bookmarkEnd w:id="70"/>
      <w:bookmarkEnd w:id="71"/>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Perhaps one explanation for white people not recognising and refuting white privilege (McIntosh, 1988; Kendell 2013; Bhopal 2018; Ryde, 2019) is due to white ignorance (Mills, 2007). Ignorance has been traditionally overlooked in relation to epistemology, given that epistemology is concerned with the theory of knowledge (</w:t>
      </w:r>
      <w:bookmarkStart w:id="72" w:name="_Hlk55940009"/>
      <w:r w:rsidRPr="00BA2696">
        <w:rPr>
          <w:sz w:val="24"/>
          <w:szCs w:val="24"/>
        </w:rPr>
        <w:t>Peels and Blaaw, 2017</w:t>
      </w:r>
      <w:bookmarkEnd w:id="72"/>
      <w:r w:rsidRPr="00BA2696">
        <w:rPr>
          <w:sz w:val="24"/>
          <w:szCs w:val="24"/>
        </w:rPr>
        <w:t>) and is similarly neglected in sociology (Mueller, 2018). However, the concept of epistemic ignorance is now receiving more scholarly attention (such as: Sullivan and Tuana, 2007; Gross and McGoey, 2015; Peels and Blaaw, 2017; McGoey, 2019).</w:t>
      </w:r>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 xml:space="preserve">Racial epistemic ignorance has its origins in Mills (1997) theory of the ‘racial contract’. This relates to the theory that society functions economically, morally, culturally and politically in favour of white people and therefore upholds white supremacy (Mills, </w:t>
      </w:r>
      <w:r w:rsidRPr="00BA2696">
        <w:rPr>
          <w:sz w:val="24"/>
          <w:szCs w:val="24"/>
        </w:rPr>
        <w:lastRenderedPageBreak/>
        <w:t>1997). Mills (1997) argues that historically the racial contract can be evidenced through colonialisation, Christian doctrine, and the Enlightenment categorisation of ‘race’ (Section 2.1.1), all of which combined to see whites as ‘human’ and non-whites as ‘savages’. Moral and legal doctrines adopted this distinction, which became the foundation of the modern world. Further, in order for the racial contract to function it:</w:t>
      </w:r>
    </w:p>
    <w:p w:rsidR="00836C90" w:rsidRPr="00BA2696" w:rsidRDefault="00836C90" w:rsidP="00836C90">
      <w:pPr>
        <w:suppressAutoHyphens w:val="0"/>
        <w:autoSpaceDN/>
        <w:spacing w:after="0" w:line="240" w:lineRule="auto"/>
        <w:ind w:left="567" w:right="567"/>
        <w:textAlignment w:val="auto"/>
        <w:rPr>
          <w:sz w:val="24"/>
          <w:szCs w:val="24"/>
        </w:rPr>
      </w:pPr>
      <w:r w:rsidRPr="00BA2696">
        <w:rPr>
          <w:sz w:val="24"/>
          <w:szCs w:val="24"/>
        </w:rPr>
        <w:t>…prescribes for its signatories an inverted epistemology, an epistemology of ignorance, a particular pattern of localized (</w:t>
      </w:r>
      <w:r w:rsidRPr="00BA2696">
        <w:rPr>
          <w:i/>
          <w:iCs/>
          <w:sz w:val="24"/>
          <w:szCs w:val="24"/>
        </w:rPr>
        <w:t>sic</w:t>
      </w:r>
      <w:r w:rsidRPr="00BA2696">
        <w:rPr>
          <w:sz w:val="24"/>
          <w:szCs w:val="24"/>
        </w:rPr>
        <w:t>) and global cognitive dysfunctions (which are psychologically and socially functional), producing the ironic outcome that whites will in general be unable to understand the world they themselves have made (Mills, 1997, p. 18).</w:t>
      </w:r>
    </w:p>
    <w:p w:rsidR="00836C90" w:rsidRPr="00BA2696" w:rsidRDefault="00836C90" w:rsidP="00836C90">
      <w:pPr>
        <w:suppressAutoHyphens w:val="0"/>
        <w:autoSpaceDN/>
        <w:spacing w:after="0" w:line="480" w:lineRule="auto"/>
        <w:textAlignment w:val="auto"/>
        <w:rPr>
          <w:sz w:val="24"/>
          <w:szCs w:val="24"/>
        </w:rPr>
      </w:pPr>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 xml:space="preserve">Thus, the racial contract is sustained through a wilful, collective ignorance by white people (Mills, 1997), and is supported through institutional practices (Sullivan and Tuana, 2007). Therefore, epistemic ignorance is understood not as an oversight or an absence of knowledge, but as a ‘substantive practice’ (Alcoff, 2007, p. 39). Supporting the notion of epistemic ignorance being an active, not passive, process, Medina (2013, p. 140) proposes that although a state of ignorance may not be a conscious choice ‘one’s </w:t>
      </w:r>
      <w:r w:rsidRPr="00BA2696">
        <w:rPr>
          <w:i/>
          <w:iCs/>
          <w:sz w:val="24"/>
          <w:szCs w:val="24"/>
        </w:rPr>
        <w:t>inattention</w:t>
      </w:r>
      <w:r w:rsidRPr="00BA2696">
        <w:rPr>
          <w:sz w:val="24"/>
          <w:szCs w:val="24"/>
        </w:rPr>
        <w:t xml:space="preserve"> to the ignorance one partakes in becomes </w:t>
      </w:r>
      <w:r w:rsidRPr="00BA2696">
        <w:rPr>
          <w:i/>
          <w:iCs/>
          <w:sz w:val="24"/>
          <w:szCs w:val="24"/>
        </w:rPr>
        <w:t>complicity and active participation’</w:t>
      </w:r>
      <w:r w:rsidRPr="00BA2696">
        <w:rPr>
          <w:sz w:val="24"/>
          <w:szCs w:val="24"/>
        </w:rPr>
        <w:t>.  To understand how it functions, Medina (</w:t>
      </w:r>
      <w:bookmarkStart w:id="73" w:name="_Hlk47530858"/>
      <w:r w:rsidRPr="00BA2696">
        <w:rPr>
          <w:sz w:val="24"/>
          <w:szCs w:val="24"/>
        </w:rPr>
        <w:t>2016, p. 183</w:t>
      </w:r>
      <w:bookmarkEnd w:id="73"/>
      <w:r>
        <w:rPr>
          <w:sz w:val="24"/>
          <w:szCs w:val="24"/>
        </w:rPr>
        <w:t>; Table 6</w:t>
      </w:r>
      <w:r w:rsidRPr="00BA2696">
        <w:rPr>
          <w:sz w:val="24"/>
          <w:szCs w:val="24"/>
        </w:rPr>
        <w:t>) has categorised epistemic ignorance in the following way:</w:t>
      </w:r>
    </w:p>
    <w:p w:rsidR="00836C90" w:rsidRDefault="00836C90" w:rsidP="00836C90">
      <w:pPr>
        <w:suppressAutoHyphens w:val="0"/>
        <w:autoSpaceDN/>
        <w:spacing w:after="0" w:line="480" w:lineRule="auto"/>
        <w:textAlignment w:val="auto"/>
      </w:pPr>
      <w:r w:rsidRPr="00BC30BF">
        <w:rPr>
          <w:sz w:val="24"/>
          <w:szCs w:val="24"/>
        </w:rPr>
        <w:br w:type="page"/>
      </w:r>
      <w:bookmarkStart w:id="74" w:name="_Hlk67127409"/>
    </w:p>
    <w:p w:rsidR="00836C90" w:rsidRPr="009C3ADD" w:rsidRDefault="00836C90" w:rsidP="00836C90">
      <w:pPr>
        <w:pStyle w:val="Caption"/>
        <w:keepNext/>
        <w:rPr>
          <w:sz w:val="24"/>
          <w:szCs w:val="24"/>
        </w:rPr>
      </w:pPr>
      <w:bookmarkStart w:id="75" w:name="_Toc72253520"/>
      <w:bookmarkStart w:id="76" w:name="_Toc72253842"/>
      <w:bookmarkStart w:id="77" w:name="_Toc72253864"/>
      <w:bookmarkStart w:id="78" w:name="_Toc72324667"/>
      <w:r w:rsidRPr="009C3ADD">
        <w:rPr>
          <w:sz w:val="24"/>
          <w:szCs w:val="24"/>
        </w:rPr>
        <w:lastRenderedPageBreak/>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6</w:t>
      </w:r>
      <w:r w:rsidRPr="009C3ADD">
        <w:rPr>
          <w:sz w:val="24"/>
          <w:szCs w:val="24"/>
        </w:rPr>
        <w:fldChar w:fldCharType="end"/>
      </w:r>
      <w:r w:rsidRPr="009C3ADD">
        <w:rPr>
          <w:sz w:val="24"/>
          <w:szCs w:val="24"/>
        </w:rPr>
        <w:t xml:space="preserve"> Medina’s (2016) distinction between basic and active ignorance</w:t>
      </w:r>
      <w:bookmarkEnd w:id="75"/>
      <w:bookmarkEnd w:id="76"/>
      <w:bookmarkEnd w:id="77"/>
      <w:bookmarkEnd w:id="78"/>
    </w:p>
    <w:tbl>
      <w:tblPr>
        <w:tblW w:w="0" w:type="auto"/>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2588"/>
        <w:gridCol w:w="5871"/>
      </w:tblGrid>
      <w:tr w:rsidR="00836C90" w:rsidRPr="00BA2696" w:rsidTr="00C75158">
        <w:tc>
          <w:tcPr>
            <w:tcW w:w="2588" w:type="dxa"/>
            <w:shd w:val="clear" w:color="auto" w:fill="auto"/>
          </w:tcPr>
          <w:bookmarkEnd w:id="74"/>
          <w:p w:rsidR="00836C90" w:rsidRPr="00BA2696" w:rsidRDefault="00836C90" w:rsidP="00C75158">
            <w:pPr>
              <w:suppressAutoHyphens w:val="0"/>
              <w:autoSpaceDN/>
              <w:spacing w:after="0" w:line="240" w:lineRule="auto"/>
              <w:textAlignment w:val="auto"/>
              <w:rPr>
                <w:b/>
                <w:bCs/>
                <w:sz w:val="24"/>
                <w:szCs w:val="24"/>
              </w:rPr>
            </w:pPr>
            <w:r w:rsidRPr="00BA2696">
              <w:rPr>
                <w:b/>
                <w:bCs/>
                <w:sz w:val="24"/>
                <w:szCs w:val="24"/>
              </w:rPr>
              <w:t xml:space="preserve">Form of Ignorance </w:t>
            </w:r>
          </w:p>
        </w:tc>
        <w:tc>
          <w:tcPr>
            <w:tcW w:w="5871" w:type="dxa"/>
            <w:shd w:val="clear" w:color="auto" w:fill="auto"/>
          </w:tcPr>
          <w:p w:rsidR="00836C90" w:rsidRPr="00BA2696" w:rsidRDefault="00836C90" w:rsidP="00C75158">
            <w:pPr>
              <w:suppressAutoHyphens w:val="0"/>
              <w:autoSpaceDN/>
              <w:spacing w:after="0" w:line="240" w:lineRule="auto"/>
              <w:textAlignment w:val="auto"/>
              <w:rPr>
                <w:b/>
                <w:bCs/>
                <w:sz w:val="24"/>
                <w:szCs w:val="24"/>
              </w:rPr>
            </w:pPr>
            <w:r w:rsidRPr="00BA2696">
              <w:rPr>
                <w:b/>
                <w:bCs/>
                <w:sz w:val="24"/>
                <w:szCs w:val="24"/>
              </w:rPr>
              <w:t xml:space="preserve">Description </w:t>
            </w:r>
          </w:p>
        </w:tc>
      </w:tr>
      <w:tr w:rsidR="00836C90" w:rsidRPr="00BA2696" w:rsidTr="00C75158">
        <w:tc>
          <w:tcPr>
            <w:tcW w:w="2588" w:type="dxa"/>
            <w:shd w:val="clear" w:color="auto" w:fill="F2F2F2"/>
          </w:tcPr>
          <w:p w:rsidR="00836C90" w:rsidRPr="00BA2696" w:rsidRDefault="00836C90" w:rsidP="00C75158">
            <w:pPr>
              <w:suppressAutoHyphens w:val="0"/>
              <w:autoSpaceDN/>
              <w:spacing w:after="0" w:line="240" w:lineRule="auto"/>
              <w:textAlignment w:val="auto"/>
              <w:rPr>
                <w:b/>
                <w:bCs/>
                <w:sz w:val="24"/>
                <w:szCs w:val="24"/>
              </w:rPr>
            </w:pPr>
            <w:bookmarkStart w:id="79" w:name="_Hlk52983636"/>
            <w:r w:rsidRPr="00BA2696">
              <w:rPr>
                <w:b/>
                <w:bCs/>
                <w:sz w:val="24"/>
                <w:szCs w:val="24"/>
              </w:rPr>
              <w:t xml:space="preserve">Basic Ignorance </w:t>
            </w:r>
          </w:p>
        </w:tc>
        <w:tc>
          <w:tcPr>
            <w:tcW w:w="5871" w:type="dxa"/>
            <w:shd w:val="clear" w:color="auto" w:fill="F2F2F2"/>
          </w:tcPr>
          <w:p w:rsidR="00836C90" w:rsidRPr="00BA2696" w:rsidRDefault="00836C90" w:rsidP="00C75158">
            <w:pPr>
              <w:numPr>
                <w:ilvl w:val="0"/>
                <w:numId w:val="14"/>
              </w:numPr>
              <w:suppressAutoHyphens w:val="0"/>
              <w:autoSpaceDN/>
              <w:spacing w:after="0" w:line="240" w:lineRule="auto"/>
              <w:textAlignment w:val="auto"/>
              <w:rPr>
                <w:sz w:val="24"/>
                <w:szCs w:val="24"/>
              </w:rPr>
            </w:pPr>
            <w:r w:rsidRPr="00BA2696">
              <w:rPr>
                <w:sz w:val="24"/>
                <w:szCs w:val="24"/>
              </w:rPr>
              <w:t>Absence of (true) belief</w:t>
            </w:r>
          </w:p>
          <w:p w:rsidR="00836C90" w:rsidRPr="00BA2696" w:rsidRDefault="00836C90" w:rsidP="00C75158">
            <w:pPr>
              <w:numPr>
                <w:ilvl w:val="0"/>
                <w:numId w:val="14"/>
              </w:numPr>
              <w:suppressAutoHyphens w:val="0"/>
              <w:autoSpaceDN/>
              <w:spacing w:after="0" w:line="240" w:lineRule="auto"/>
              <w:textAlignment w:val="auto"/>
              <w:rPr>
                <w:sz w:val="24"/>
                <w:szCs w:val="24"/>
              </w:rPr>
            </w:pPr>
            <w:r w:rsidRPr="00BA2696">
              <w:rPr>
                <w:sz w:val="24"/>
                <w:szCs w:val="24"/>
              </w:rPr>
              <w:t>Presence of false belief</w:t>
            </w:r>
          </w:p>
          <w:p w:rsidR="00836C90" w:rsidRPr="00BA2696" w:rsidRDefault="00836C90" w:rsidP="00C75158">
            <w:pPr>
              <w:suppressAutoHyphens w:val="0"/>
              <w:autoSpaceDN/>
              <w:spacing w:after="0" w:line="240" w:lineRule="auto"/>
              <w:textAlignment w:val="auto"/>
              <w:rPr>
                <w:sz w:val="24"/>
                <w:szCs w:val="24"/>
              </w:rPr>
            </w:pPr>
          </w:p>
        </w:tc>
      </w:tr>
      <w:tr w:rsidR="00836C90" w:rsidRPr="00BA2696" w:rsidTr="00C75158">
        <w:tc>
          <w:tcPr>
            <w:tcW w:w="2588" w:type="dxa"/>
            <w:shd w:val="clear" w:color="auto" w:fill="auto"/>
          </w:tcPr>
          <w:p w:rsidR="00836C90" w:rsidRPr="00BA2696" w:rsidRDefault="00836C90" w:rsidP="00C75158">
            <w:pPr>
              <w:suppressAutoHyphens w:val="0"/>
              <w:autoSpaceDN/>
              <w:spacing w:after="0" w:line="240" w:lineRule="auto"/>
              <w:textAlignment w:val="auto"/>
              <w:rPr>
                <w:b/>
                <w:bCs/>
                <w:sz w:val="24"/>
                <w:szCs w:val="24"/>
              </w:rPr>
            </w:pPr>
            <w:r w:rsidRPr="00BA2696">
              <w:rPr>
                <w:b/>
                <w:bCs/>
                <w:sz w:val="24"/>
                <w:szCs w:val="24"/>
              </w:rPr>
              <w:t xml:space="preserve">Advanced Ignorance </w:t>
            </w:r>
          </w:p>
        </w:tc>
        <w:tc>
          <w:tcPr>
            <w:tcW w:w="5871" w:type="dxa"/>
            <w:shd w:val="clear" w:color="auto" w:fill="auto"/>
          </w:tcPr>
          <w:p w:rsidR="00836C90" w:rsidRPr="00BA2696" w:rsidRDefault="00836C90" w:rsidP="00C75158">
            <w:pPr>
              <w:numPr>
                <w:ilvl w:val="0"/>
                <w:numId w:val="14"/>
              </w:numPr>
              <w:suppressAutoHyphens w:val="0"/>
              <w:autoSpaceDN/>
              <w:spacing w:after="0" w:line="240" w:lineRule="auto"/>
              <w:ind w:right="567"/>
              <w:contextualSpacing/>
              <w:textAlignment w:val="auto"/>
              <w:rPr>
                <w:sz w:val="24"/>
                <w:szCs w:val="24"/>
              </w:rPr>
            </w:pPr>
            <w:r w:rsidRPr="00BA2696">
              <w:rPr>
                <w:sz w:val="24"/>
                <w:szCs w:val="24"/>
              </w:rPr>
              <w:t>Cognitive resistances (e.g., prejudices, conceptual lacunas)</w:t>
            </w:r>
          </w:p>
          <w:p w:rsidR="00836C90" w:rsidRPr="00BA2696" w:rsidRDefault="00836C90" w:rsidP="00C75158">
            <w:pPr>
              <w:numPr>
                <w:ilvl w:val="0"/>
                <w:numId w:val="14"/>
              </w:numPr>
              <w:suppressAutoHyphens w:val="0"/>
              <w:autoSpaceDN/>
              <w:spacing w:after="0" w:line="240" w:lineRule="auto"/>
              <w:ind w:right="567"/>
              <w:contextualSpacing/>
              <w:textAlignment w:val="auto"/>
              <w:rPr>
                <w:sz w:val="24"/>
                <w:szCs w:val="24"/>
              </w:rPr>
            </w:pPr>
            <w:r w:rsidRPr="00BA2696">
              <w:rPr>
                <w:sz w:val="24"/>
                <w:szCs w:val="24"/>
              </w:rPr>
              <w:t xml:space="preserve">Affective resistances (e.g., apathy, interest in not knowing, ‘the will </w:t>
            </w:r>
            <w:r w:rsidRPr="00BA2696">
              <w:rPr>
                <w:i/>
                <w:iCs/>
                <w:sz w:val="24"/>
                <w:szCs w:val="24"/>
              </w:rPr>
              <w:t>not</w:t>
            </w:r>
            <w:r w:rsidRPr="00BA2696">
              <w:rPr>
                <w:sz w:val="24"/>
                <w:szCs w:val="24"/>
              </w:rPr>
              <w:t xml:space="preserve"> to believe’)</w:t>
            </w:r>
          </w:p>
          <w:p w:rsidR="00836C90" w:rsidRPr="00BA2696" w:rsidRDefault="00836C90" w:rsidP="00C75158">
            <w:pPr>
              <w:numPr>
                <w:ilvl w:val="0"/>
                <w:numId w:val="14"/>
              </w:numPr>
              <w:suppressAutoHyphens w:val="0"/>
              <w:autoSpaceDN/>
              <w:spacing w:after="0" w:line="240" w:lineRule="auto"/>
              <w:ind w:right="567"/>
              <w:contextualSpacing/>
              <w:textAlignment w:val="auto"/>
              <w:rPr>
                <w:sz w:val="24"/>
                <w:szCs w:val="24"/>
              </w:rPr>
            </w:pPr>
            <w:r w:rsidRPr="00BA2696">
              <w:rPr>
                <w:sz w:val="24"/>
                <w:szCs w:val="24"/>
              </w:rPr>
              <w:t>Bodily resistances (e.g., feeling anxious, agitated, red in the face)</w:t>
            </w:r>
          </w:p>
          <w:p w:rsidR="00836C90" w:rsidRPr="00BA2696" w:rsidRDefault="00836C90" w:rsidP="00C75158">
            <w:pPr>
              <w:numPr>
                <w:ilvl w:val="0"/>
                <w:numId w:val="14"/>
              </w:numPr>
              <w:suppressAutoHyphens w:val="0"/>
              <w:autoSpaceDN/>
              <w:spacing w:after="0" w:line="240" w:lineRule="auto"/>
              <w:ind w:right="567"/>
              <w:contextualSpacing/>
              <w:textAlignment w:val="auto"/>
              <w:rPr>
                <w:sz w:val="24"/>
                <w:szCs w:val="24"/>
              </w:rPr>
            </w:pPr>
            <w:r w:rsidRPr="00BA2696">
              <w:rPr>
                <w:sz w:val="24"/>
                <w:szCs w:val="24"/>
              </w:rPr>
              <w:t>Defence mechanisms and strategies (deflecting challenges, shifting burden of proof, etc.)</w:t>
            </w:r>
          </w:p>
        </w:tc>
      </w:tr>
    </w:tbl>
    <w:bookmarkEnd w:id="79"/>
    <w:p w:rsidR="00836C90" w:rsidRPr="00BA2696" w:rsidRDefault="00836C90" w:rsidP="00836C90">
      <w:pPr>
        <w:suppressAutoHyphens w:val="0"/>
        <w:autoSpaceDN/>
        <w:spacing w:after="0" w:line="480" w:lineRule="auto"/>
        <w:jc w:val="right"/>
        <w:textAlignment w:val="auto"/>
        <w:rPr>
          <w:sz w:val="24"/>
          <w:szCs w:val="24"/>
        </w:rPr>
      </w:pPr>
      <w:r w:rsidRPr="00BA2696">
        <w:rPr>
          <w:sz w:val="24"/>
          <w:szCs w:val="24"/>
        </w:rPr>
        <w:t>(</w:t>
      </w:r>
      <w:r w:rsidRPr="00BA2696">
        <w:rPr>
          <w:i/>
          <w:iCs/>
          <w:sz w:val="24"/>
          <w:szCs w:val="24"/>
        </w:rPr>
        <w:t xml:space="preserve">taken from, </w:t>
      </w:r>
      <w:r w:rsidRPr="00BA2696">
        <w:rPr>
          <w:sz w:val="24"/>
          <w:szCs w:val="24"/>
        </w:rPr>
        <w:t>Medina, 2016, p. 183)</w:t>
      </w:r>
    </w:p>
    <w:p w:rsidR="00836C90" w:rsidRPr="00BA2696" w:rsidRDefault="00836C90" w:rsidP="00836C90">
      <w:pPr>
        <w:suppressAutoHyphens w:val="0"/>
        <w:autoSpaceDN/>
        <w:spacing w:after="0" w:line="480" w:lineRule="auto"/>
        <w:textAlignment w:val="auto"/>
        <w:rPr>
          <w:sz w:val="24"/>
          <w:szCs w:val="24"/>
        </w:rPr>
      </w:pPr>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 xml:space="preserve">Consequently, an active resistance of knowledge can be multi-faceted from an absence of true beliefs to complex methods of resistance, which can exist at a personal level and be socially sanctioned (Medina, 2013). Further, Medina’s (2013, p. 149) ‘meta-blindness’ is a form of ignorance whereby one has a ‘blindness about one’s blindness, insensitivity to insensitivity’. This nuanced way of understanding the machinations of epistemic ignorance allows it to be applicable to the resistance of knowing across multiple forms of injustice. It also considers that active ignorance can be wilful, oblivious, personal and societal (Medina, 2013). </w:t>
      </w:r>
    </w:p>
    <w:p w:rsidR="00836C90" w:rsidRPr="00BA2696" w:rsidRDefault="00836C90" w:rsidP="00836C90">
      <w:pPr>
        <w:suppressAutoHyphens w:val="0"/>
        <w:autoSpaceDN/>
        <w:spacing w:after="0" w:line="480" w:lineRule="auto"/>
        <w:textAlignment w:val="auto"/>
        <w:rPr>
          <w:sz w:val="24"/>
          <w:szCs w:val="24"/>
        </w:rPr>
      </w:pPr>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White ignorance is used to refer t</w:t>
      </w:r>
      <w:r>
        <w:rPr>
          <w:sz w:val="24"/>
          <w:szCs w:val="24"/>
        </w:rPr>
        <w:t>o</w:t>
      </w:r>
      <w:r w:rsidRPr="00BA2696">
        <w:rPr>
          <w:sz w:val="24"/>
          <w:szCs w:val="24"/>
        </w:rPr>
        <w:t xml:space="preserve"> white people’s epistemic ignorance of ‘race’ and racism. The ‘white’ in white ignorance refers to people who are socialised into the category of whiteness, in line with critical whiteness studies (Mills, 2015). In this way, </w:t>
      </w:r>
      <w:r w:rsidRPr="00BA2696">
        <w:rPr>
          <w:sz w:val="24"/>
          <w:szCs w:val="24"/>
        </w:rPr>
        <w:lastRenderedPageBreak/>
        <w:t xml:space="preserve">white ignorance understands whiteness as a socially constructed category (shown in Section 2.1.2). White ignorance was introduced by Mills (2007), </w:t>
      </w:r>
      <w:r>
        <w:rPr>
          <w:sz w:val="24"/>
          <w:szCs w:val="24"/>
        </w:rPr>
        <w:t>and is</w:t>
      </w:r>
      <w:r w:rsidRPr="00BA2696">
        <w:rPr>
          <w:sz w:val="24"/>
          <w:szCs w:val="24"/>
        </w:rPr>
        <w:t xml:space="preserve"> describe</w:t>
      </w:r>
      <w:r>
        <w:rPr>
          <w:sz w:val="24"/>
          <w:szCs w:val="24"/>
        </w:rPr>
        <w:t>d</w:t>
      </w:r>
      <w:r w:rsidRPr="00BA2696">
        <w:rPr>
          <w:sz w:val="24"/>
          <w:szCs w:val="24"/>
        </w:rPr>
        <w:t xml:space="preserve"> as:</w:t>
      </w:r>
    </w:p>
    <w:p w:rsidR="00836C90" w:rsidRPr="00BA2696" w:rsidRDefault="00836C90" w:rsidP="00836C90">
      <w:pPr>
        <w:suppressAutoHyphens w:val="0"/>
        <w:autoSpaceDN/>
        <w:spacing w:after="0" w:line="240" w:lineRule="auto"/>
        <w:ind w:left="567" w:right="567"/>
        <w:textAlignment w:val="auto"/>
        <w:rPr>
          <w:sz w:val="24"/>
          <w:szCs w:val="24"/>
        </w:rPr>
      </w:pPr>
      <w:r w:rsidRPr="00BA2696">
        <w:rPr>
          <w:sz w:val="24"/>
          <w:szCs w:val="24"/>
        </w:rPr>
        <w:t>A product of an epistemology of ignorance, a systemically supported, socially induced patterns of (mis) understanding the world that is connected to and works to sustain systemic oppression and privilege (Applebaum, 2010, p. 4)</w:t>
      </w:r>
    </w:p>
    <w:p w:rsidR="00836C90" w:rsidRPr="00BA2696" w:rsidRDefault="00836C90" w:rsidP="00836C90">
      <w:pPr>
        <w:suppressAutoHyphens w:val="0"/>
        <w:autoSpaceDN/>
        <w:spacing w:after="0" w:line="480" w:lineRule="auto"/>
        <w:textAlignment w:val="auto"/>
        <w:rPr>
          <w:sz w:val="24"/>
          <w:szCs w:val="24"/>
        </w:rPr>
      </w:pPr>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White ignorance sits in contrast to black people’s acute awareness of whites as a means of literal and figurative survival in a white supremacist society (Mills, 2007).</w:t>
      </w:r>
      <w:r w:rsidRPr="00BA2696">
        <w:rPr>
          <w:color w:val="C00000"/>
          <w:sz w:val="24"/>
          <w:szCs w:val="24"/>
        </w:rPr>
        <w:t xml:space="preserve"> </w:t>
      </w:r>
      <w:r w:rsidRPr="00BA2696">
        <w:rPr>
          <w:sz w:val="24"/>
          <w:szCs w:val="24"/>
        </w:rPr>
        <w:t xml:space="preserve">It is also to be understood as a worldview, not simply a set of mistaken beliefs (Mills, 2015). This concept of a white worldview is seen in the ‘white racial frame’ which relates to the myriad ways systemic racism has been upheld historically and contemporarily by white people </w:t>
      </w:r>
      <w:bookmarkStart w:id="80" w:name="_Hlk47688277"/>
      <w:r w:rsidRPr="00BA2696">
        <w:rPr>
          <w:sz w:val="24"/>
          <w:szCs w:val="24"/>
        </w:rPr>
        <w:t xml:space="preserve">(Feagin, 2013). </w:t>
      </w:r>
      <w:bookmarkEnd w:id="80"/>
      <w:r w:rsidRPr="00BA2696">
        <w:rPr>
          <w:sz w:val="24"/>
          <w:szCs w:val="24"/>
        </w:rPr>
        <w:t>It has been argued that the ‘heart’ of white ignorance is ‘the refusal to recognize (</w:t>
      </w:r>
      <w:r w:rsidRPr="00BA2696">
        <w:rPr>
          <w:i/>
          <w:iCs/>
          <w:sz w:val="24"/>
          <w:szCs w:val="24"/>
        </w:rPr>
        <w:t>sic</w:t>
      </w:r>
      <w:r w:rsidRPr="00BA2696">
        <w:rPr>
          <w:sz w:val="24"/>
          <w:szCs w:val="24"/>
        </w:rPr>
        <w:t xml:space="preserve">) how the legacy of the past, as well as ongoing practices in the present, continues to handicap people of colour’ (Mills, 2015, p. 219). This has been referred to as a form of ‘collective amnesia about the past’ (Sullivan and Tuana, 2007, p. 3). In the same way, this research found there was an absence of historical insight in the participants’ understanding of ‘race’, racism and whiteness (Chapters 5, 6 and 7). Further, there was also a collective absence of contemporary socio-political understanding (Chapters 5, 6 and 7). </w:t>
      </w:r>
    </w:p>
    <w:p w:rsidR="00836C90" w:rsidRPr="00BA2696" w:rsidRDefault="00836C90" w:rsidP="00836C90">
      <w:pPr>
        <w:suppressAutoHyphens w:val="0"/>
        <w:autoSpaceDN/>
        <w:spacing w:after="0" w:line="480" w:lineRule="auto"/>
        <w:textAlignment w:val="auto"/>
        <w:rPr>
          <w:sz w:val="24"/>
          <w:szCs w:val="24"/>
        </w:rPr>
      </w:pPr>
    </w:p>
    <w:p w:rsidR="00836C90" w:rsidRPr="00BA2696" w:rsidRDefault="00836C90" w:rsidP="00836C90">
      <w:pPr>
        <w:suppressAutoHyphens w:val="0"/>
        <w:autoSpaceDN/>
        <w:spacing w:after="0" w:line="480" w:lineRule="auto"/>
        <w:textAlignment w:val="auto"/>
        <w:rPr>
          <w:sz w:val="24"/>
          <w:szCs w:val="24"/>
        </w:rPr>
      </w:pPr>
      <w:r w:rsidRPr="00BA2696">
        <w:rPr>
          <w:sz w:val="24"/>
          <w:szCs w:val="24"/>
        </w:rPr>
        <w:t xml:space="preserve">Analogous to epistemic ignorance is Fricker’s (2007) theory of epistemic injustice, which refers to a person’s knowledge being discredited in two ways: testimonially and hermeneutically. Testimonial injustice refers to a rejection of the knower’s experience or knowledge due to prejudice based on their identity (e.g., because they are a </w:t>
      </w:r>
      <w:r w:rsidRPr="00BA2696">
        <w:rPr>
          <w:sz w:val="24"/>
          <w:szCs w:val="24"/>
        </w:rPr>
        <w:lastRenderedPageBreak/>
        <w:t xml:space="preserve">woman or because they are a person of colour). Hermeneutical injustice refers to someone not having access to the conceptual and structural resources needed to understand their experiences. Fricker (2013) has resisted Medina’s (2012) attempt to expand hermeneutical injustice to include white ignorance because she conceptualised the former as owning to a lack of culpability, whereas the latter is founded upon the notion of active culpability. In addition, white people are not the ones who are harmed by white ignorance because despite being ‘hermeneutically disadvantaged’ </w:t>
      </w:r>
      <w:bookmarkStart w:id="81" w:name="_Hlk47985418"/>
      <w:r w:rsidRPr="00BA2696">
        <w:rPr>
          <w:sz w:val="24"/>
          <w:szCs w:val="24"/>
        </w:rPr>
        <w:t>(Fricker, 2013, p. 54)</w:t>
      </w:r>
      <w:bookmarkEnd w:id="81"/>
      <w:r w:rsidRPr="00BA2696">
        <w:rPr>
          <w:sz w:val="24"/>
          <w:szCs w:val="24"/>
        </w:rPr>
        <w:t>:</w:t>
      </w:r>
    </w:p>
    <w:p w:rsidR="00836C90" w:rsidRPr="00BA2696" w:rsidRDefault="00836C90" w:rsidP="00836C90">
      <w:pPr>
        <w:suppressAutoHyphens w:val="0"/>
        <w:autoSpaceDN/>
        <w:spacing w:after="0" w:line="240" w:lineRule="auto"/>
        <w:ind w:left="567" w:right="567"/>
        <w:textAlignment w:val="auto"/>
        <w:rPr>
          <w:sz w:val="24"/>
          <w:szCs w:val="24"/>
        </w:rPr>
      </w:pPr>
      <w:r w:rsidRPr="00BA2696">
        <w:rPr>
          <w:sz w:val="24"/>
          <w:szCs w:val="24"/>
        </w:rPr>
        <w:t>their lack of conceptual tools with which to know their own social world plays to their general social advantage in terms of maintaining privilege without guilt (Fricker, 2013, p. 54)</w:t>
      </w:r>
    </w:p>
    <w:p w:rsidR="00836C90" w:rsidRPr="00BA2696" w:rsidRDefault="00836C90" w:rsidP="00836C90">
      <w:pPr>
        <w:suppressAutoHyphens w:val="0"/>
        <w:autoSpaceDN/>
        <w:spacing w:after="0" w:line="480" w:lineRule="auto"/>
        <w:ind w:right="567"/>
        <w:textAlignment w:val="auto"/>
        <w:rPr>
          <w:sz w:val="24"/>
          <w:szCs w:val="24"/>
        </w:rPr>
      </w:pPr>
    </w:p>
    <w:p w:rsidR="00836C90" w:rsidRPr="00BA2696" w:rsidRDefault="00836C90" w:rsidP="00836C90">
      <w:pPr>
        <w:suppressAutoHyphens w:val="0"/>
        <w:autoSpaceDN/>
        <w:spacing w:after="0" w:line="480" w:lineRule="auto"/>
        <w:ind w:right="567"/>
        <w:textAlignment w:val="auto"/>
        <w:rPr>
          <w:sz w:val="24"/>
          <w:szCs w:val="24"/>
        </w:rPr>
      </w:pPr>
      <w:r w:rsidRPr="00BA2696">
        <w:rPr>
          <w:sz w:val="24"/>
          <w:szCs w:val="24"/>
        </w:rPr>
        <w:t xml:space="preserve">For Fricker (2013), the recipient of injustice needs to take priority and as it is not white people who suffer injustice from white ignorance, epistemic injustice is not an appropriate theory to understand white ignorance. In response to Fricker (2013), Mills (2013) clarifies that white ignorance is not solely experienced by white people as this ignorance effects society systemically through white dominance, consequently people of colour can ‘manifest white ignorance too’ (Mills, 2007, p. 22). Whilst epistemic injustice is a useful concept to consider power imbalances in access to knowledge, for the purpose of this research it is felt that white ignorance (Mills, 2007) is a more suitable concept to explore the participants’ understanding of ‘race’, racism and whiteness (see Chapter 6). In doing so, it falls in line with Fricker’s (2013) argument that using hermeneutical injustice to understand white ignorance seems inappropriate given that white </w:t>
      </w:r>
      <w:r w:rsidRPr="00BA2696">
        <w:rPr>
          <w:sz w:val="24"/>
          <w:szCs w:val="24"/>
        </w:rPr>
        <w:lastRenderedPageBreak/>
        <w:t xml:space="preserve">people do not suffer ‘injustice’ from their ignorance. </w:t>
      </w:r>
      <w:r w:rsidRPr="00BA2696">
        <w:rPr>
          <w:rFonts w:cs="Calibri"/>
          <w:sz w:val="24"/>
          <w:szCs w:val="24"/>
        </w:rPr>
        <w:t xml:space="preserve">Chapter 6 will demonstrate how white ignorance functioned in the research interviews and introduce what I have termed ‘White Ignorance Disruption’ (Section 6.2). </w:t>
      </w:r>
    </w:p>
    <w:p w:rsidR="00836C90" w:rsidRPr="00BA2696" w:rsidRDefault="00836C90" w:rsidP="00836C90">
      <w:pPr>
        <w:suppressAutoHyphens w:val="0"/>
        <w:autoSpaceDN/>
        <w:spacing w:after="0" w:line="480" w:lineRule="auto"/>
        <w:textAlignment w:val="auto"/>
        <w:rPr>
          <w:rFonts w:cs="Calibri"/>
          <w:sz w:val="24"/>
          <w:szCs w:val="24"/>
        </w:rPr>
      </w:pPr>
    </w:p>
    <w:p w:rsidR="00836C90" w:rsidRPr="00BA2696" w:rsidRDefault="00836C90" w:rsidP="00836C90">
      <w:pPr>
        <w:pStyle w:val="Heading3"/>
      </w:pPr>
      <w:bookmarkStart w:id="82" w:name="_Toc56522988"/>
      <w:bookmarkStart w:id="83" w:name="_Toc56523270"/>
      <w:bookmarkStart w:id="84" w:name="_Toc57910078"/>
      <w:bookmarkStart w:id="85" w:name="_Toc58251294"/>
      <w:bookmarkStart w:id="86" w:name="_Toc56522992"/>
      <w:bookmarkStart w:id="87" w:name="_Toc56523274"/>
      <w:bookmarkStart w:id="88" w:name="_Toc57910082"/>
      <w:bookmarkStart w:id="89" w:name="_Toc58251298"/>
      <w:bookmarkStart w:id="90" w:name="_Toc72413625"/>
      <w:r w:rsidRPr="00BA2696">
        <w:t>2.1.6 ‘Race’ and education</w:t>
      </w:r>
      <w:bookmarkEnd w:id="82"/>
      <w:bookmarkEnd w:id="83"/>
      <w:bookmarkEnd w:id="84"/>
      <w:bookmarkEnd w:id="85"/>
      <w:bookmarkEnd w:id="90"/>
      <w:r w:rsidRPr="00BA2696">
        <w:t xml:space="preserve"> </w:t>
      </w:r>
    </w:p>
    <w:p w:rsidR="00836C90" w:rsidRPr="00BA2696" w:rsidRDefault="00836C90" w:rsidP="00836C90">
      <w:pPr>
        <w:spacing w:after="0" w:line="480" w:lineRule="auto"/>
        <w:rPr>
          <w:rFonts w:cs="Calibri"/>
          <w:sz w:val="24"/>
          <w:szCs w:val="24"/>
        </w:rPr>
      </w:pPr>
      <w:r w:rsidRPr="00BA2696">
        <w:rPr>
          <w:rFonts w:cs="Calibri"/>
          <w:sz w:val="24"/>
          <w:szCs w:val="24"/>
        </w:rPr>
        <w:t>The history of ‘race’ and whiteness has been explored, resulting in a conclusion that ‘race’ is a social construct (Sections 2.1.1 and 2.1.2). Further, possessing a white racial identity has been found to</w:t>
      </w:r>
      <w:r>
        <w:rPr>
          <w:rFonts w:cs="Calibri"/>
          <w:sz w:val="24"/>
          <w:szCs w:val="24"/>
        </w:rPr>
        <w:t xml:space="preserve"> be</w:t>
      </w:r>
      <w:r w:rsidRPr="00BA2696">
        <w:rPr>
          <w:rFonts w:cs="Calibri"/>
          <w:sz w:val="24"/>
          <w:szCs w:val="24"/>
        </w:rPr>
        <w:t xml:space="preserve"> ambiguous for white people (Section 2.1.3)</w:t>
      </w:r>
      <w:bookmarkStart w:id="91" w:name="_Hlk7344963"/>
      <w:r w:rsidRPr="00BA2696">
        <w:rPr>
          <w:rFonts w:cs="Calibri"/>
          <w:sz w:val="24"/>
          <w:szCs w:val="24"/>
        </w:rPr>
        <w:t>. Nonetheless, white people still benefit from their whiteness (Section 2.1.4) and it is argued that this is achieved through strategic ignorance (Section 2.1.5).</w:t>
      </w:r>
      <w:bookmarkEnd w:id="91"/>
      <w:r w:rsidRPr="00BA2696">
        <w:rPr>
          <w:rFonts w:cs="Calibri"/>
          <w:sz w:val="24"/>
          <w:szCs w:val="24"/>
        </w:rPr>
        <w:t xml:space="preserve"> Moving from theoretical propositions, the practical consequences of ‘race’ will be considered to understand the contemporary realities of racial categorisation. Education was chosen because this research took place in a Further Education college. Additionally, counselling pedagogy is discussed in part 2 (Section 2.2.3) of this literature review and in Chapters 5 (Section 5.5) and 6 (Section 6.6). An overview of ‘race’ and education is therefore appropriate to this research.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 academic David Gillborn uses critical race theory to consider ‘race’ within the British educational system. Gillborn (2008) has put forward the argument that the debate around educational under-achievement often focuses on white working-class boys, leading to the neglection of racism within the British state education system. This has been demonstrated during the economic recession in decisions to cut educational programmes for pupils from multicultural backgrounds whilst </w:t>
      </w:r>
      <w:r w:rsidRPr="00BA2696">
        <w:rPr>
          <w:rFonts w:cs="Calibri"/>
          <w:sz w:val="24"/>
          <w:szCs w:val="24"/>
        </w:rPr>
        <w:lastRenderedPageBreak/>
        <w:t>simultaneously introducing educational projects targeted at economically disadvantaged white pupils (Gillborn, 2010; 2013).</w:t>
      </w:r>
      <w:r w:rsidRPr="00BA2696">
        <w:rPr>
          <w:rFonts w:cs="Calibri"/>
          <w:color w:val="000000"/>
          <w:sz w:val="24"/>
          <w:szCs w:val="24"/>
        </w:rPr>
        <w:t xml:space="preserve"> </w:t>
      </w:r>
      <w:r w:rsidRPr="00BA2696">
        <w:rPr>
          <w:rFonts w:cs="Calibri"/>
          <w:sz w:val="24"/>
          <w:szCs w:val="24"/>
        </w:rPr>
        <w:t xml:space="preserve">Taking a wider purview, Gillborn </w:t>
      </w:r>
      <w:r w:rsidRPr="00BA2696">
        <w:rPr>
          <w:rFonts w:cs="Calibri"/>
          <w:i/>
          <w:iCs/>
          <w:sz w:val="24"/>
          <w:szCs w:val="24"/>
        </w:rPr>
        <w:t>et al</w:t>
      </w:r>
      <w:r w:rsidRPr="00BA2696">
        <w:rPr>
          <w:rFonts w:cs="Calibri"/>
          <w:sz w:val="24"/>
          <w:szCs w:val="24"/>
        </w:rPr>
        <w:t xml:space="preserve"> (2017) reviewed educational attainment statistics of white and black students in England over a 25 year period. It was found education policy implementations widened the attainment gap as benchmarks for measuring achievement were changed. This meant that white students were ‘always at least one and a half times more likely to attain the dominant benchmark than their Black peers’ (</w:t>
      </w:r>
      <w:bookmarkStart w:id="92" w:name="_Hlk52787527"/>
      <w:r w:rsidRPr="00BA2696">
        <w:rPr>
          <w:rFonts w:cs="Calibri"/>
          <w:sz w:val="24"/>
          <w:szCs w:val="24"/>
        </w:rPr>
        <w:t xml:space="preserve">Gillborn </w:t>
      </w:r>
      <w:r w:rsidRPr="00BA2696">
        <w:rPr>
          <w:rFonts w:cs="Calibri"/>
          <w:i/>
          <w:iCs/>
          <w:sz w:val="24"/>
          <w:szCs w:val="24"/>
        </w:rPr>
        <w:t>et al</w:t>
      </w:r>
      <w:r w:rsidRPr="00BA2696">
        <w:rPr>
          <w:rFonts w:cs="Calibri"/>
          <w:sz w:val="24"/>
          <w:szCs w:val="24"/>
        </w:rPr>
        <w:t>, 2017</w:t>
      </w:r>
      <w:bookmarkEnd w:id="92"/>
      <w:r w:rsidRPr="00BA2696">
        <w:rPr>
          <w:rFonts w:cs="Calibri"/>
          <w:sz w:val="24"/>
          <w:szCs w:val="24"/>
        </w:rPr>
        <w:t xml:space="preserve">, p. 848). The authors argue that this consistent differential gap is not arbitrary statistical data, but an indication of wider inequality which may indicate long-term consequences for black people in relation to further and higher education, as well as employment opportunities. The reasons for this failure of educational policy may be located in Warmington </w:t>
      </w:r>
      <w:r w:rsidRPr="00BA2696">
        <w:rPr>
          <w:rFonts w:cs="Calibri"/>
          <w:i/>
          <w:iCs/>
          <w:sz w:val="24"/>
          <w:szCs w:val="24"/>
        </w:rPr>
        <w:t>et al</w:t>
      </w:r>
      <w:r w:rsidRPr="00BA2696">
        <w:rPr>
          <w:rFonts w:cs="Calibri"/>
          <w:sz w:val="24"/>
          <w:szCs w:val="24"/>
        </w:rPr>
        <w:t xml:space="preserve"> (2018). They interviewed people who were educators and educational policy contributors in England from 1993-2013. During those two decades, the participants felt that approaches to educational racial inequality had become ever more de-racialised and colour-blind (Section 2.1.7 considers colour-blindness), meaning that educational racial inequality has not been sufficiently challenged </w:t>
      </w:r>
      <w:bookmarkStart w:id="93" w:name="_Hlk36115880"/>
      <w:r w:rsidRPr="00BA2696">
        <w:rPr>
          <w:rFonts w:cs="Calibri"/>
          <w:sz w:val="24"/>
          <w:szCs w:val="24"/>
        </w:rPr>
        <w:t>(</w:t>
      </w:r>
      <w:bookmarkStart w:id="94" w:name="_Hlk52787631"/>
      <w:r w:rsidRPr="00BA2696">
        <w:rPr>
          <w:rFonts w:cs="Calibri"/>
          <w:sz w:val="24"/>
          <w:szCs w:val="24"/>
        </w:rPr>
        <w:t xml:space="preserve">Warmington </w:t>
      </w:r>
      <w:r w:rsidRPr="00BA2696">
        <w:rPr>
          <w:rFonts w:cs="Calibri"/>
          <w:i/>
          <w:iCs/>
          <w:sz w:val="24"/>
          <w:szCs w:val="24"/>
        </w:rPr>
        <w:t>et al,</w:t>
      </w:r>
      <w:r w:rsidRPr="00BA2696">
        <w:rPr>
          <w:rFonts w:cs="Calibri"/>
          <w:sz w:val="24"/>
          <w:szCs w:val="24"/>
        </w:rPr>
        <w:t xml:space="preserve"> 2018</w:t>
      </w:r>
      <w:bookmarkEnd w:id="94"/>
      <w:r w:rsidRPr="00BA2696">
        <w:rPr>
          <w:rFonts w:cs="Calibri"/>
          <w:sz w:val="24"/>
          <w:szCs w:val="24"/>
        </w:rPr>
        <w:t xml:space="preserve">). </w:t>
      </w:r>
      <w:bookmarkEnd w:id="93"/>
    </w:p>
    <w:p w:rsidR="00836C90" w:rsidRPr="00BA2696" w:rsidRDefault="00836C90" w:rsidP="00836C90">
      <w:pPr>
        <w:spacing w:after="0" w:line="480" w:lineRule="auto"/>
        <w:rPr>
          <w:rFonts w:cs="Calibri"/>
          <w:color w:val="000000"/>
          <w:sz w:val="24"/>
          <w:szCs w:val="24"/>
        </w:rPr>
      </w:pPr>
    </w:p>
    <w:p w:rsidR="00836C90" w:rsidRPr="00BA2696" w:rsidRDefault="00836C90" w:rsidP="00836C90">
      <w:pPr>
        <w:spacing w:after="0" w:line="480" w:lineRule="auto"/>
        <w:rPr>
          <w:rFonts w:cs="Calibri"/>
          <w:bCs/>
          <w:sz w:val="24"/>
          <w:szCs w:val="24"/>
        </w:rPr>
      </w:pPr>
      <w:r w:rsidRPr="00BA2696">
        <w:rPr>
          <w:rFonts w:cs="Calibri"/>
          <w:bCs/>
          <w:color w:val="000000"/>
          <w:sz w:val="24"/>
          <w:szCs w:val="24"/>
        </w:rPr>
        <w:t>In Wales, the primary and secondary school population statistics are calculated collectively and includes all pupils over the age of 5. In 2017, 92% of pupils were white and 0.9% were black</w:t>
      </w:r>
      <w:r w:rsidRPr="00BA2696">
        <w:rPr>
          <w:rFonts w:cs="Calibri"/>
          <w:i/>
          <w:sz w:val="24"/>
          <w:szCs w:val="24"/>
        </w:rPr>
        <w:t xml:space="preserve"> </w:t>
      </w:r>
      <w:r w:rsidRPr="00BA2696">
        <w:rPr>
          <w:rFonts w:cs="Calibri"/>
          <w:bCs/>
          <w:iCs/>
          <w:color w:val="000000"/>
          <w:sz w:val="24"/>
          <w:szCs w:val="24"/>
        </w:rPr>
        <w:t>(Welsh Government, 2018</w:t>
      </w:r>
      <w:r w:rsidRPr="00BA2696">
        <w:rPr>
          <w:rFonts w:cs="Calibri"/>
          <w:bCs/>
          <w:color w:val="000000"/>
          <w:sz w:val="24"/>
          <w:szCs w:val="24"/>
        </w:rPr>
        <w:t xml:space="preserve">). In regard to Higher Education in Wales, statistics from 2018/2019 (HESA, ND) showed that white students make up 88% of the student population and black students 3%. These education specific </w:t>
      </w:r>
      <w:r w:rsidRPr="00BA2696">
        <w:rPr>
          <w:rFonts w:cs="Calibri"/>
          <w:bCs/>
          <w:color w:val="000000"/>
          <w:sz w:val="24"/>
          <w:szCs w:val="24"/>
        </w:rPr>
        <w:lastRenderedPageBreak/>
        <w:t xml:space="preserve">statistics reflect the wider demographic makeup of Wales. In the year ending September 2018, Stats Wales (2019) showed that 4.7% of the Welsh population were from a ‘non-white’ background. Therefore, the predominantly white population of Wales will inevitably be reflected in the education sector’s demographics. </w:t>
      </w:r>
      <w:r w:rsidRPr="00BA2696">
        <w:rPr>
          <w:rFonts w:cs="Calibri"/>
          <w:bCs/>
          <w:sz w:val="24"/>
          <w:szCs w:val="24"/>
        </w:rPr>
        <w:t>The Wales-based Ethnic Youth and Support Team or ‘EYST’ (EYST, 2018) conducted research into young Black Asian Minority Ethnic (BAME) peoples experience of racism in Wales. They held focus groups with 31 BAME pupils across four local authorities and found that pupils experienced racism in different ways, from overt racial harassment to covert ways such as the disciplining of BAME students. Students also felt their identities were not represented in the Eurocentric curriculum (</w:t>
      </w:r>
      <w:bookmarkStart w:id="95" w:name="_Hlk52787801"/>
      <w:r w:rsidRPr="00BA2696">
        <w:rPr>
          <w:rFonts w:cs="Calibri"/>
          <w:bCs/>
          <w:sz w:val="24"/>
          <w:szCs w:val="24"/>
        </w:rPr>
        <w:t>EYST, 2018)</w:t>
      </w:r>
      <w:bookmarkEnd w:id="95"/>
      <w:r w:rsidRPr="00BA2696">
        <w:rPr>
          <w:rFonts w:cs="Calibri"/>
          <w:bCs/>
          <w:sz w:val="24"/>
          <w:szCs w:val="24"/>
        </w:rPr>
        <w:t xml:space="preserve">. The young people felt that racism was an everyday occurrence and was usually expressed as a ‘joke’ or ‘banter’ by their peers; most of the students felt that anti-racism education was important, but their schools were lacking in it (EYST, 2018). This is supported by earlier research about ‘race’ and </w:t>
      </w:r>
      <w:r>
        <w:rPr>
          <w:rFonts w:cs="Calibri"/>
          <w:bCs/>
          <w:sz w:val="24"/>
          <w:szCs w:val="24"/>
        </w:rPr>
        <w:t>anti-racism</w:t>
      </w:r>
      <w:r w:rsidRPr="00BA2696">
        <w:rPr>
          <w:rFonts w:cs="Calibri"/>
          <w:bCs/>
          <w:sz w:val="24"/>
          <w:szCs w:val="24"/>
        </w:rPr>
        <w:t xml:space="preserve"> in the Welsh education system which included students, trainee teachers and qualified teachers (Show Racism the Red Card, 2016). It was found that of the 435 teachers surveyed, ‘the majority of teachers (84%) have not received any training on how to teach </w:t>
      </w:r>
      <w:r>
        <w:rPr>
          <w:rFonts w:cs="Calibri"/>
          <w:bCs/>
          <w:sz w:val="24"/>
          <w:szCs w:val="24"/>
        </w:rPr>
        <w:t>anti-racism</w:t>
      </w:r>
      <w:r w:rsidRPr="00BA2696">
        <w:rPr>
          <w:rFonts w:cs="Calibri"/>
          <w:bCs/>
          <w:sz w:val="24"/>
          <w:szCs w:val="24"/>
        </w:rPr>
        <w:t xml:space="preserve">’ and is viewed by teachers as low priority (Show Racism the Red Card, 2016, p.5). The students’ experiences and the teachers’ lack of </w:t>
      </w:r>
      <w:r>
        <w:rPr>
          <w:rFonts w:cs="Calibri"/>
          <w:bCs/>
          <w:sz w:val="24"/>
          <w:szCs w:val="24"/>
        </w:rPr>
        <w:t>anti-racism</w:t>
      </w:r>
      <w:r w:rsidRPr="00BA2696">
        <w:rPr>
          <w:rFonts w:cs="Calibri"/>
          <w:bCs/>
          <w:sz w:val="24"/>
          <w:szCs w:val="24"/>
        </w:rPr>
        <w:t xml:space="preserve"> training can perhaps be related to the finding that formalised approaches to racial inequality in education have become de-racialised and colour-blind (Warmington </w:t>
      </w:r>
      <w:r w:rsidRPr="00BA2696">
        <w:rPr>
          <w:rFonts w:cs="Calibri"/>
          <w:bCs/>
          <w:i/>
          <w:iCs/>
          <w:sz w:val="24"/>
          <w:szCs w:val="24"/>
        </w:rPr>
        <w:t>et al,</w:t>
      </w:r>
      <w:r w:rsidRPr="00BA2696">
        <w:rPr>
          <w:rFonts w:cs="Calibri"/>
          <w:bCs/>
          <w:sz w:val="24"/>
          <w:szCs w:val="24"/>
        </w:rPr>
        <w:t xml:space="preserve"> 2018). Supporting the argument that there is a lack of ‘race’ education in the Welsh curricula, a Welsh Government (2021a) report also found that ‘racial inequality is a feature of education in Wales’ in primary and </w:t>
      </w:r>
      <w:r w:rsidRPr="00BA2696">
        <w:rPr>
          <w:rFonts w:cs="Calibri"/>
          <w:bCs/>
          <w:sz w:val="24"/>
          <w:szCs w:val="24"/>
        </w:rPr>
        <w:lastRenderedPageBreak/>
        <w:t>secondary education (</w:t>
      </w:r>
      <w:bookmarkStart w:id="96" w:name="_Hlk67124381"/>
      <w:r w:rsidRPr="00BA2696">
        <w:rPr>
          <w:rFonts w:cs="Calibri"/>
          <w:bCs/>
          <w:sz w:val="24"/>
          <w:szCs w:val="24"/>
        </w:rPr>
        <w:t>Welsh Government, 2021a, p. 8</w:t>
      </w:r>
      <w:bookmarkEnd w:id="96"/>
      <w:r w:rsidRPr="00BA2696">
        <w:rPr>
          <w:rFonts w:cs="Calibri"/>
          <w:bCs/>
          <w:sz w:val="24"/>
          <w:szCs w:val="24"/>
        </w:rPr>
        <w:t>). Findings of the report included pupils of colour fe</w:t>
      </w:r>
      <w:r>
        <w:rPr>
          <w:rFonts w:cs="Calibri"/>
          <w:bCs/>
          <w:sz w:val="24"/>
          <w:szCs w:val="24"/>
        </w:rPr>
        <w:t>eling</w:t>
      </w:r>
      <w:r w:rsidRPr="00BA2696">
        <w:rPr>
          <w:rFonts w:cs="Calibri"/>
          <w:bCs/>
          <w:sz w:val="24"/>
          <w:szCs w:val="24"/>
        </w:rPr>
        <w:t xml:space="preserve"> that the curriculum did not represent their background, teaching resources relating to ethnic diversity were inadequate and that the education workforce was not ethnically diverse (Welsh Government, 2021a). The report included recommendations that education staff have mandatory anti</w:t>
      </w:r>
      <w:r>
        <w:rPr>
          <w:rFonts w:cs="Calibri"/>
          <w:bCs/>
          <w:sz w:val="24"/>
          <w:szCs w:val="24"/>
        </w:rPr>
        <w:t>-</w:t>
      </w:r>
      <w:r w:rsidRPr="00BA2696">
        <w:rPr>
          <w:rFonts w:cs="Calibri"/>
          <w:bCs/>
          <w:sz w:val="24"/>
          <w:szCs w:val="24"/>
        </w:rPr>
        <w:t xml:space="preserve">racism training, increase recruitment of black, Asian and ethnic minority teachers through scholarships and that the whole curriculum should include the teaching of ‘themes relating to Black, Asian and Minority Ethnic communities and experiences’ (Welsh Government, 2021, p. 16). The Welsh Government’s Education Secretary has accepted these recommendations and from 2022 ‘the history of Wales in all its diversity will be mandatory’ within the curriculum (Welsh Government, 2021b). </w:t>
      </w:r>
    </w:p>
    <w:p w:rsidR="00836C90" w:rsidRPr="00BA2696" w:rsidRDefault="00836C90" w:rsidP="00836C90">
      <w:pPr>
        <w:spacing w:after="0" w:line="480" w:lineRule="auto"/>
        <w:rPr>
          <w:rFonts w:cs="Calibri"/>
          <w:bCs/>
          <w:sz w:val="24"/>
          <w:szCs w:val="24"/>
        </w:rPr>
      </w:pPr>
    </w:p>
    <w:p w:rsidR="00836C90" w:rsidRPr="00BA2696" w:rsidRDefault="00836C90" w:rsidP="00836C90">
      <w:pPr>
        <w:spacing w:after="0" w:line="480" w:lineRule="auto"/>
        <w:rPr>
          <w:rFonts w:eastAsia="Times New Roman" w:cs="Calibri"/>
          <w:bCs/>
          <w:sz w:val="24"/>
          <w:szCs w:val="24"/>
          <w:lang w:eastAsia="en-GB"/>
        </w:rPr>
      </w:pPr>
      <w:r w:rsidRPr="00BA2696">
        <w:rPr>
          <w:rFonts w:eastAsia="Times New Roman" w:cs="Calibri"/>
          <w:bCs/>
          <w:sz w:val="24"/>
          <w:szCs w:val="24"/>
          <w:lang w:eastAsia="en-GB"/>
        </w:rPr>
        <w:t>In the same way that children and young people of colour experience disparity and racism in the educational system, so do staff and students of colour in Higher Education Institutes (HEIs). Research into 30 HEIs in England, Scotland and Wales found that staff and students of colour were reluctant to make formal complaints about racial harassment (</w:t>
      </w:r>
      <w:bookmarkStart w:id="97" w:name="_Hlk52787984"/>
      <w:r w:rsidRPr="00BA2696">
        <w:rPr>
          <w:rFonts w:eastAsia="Times New Roman" w:cs="Calibri"/>
          <w:bCs/>
          <w:sz w:val="24"/>
          <w:szCs w:val="24"/>
          <w:lang w:eastAsia="en-GB"/>
        </w:rPr>
        <w:t>Equality and Human Rights Commission, 2019</w:t>
      </w:r>
      <w:bookmarkEnd w:id="97"/>
      <w:r w:rsidRPr="00BA2696">
        <w:rPr>
          <w:rFonts w:eastAsia="Times New Roman" w:cs="Calibri"/>
          <w:bCs/>
          <w:sz w:val="24"/>
          <w:szCs w:val="24"/>
          <w:lang w:eastAsia="en-GB"/>
        </w:rPr>
        <w:t>). This was due to inadequate complaints procedures, mostly in complaints not being recognised as serious. Consequently, complaints of racial harassment by staff and students tended to go unreported. Yet HEIs interpreted the low number of reports as evidence that there was a lack of racial harassment (</w:t>
      </w:r>
      <w:bookmarkStart w:id="98" w:name="_Hlk36125665"/>
      <w:r w:rsidRPr="00BA2696">
        <w:rPr>
          <w:rFonts w:eastAsia="Times New Roman" w:cs="Calibri"/>
          <w:bCs/>
          <w:sz w:val="24"/>
          <w:szCs w:val="24"/>
          <w:lang w:eastAsia="en-GB"/>
        </w:rPr>
        <w:t>Equality and Human Rights Commission, 2019</w:t>
      </w:r>
      <w:bookmarkEnd w:id="98"/>
      <w:r w:rsidRPr="00BA2696">
        <w:rPr>
          <w:rFonts w:eastAsia="Times New Roman" w:cs="Calibri"/>
          <w:bCs/>
          <w:sz w:val="24"/>
          <w:szCs w:val="24"/>
          <w:lang w:eastAsia="en-GB"/>
        </w:rPr>
        <w:t>).</w:t>
      </w:r>
    </w:p>
    <w:p w:rsidR="00836C90" w:rsidRPr="00BA2696" w:rsidRDefault="00836C90" w:rsidP="00836C90">
      <w:pPr>
        <w:spacing w:after="0" w:line="480" w:lineRule="auto"/>
        <w:rPr>
          <w:rFonts w:eastAsia="Times New Roman" w:cs="Calibri"/>
          <w:bCs/>
          <w:sz w:val="24"/>
          <w:szCs w:val="24"/>
          <w:lang w:eastAsia="en-GB"/>
        </w:rPr>
      </w:pPr>
    </w:p>
    <w:p w:rsidR="00836C90" w:rsidRPr="00BA2696" w:rsidRDefault="00836C90" w:rsidP="00836C90">
      <w:pPr>
        <w:spacing w:after="0" w:line="480" w:lineRule="auto"/>
        <w:rPr>
          <w:rFonts w:eastAsia="Times New Roman" w:cs="Calibri"/>
          <w:bCs/>
          <w:sz w:val="24"/>
          <w:szCs w:val="24"/>
          <w:lang w:eastAsia="en-GB"/>
        </w:rPr>
      </w:pPr>
      <w:bookmarkStart w:id="99" w:name="_Hlk52788020"/>
      <w:r w:rsidRPr="00BA2696">
        <w:rPr>
          <w:rFonts w:eastAsia="Times New Roman" w:cs="Calibri"/>
          <w:bCs/>
          <w:color w:val="000000"/>
          <w:sz w:val="24"/>
          <w:szCs w:val="24"/>
          <w:lang w:eastAsia="en-GB"/>
        </w:rPr>
        <w:lastRenderedPageBreak/>
        <w:t xml:space="preserve">This is supported by women of colour in British academia who have written about the discrimination they have faced (Ahmed, 2012; Bhopal, 2016). A central theme being that ‘race’ has not been adequately recognised in discourses about gender in academia, with this unacknowledged aspect leading to feelings of invisibility and exclusion (Bhopal, 2016; Gabriel and Tate, 2017). </w:t>
      </w:r>
      <w:bookmarkEnd w:id="99"/>
      <w:r w:rsidRPr="00BA2696">
        <w:rPr>
          <w:rFonts w:eastAsia="Times New Roman" w:cs="Calibri"/>
          <w:bCs/>
          <w:color w:val="000000"/>
          <w:sz w:val="24"/>
          <w:szCs w:val="24"/>
          <w:lang w:eastAsia="en-GB"/>
        </w:rPr>
        <w:t xml:space="preserve">Furthering this, it has been put forward that educational leadership in UK academia is largely unaware of the barriers faced by academics </w:t>
      </w:r>
      <w:r>
        <w:rPr>
          <w:rFonts w:eastAsia="Times New Roman" w:cs="Calibri"/>
          <w:bCs/>
          <w:color w:val="000000"/>
          <w:sz w:val="24"/>
          <w:szCs w:val="24"/>
          <w:lang w:eastAsia="en-GB"/>
        </w:rPr>
        <w:t xml:space="preserve">of colour </w:t>
      </w:r>
      <w:r w:rsidRPr="00BA2696">
        <w:rPr>
          <w:rFonts w:eastAsia="Times New Roman" w:cs="Calibri"/>
          <w:bCs/>
          <w:color w:val="000000"/>
          <w:sz w:val="24"/>
          <w:szCs w:val="24"/>
          <w:lang w:eastAsia="en-GB"/>
        </w:rPr>
        <w:t>(Arday, 2018), with management perhaps not wanting to engage with those who may be experiencing discrimination lest is shatters the illusion of institutional harmony (Ahmed, 2012</w:t>
      </w:r>
      <w:r w:rsidRPr="00BA2696">
        <w:rPr>
          <w:rFonts w:eastAsia="Times New Roman" w:cs="Calibri"/>
          <w:bCs/>
          <w:sz w:val="24"/>
          <w:szCs w:val="24"/>
          <w:lang w:eastAsia="en-GB"/>
        </w:rPr>
        <w:t xml:space="preserve">). Indeed, it has been argued that ‘race’ equality policy has declined in British universities since the millennium, whereby: </w:t>
      </w:r>
    </w:p>
    <w:p w:rsidR="00836C90" w:rsidRPr="00BA2696" w:rsidRDefault="00836C90" w:rsidP="00836C90">
      <w:pPr>
        <w:spacing w:after="0" w:line="240" w:lineRule="auto"/>
        <w:ind w:left="567" w:right="567"/>
        <w:rPr>
          <w:rFonts w:eastAsia="Times New Roman" w:cs="Calibri"/>
          <w:bCs/>
          <w:sz w:val="24"/>
          <w:szCs w:val="24"/>
          <w:lang w:eastAsia="en-GB"/>
        </w:rPr>
      </w:pPr>
      <w:r w:rsidRPr="00BA2696">
        <w:rPr>
          <w:rFonts w:eastAsia="Times New Roman" w:cs="Calibri"/>
          <w:bCs/>
          <w:sz w:val="24"/>
          <w:szCs w:val="24"/>
          <w:lang w:eastAsia="en-GB"/>
        </w:rPr>
        <w:t>individuals from minority ethnic communities disproportionately experience adverse outcomes in higher education. And yet universities are extraordinarily complacent. They see themselves as liberal and believe existing policies ensure fairness and, in the process, ignore adverse outcomes and do not see combating racial/ethnic inequalities as a priority (</w:t>
      </w:r>
      <w:bookmarkStart w:id="100" w:name="_Hlk52788260"/>
      <w:r w:rsidRPr="00BA2696">
        <w:rPr>
          <w:rFonts w:eastAsia="Times New Roman" w:cs="Calibri"/>
          <w:bCs/>
          <w:sz w:val="24"/>
          <w:szCs w:val="24"/>
          <w:lang w:eastAsia="en-GB"/>
        </w:rPr>
        <w:t>Pilkington, 2015</w:t>
      </w:r>
      <w:bookmarkEnd w:id="100"/>
      <w:r w:rsidRPr="00BA2696">
        <w:rPr>
          <w:rFonts w:eastAsia="Times New Roman" w:cs="Calibri"/>
          <w:bCs/>
          <w:sz w:val="24"/>
          <w:szCs w:val="24"/>
          <w:lang w:eastAsia="en-GB"/>
        </w:rPr>
        <w:t xml:space="preserve">, p. 9). </w:t>
      </w:r>
    </w:p>
    <w:p w:rsidR="00836C90" w:rsidRPr="00BA2696" w:rsidRDefault="00836C90" w:rsidP="00836C90">
      <w:pPr>
        <w:spacing w:after="0" w:line="480" w:lineRule="auto"/>
        <w:rPr>
          <w:rFonts w:eastAsia="Times New Roman" w:cs="Calibri"/>
          <w:bCs/>
          <w:sz w:val="24"/>
          <w:szCs w:val="24"/>
          <w:lang w:eastAsia="en-GB"/>
        </w:rPr>
      </w:pPr>
    </w:p>
    <w:p w:rsidR="00836C90" w:rsidRPr="00BA2696" w:rsidRDefault="00836C90" w:rsidP="00836C90">
      <w:pPr>
        <w:spacing w:after="0" w:line="480" w:lineRule="auto"/>
        <w:rPr>
          <w:rFonts w:eastAsia="Times New Roman" w:cs="Calibri"/>
          <w:bCs/>
          <w:sz w:val="24"/>
          <w:szCs w:val="24"/>
          <w:lang w:eastAsia="en-GB"/>
        </w:rPr>
      </w:pPr>
      <w:r w:rsidRPr="00BA2696">
        <w:rPr>
          <w:rFonts w:eastAsia="Times New Roman" w:cs="Calibri"/>
          <w:bCs/>
          <w:sz w:val="24"/>
          <w:szCs w:val="24"/>
          <w:lang w:eastAsia="en-GB"/>
        </w:rPr>
        <w:t xml:space="preserve">It could be argued that this is because it is rare to find academics of colour in senior managerial positions (Bhopal, 2018). Likewise, Rollock (2019) interviewed 20 of the 25 black female professors in the UK to learn about their experiences in academia. It was found that the challenges they experienced in their careers included bullying, racial discrimination in the form of microaggressions and stereotyping, a complicated promotional pathway which lacked clarity, and a lack of support and solidarity from white female academics (Rollock, 2019). Recalling Gillborn’s </w:t>
      </w:r>
      <w:r w:rsidRPr="00BA2696">
        <w:rPr>
          <w:rFonts w:eastAsia="Times New Roman" w:cs="Calibri"/>
          <w:bCs/>
          <w:i/>
          <w:iCs/>
          <w:sz w:val="24"/>
          <w:szCs w:val="24"/>
          <w:lang w:eastAsia="en-GB"/>
        </w:rPr>
        <w:t>et al</w:t>
      </w:r>
      <w:r w:rsidRPr="00BA2696">
        <w:rPr>
          <w:rFonts w:eastAsia="Times New Roman" w:cs="Calibri"/>
          <w:bCs/>
          <w:sz w:val="24"/>
          <w:szCs w:val="24"/>
          <w:lang w:eastAsia="en-GB"/>
        </w:rPr>
        <w:t xml:space="preserve"> (2017) assertion that educational attainment gaps at secondary school can have consequences in further </w:t>
      </w:r>
      <w:r w:rsidRPr="00BA2696">
        <w:rPr>
          <w:rFonts w:eastAsia="Times New Roman" w:cs="Calibri"/>
          <w:bCs/>
          <w:sz w:val="24"/>
          <w:szCs w:val="24"/>
          <w:lang w:eastAsia="en-GB"/>
        </w:rPr>
        <w:lastRenderedPageBreak/>
        <w:t xml:space="preserve">and higher education, as well as employment, it seems that even those who reach the top of the Academy still experience racial disparity. </w:t>
      </w:r>
    </w:p>
    <w:p w:rsidR="00836C90" w:rsidRPr="00BA2696" w:rsidRDefault="00836C90" w:rsidP="00836C90">
      <w:pPr>
        <w:pStyle w:val="Heading4"/>
        <w:rPr>
          <w:lang w:eastAsia="en-GB"/>
        </w:rPr>
      </w:pPr>
    </w:p>
    <w:p w:rsidR="00836C90" w:rsidRPr="00BA2696" w:rsidRDefault="00836C90" w:rsidP="00836C90">
      <w:pPr>
        <w:pStyle w:val="Heading4"/>
        <w:rPr>
          <w:lang w:eastAsia="en-GB"/>
        </w:rPr>
      </w:pPr>
      <w:r w:rsidRPr="00BA2696">
        <w:rPr>
          <w:lang w:eastAsia="en-GB"/>
        </w:rPr>
        <w:t>Further Education</w:t>
      </w:r>
    </w:p>
    <w:p w:rsidR="00836C90" w:rsidRPr="00BA2696" w:rsidRDefault="00836C90" w:rsidP="00836C90">
      <w:pPr>
        <w:spacing w:after="0" w:line="480" w:lineRule="auto"/>
        <w:rPr>
          <w:rFonts w:eastAsia="Times New Roman" w:cs="Calibri"/>
          <w:bCs/>
          <w:sz w:val="24"/>
          <w:szCs w:val="24"/>
          <w:lang w:eastAsia="en-GB"/>
        </w:rPr>
      </w:pPr>
      <w:r w:rsidRPr="00BA2696">
        <w:rPr>
          <w:rFonts w:eastAsia="Times New Roman" w:cs="Calibri"/>
          <w:bCs/>
          <w:sz w:val="24"/>
          <w:szCs w:val="24"/>
          <w:lang w:eastAsia="en-GB"/>
        </w:rPr>
        <w:t xml:space="preserve">As this doctoral research takes place within a Further Education institution (FEI) it is relevant to consider the data pertaining to the demographic composition of these institutions. Firstly, the academic year prior to when it commenced and then the academic year when the research was conducted. During 2017/2018, data gathered by </w:t>
      </w:r>
      <w:bookmarkStart w:id="101" w:name="_Hlk36123899"/>
      <w:r w:rsidRPr="00BA2696">
        <w:rPr>
          <w:rFonts w:eastAsia="Times New Roman" w:cs="Calibri"/>
          <w:bCs/>
          <w:sz w:val="24"/>
          <w:szCs w:val="24"/>
          <w:lang w:eastAsia="en-GB"/>
        </w:rPr>
        <w:t xml:space="preserve">the </w:t>
      </w:r>
      <w:bookmarkStart w:id="102" w:name="_Hlk36103185"/>
      <w:r w:rsidRPr="00BA2696">
        <w:rPr>
          <w:rFonts w:eastAsia="Times New Roman" w:cs="Calibri"/>
          <w:bCs/>
          <w:sz w:val="24"/>
          <w:szCs w:val="24"/>
          <w:lang w:eastAsia="en-GB"/>
        </w:rPr>
        <w:t>Welsh Government (2019)</w:t>
      </w:r>
      <w:bookmarkEnd w:id="101"/>
      <w:r w:rsidRPr="00BA2696">
        <w:rPr>
          <w:rFonts w:eastAsia="Times New Roman" w:cs="Calibri"/>
          <w:bCs/>
          <w:sz w:val="24"/>
          <w:szCs w:val="24"/>
          <w:lang w:eastAsia="en-GB"/>
        </w:rPr>
        <w:t xml:space="preserve"> </w:t>
      </w:r>
      <w:bookmarkEnd w:id="102"/>
      <w:r w:rsidRPr="00BA2696">
        <w:rPr>
          <w:rFonts w:eastAsia="Times New Roman" w:cs="Calibri"/>
          <w:bCs/>
          <w:sz w:val="24"/>
          <w:szCs w:val="24"/>
          <w:lang w:eastAsia="en-GB"/>
        </w:rPr>
        <w:t>showed that in Wales, 118,590 students attended FEIs. In total, there were 275 students attending Higher Education (HE) courses at a FEI. HE includes Higher National Diplomas and Foundation Degrees and the FEI</w:t>
      </w:r>
      <w:r>
        <w:rPr>
          <w:rFonts w:eastAsia="Times New Roman" w:cs="Calibri"/>
          <w:bCs/>
          <w:sz w:val="24"/>
          <w:szCs w:val="24"/>
          <w:lang w:eastAsia="en-GB"/>
        </w:rPr>
        <w:t>s</w:t>
      </w:r>
      <w:r w:rsidRPr="00BA2696">
        <w:rPr>
          <w:rFonts w:eastAsia="Times New Roman" w:cs="Calibri"/>
          <w:bCs/>
          <w:sz w:val="24"/>
          <w:szCs w:val="24"/>
          <w:lang w:eastAsia="en-GB"/>
        </w:rPr>
        <w:t xml:space="preserve"> in Wales offer counselling courses at both of these levels. Women aged 25-49 comprised the highest proportion of learners in FEIs in Wales (Welsh Government, 2019). Data showing the racial demographics of FE students in Wales was not available, with gender and age group forming the primary basis for statistical information (StatsWales, ND). However, recent data for the academic year 2018/2019, showed an increase in those attending FEIs in Wales, with 122,040 learners, 7.7% of whom identified as BAME (Welsh Government, 2020b). There was a decrease in HE courses offered, with 225 compared to 275 the previous year. Remaining consistent was that mature female learners comprised the biggest proportion of all learners in FEIs, including on HE courses (Welsh Government, 2020b). These statistics mean that the sixteen research participants (fifteen women and one man) from ‘Welsh College A’ </w:t>
      </w:r>
      <w:r w:rsidRPr="00BA2696">
        <w:rPr>
          <w:rFonts w:eastAsia="Times New Roman" w:cs="Calibri"/>
          <w:bCs/>
          <w:sz w:val="24"/>
          <w:szCs w:val="24"/>
          <w:lang w:eastAsia="en-GB"/>
        </w:rPr>
        <w:lastRenderedPageBreak/>
        <w:t xml:space="preserve">who took part in this research were representative of students attending FEIs in Wales as they were white, female, mature students attending a part-time course. </w:t>
      </w:r>
    </w:p>
    <w:p w:rsidR="00836C90" w:rsidRPr="00BA2696" w:rsidRDefault="00836C90" w:rsidP="00836C90">
      <w:pPr>
        <w:spacing w:after="0" w:line="480" w:lineRule="auto"/>
        <w:rPr>
          <w:rFonts w:eastAsia="Times New Roman" w:cs="Calibri"/>
          <w:bCs/>
          <w:strike/>
          <w:color w:val="FF0000"/>
          <w:sz w:val="24"/>
          <w:szCs w:val="24"/>
          <w:lang w:eastAsia="en-GB"/>
        </w:rPr>
      </w:pPr>
    </w:p>
    <w:p w:rsidR="00836C90" w:rsidRPr="00BA2696" w:rsidRDefault="00836C90" w:rsidP="00836C90">
      <w:pPr>
        <w:spacing w:after="0" w:line="480" w:lineRule="auto"/>
        <w:rPr>
          <w:rFonts w:eastAsia="Times New Roman" w:cs="Calibri"/>
          <w:bCs/>
          <w:sz w:val="24"/>
          <w:szCs w:val="24"/>
          <w:lang w:eastAsia="en-GB"/>
        </w:rPr>
      </w:pPr>
      <w:r w:rsidRPr="00BA2696">
        <w:rPr>
          <w:rFonts w:eastAsia="Times New Roman" w:cs="Calibri"/>
          <w:bCs/>
          <w:color w:val="000000"/>
          <w:sz w:val="24"/>
          <w:szCs w:val="24"/>
          <w:lang w:eastAsia="en-GB"/>
        </w:rPr>
        <w:t xml:space="preserve">Therefore, it can be seen there is a structural inequality reflected in different levels of the education system (Gillborn, 2010; Gillborn </w:t>
      </w:r>
      <w:r w:rsidRPr="00BA2696">
        <w:rPr>
          <w:rFonts w:eastAsia="Times New Roman" w:cs="Calibri"/>
          <w:bCs/>
          <w:i/>
          <w:iCs/>
          <w:color w:val="000000"/>
          <w:sz w:val="24"/>
          <w:szCs w:val="24"/>
          <w:lang w:eastAsia="en-GB"/>
        </w:rPr>
        <w:t>et al</w:t>
      </w:r>
      <w:r w:rsidRPr="00BA2696">
        <w:rPr>
          <w:rFonts w:eastAsia="Times New Roman" w:cs="Calibri"/>
          <w:bCs/>
          <w:color w:val="000000"/>
          <w:sz w:val="24"/>
          <w:szCs w:val="24"/>
          <w:lang w:eastAsia="en-GB"/>
        </w:rPr>
        <w:t>, 2017; Ahmed, 2012; Gabriel and Tate, 2017). This is particularly the case for ethnic minority women (Arday, 2018; Bhopal, 2018; Rollock, 2019). In Wales, statistical data shows that FE students are in the majority women aged 25-49 attending part-time course</w:t>
      </w:r>
      <w:r>
        <w:rPr>
          <w:rFonts w:eastAsia="Times New Roman" w:cs="Calibri"/>
          <w:bCs/>
          <w:color w:val="000000"/>
          <w:sz w:val="24"/>
          <w:szCs w:val="24"/>
          <w:lang w:eastAsia="en-GB"/>
        </w:rPr>
        <w:t>s</w:t>
      </w:r>
      <w:r w:rsidRPr="00BA2696">
        <w:rPr>
          <w:rFonts w:eastAsia="Times New Roman" w:cs="Calibri"/>
          <w:bCs/>
          <w:color w:val="000000"/>
          <w:sz w:val="24"/>
          <w:szCs w:val="24"/>
          <w:lang w:eastAsia="en-GB"/>
        </w:rPr>
        <w:t xml:space="preserve"> (Welsh Government, 2019; 2020b). </w:t>
      </w:r>
      <w:r w:rsidRPr="00BA2696">
        <w:rPr>
          <w:rFonts w:eastAsia="Times New Roman" w:cs="Calibri"/>
          <w:bCs/>
          <w:sz w:val="24"/>
          <w:szCs w:val="24"/>
          <w:lang w:eastAsia="en-GB"/>
        </w:rPr>
        <w:t>Recent data pertaining to the ‘race’ of students shows that FEIs in Wales are predominantly attended by white people (Welsh Government, 2020b).</w:t>
      </w:r>
    </w:p>
    <w:p w:rsidR="00836C90" w:rsidRPr="00BA2696" w:rsidRDefault="00836C90" w:rsidP="00836C90">
      <w:pPr>
        <w:spacing w:after="0" w:line="480" w:lineRule="auto"/>
        <w:rPr>
          <w:rFonts w:eastAsia="Times New Roman" w:cs="Calibri"/>
          <w:bCs/>
          <w:sz w:val="24"/>
          <w:szCs w:val="24"/>
          <w:lang w:eastAsia="en-GB"/>
        </w:rPr>
      </w:pPr>
    </w:p>
    <w:p w:rsidR="00836C90" w:rsidRPr="00BA2696" w:rsidRDefault="00836C90" w:rsidP="00836C90">
      <w:pPr>
        <w:spacing w:after="0" w:line="480" w:lineRule="auto"/>
        <w:rPr>
          <w:rFonts w:eastAsia="Times New Roman" w:cs="Calibri"/>
          <w:color w:val="000000"/>
          <w:sz w:val="24"/>
          <w:szCs w:val="24"/>
          <w:lang w:eastAsia="en-GB"/>
        </w:rPr>
      </w:pPr>
    </w:p>
    <w:p w:rsidR="00836C90" w:rsidRPr="00BA2696" w:rsidRDefault="00836C90" w:rsidP="00836C90">
      <w:pPr>
        <w:pStyle w:val="Heading3"/>
      </w:pPr>
      <w:bookmarkStart w:id="103" w:name="_Toc72413626"/>
      <w:r w:rsidRPr="00BA2696">
        <w:t>2.1.7 Racism</w:t>
      </w:r>
      <w:bookmarkEnd w:id="86"/>
      <w:bookmarkEnd w:id="87"/>
      <w:bookmarkEnd w:id="88"/>
      <w:bookmarkEnd w:id="89"/>
      <w:bookmarkEnd w:id="103"/>
      <w:r w:rsidRPr="00BA2696">
        <w:t xml:space="preserve"> </w:t>
      </w:r>
    </w:p>
    <w:p w:rsidR="00836C90" w:rsidRPr="00BA2696" w:rsidRDefault="00836C90" w:rsidP="00836C90">
      <w:pPr>
        <w:spacing w:after="0" w:line="480" w:lineRule="auto"/>
        <w:rPr>
          <w:rFonts w:cs="Calibri"/>
          <w:sz w:val="24"/>
          <w:szCs w:val="24"/>
        </w:rPr>
      </w:pPr>
      <w:r w:rsidRPr="00BA2696">
        <w:rPr>
          <w:rFonts w:cs="Calibri"/>
          <w:sz w:val="24"/>
          <w:szCs w:val="24"/>
        </w:rPr>
        <w:t>As has been discussed in Section 2.1.3, possessing a white racial identity does not necessarily equate to anti</w:t>
      </w:r>
      <w:r>
        <w:rPr>
          <w:rFonts w:cs="Calibri"/>
          <w:sz w:val="24"/>
          <w:szCs w:val="24"/>
        </w:rPr>
        <w:t>-</w:t>
      </w:r>
      <w:r w:rsidRPr="00BA2696">
        <w:rPr>
          <w:rFonts w:cs="Calibri"/>
          <w:sz w:val="24"/>
          <w:szCs w:val="24"/>
        </w:rPr>
        <w:t xml:space="preserve">racist behaviour or action by white people (Croll, 2007; Hughey, 2010; Goren and Plaut, 2012). Understanding racism is to acknowledge the various forms it can take and awareness that racism can be individual and systemic, overt and covert. Therefore, this section will outline institutional/systemic racism, racialisation and colour-blind racism as three examples of the forms racism can take. It is thought these particular forms will give an insight into the complex and covert nature of racism. However, it is recognised this is not an exhaustive list of the manifold forms that racism can take. The types of racism discussed below fall under the category ‘new racism’, a term devised by Barker (1981) to describe the emergence of a </w:t>
      </w:r>
      <w:r w:rsidRPr="00BA2696">
        <w:rPr>
          <w:rFonts w:cs="Calibri"/>
          <w:sz w:val="24"/>
          <w:szCs w:val="24"/>
        </w:rPr>
        <w:lastRenderedPageBreak/>
        <w:t xml:space="preserve">less overt type of racism which, he argued, began to emerge in Thatcher’s neo-liberal Britain. New racism is marked by its covertness, invisibility, and avoidance of racial vocabulary (Bonilla-Silva and Dietrich, 2012).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The historian David Olusoga (2019) has argued that racism is:</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 xml:space="preserve">a 400-year-old political and economic system that has infected our institutions, our culture and even our thinking. </w:t>
      </w:r>
    </w:p>
    <w:p w:rsidR="00836C90" w:rsidRPr="00BA2696" w:rsidRDefault="00836C90" w:rsidP="00836C90">
      <w:pPr>
        <w:spacing w:after="0" w:line="480" w:lineRule="auto"/>
        <w:ind w:left="567" w:right="567"/>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This statement </w:t>
      </w:r>
      <w:r w:rsidRPr="000D1CF7">
        <w:rPr>
          <w:rFonts w:cs="Calibri"/>
          <w:sz w:val="24"/>
          <w:szCs w:val="24"/>
        </w:rPr>
        <w:t>affirms critical</w:t>
      </w:r>
      <w:r w:rsidRPr="00BA2696">
        <w:rPr>
          <w:rFonts w:cs="Calibri"/>
          <w:sz w:val="24"/>
          <w:szCs w:val="24"/>
        </w:rPr>
        <w:t xml:space="preserve"> race theory scholar Derrick Bell’s argument that ‘racism is an integral, permanent, and indestructible component’ of society (1992, p. ix). To that end, critical race theory understands racism to be a common place occurrence in society, rather than an anomaly (Crenshaw </w:t>
      </w:r>
      <w:r w:rsidRPr="00BA2696">
        <w:rPr>
          <w:rFonts w:cs="Calibri"/>
          <w:i/>
          <w:iCs/>
          <w:sz w:val="24"/>
          <w:szCs w:val="24"/>
        </w:rPr>
        <w:t>et al</w:t>
      </w:r>
      <w:r w:rsidRPr="00BA2696">
        <w:rPr>
          <w:rFonts w:cs="Calibri"/>
          <w:sz w:val="24"/>
          <w:szCs w:val="24"/>
        </w:rPr>
        <w:t xml:space="preserve">, 1995; Delgado and Stefancic, 2017). Similarly, critical whiteness studies has argued that white people need to investigate how they benefit from the social construction of whiteness, including racism (Grillo and Wildman, 1997).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In 1965 at the International Convention on the Elimination of All Forms of Racial Discrimination, the United Nations declared:</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"racial discrimination" shall mean any distinction, exclusion, restriction or preference based on race, colour, descent, or national or ethnic origin which has the purpose or effect of nullifying or impairing the recognition, enjoyment or exercise, on an equal footing, of human rights and fundamental freedoms in the political, economic, social, cultural or any other field of public life (United Nations, 1965, Article 1.1)</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Despite this clear definition, it has been argued that ‘too little, too slowly’ has been done by the international community in tackling racism (United Nations, 2012, p. v). </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0"/>
        <w:rPr>
          <w:iCs/>
        </w:rPr>
      </w:pPr>
      <w:r w:rsidRPr="00BA2696">
        <w:rPr>
          <w:rStyle w:val="Heading4Char"/>
          <w:rFonts w:eastAsia="Calibri"/>
          <w:iCs/>
        </w:rPr>
        <w:t xml:space="preserve">Institutional and Systemic </w:t>
      </w:r>
      <w:r w:rsidRPr="00BA2696">
        <w:rPr>
          <w:iCs/>
        </w:rPr>
        <w:t>Racism</w:t>
      </w:r>
    </w:p>
    <w:p w:rsidR="00836C90" w:rsidRPr="00BA2696" w:rsidRDefault="00836C90" w:rsidP="00836C90">
      <w:pPr>
        <w:spacing w:after="0" w:line="480" w:lineRule="auto"/>
        <w:rPr>
          <w:rFonts w:cs="Calibri"/>
          <w:sz w:val="24"/>
          <w:szCs w:val="24"/>
        </w:rPr>
      </w:pPr>
      <w:r w:rsidRPr="00BA2696">
        <w:rPr>
          <w:rFonts w:cs="Calibri"/>
          <w:sz w:val="24"/>
          <w:szCs w:val="24"/>
        </w:rPr>
        <w:t>Institutional racism and systemic racism (also referred to as structural racism) are often used interchangeably. For the purposes of this section, the terms ‘institutional’ and ‘systemic’ are used as they were in the literature. Institutional racism refers to the:</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patterns, procedures, practices and policies that operate within social institutions so as to penalize (</w:t>
      </w:r>
      <w:r w:rsidRPr="00BA2696">
        <w:rPr>
          <w:rFonts w:cs="Calibri"/>
          <w:i/>
          <w:iCs/>
          <w:sz w:val="24"/>
          <w:szCs w:val="24"/>
        </w:rPr>
        <w:t>sic</w:t>
      </w:r>
      <w:r w:rsidRPr="00BA2696">
        <w:rPr>
          <w:rFonts w:cs="Calibri"/>
          <w:sz w:val="24"/>
          <w:szCs w:val="24"/>
        </w:rPr>
        <w:t>), disadvantage and exploit members of nonwhite racial/ethnic groups (Better, 2008, p. 11)</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Whereas as systemic racism takes a wider purview, expanding from institutional practice by stating that:</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 xml:space="preserve">Today, as in the past, systemic racism encompasses as broad range of white-racist dimensions: the racist ideology, attitudes, emotions, habits, actions and institutions of whites in this society. Thus, </w:t>
      </w:r>
      <w:bookmarkStart w:id="104" w:name="_Hlk52182646"/>
      <w:r w:rsidRPr="00BA2696">
        <w:rPr>
          <w:rFonts w:cs="Calibri"/>
          <w:sz w:val="24"/>
          <w:szCs w:val="24"/>
        </w:rPr>
        <w:t xml:space="preserve">systemic racism is far more than a matter of racial prejudice and individual bigotry. It is a material, social, and ideological reality </w:t>
      </w:r>
      <w:bookmarkEnd w:id="104"/>
      <w:r w:rsidRPr="00BA2696">
        <w:rPr>
          <w:rFonts w:cs="Calibri"/>
          <w:sz w:val="24"/>
          <w:szCs w:val="24"/>
        </w:rPr>
        <w:t>(Feagin, 2006, p. 2).</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From these definitions, it is possible to understand how these terms are interchangeable as both refer to the ways in which institutions enact racial injustice and racism through policies and procedures which uphold racial inequality. Perhaps where they differ, is that systemic racism recognises the ideological component underpinning the policies, practices and procedures used by institutions. </w:t>
      </w:r>
    </w:p>
    <w:p w:rsidR="00836C90" w:rsidRPr="00BA2696" w:rsidRDefault="00836C90" w:rsidP="00836C90">
      <w:pPr>
        <w:spacing w:after="0" w:line="480" w:lineRule="auto"/>
        <w:rPr>
          <w:rFonts w:cs="Calibri"/>
          <w:sz w:val="24"/>
          <w:szCs w:val="24"/>
        </w:rPr>
      </w:pPr>
    </w:p>
    <w:p w:rsidR="00836C90" w:rsidRDefault="00836C90" w:rsidP="00836C90">
      <w:pPr>
        <w:spacing w:after="0" w:line="480" w:lineRule="auto"/>
        <w:rPr>
          <w:rFonts w:cs="Calibri"/>
          <w:sz w:val="24"/>
          <w:szCs w:val="24"/>
        </w:rPr>
      </w:pPr>
      <w:r w:rsidRPr="00BA2696">
        <w:rPr>
          <w:rFonts w:cs="Calibri"/>
          <w:sz w:val="24"/>
          <w:szCs w:val="24"/>
        </w:rPr>
        <w:t xml:space="preserve">For example, it has previously been outlined the ways in which the education sector has been accused of institutional/systemic racism through its policies and procedures which disadvantage students and academics of colour (such as: Gillborn, 2010; </w:t>
      </w:r>
      <w:r w:rsidRPr="00BA2696">
        <w:rPr>
          <w:rFonts w:cs="Calibri"/>
          <w:sz w:val="24"/>
          <w:szCs w:val="24"/>
        </w:rPr>
        <w:lastRenderedPageBreak/>
        <w:t xml:space="preserve">Ahmed, 2012; Arday, 2018). Institutional racism was first introduced by civil rights activists Carmichael and Hamilton (1967, p. 4) who defined it as ‘acts by the total white community against the black community’. They argued that although institutional racism may be less identifiable than individual racism, it is no less destructive yet often receives less public opprobrium. </w:t>
      </w:r>
    </w:p>
    <w:p w:rsidR="00836C90"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Arguably, one the most well-known cases of institutional racism in the UK is outlined in the Macpherson Report (1999). This report outlined the findings of the public inquiry into the Metropolitan Police’s handling of the investigation into the murder of Stephen Lawrence. The report understood institutional racism as:</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The collective failure of an organisation to provide an appropriate and professional service to people because of their colour, culture, or ethnic origin. It can be seen or detected in processes, attitudes and behaviour which amount to discrimination through unwitting prejudice, ignorance, thoughtlessness and racist stereotyping which disadvantage minority ethnic people (Macpherson Report, 1999, 6.34)</w:t>
      </w:r>
    </w:p>
    <w:p w:rsidR="00836C90" w:rsidRPr="00BA2696" w:rsidRDefault="00836C90" w:rsidP="00836C90">
      <w:pPr>
        <w:spacing w:after="0" w:line="480" w:lineRule="auto"/>
        <w:rPr>
          <w:rFonts w:cs="Calibri"/>
          <w:sz w:val="24"/>
          <w:szCs w:val="24"/>
        </w:rPr>
      </w:pPr>
    </w:p>
    <w:p w:rsidR="00836C90" w:rsidRDefault="00836C90" w:rsidP="00836C90">
      <w:pPr>
        <w:spacing w:after="0" w:line="480" w:lineRule="auto"/>
        <w:rPr>
          <w:rFonts w:cs="Calibri"/>
          <w:sz w:val="24"/>
          <w:szCs w:val="24"/>
        </w:rPr>
      </w:pPr>
      <w:r w:rsidRPr="00BA2696">
        <w:rPr>
          <w:rFonts w:cs="Calibri"/>
          <w:sz w:val="24"/>
          <w:szCs w:val="24"/>
        </w:rPr>
        <w:t>This description was soon criticised for being too ambiguous by failing to specify which particular practices constitute as institutionally racist and for neglecting to differentiate between individual and institutional racism (Lea, 2000; Bridges, 2000). It has been suggested the purpose of institutional racism is to uphold white privilege and does so via ‘</w:t>
      </w:r>
      <w:bookmarkStart w:id="105" w:name="_Hlk70931150"/>
      <w:r w:rsidRPr="00BA2696">
        <w:rPr>
          <w:rFonts w:cs="Calibri"/>
          <w:sz w:val="24"/>
          <w:szCs w:val="24"/>
        </w:rPr>
        <w:t>patterns, procedures, practices and policies’ and take various forms such as exclusion, discrimination and neglect (Better, 2008, p. 11).</w:t>
      </w:r>
      <w:bookmarkEnd w:id="105"/>
    </w:p>
    <w:p w:rsidR="00836C90" w:rsidRDefault="00836C90" w:rsidP="00836C90">
      <w:pPr>
        <w:spacing w:after="0" w:line="480" w:lineRule="auto"/>
        <w:rPr>
          <w:rFonts w:cs="Calibri"/>
          <w:sz w:val="24"/>
          <w:szCs w:val="24"/>
        </w:rPr>
      </w:pPr>
    </w:p>
    <w:p w:rsidR="00836C90" w:rsidRDefault="00836C90" w:rsidP="00836C90">
      <w:pPr>
        <w:spacing w:after="0" w:line="480" w:lineRule="auto"/>
        <w:rPr>
          <w:sz w:val="24"/>
          <w:szCs w:val="24"/>
        </w:rPr>
      </w:pPr>
      <w:r>
        <w:rPr>
          <w:rFonts w:cs="Calibri"/>
          <w:sz w:val="24"/>
          <w:szCs w:val="24"/>
        </w:rPr>
        <w:t xml:space="preserve">In 2021, a Government commissioned report, known as the ‘Sewell Report’, was published </w:t>
      </w:r>
      <w:bookmarkStart w:id="106" w:name="_Hlk70923961"/>
      <w:bookmarkStart w:id="107" w:name="_Hlk71463332"/>
      <w:r w:rsidRPr="00675FBB">
        <w:rPr>
          <w:rFonts w:cs="Calibri"/>
          <w:sz w:val="24"/>
          <w:szCs w:val="24"/>
        </w:rPr>
        <w:t>(</w:t>
      </w:r>
      <w:r w:rsidRPr="00675FBB">
        <w:rPr>
          <w:sz w:val="24"/>
          <w:szCs w:val="24"/>
        </w:rPr>
        <w:t>Commission on Race and Ethnic Disparities, 2021</w:t>
      </w:r>
      <w:r>
        <w:rPr>
          <w:sz w:val="24"/>
          <w:szCs w:val="24"/>
        </w:rPr>
        <w:t>a</w:t>
      </w:r>
      <w:r w:rsidRPr="00675FBB">
        <w:rPr>
          <w:sz w:val="24"/>
          <w:szCs w:val="24"/>
        </w:rPr>
        <w:t>)</w:t>
      </w:r>
      <w:bookmarkEnd w:id="106"/>
      <w:r>
        <w:rPr>
          <w:sz w:val="24"/>
          <w:szCs w:val="24"/>
        </w:rPr>
        <w:t xml:space="preserve"> </w:t>
      </w:r>
      <w:bookmarkEnd w:id="107"/>
      <w:r>
        <w:rPr>
          <w:sz w:val="24"/>
          <w:szCs w:val="24"/>
        </w:rPr>
        <w:t xml:space="preserve">and offers </w:t>
      </w:r>
      <w:r>
        <w:rPr>
          <w:sz w:val="24"/>
          <w:szCs w:val="24"/>
        </w:rPr>
        <w:lastRenderedPageBreak/>
        <w:t>contemporary insight into how institutional racism is perceived at a governmental level.</w:t>
      </w:r>
      <w:r w:rsidRPr="009C648A">
        <w:rPr>
          <w:sz w:val="24"/>
          <w:szCs w:val="24"/>
        </w:rPr>
        <w:t xml:space="preserve"> </w:t>
      </w:r>
      <w:bookmarkStart w:id="108" w:name="_Hlk70925127"/>
      <w:r>
        <w:rPr>
          <w:sz w:val="24"/>
          <w:szCs w:val="24"/>
        </w:rPr>
        <w:t xml:space="preserve">The report </w:t>
      </w:r>
      <w:bookmarkEnd w:id="108"/>
      <w:r>
        <w:rPr>
          <w:sz w:val="24"/>
          <w:szCs w:val="24"/>
        </w:rPr>
        <w:t>stated it is ‘concerned’ with how the term ‘institutional racism’ has been used since the publication of the Macpherson Report (1999), believing it is ‘liberally’ used and that ‘</w:t>
      </w:r>
      <w:r w:rsidRPr="00253762">
        <w:rPr>
          <w:sz w:val="24"/>
          <w:szCs w:val="24"/>
        </w:rPr>
        <w:t>misapplying the term racism has diluted its credibility</w:t>
      </w:r>
      <w:r>
        <w:rPr>
          <w:sz w:val="24"/>
          <w:szCs w:val="24"/>
        </w:rPr>
        <w:t>’ (</w:t>
      </w:r>
      <w:r w:rsidRPr="00F2368B">
        <w:rPr>
          <w:sz w:val="24"/>
          <w:szCs w:val="24"/>
        </w:rPr>
        <w:t>Commission on Race and Ethnic Disparities</w:t>
      </w:r>
      <w:r>
        <w:rPr>
          <w:sz w:val="24"/>
          <w:szCs w:val="24"/>
        </w:rPr>
        <w:t>, 2021, p. 34). It argued that</w:t>
      </w:r>
      <w:r w:rsidRPr="00675FBB">
        <w:rPr>
          <w:sz w:val="24"/>
          <w:szCs w:val="24"/>
        </w:rPr>
        <w:t xml:space="preserve"> the</w:t>
      </w:r>
      <w:r>
        <w:rPr>
          <w:sz w:val="24"/>
          <w:szCs w:val="24"/>
        </w:rPr>
        <w:t>:</w:t>
      </w:r>
    </w:p>
    <w:p w:rsidR="00836C90" w:rsidRPr="00675FBB" w:rsidRDefault="00836C90" w:rsidP="00836C90">
      <w:pPr>
        <w:spacing w:after="0" w:line="240" w:lineRule="auto"/>
        <w:ind w:left="567" w:right="567"/>
        <w:rPr>
          <w:rFonts w:cs="Calibri"/>
          <w:sz w:val="24"/>
          <w:szCs w:val="24"/>
        </w:rPr>
      </w:pPr>
      <w:r w:rsidRPr="00675FBB">
        <w:rPr>
          <w:sz w:val="24"/>
          <w:szCs w:val="24"/>
        </w:rPr>
        <w:t>use of the term ‘institutional racism’ to be applied only when deep-seated racism can be proven on a systemic level and not be used as a general catch-all phrase for any microaggression, witting or unwitting</w:t>
      </w:r>
      <w:r>
        <w:rPr>
          <w:sz w:val="24"/>
          <w:szCs w:val="24"/>
        </w:rPr>
        <w:t xml:space="preserve"> </w:t>
      </w:r>
      <w:r w:rsidRPr="00675FBB">
        <w:rPr>
          <w:sz w:val="24"/>
          <w:szCs w:val="24"/>
        </w:rPr>
        <w:t>(Commission on Race and Ethnic Disparities, 2021</w:t>
      </w:r>
      <w:r>
        <w:rPr>
          <w:sz w:val="24"/>
          <w:szCs w:val="24"/>
        </w:rPr>
        <w:t>a</w:t>
      </w:r>
      <w:r w:rsidRPr="00675FBB">
        <w:rPr>
          <w:sz w:val="24"/>
          <w:szCs w:val="24"/>
        </w:rPr>
        <w:t>, p.</w:t>
      </w:r>
      <w:r>
        <w:rPr>
          <w:sz w:val="24"/>
          <w:szCs w:val="24"/>
        </w:rPr>
        <w:t xml:space="preserve"> 8</w:t>
      </w:r>
      <w:r w:rsidRPr="00675FBB">
        <w:rPr>
          <w:sz w:val="24"/>
          <w:szCs w:val="24"/>
        </w:rPr>
        <w:t>).</w:t>
      </w:r>
    </w:p>
    <w:p w:rsidR="00836C90" w:rsidRDefault="00836C90" w:rsidP="00836C90">
      <w:pPr>
        <w:spacing w:after="0" w:line="480" w:lineRule="auto"/>
        <w:rPr>
          <w:rFonts w:cs="Calibri"/>
          <w:sz w:val="24"/>
          <w:szCs w:val="24"/>
        </w:rPr>
      </w:pPr>
    </w:p>
    <w:p w:rsidR="00836C90" w:rsidRDefault="00836C90" w:rsidP="00836C90">
      <w:pPr>
        <w:spacing w:after="0" w:line="480" w:lineRule="auto"/>
        <w:rPr>
          <w:sz w:val="24"/>
          <w:szCs w:val="24"/>
        </w:rPr>
      </w:pPr>
      <w:r>
        <w:rPr>
          <w:rFonts w:cs="Calibri"/>
          <w:sz w:val="24"/>
          <w:szCs w:val="24"/>
        </w:rPr>
        <w:t>The report also suggested that discourse around institutional racism (and white privilege) is being perpetuated by ‘well-intentioned young people’, a discourse that the report argues will only achieve ‘</w:t>
      </w:r>
      <w:r w:rsidRPr="00F2368B">
        <w:rPr>
          <w:rFonts w:cs="Calibri"/>
          <w:sz w:val="24"/>
          <w:szCs w:val="24"/>
        </w:rPr>
        <w:t>alienating the decent centre ground</w:t>
      </w:r>
      <w:r>
        <w:rPr>
          <w:rFonts w:cs="Calibri"/>
          <w:sz w:val="24"/>
          <w:szCs w:val="24"/>
        </w:rPr>
        <w:t xml:space="preserve">’ </w:t>
      </w:r>
      <w:r w:rsidRPr="00F2368B">
        <w:rPr>
          <w:rFonts w:cs="Calibri"/>
          <w:sz w:val="24"/>
          <w:szCs w:val="24"/>
        </w:rPr>
        <w:t>(Commission on Race and Ethnic Disparities, 2021</w:t>
      </w:r>
      <w:r>
        <w:rPr>
          <w:rFonts w:cs="Calibri"/>
          <w:sz w:val="24"/>
          <w:szCs w:val="24"/>
        </w:rPr>
        <w:t>a, p. 27</w:t>
      </w:r>
      <w:r w:rsidRPr="00F2368B">
        <w:rPr>
          <w:rFonts w:cs="Calibri"/>
          <w:sz w:val="24"/>
          <w:szCs w:val="24"/>
        </w:rPr>
        <w:t>)</w:t>
      </w:r>
      <w:r>
        <w:rPr>
          <w:rFonts w:cs="Calibri"/>
          <w:sz w:val="24"/>
          <w:szCs w:val="24"/>
        </w:rPr>
        <w:t xml:space="preserve">. </w:t>
      </w:r>
      <w:r>
        <w:rPr>
          <w:sz w:val="24"/>
          <w:szCs w:val="24"/>
        </w:rPr>
        <w:t xml:space="preserve">Thus, the report’s argument seems to be that institutional racism is a rare occurrence and is an overused term that should only be applied with sufficient evidence. </w:t>
      </w:r>
    </w:p>
    <w:p w:rsidR="00836C90" w:rsidRDefault="00836C90" w:rsidP="00836C90">
      <w:pPr>
        <w:spacing w:after="0" w:line="480" w:lineRule="auto"/>
        <w:rPr>
          <w:sz w:val="24"/>
          <w:szCs w:val="24"/>
        </w:rPr>
      </w:pPr>
    </w:p>
    <w:p w:rsidR="00836C90" w:rsidRDefault="00836C90" w:rsidP="00836C90">
      <w:pPr>
        <w:spacing w:after="0" w:line="480" w:lineRule="auto"/>
        <w:rPr>
          <w:sz w:val="24"/>
          <w:szCs w:val="24"/>
        </w:rPr>
      </w:pPr>
      <w:r>
        <w:rPr>
          <w:sz w:val="24"/>
          <w:szCs w:val="24"/>
        </w:rPr>
        <w:t xml:space="preserve">The report, including its stance on institutional racism, was met with criticism (such as: </w:t>
      </w:r>
      <w:bookmarkStart w:id="109" w:name="_Hlk70934952"/>
      <w:r>
        <w:rPr>
          <w:sz w:val="24"/>
          <w:szCs w:val="24"/>
        </w:rPr>
        <w:t>The Runnymede Trust, 2021a; The BMJ, 2021; Lentin, 2021</w:t>
      </w:r>
      <w:bookmarkEnd w:id="109"/>
      <w:r>
        <w:rPr>
          <w:sz w:val="24"/>
          <w:szCs w:val="24"/>
        </w:rPr>
        <w:t xml:space="preserve">). </w:t>
      </w:r>
      <w:r w:rsidRPr="00A01DC5">
        <w:rPr>
          <w:sz w:val="24"/>
          <w:szCs w:val="24"/>
        </w:rPr>
        <w:t>The UN Working Group of Experts on People of African Descent</w:t>
      </w:r>
      <w:r>
        <w:rPr>
          <w:sz w:val="24"/>
          <w:szCs w:val="24"/>
        </w:rPr>
        <w:t xml:space="preserve"> (United Nations, 2021) have refuted the report’s findings stating that </w:t>
      </w:r>
      <w:r>
        <w:rPr>
          <w:rFonts w:cs="Calibri"/>
          <w:sz w:val="24"/>
          <w:szCs w:val="24"/>
        </w:rPr>
        <w:t>‘</w:t>
      </w:r>
      <w:r w:rsidRPr="006A7783">
        <w:rPr>
          <w:rFonts w:cs="Calibri"/>
          <w:sz w:val="24"/>
          <w:szCs w:val="24"/>
        </w:rPr>
        <w:t>institutional racism, structural invisibility, and longstanding inequalities have disproportionately impacted people of African descent living in the UK</w:t>
      </w:r>
      <w:r>
        <w:rPr>
          <w:rFonts w:cs="Calibri"/>
          <w:sz w:val="24"/>
          <w:szCs w:val="24"/>
        </w:rPr>
        <w:t>’. Overall, they argue that the report is an ‘attempt to normalise white supremacy’ (</w:t>
      </w:r>
      <w:r>
        <w:rPr>
          <w:sz w:val="24"/>
          <w:szCs w:val="24"/>
        </w:rPr>
        <w:t>United Nations, 2021).</w:t>
      </w:r>
    </w:p>
    <w:p w:rsidR="00836C90" w:rsidRPr="009C648A" w:rsidRDefault="00836C90" w:rsidP="00836C90">
      <w:pPr>
        <w:spacing w:after="0" w:line="480" w:lineRule="auto"/>
        <w:rPr>
          <w:sz w:val="24"/>
          <w:szCs w:val="24"/>
        </w:rPr>
      </w:pPr>
    </w:p>
    <w:p w:rsidR="00836C90" w:rsidRDefault="00836C90" w:rsidP="00836C90">
      <w:pPr>
        <w:spacing w:after="0" w:line="480" w:lineRule="auto"/>
        <w:rPr>
          <w:rFonts w:cs="Calibri"/>
          <w:sz w:val="24"/>
          <w:szCs w:val="24"/>
        </w:rPr>
      </w:pPr>
      <w:r>
        <w:rPr>
          <w:rFonts w:cs="Calibri"/>
          <w:sz w:val="24"/>
          <w:szCs w:val="24"/>
        </w:rPr>
        <w:lastRenderedPageBreak/>
        <w:t>Countering the claims presented in the Government commissioned report, The Runnymede Trust’s (2021b, p. 17) own report states that:</w:t>
      </w:r>
    </w:p>
    <w:p w:rsidR="00836C90" w:rsidRDefault="00836C90" w:rsidP="00836C90">
      <w:pPr>
        <w:spacing w:after="0" w:line="240" w:lineRule="auto"/>
        <w:ind w:left="567" w:right="567"/>
        <w:rPr>
          <w:rFonts w:cs="Calibri"/>
          <w:sz w:val="24"/>
          <w:szCs w:val="24"/>
        </w:rPr>
      </w:pPr>
      <w:r w:rsidRPr="00C92C91">
        <w:rPr>
          <w:rFonts w:cs="Calibri"/>
          <w:sz w:val="24"/>
          <w:szCs w:val="24"/>
        </w:rPr>
        <w:t>Structural and institutional racism therefore shape the inequalities faced by Black and ethnic minority people by leading to their disproportionate representation in insecure and low-paid employment, overcrowded housing, and deprived neighbourhoods</w:t>
      </w:r>
      <w:r>
        <w:rPr>
          <w:rFonts w:cs="Calibri"/>
          <w:sz w:val="24"/>
          <w:szCs w:val="24"/>
        </w:rPr>
        <w:t>.</w:t>
      </w:r>
    </w:p>
    <w:p w:rsidR="00836C90" w:rsidRDefault="00836C90" w:rsidP="00836C90">
      <w:pPr>
        <w:spacing w:after="0" w:line="240" w:lineRule="auto"/>
        <w:ind w:right="567"/>
        <w:rPr>
          <w:rFonts w:cs="Calibri"/>
          <w:sz w:val="24"/>
          <w:szCs w:val="24"/>
        </w:rPr>
      </w:pPr>
    </w:p>
    <w:p w:rsidR="00836C90" w:rsidRDefault="00836C90" w:rsidP="00836C90">
      <w:pPr>
        <w:spacing w:after="0" w:line="480" w:lineRule="auto"/>
        <w:ind w:right="567"/>
        <w:rPr>
          <w:rFonts w:cs="Calibri"/>
          <w:sz w:val="24"/>
          <w:szCs w:val="24"/>
        </w:rPr>
      </w:pPr>
      <w:r>
        <w:rPr>
          <w:rFonts w:cs="Calibri"/>
          <w:sz w:val="24"/>
          <w:szCs w:val="24"/>
        </w:rPr>
        <w:t xml:space="preserve">Indeed, a summary of the </w:t>
      </w:r>
      <w:bookmarkStart w:id="110" w:name="_Hlk70931744"/>
      <w:r>
        <w:rPr>
          <w:rFonts w:cs="Calibri"/>
          <w:sz w:val="24"/>
          <w:szCs w:val="24"/>
        </w:rPr>
        <w:t xml:space="preserve">Commission on Race and Ethnic Disparities </w:t>
      </w:r>
      <w:bookmarkEnd w:id="110"/>
      <w:r>
        <w:rPr>
          <w:rFonts w:cs="Calibri"/>
          <w:sz w:val="24"/>
          <w:szCs w:val="24"/>
        </w:rPr>
        <w:t>report published on the government website (2021b) admitted that:</w:t>
      </w:r>
    </w:p>
    <w:p w:rsidR="00836C90" w:rsidRDefault="00836C90" w:rsidP="00836C90">
      <w:pPr>
        <w:spacing w:after="0" w:line="240" w:lineRule="auto"/>
        <w:ind w:left="567" w:right="567"/>
        <w:rPr>
          <w:rFonts w:cs="Calibri"/>
          <w:sz w:val="24"/>
          <w:szCs w:val="24"/>
        </w:rPr>
      </w:pPr>
      <w:r w:rsidRPr="00414E95">
        <w:rPr>
          <w:rFonts w:cs="Calibri"/>
          <w:sz w:val="24"/>
          <w:szCs w:val="24"/>
        </w:rPr>
        <w:t>A considerable number of respondents used terms such as ‘systematic’, ‘systemic’, ‘structural’, ‘institutional’, ‘internalised’, ‘inherent’ and ‘cultural’ racism to describe what they considered to be the cause of ethnic disparities</w:t>
      </w:r>
      <w:r>
        <w:rPr>
          <w:rFonts w:cs="Calibri"/>
          <w:sz w:val="24"/>
          <w:szCs w:val="24"/>
        </w:rPr>
        <w:t>.</w:t>
      </w:r>
    </w:p>
    <w:p w:rsidR="00836C90" w:rsidRDefault="00836C90" w:rsidP="00836C90">
      <w:pPr>
        <w:spacing w:after="0" w:line="240" w:lineRule="auto"/>
        <w:ind w:right="567"/>
        <w:rPr>
          <w:rFonts w:cs="Calibri"/>
          <w:sz w:val="24"/>
          <w:szCs w:val="24"/>
        </w:rPr>
      </w:pPr>
    </w:p>
    <w:p w:rsidR="00836C90" w:rsidRDefault="00836C90" w:rsidP="00836C90">
      <w:pPr>
        <w:spacing w:after="0" w:line="480" w:lineRule="auto"/>
        <w:ind w:right="567"/>
        <w:rPr>
          <w:rFonts w:cs="Calibri"/>
          <w:sz w:val="24"/>
          <w:szCs w:val="24"/>
        </w:rPr>
      </w:pPr>
    </w:p>
    <w:p w:rsidR="00836C90" w:rsidRDefault="00836C90" w:rsidP="00836C90">
      <w:pPr>
        <w:spacing w:after="0" w:line="480" w:lineRule="auto"/>
        <w:ind w:right="567"/>
        <w:rPr>
          <w:rFonts w:cs="Calibri"/>
          <w:sz w:val="24"/>
          <w:szCs w:val="24"/>
        </w:rPr>
      </w:pPr>
      <w:r>
        <w:rPr>
          <w:rFonts w:cs="Calibri"/>
          <w:sz w:val="24"/>
          <w:szCs w:val="24"/>
        </w:rPr>
        <w:t>However, the acknowledgement that those interviewed frequently cited institutional racism as a factor in their experience of racial inequality did not alter the published report which seemed to discredit and minimise institutional racism (</w:t>
      </w:r>
      <w:r w:rsidRPr="00E52095">
        <w:rPr>
          <w:rFonts w:cs="Calibri"/>
          <w:sz w:val="24"/>
          <w:szCs w:val="24"/>
        </w:rPr>
        <w:t>Commission on Race and Ethnic Disparities</w:t>
      </w:r>
      <w:r>
        <w:rPr>
          <w:rFonts w:cs="Calibri"/>
          <w:sz w:val="24"/>
          <w:szCs w:val="24"/>
        </w:rPr>
        <w:t xml:space="preserve">, 2021a). Likewise, a number of academics cited in the report have claimed that their research and opinions were misrepresented (Mohdin, 2021). Using Better’s (2008, p. 11) suggestion that institutional racism can encompass exclusion and neglect, </w:t>
      </w:r>
    </w:p>
    <w:p w:rsidR="00836C90" w:rsidRDefault="00836C90" w:rsidP="00836C90">
      <w:pPr>
        <w:spacing w:after="0" w:line="480" w:lineRule="auto"/>
        <w:ind w:right="567"/>
        <w:rPr>
          <w:rFonts w:cs="Calibri"/>
          <w:sz w:val="24"/>
          <w:szCs w:val="24"/>
        </w:rPr>
      </w:pPr>
      <w:r>
        <w:rPr>
          <w:rFonts w:cs="Calibri"/>
          <w:sz w:val="24"/>
          <w:szCs w:val="24"/>
        </w:rPr>
        <w:t xml:space="preserve">it therefore could be argued that the report itself may be an example of institution racism through the exclusion and neglection of an accurate representation of the people of colour who contributed to it. </w:t>
      </w:r>
    </w:p>
    <w:p w:rsidR="00836C90"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Pr>
          <w:rFonts w:cs="Calibri"/>
          <w:sz w:val="24"/>
          <w:szCs w:val="24"/>
        </w:rPr>
        <w:t xml:space="preserve">Offering a more nuanced understanding of institutional racism as well as </w:t>
      </w:r>
      <w:r w:rsidRPr="00BA2696">
        <w:rPr>
          <w:rFonts w:cs="Calibri"/>
          <w:sz w:val="24"/>
          <w:szCs w:val="24"/>
        </w:rPr>
        <w:t>address</w:t>
      </w:r>
      <w:r>
        <w:rPr>
          <w:rFonts w:cs="Calibri"/>
          <w:sz w:val="24"/>
          <w:szCs w:val="24"/>
        </w:rPr>
        <w:t>ing</w:t>
      </w:r>
      <w:r w:rsidRPr="00BA2696">
        <w:rPr>
          <w:rFonts w:cs="Calibri"/>
          <w:sz w:val="24"/>
          <w:szCs w:val="24"/>
        </w:rPr>
        <w:t xml:space="preserve"> the separation between institutional racism and individual responsibility found in the </w:t>
      </w:r>
      <w:r w:rsidRPr="00BA2696">
        <w:rPr>
          <w:rFonts w:cs="Calibri"/>
          <w:sz w:val="24"/>
          <w:szCs w:val="24"/>
        </w:rPr>
        <w:lastRenderedPageBreak/>
        <w:t>Macpherson (1999) definition</w:t>
      </w:r>
      <w:r>
        <w:rPr>
          <w:rFonts w:cs="Calibri"/>
          <w:sz w:val="24"/>
          <w:szCs w:val="24"/>
        </w:rPr>
        <w:t xml:space="preserve"> and a means to </w:t>
      </w:r>
      <w:r w:rsidRPr="00BA2696">
        <w:rPr>
          <w:rFonts w:cs="Calibri"/>
          <w:sz w:val="24"/>
          <w:szCs w:val="24"/>
        </w:rPr>
        <w:t xml:space="preserve">confront practice and policy (Better, 2008) </w:t>
      </w:r>
      <w:r>
        <w:rPr>
          <w:rFonts w:cs="Calibri"/>
          <w:sz w:val="24"/>
          <w:szCs w:val="24"/>
        </w:rPr>
        <w:t>is</w:t>
      </w:r>
      <w:r w:rsidRPr="00BA2696">
        <w:rPr>
          <w:rFonts w:cs="Calibri"/>
          <w:sz w:val="24"/>
          <w:szCs w:val="24"/>
        </w:rPr>
        <w:t xml:space="preserve"> Phillips (2011) multilevel framework. This is an attempt to tackle institutional racism by situating it within individual and systemic racism, recognising these elements work together and are not separate forms of racial discrimination. It uses the concept of racialisation (see below), to reframe institutional racism as ‘institutional racialisation’. The multilevel framework comprises of three levels: micro (individual, such as face-to-face racism), meso (context, such as institutional practice, socio-economics and policy) and macro (structural, such as globalisation and distribution of resources) (Phillips, 2011). She recommends addressing micro level racism as the first step in tacking institutional racialisation at the meso and macro levels. However, it has been argued that well-intentioned white people are perpetuating institutional racism by being silent and passive about racism (</w:t>
      </w:r>
      <w:bookmarkStart w:id="111" w:name="_Hlk950101"/>
      <w:r w:rsidRPr="00BA2696">
        <w:rPr>
          <w:rFonts w:cs="Calibri"/>
          <w:sz w:val="24"/>
          <w:szCs w:val="24"/>
        </w:rPr>
        <w:t>Trepagnier, 2016</w:t>
      </w:r>
      <w:bookmarkEnd w:id="111"/>
      <w:r w:rsidRPr="00BA2696">
        <w:rPr>
          <w:rFonts w:cs="Calibri"/>
          <w:sz w:val="24"/>
          <w:szCs w:val="24"/>
        </w:rPr>
        <w:t xml:space="preserve">). Indeed, white people are ‘social actors who do not realise they are part of the tapestry of institutional racism’ (Brennan, 2017, p. 210). Since white people are liable to react with strong negative emotions when accused of racism (DiAngelo, 2018), tackling racism at the micro (individual) level may be complex and time-consuming, meaning that the meso (institutional) level remains uncontested. Nonetheless, Phillips (2011) multilevel framework is a useful way to understand how racism can manifest at the micro, meso and macro levels of society and it has been adapted in this research to understand the research findings (Chapter 6, Section 6.7; Chapter 7, Section 7.7). </w:t>
      </w:r>
    </w:p>
    <w:p w:rsidR="00836C90" w:rsidRDefault="00836C90" w:rsidP="00836C90">
      <w:pPr>
        <w:pStyle w:val="Heading4"/>
        <w:spacing w:before="0" w:after="0"/>
      </w:pPr>
    </w:p>
    <w:p w:rsidR="00836C90" w:rsidRDefault="00836C90" w:rsidP="00836C90">
      <w:pPr>
        <w:pStyle w:val="Heading4"/>
        <w:spacing w:before="0" w:after="0"/>
      </w:pPr>
    </w:p>
    <w:p w:rsidR="00836C90" w:rsidRPr="00BA2696" w:rsidRDefault="00836C90" w:rsidP="00836C90">
      <w:pPr>
        <w:pStyle w:val="Heading4"/>
        <w:spacing w:before="0" w:after="0"/>
      </w:pPr>
      <w:r w:rsidRPr="00BA2696">
        <w:t xml:space="preserve">Racialisation </w:t>
      </w:r>
    </w:p>
    <w:p w:rsidR="00836C90" w:rsidRPr="00BA2696" w:rsidRDefault="00836C90" w:rsidP="00836C90">
      <w:pPr>
        <w:spacing w:after="0" w:line="480" w:lineRule="auto"/>
        <w:rPr>
          <w:rFonts w:cs="Calibri"/>
          <w:sz w:val="24"/>
          <w:szCs w:val="24"/>
        </w:rPr>
      </w:pPr>
      <w:r w:rsidRPr="00BA2696">
        <w:rPr>
          <w:rFonts w:cs="Calibri"/>
          <w:sz w:val="24"/>
          <w:szCs w:val="24"/>
        </w:rPr>
        <w:t xml:space="preserve">Phillips’ (2011) framework refers to ‘institutional racialisation’. Racialisation was introduced by Fanon (1967) and expanded by Banton (1977) who both understood it in relation to colonialisation, power and dominance. However, it has been argued that the concept is too broad, in both theory and application, meaning racialisation does not allow for an unequivocal definition </w:t>
      </w:r>
      <w:bookmarkStart w:id="112" w:name="_Hlk62824262"/>
      <w:r w:rsidRPr="00BA2696">
        <w:rPr>
          <w:rFonts w:cs="Calibri"/>
          <w:sz w:val="24"/>
          <w:szCs w:val="24"/>
        </w:rPr>
        <w:t>(Murji and Solomos, 2005; Garner, 2017)</w:t>
      </w:r>
      <w:bookmarkEnd w:id="112"/>
      <w:r w:rsidRPr="00BA2696">
        <w:rPr>
          <w:rFonts w:cs="Calibri"/>
          <w:sz w:val="24"/>
          <w:szCs w:val="24"/>
        </w:rPr>
        <w:t xml:space="preserve">. For the purposes of this thesis, the understanding of the term comes from Garner’s (2017) differentiation between ‘race’, racism and racialisation: with ‘race’ being focused on categorisation, racism regarding the consequences of those categories and racialisation relating to the ongoing, mutable process of racial categorisation. Racialisation recognises that the generalisations applied to certain groups can be complex and both can be used to seemingly praise and denigrate entire groups not racialised as white. </w:t>
      </w:r>
      <w:bookmarkStart w:id="113" w:name="_Hlk855254"/>
      <w:r w:rsidRPr="00BA2696">
        <w:rPr>
          <w:rFonts w:cs="Calibri"/>
          <w:sz w:val="24"/>
          <w:szCs w:val="24"/>
        </w:rPr>
        <w:t>Generalisations are based upon perceived behaviours, characteristics and cultural values</w:t>
      </w:r>
      <w:bookmarkEnd w:id="113"/>
      <w:r w:rsidRPr="00BA2696">
        <w:rPr>
          <w:rFonts w:cs="Calibri"/>
          <w:sz w:val="24"/>
          <w:szCs w:val="24"/>
        </w:rPr>
        <w:t xml:space="preserve"> and are placed on whole groups of people without their consent by the dominant group (i.e., white people) (Garner, 2017). However, the generalisations are historically contingent, changing over time depending on the needs of the dominant group. For example, the racialisation of Muslims</w:t>
      </w:r>
      <w:r>
        <w:rPr>
          <w:rFonts w:cs="Calibri"/>
          <w:sz w:val="24"/>
          <w:szCs w:val="24"/>
        </w:rPr>
        <w:t xml:space="preserve"> post 9/11</w:t>
      </w:r>
      <w:r w:rsidRPr="00BA2696">
        <w:rPr>
          <w:rFonts w:cs="Calibri"/>
          <w:sz w:val="24"/>
          <w:szCs w:val="24"/>
        </w:rPr>
        <w:t xml:space="preserve"> meant that the dominant group’s (white) perception changed from Muslims being perceived as the exotic ‘Other’ to dangerous (Delgado and Stefancic, 2017). Minority groups can also self-racialise as a means of regaining power from the dominant group, such as in the Black Power movement (Carmichael and Hamilton, 1967; Garner, 2017).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lastRenderedPageBreak/>
        <w:t xml:space="preserve">Research has shown how racialisation can affect ideas of belonging and is relevant to current political issues. Garner (2012) considered the relationship between class, whiteness and racialisation by conducting 450 interviews over a 6-year period in provincial English cities. It was found that although white working classes were constrained in their power, they did possess the ability to ‘discursively include or exclude from nation/community, for it was they who construct the “we”’ (Garner, 2012, p. 460). It is this racialised understanding of ‘nation’ that shapes wider national discussion around the topic. To that end, Mondon and Winter (2018) used racialisation to understand the white working classes in the United Kingdom and North America within the context of Brexit and Donald Trump’s presidency. They argue this populist racialisation, implemented by campaigners and reinforced by media commentators, resulted in the legitimisation of whiteness as an identity, normalised racism and the far right, delegitimised black and ethnic minorities lived experiences and failed to recognise the diversity of the working-classes. </w:t>
      </w:r>
      <w:bookmarkStart w:id="114" w:name="_Hlk62824601"/>
      <w:r w:rsidRPr="00BA2696">
        <w:rPr>
          <w:rFonts w:cs="Calibri"/>
          <w:sz w:val="24"/>
          <w:szCs w:val="24"/>
        </w:rPr>
        <w:t xml:space="preserve">This reveals how racialisation was used in the political realm to reinforce the white dominant status and subordinate the experiences and voices of the ‘Other’. </w:t>
      </w:r>
      <w:bookmarkEnd w:id="114"/>
      <w:r w:rsidRPr="00BA2696">
        <w:rPr>
          <w:rFonts w:cs="Calibri"/>
          <w:sz w:val="24"/>
          <w:szCs w:val="24"/>
        </w:rPr>
        <w:t xml:space="preserve">However, it has been put forward this racialising of nationalism does not originate from a sense of superiority but from a place of inferiority stemming from a sense of loss over a world that is recognisable to white working-class voters (Virdee and McGeever, 2017).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sz w:val="24"/>
          <w:szCs w:val="24"/>
        </w:rPr>
      </w:pPr>
      <w:r w:rsidRPr="00BA2696">
        <w:rPr>
          <w:rFonts w:cs="Calibri"/>
          <w:sz w:val="24"/>
          <w:szCs w:val="24"/>
        </w:rPr>
        <w:t xml:space="preserve">Therefore, although racialisation can be difficult to define (Murji and Solomos, 2005; Garner, 2017) it involves an ongoing process which seeks to assert dominance through categorising and re-categorising people of colour in terms that are beneficial to </w:t>
      </w:r>
      <w:r w:rsidRPr="00BA2696">
        <w:rPr>
          <w:rFonts w:cs="Calibri"/>
          <w:sz w:val="24"/>
          <w:szCs w:val="24"/>
        </w:rPr>
        <w:lastRenderedPageBreak/>
        <w:t xml:space="preserve">upholding white supremacy (Garner, 2017). Contemporary examples of this include Brexit and Donald Trump’s presidency whereby nationalistic rhetoric (Mondon and Winter, 2018; Virdee and McGeever, 2017; </w:t>
      </w:r>
      <w:r w:rsidRPr="00BA2696">
        <w:rPr>
          <w:sz w:val="24"/>
          <w:szCs w:val="24"/>
        </w:rPr>
        <w:t xml:space="preserve">Gusterson, 2017) was underpinned through racialising the ‘Other’. </w:t>
      </w:r>
    </w:p>
    <w:p w:rsidR="00836C90" w:rsidRPr="00BA2696" w:rsidRDefault="00836C90" w:rsidP="00836C90">
      <w:pPr>
        <w:spacing w:after="0" w:line="480" w:lineRule="auto"/>
        <w:rPr>
          <w:sz w:val="24"/>
          <w:szCs w:val="24"/>
        </w:rPr>
      </w:pPr>
    </w:p>
    <w:p w:rsidR="00836C90" w:rsidRPr="00BA2696" w:rsidRDefault="00836C90" w:rsidP="00836C90">
      <w:pPr>
        <w:spacing w:after="0" w:line="480" w:lineRule="auto"/>
        <w:rPr>
          <w:sz w:val="24"/>
          <w:szCs w:val="24"/>
        </w:rPr>
      </w:pPr>
      <w:r w:rsidRPr="00BA2696">
        <w:rPr>
          <w:sz w:val="24"/>
          <w:szCs w:val="24"/>
        </w:rPr>
        <w:t xml:space="preserve">Racialisation was identified in this research and evidenced by some research participants who considered what it would be like to work with a Muslim client. Generalisations (such as gender stereotypes) were placed upon the imagined client and were interpreted as being a potential barrier to effective counselling practice. This will be explored in Chapter 5 (Sections 5.5 and 5.6) and Chapter 6 (Sections 6.3 and 6.6). </w:t>
      </w:r>
    </w:p>
    <w:p w:rsidR="00836C90" w:rsidRPr="00BA2696" w:rsidRDefault="00836C90" w:rsidP="00836C90">
      <w:pPr>
        <w:spacing w:after="0" w:line="480" w:lineRule="auto"/>
        <w:rPr>
          <w:rFonts w:cs="Calibri"/>
          <w:i/>
          <w:sz w:val="24"/>
          <w:szCs w:val="24"/>
        </w:rPr>
      </w:pPr>
    </w:p>
    <w:p w:rsidR="00836C90" w:rsidRPr="00BA2696" w:rsidRDefault="00836C90" w:rsidP="00836C90">
      <w:pPr>
        <w:pStyle w:val="Heading4"/>
        <w:spacing w:before="0" w:after="0"/>
      </w:pPr>
      <w:r w:rsidRPr="00BA2696">
        <w:t xml:space="preserve">Colour-blind Racism </w:t>
      </w:r>
    </w:p>
    <w:p w:rsidR="00836C90" w:rsidRPr="00BA2696" w:rsidRDefault="00836C90" w:rsidP="00836C90">
      <w:pPr>
        <w:spacing w:after="0" w:line="480" w:lineRule="auto"/>
        <w:rPr>
          <w:sz w:val="24"/>
          <w:szCs w:val="24"/>
        </w:rPr>
      </w:pPr>
      <w:r w:rsidRPr="00BA2696">
        <w:rPr>
          <w:rFonts w:cs="Calibri"/>
          <w:sz w:val="24"/>
          <w:szCs w:val="24"/>
        </w:rPr>
        <w:t>Although racialisation was identified in the research findings, colour-blind racism was more prevalent and expressed by the participants as a way to demonstrate they were not racist (</w:t>
      </w:r>
      <w:r w:rsidRPr="00BA2696">
        <w:rPr>
          <w:sz w:val="24"/>
          <w:szCs w:val="24"/>
        </w:rPr>
        <w:t xml:space="preserve">Chapter 5, Section 5.4; Chapter 6, Sections 6.5, 6.6; 6.7 and Chapter 7, Sections 7.5, 7.7). As the British-Ethiopian poet Sissay (2017, p. 108) describes in his poem ‘Colour Blind’, which is reproduced at the start of this thesis, colour-blindness has an inherent fallacy, because white people who are able to see the colour in the world around them may also claim to not see it in people of colour. This has been termed </w:t>
      </w:r>
      <w:r w:rsidRPr="00BA2696">
        <w:rPr>
          <w:rFonts w:cs="Calibri"/>
          <w:sz w:val="24"/>
          <w:szCs w:val="24"/>
        </w:rPr>
        <w:t xml:space="preserve">colour-blind racism, an example of ‘new racism’ given its covert nature. It is described as ‘racism without racists’ </w:t>
      </w:r>
      <w:bookmarkStart w:id="115" w:name="_Hlk52874122"/>
      <w:r w:rsidRPr="00BA2696">
        <w:rPr>
          <w:rFonts w:cs="Calibri"/>
          <w:sz w:val="24"/>
          <w:szCs w:val="24"/>
        </w:rPr>
        <w:t>(Bonilla-Silva, 2018, p. 57)</w:t>
      </w:r>
      <w:bookmarkEnd w:id="115"/>
      <w:r w:rsidRPr="00BA2696">
        <w:rPr>
          <w:rFonts w:cs="Calibri"/>
          <w:sz w:val="24"/>
          <w:szCs w:val="24"/>
        </w:rPr>
        <w:t xml:space="preserve">, as those who claim to be colour-blind would not think of themselves as racist, rather colour-blindness is seen </w:t>
      </w:r>
      <w:r w:rsidRPr="00BA2696">
        <w:rPr>
          <w:rFonts w:cs="Calibri"/>
          <w:sz w:val="24"/>
          <w:szCs w:val="24"/>
        </w:rPr>
        <w:lastRenderedPageBreak/>
        <w:t xml:space="preserve">as evidence of not being racist. In 2003, Bonilla-Silva presented his theory of colour-blind racism (2003; </w:t>
      </w:r>
      <w:bookmarkStart w:id="116" w:name="_Hlk18051737"/>
      <w:r w:rsidRPr="00BA2696">
        <w:rPr>
          <w:rFonts w:cs="Calibri"/>
          <w:sz w:val="24"/>
          <w:szCs w:val="24"/>
        </w:rPr>
        <w:t>2018</w:t>
      </w:r>
      <w:bookmarkEnd w:id="116"/>
      <w:r>
        <w:rPr>
          <w:rFonts w:cs="Calibri"/>
          <w:sz w:val="24"/>
          <w:szCs w:val="24"/>
        </w:rPr>
        <w:t>; summarised in Table 7</w:t>
      </w:r>
      <w:r w:rsidRPr="00BA2696">
        <w:rPr>
          <w:rFonts w:cs="Calibri"/>
          <w:sz w:val="24"/>
          <w:szCs w:val="24"/>
        </w:rPr>
        <w:t>) in which he argues that this form of racism is used by the majority of white people and comprises of four ‘frames’:</w:t>
      </w:r>
    </w:p>
    <w:p w:rsidR="00836C90" w:rsidRPr="00BA2696" w:rsidRDefault="00836C90" w:rsidP="00836C90">
      <w:pPr>
        <w:spacing w:after="0" w:line="480" w:lineRule="auto"/>
        <w:rPr>
          <w:rStyle w:val="SubtleEmphasis"/>
        </w:rPr>
      </w:pPr>
    </w:p>
    <w:p w:rsidR="00836C90" w:rsidRPr="009C3ADD" w:rsidRDefault="00836C90" w:rsidP="00836C90">
      <w:pPr>
        <w:pStyle w:val="Caption"/>
        <w:keepNext/>
        <w:rPr>
          <w:sz w:val="24"/>
          <w:szCs w:val="24"/>
        </w:rPr>
      </w:pPr>
      <w:bookmarkStart w:id="117" w:name="_Toc72253521"/>
      <w:bookmarkStart w:id="118" w:name="_Toc72253843"/>
      <w:bookmarkStart w:id="119" w:name="_Toc72253865"/>
      <w:bookmarkStart w:id="120" w:name="_Toc72324668"/>
      <w:bookmarkStart w:id="121" w:name="_Hlk67127453"/>
      <w:r w:rsidRPr="009C3ADD">
        <w:rPr>
          <w:sz w:val="24"/>
          <w:szCs w:val="24"/>
        </w:rPr>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7</w:t>
      </w:r>
      <w:r w:rsidRPr="009C3ADD">
        <w:rPr>
          <w:sz w:val="24"/>
          <w:szCs w:val="24"/>
        </w:rPr>
        <w:fldChar w:fldCharType="end"/>
      </w:r>
      <w:r w:rsidRPr="009C3ADD">
        <w:rPr>
          <w:sz w:val="24"/>
          <w:szCs w:val="24"/>
        </w:rPr>
        <w:t xml:space="preserve"> Summary of Bonilla-Silva’s (2018) Four Frames of Colour-blind racism</w:t>
      </w:r>
      <w:bookmarkEnd w:id="117"/>
      <w:bookmarkEnd w:id="118"/>
      <w:bookmarkEnd w:id="119"/>
      <w:bookmarkEnd w:id="120"/>
    </w:p>
    <w:tbl>
      <w:tblPr>
        <w:tblW w:w="9016" w:type="dxa"/>
        <w:tblBorders>
          <w:top w:val="double" w:sz="4" w:space="0" w:color="auto"/>
          <w:bottom w:val="double" w:sz="4" w:space="0" w:color="auto"/>
          <w:insideH w:val="single" w:sz="6" w:space="0" w:color="auto"/>
          <w:insideV w:val="single" w:sz="6" w:space="0" w:color="auto"/>
        </w:tblBorders>
        <w:tblCellMar>
          <w:left w:w="10" w:type="dxa"/>
          <w:right w:w="10" w:type="dxa"/>
        </w:tblCellMar>
        <w:tblLook w:val="04A0" w:firstRow="1" w:lastRow="0" w:firstColumn="1" w:lastColumn="0" w:noHBand="0" w:noVBand="1"/>
      </w:tblPr>
      <w:tblGrid>
        <w:gridCol w:w="2660"/>
        <w:gridCol w:w="6356"/>
      </w:tblGrid>
      <w:tr w:rsidR="00836C90" w:rsidRPr="00BA2696" w:rsidTr="00C75158">
        <w:tc>
          <w:tcPr>
            <w:tcW w:w="2660" w:type="dxa"/>
            <w:shd w:val="clear" w:color="auto" w:fill="auto"/>
            <w:tcMar>
              <w:top w:w="0" w:type="dxa"/>
              <w:left w:w="108" w:type="dxa"/>
              <w:bottom w:w="0" w:type="dxa"/>
              <w:right w:w="108" w:type="dxa"/>
            </w:tcMar>
          </w:tcPr>
          <w:bookmarkEnd w:id="121"/>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Frame </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 xml:space="preserve">Description </w:t>
            </w:r>
          </w:p>
        </w:tc>
      </w:tr>
      <w:tr w:rsidR="00836C90" w:rsidRPr="00BA2696" w:rsidTr="00C75158">
        <w:tc>
          <w:tcPr>
            <w:tcW w:w="266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Abstract Liberalism</w:t>
            </w:r>
          </w:p>
        </w:tc>
        <w:tc>
          <w:tcPr>
            <w:tcW w:w="635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The foundation of new racism. Based on the tenets of liberalism, a belief in ‘everybody is equal’, ignoring the reality of minority inequality (such as in education and criminal justice).</w:t>
            </w:r>
          </w:p>
        </w:tc>
      </w:tr>
      <w:tr w:rsidR="00836C90" w:rsidRPr="00BA2696" w:rsidTr="00C75158">
        <w:tc>
          <w:tcPr>
            <w:tcW w:w="266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Naturalisation</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Echoes biological racism by claiming it is natural for groups to prefer associating with those like themselves.</w:t>
            </w:r>
          </w:p>
        </w:tc>
      </w:tr>
      <w:tr w:rsidR="00836C90" w:rsidRPr="00BA2696" w:rsidTr="00C75158">
        <w:tc>
          <w:tcPr>
            <w:tcW w:w="2660"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Cultural Racism</w:t>
            </w:r>
          </w:p>
        </w:tc>
        <w:tc>
          <w:tcPr>
            <w:tcW w:w="6356"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Uses culturally centred statements to generalise whole groups as a rationale for that groups’ lack of racial progress.</w:t>
            </w:r>
          </w:p>
        </w:tc>
      </w:tr>
      <w:tr w:rsidR="00836C90" w:rsidRPr="00BA2696" w:rsidTr="00C75158">
        <w:tc>
          <w:tcPr>
            <w:tcW w:w="2660"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4"/>
                <w:szCs w:val="24"/>
              </w:rPr>
            </w:pPr>
            <w:r w:rsidRPr="00BA2696">
              <w:rPr>
                <w:rFonts w:cs="Calibri"/>
                <w:b/>
                <w:bCs/>
                <w:sz w:val="24"/>
                <w:szCs w:val="24"/>
              </w:rPr>
              <w:t>Minimisation</w:t>
            </w:r>
          </w:p>
        </w:tc>
        <w:tc>
          <w:tcPr>
            <w:tcW w:w="6356"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4"/>
                <w:szCs w:val="24"/>
              </w:rPr>
            </w:pPr>
            <w:r w:rsidRPr="00BA2696">
              <w:rPr>
                <w:rFonts w:cs="Calibri"/>
                <w:sz w:val="24"/>
                <w:szCs w:val="24"/>
              </w:rPr>
              <w:t>Minimises the realities and consequences of discrimination. Understands racism only in explicit, overt forms.</w:t>
            </w:r>
          </w:p>
        </w:tc>
      </w:tr>
    </w:tbl>
    <w:p w:rsidR="00836C90" w:rsidRPr="00BA2696" w:rsidRDefault="00836C90" w:rsidP="00836C90">
      <w:pPr>
        <w:spacing w:after="0" w:line="480" w:lineRule="auto"/>
        <w:jc w:val="right"/>
        <w:rPr>
          <w:rFonts w:cs="Calibri"/>
          <w:sz w:val="24"/>
          <w:szCs w:val="24"/>
        </w:rPr>
      </w:pPr>
      <w:r w:rsidRPr="00BA2696">
        <w:rPr>
          <w:rFonts w:cs="Calibri"/>
          <w:sz w:val="24"/>
          <w:szCs w:val="24"/>
        </w:rPr>
        <w:t>(</w:t>
      </w:r>
      <w:r w:rsidRPr="00BA2696">
        <w:rPr>
          <w:rFonts w:cs="Calibri"/>
          <w:i/>
          <w:sz w:val="24"/>
          <w:szCs w:val="24"/>
        </w:rPr>
        <w:t>adapted from</w:t>
      </w:r>
      <w:r w:rsidRPr="00BA2696">
        <w:rPr>
          <w:rFonts w:cs="Calibri"/>
          <w:sz w:val="24"/>
          <w:szCs w:val="24"/>
        </w:rPr>
        <w:t xml:space="preserve"> Bonilla-Silva, 2018, pp. 54-74)</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The frames are fluid and interact, making it challenging to distinguish the specific frame being used (</w:t>
      </w:r>
      <w:bookmarkStart w:id="122" w:name="_Hlk1042694"/>
      <w:r w:rsidRPr="00BA2696">
        <w:rPr>
          <w:rFonts w:cs="Calibri"/>
          <w:sz w:val="24"/>
          <w:szCs w:val="24"/>
        </w:rPr>
        <w:t>Bonilla-Silva, 2018</w:t>
      </w:r>
      <w:bookmarkEnd w:id="122"/>
      <w:r w:rsidRPr="00BA2696">
        <w:rPr>
          <w:rFonts w:cs="Calibri"/>
          <w:sz w:val="24"/>
          <w:szCs w:val="24"/>
        </w:rPr>
        <w:t xml:space="preserve">). An example of this would be the statement: ‘I believe we’re all equal because discrimination is no longer that bad’. This statement includes both abstract liberalism and minimisation. Wise (2010) presents what he terms post-racial liberalism, akin to abstract liberalism, which he claims reduces focus on racial discrimination, instead preferring to advocate universal solutions for inequality for all people. Post-racial liberalism, Wise (2010) posits, is a form of colour-blind racism which serves two functions. Firstly, it contains the belief that inequality is not based on ‘race’ but rather economics, and secondly, it permits a lack of support from whites for policies that address inequality and promote opportunity for people of </w:t>
      </w:r>
      <w:r w:rsidRPr="00BA2696">
        <w:rPr>
          <w:rFonts w:cs="Calibri"/>
          <w:sz w:val="24"/>
          <w:szCs w:val="24"/>
        </w:rPr>
        <w:lastRenderedPageBreak/>
        <w:t xml:space="preserve">colour. In doing so, racism is sustained and further entrenched through minimising the importance of ‘race’ (Wise, 2010). Colour-blind racism is often enacted by individuals who believe they are unbiased in regard to ‘race’, but this attitude can lead to feelings of isolation for people of colour and stifles discussion around ‘race’ and racism (Burke, 2019).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Recent research has presented a fifth frame to add to Bonilla-Silva’s (2018) colour-blind model. Termed the ‘disconnected power-analysis frame’ (Jayakumar and Adamian, 2017) it relates to how white people who are developing their racial identity and a burgeoning knowledge of racism, reconstruct their colour-blind attitudes. This reconstruction facilitates the avoidance of negative feelings and ultimately aids the continuation of white supremacy </w:t>
      </w:r>
      <w:bookmarkStart w:id="123" w:name="_Hlk1044747"/>
      <w:r w:rsidRPr="00BA2696">
        <w:rPr>
          <w:rFonts w:cs="Calibri"/>
          <w:sz w:val="24"/>
          <w:szCs w:val="24"/>
        </w:rPr>
        <w:t xml:space="preserve">(Jayakumar and Adamian, 2017). </w:t>
      </w:r>
      <w:bookmarkEnd w:id="123"/>
      <w:r w:rsidRPr="00BA2696">
        <w:rPr>
          <w:rFonts w:cs="Calibri"/>
          <w:sz w:val="24"/>
          <w:szCs w:val="24"/>
        </w:rPr>
        <w:t xml:space="preserve">The research was carried out via semi-structured interviews with 18 white, North American students who attend ‘Historically Black Colleges and Universities’. Although the interviewer was white, a deliberate choice to allow the participants a sense of safety to be open with their opinions, the researchers were women of colour and they analysed the data. The researchers reflexively note that they often had to step away from the data as the participants’ comments were triggering to them (Jayakumar and Adamian, 2017). This research is insightful in two ways: the findings which show how even when confronted with ‘race’ and racism in black dominated spaces, the white participants adapted their attitudes to feel they were on the one hand learning, but on the other hand protected themselves from uncomfortable feelings. The other insight is the reflexivity of </w:t>
      </w:r>
      <w:r>
        <w:rPr>
          <w:rFonts w:cs="Calibri"/>
          <w:sz w:val="24"/>
          <w:szCs w:val="24"/>
        </w:rPr>
        <w:t xml:space="preserve">the </w:t>
      </w:r>
      <w:r w:rsidRPr="00BA2696">
        <w:rPr>
          <w:rFonts w:cs="Calibri"/>
          <w:sz w:val="24"/>
          <w:szCs w:val="24"/>
        </w:rPr>
        <w:lastRenderedPageBreak/>
        <w:t xml:space="preserve">researchers regarding the personal effect the data analysis had which illustrates how researching ‘race’ and racism can be emotionally challenging.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A North American quantitative research study has presented a fresh perspective on colour-blindness. In an online survey with 2521 white, African-American and Hispanic participants, </w:t>
      </w:r>
      <w:bookmarkStart w:id="124" w:name="_Hlk52875919"/>
      <w:r w:rsidRPr="00BA2696">
        <w:rPr>
          <w:rFonts w:cs="Calibri"/>
          <w:sz w:val="24"/>
          <w:szCs w:val="24"/>
        </w:rPr>
        <w:t xml:space="preserve">Hartmann </w:t>
      </w:r>
      <w:r w:rsidRPr="00BA2696">
        <w:rPr>
          <w:rFonts w:cs="Calibri"/>
          <w:i/>
          <w:iCs/>
          <w:sz w:val="24"/>
          <w:szCs w:val="24"/>
        </w:rPr>
        <w:t>et al</w:t>
      </w:r>
      <w:r w:rsidRPr="00BA2696">
        <w:rPr>
          <w:rFonts w:cs="Calibri"/>
          <w:sz w:val="24"/>
          <w:szCs w:val="24"/>
        </w:rPr>
        <w:t xml:space="preserve"> (2017) </w:t>
      </w:r>
      <w:bookmarkEnd w:id="124"/>
      <w:r w:rsidRPr="00BA2696">
        <w:rPr>
          <w:rFonts w:cs="Calibri"/>
          <w:sz w:val="24"/>
          <w:szCs w:val="24"/>
        </w:rPr>
        <w:t>found that more than 70% of respondents agreed or strongly agreed with the statement</w:t>
      </w:r>
      <w:bookmarkStart w:id="125" w:name="_Hlk9582731"/>
      <w:r w:rsidRPr="00BA2696">
        <w:rPr>
          <w:rFonts w:cs="Calibri"/>
          <w:sz w:val="24"/>
          <w:szCs w:val="24"/>
        </w:rPr>
        <w:t>: ‘I’m colorblind (</w:t>
      </w:r>
      <w:r w:rsidRPr="00BA2696">
        <w:rPr>
          <w:rFonts w:cs="Calibri"/>
          <w:i/>
          <w:sz w:val="24"/>
          <w:szCs w:val="24"/>
        </w:rPr>
        <w:t>sic</w:t>
      </w:r>
      <w:r w:rsidRPr="00BA2696">
        <w:rPr>
          <w:rFonts w:cs="Calibri"/>
          <w:sz w:val="24"/>
          <w:szCs w:val="24"/>
        </w:rPr>
        <w:t xml:space="preserve">) – that is, I don’t see race’ </w:t>
      </w:r>
      <w:bookmarkStart w:id="126" w:name="_Hlk7345487"/>
      <w:r w:rsidRPr="00BA2696">
        <w:rPr>
          <w:rFonts w:cs="Calibri"/>
          <w:sz w:val="24"/>
          <w:szCs w:val="24"/>
        </w:rPr>
        <w:t xml:space="preserve">(Hartmann </w:t>
      </w:r>
      <w:r w:rsidRPr="00BA2696">
        <w:rPr>
          <w:rFonts w:cs="Calibri"/>
          <w:i/>
          <w:iCs/>
          <w:sz w:val="24"/>
          <w:szCs w:val="24"/>
        </w:rPr>
        <w:t>et al</w:t>
      </w:r>
      <w:r w:rsidRPr="00BA2696">
        <w:rPr>
          <w:rFonts w:cs="Calibri"/>
          <w:sz w:val="24"/>
          <w:szCs w:val="24"/>
        </w:rPr>
        <w:t>, p. 871)</w:t>
      </w:r>
      <w:bookmarkEnd w:id="125"/>
      <w:r w:rsidRPr="00BA2696">
        <w:rPr>
          <w:rFonts w:cs="Calibri"/>
          <w:sz w:val="24"/>
          <w:szCs w:val="24"/>
        </w:rPr>
        <w:t xml:space="preserve">. </w:t>
      </w:r>
      <w:bookmarkEnd w:id="126"/>
      <w:r w:rsidRPr="00BA2696">
        <w:rPr>
          <w:rFonts w:cs="Calibri"/>
          <w:sz w:val="24"/>
          <w:szCs w:val="24"/>
        </w:rPr>
        <w:t xml:space="preserve">Hispanics were more likely to agree with the statement and African-Americans more likely to strongly disagree. The researchers concluded from their study that such willingness to admit to colour-blindness suggests that it has become an aspect of self-identity as opposed to a theory to be identified with. However, the study would benefit from qualitative methods to glean further insight, particularly how participants came to learn that not seeing ‘race’ was a positive characteristic. Hartmann </w:t>
      </w:r>
      <w:r w:rsidRPr="00BA2696">
        <w:rPr>
          <w:rFonts w:cs="Calibri"/>
          <w:i/>
          <w:iCs/>
          <w:sz w:val="24"/>
          <w:szCs w:val="24"/>
        </w:rPr>
        <w:t>et al</w:t>
      </w:r>
      <w:r w:rsidRPr="00BA2696">
        <w:rPr>
          <w:rFonts w:cs="Calibri"/>
          <w:sz w:val="24"/>
          <w:szCs w:val="24"/>
        </w:rPr>
        <w:t xml:space="preserve"> (2017) acknowledge the statement used in the research itself is problematic as it associates colour-blindness with ‘race’. On one the hand, the statement: ‘I’m colorblind (</w:t>
      </w:r>
      <w:r w:rsidRPr="00BA2696">
        <w:rPr>
          <w:rFonts w:cs="Calibri"/>
          <w:i/>
          <w:sz w:val="24"/>
          <w:szCs w:val="24"/>
        </w:rPr>
        <w:t>sic</w:t>
      </w:r>
      <w:r w:rsidRPr="00BA2696">
        <w:rPr>
          <w:rFonts w:cs="Calibri"/>
          <w:sz w:val="24"/>
          <w:szCs w:val="24"/>
        </w:rPr>
        <w:t xml:space="preserve">) – that is, I don’t see race’ (Hartmann </w:t>
      </w:r>
      <w:r w:rsidRPr="00BA2696">
        <w:rPr>
          <w:rFonts w:cs="Calibri"/>
          <w:i/>
          <w:iCs/>
          <w:sz w:val="24"/>
          <w:szCs w:val="24"/>
        </w:rPr>
        <w:t>et al</w:t>
      </w:r>
      <w:r w:rsidRPr="00BA2696">
        <w:rPr>
          <w:rFonts w:cs="Calibri"/>
          <w:sz w:val="24"/>
          <w:szCs w:val="24"/>
        </w:rPr>
        <w:t xml:space="preserve">, 2017, p. 871) provided the participants with a definition in order to answer the question but it does not qualitatively explore that different people and different ‘races’ may attach different semantic meaning to the word ‘colour-blind’. Discussing Hartmann </w:t>
      </w:r>
      <w:r w:rsidRPr="00BA2696">
        <w:rPr>
          <w:rFonts w:cs="Calibri"/>
          <w:i/>
          <w:iCs/>
          <w:sz w:val="24"/>
          <w:szCs w:val="24"/>
        </w:rPr>
        <w:t>et al</w:t>
      </w:r>
      <w:r w:rsidRPr="00BA2696">
        <w:rPr>
          <w:rFonts w:cs="Calibri"/>
          <w:sz w:val="24"/>
          <w:szCs w:val="24"/>
        </w:rPr>
        <w:t xml:space="preserve"> (2017), Burke (2019) recognises the nuance in colour-blindness, that it can change form and expression across racial and political groups, and:</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 xml:space="preserve">if someone says they are colour-blind, this can be an expression of moral commitment to antiracism as much as it can be a defence of the racist status quo (Burke, 2019, p. 22).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Despite this, it is striking that 70% of participants in Hartmann </w:t>
      </w:r>
      <w:r w:rsidRPr="00BA2696">
        <w:rPr>
          <w:rFonts w:cs="Calibri"/>
          <w:i/>
          <w:iCs/>
          <w:sz w:val="24"/>
          <w:szCs w:val="24"/>
        </w:rPr>
        <w:t>et al</w:t>
      </w:r>
      <w:r>
        <w:rPr>
          <w:rFonts w:cs="Calibri"/>
          <w:i/>
          <w:iCs/>
          <w:sz w:val="24"/>
          <w:szCs w:val="24"/>
        </w:rPr>
        <w:t>’s</w:t>
      </w:r>
      <w:r w:rsidRPr="00BA2696">
        <w:rPr>
          <w:rFonts w:cs="Calibri"/>
          <w:sz w:val="24"/>
          <w:szCs w:val="24"/>
        </w:rPr>
        <w:t xml:space="preserve"> (2017) research openly agreed to be</w:t>
      </w:r>
      <w:r>
        <w:rPr>
          <w:rFonts w:cs="Calibri"/>
          <w:sz w:val="24"/>
          <w:szCs w:val="24"/>
        </w:rPr>
        <w:t>ing</w:t>
      </w:r>
      <w:r w:rsidRPr="00BA2696">
        <w:rPr>
          <w:rFonts w:cs="Calibri"/>
          <w:sz w:val="24"/>
          <w:szCs w:val="24"/>
        </w:rPr>
        <w:t xml:space="preserve"> colour-blind which indicates that it is regarded positively. Likewise, colour-blindness as the preferable way of understanding ‘race’, was demonstrated in a report submitted by UK Government to the United Nations Committee on the Elimination of Racial Discrimination (United Nations, 2015) which stated: </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We believe it is a mistake to see inequalities only in terms of race and ethnic origin, since socio-economic status and poverty affect people’s chances in life, regardless of racial or ethnic background. We have therefore made a deliberate shift away from interventions specifically on the basis of race or ethnicity, and towards increasing the impact of mainstream policies and programmes for disadvantaged communities, in disadvantaged areas (p. 5)</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Citing this statement, </w:t>
      </w:r>
      <w:bookmarkStart w:id="127" w:name="_Hlk52876216"/>
      <w:r w:rsidRPr="00BA2696">
        <w:rPr>
          <w:rFonts w:cs="Calibri"/>
          <w:sz w:val="24"/>
          <w:szCs w:val="24"/>
        </w:rPr>
        <w:t>The Runnymede Trust (2016a), a ‘race’ equality think tank, accused the government of being colour-blind due to its explicit statement of prioritising socio-economic considerations and actively moving away from ‘race’ specific interventions.</w:t>
      </w:r>
      <w:bookmarkEnd w:id="127"/>
      <w:r w:rsidRPr="00BA2696">
        <w:rPr>
          <w:rFonts w:cs="Calibri"/>
          <w:sz w:val="24"/>
          <w:szCs w:val="24"/>
        </w:rPr>
        <w:t xml:space="preserve"> Therefore, in this statement, the UK Government itself seems to encompass two of the three forms of racism considered. Institutional racism can be applied when applying the Macpherson (1999, 6.34) definition, specifically the attitudes and behaviours that result in discrimination through unwitting ignorance. This discrimination born of ignorance relates to Bonilla-Silva’s (2018) abstract liberalism and minimisation frames of colour-blind racism in that it promotes the notion of equality via socio-economic means (i.e., people will experience the same opportunities if economic barriers are removed). Such a stance minimises the impact </w:t>
      </w:r>
      <w:r w:rsidRPr="00BA2696">
        <w:rPr>
          <w:rFonts w:cs="Calibri"/>
          <w:sz w:val="24"/>
          <w:szCs w:val="24"/>
        </w:rPr>
        <w:lastRenderedPageBreak/>
        <w:t>of ‘race’ in society that the barriers racial difference can make to progress, such as in the education system (Section 2.1.5).</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By considering these three forms of racism, it has been demonstrated that racism can be subtle, ambiguous and enacted by people who would otherwise argue they are non-racist. The research presented in this thesis is intended to bring clarity to the subject of ‘race’, racism and whiteness by seeking to qualitatively explore how white trainee counsellors understand ‘race’, racism and whiteness. However, racism cannot be reduced to its theoretical components, as it is a lived reality for people of colour. One of the consequences of racism is its effect on the psychological well</w:t>
      </w:r>
      <w:r>
        <w:rPr>
          <w:rFonts w:cs="Calibri"/>
          <w:sz w:val="24"/>
          <w:szCs w:val="24"/>
        </w:rPr>
        <w:t>-</w:t>
      </w:r>
      <w:r w:rsidRPr="00BA2696">
        <w:rPr>
          <w:rFonts w:cs="Calibri"/>
          <w:sz w:val="24"/>
          <w:szCs w:val="24"/>
        </w:rPr>
        <w:t xml:space="preserve">being </w:t>
      </w:r>
      <w:r>
        <w:rPr>
          <w:rFonts w:cs="Calibri"/>
          <w:sz w:val="24"/>
          <w:szCs w:val="24"/>
        </w:rPr>
        <w:t>of</w:t>
      </w:r>
      <w:r w:rsidRPr="00BA2696">
        <w:rPr>
          <w:rFonts w:cs="Calibri"/>
          <w:sz w:val="24"/>
          <w:szCs w:val="24"/>
        </w:rPr>
        <w:t xml:space="preserve"> people of colour. Therefore, the impact of racism will be considered through the theory of race-based traumatic stress.</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240" w:line="250" w:lineRule="auto"/>
      </w:pPr>
      <w:r w:rsidRPr="00BA2696">
        <w:t>Race-based traumatic stress</w:t>
      </w:r>
    </w:p>
    <w:p w:rsidR="00836C90" w:rsidRPr="00BA2696" w:rsidRDefault="00836C90" w:rsidP="00836C90">
      <w:pPr>
        <w:spacing w:after="0" w:line="480" w:lineRule="auto"/>
        <w:rPr>
          <w:rFonts w:cs="Calibri"/>
          <w:sz w:val="24"/>
          <w:szCs w:val="24"/>
        </w:rPr>
      </w:pPr>
      <w:r w:rsidRPr="00BA2696">
        <w:rPr>
          <w:rFonts w:cs="Calibri"/>
          <w:sz w:val="24"/>
          <w:szCs w:val="24"/>
        </w:rPr>
        <w:t>Carter (2007) first introduced the concept of racial trauma. He asserts that there has been a lack of recognition regarding the emotional and psychological effects of racism. This theory allows for acknowledgment of the factors outside the individuals control, i.e., racism, without pathologising or blaming the person for their response. Pathologising can include mental health diagnosis (Carter, 2007). It is associated with Post-Traumatic Stress Disorder (PTSD), something which can occur after a traumatic incident when a person is, or perceives themselves (or others), to be in bodily danger either directly or indirectly, leading to psychological symptoms including anxiety, depression, dissociation and hypervigilance</w:t>
      </w:r>
      <w:r w:rsidRPr="00BA2696">
        <w:rPr>
          <w:rFonts w:cs="Calibri"/>
          <w:color w:val="FF0000"/>
          <w:sz w:val="24"/>
          <w:szCs w:val="24"/>
        </w:rPr>
        <w:t xml:space="preserve"> </w:t>
      </w:r>
      <w:r w:rsidRPr="00BA2696">
        <w:rPr>
          <w:rFonts w:cs="Calibri"/>
          <w:sz w:val="24"/>
          <w:szCs w:val="24"/>
        </w:rPr>
        <w:t>(American Psychiatric Association, 2013).</w:t>
      </w:r>
      <w:r w:rsidRPr="00BA2696">
        <w:rPr>
          <w:rFonts w:cs="Calibri"/>
          <w:color w:val="FF0000"/>
          <w:sz w:val="24"/>
          <w:szCs w:val="24"/>
        </w:rPr>
        <w:t xml:space="preserve"> </w:t>
      </w:r>
      <w:bookmarkStart w:id="128" w:name="_Hlk35867450"/>
      <w:r w:rsidRPr="00BA2696">
        <w:rPr>
          <w:rFonts w:cs="Calibri"/>
          <w:sz w:val="24"/>
          <w:szCs w:val="24"/>
        </w:rPr>
        <w:lastRenderedPageBreak/>
        <w:t xml:space="preserve">Hemmings and Evans (2018) </w:t>
      </w:r>
      <w:bookmarkEnd w:id="128"/>
      <w:r w:rsidRPr="00BA2696">
        <w:rPr>
          <w:rFonts w:cs="Calibri"/>
          <w:sz w:val="24"/>
          <w:szCs w:val="24"/>
        </w:rPr>
        <w:t xml:space="preserve">concur with this, stating that racism can result in psychological problems including anxiety and PTSD. Similarly, North American research comprising of 743, mostly female, undergraduate students aged 18-29, found a link between dissociation and racial discrimination </w:t>
      </w:r>
      <w:bookmarkStart w:id="129" w:name="_Hlk1399225"/>
      <w:r w:rsidRPr="00BA2696">
        <w:rPr>
          <w:rFonts w:cs="Calibri"/>
          <w:sz w:val="24"/>
          <w:szCs w:val="24"/>
        </w:rPr>
        <w:t>(</w:t>
      </w:r>
      <w:bookmarkStart w:id="130" w:name="_Hlk1399763"/>
      <w:r w:rsidRPr="00BA2696">
        <w:rPr>
          <w:rFonts w:cs="Calibri"/>
          <w:sz w:val="24"/>
          <w:szCs w:val="24"/>
        </w:rPr>
        <w:t>Polanco-Roman, Daines and Anglin, 2018</w:t>
      </w:r>
      <w:bookmarkEnd w:id="130"/>
      <w:r w:rsidRPr="00BA2696">
        <w:rPr>
          <w:rFonts w:cs="Calibri"/>
          <w:sz w:val="24"/>
          <w:szCs w:val="24"/>
        </w:rPr>
        <w:t>)</w:t>
      </w:r>
      <w:bookmarkEnd w:id="129"/>
      <w:r w:rsidRPr="00BA2696">
        <w:rPr>
          <w:rFonts w:cs="Calibri"/>
          <w:sz w:val="24"/>
          <w:szCs w:val="24"/>
        </w:rPr>
        <w:t xml:space="preserve">. Dissociation is </w:t>
      </w:r>
      <w:r>
        <w:rPr>
          <w:rFonts w:cs="Calibri"/>
          <w:sz w:val="24"/>
          <w:szCs w:val="24"/>
        </w:rPr>
        <w:t xml:space="preserve">a </w:t>
      </w:r>
      <w:r w:rsidRPr="00BA2696">
        <w:rPr>
          <w:rFonts w:cs="Calibri"/>
          <w:sz w:val="24"/>
          <w:szCs w:val="24"/>
        </w:rPr>
        <w:t>survival tool that can occur when a person is overwhelmed with feelings of being in danger and ‘may escape psychologically, by splitting off the experience and associated sensations’ (Sanderson, 2013, p. 39)</w:t>
      </w:r>
      <w:r>
        <w:rPr>
          <w:rFonts w:cs="Calibri"/>
          <w:sz w:val="24"/>
          <w:szCs w:val="24"/>
        </w:rPr>
        <w:t>.</w:t>
      </w:r>
      <w:r w:rsidRPr="00BA2696">
        <w:rPr>
          <w:rFonts w:cs="Calibri"/>
          <w:color w:val="FF0000"/>
          <w:sz w:val="24"/>
          <w:szCs w:val="24"/>
        </w:rPr>
        <w:t xml:space="preserve"> </w:t>
      </w:r>
      <w:r w:rsidRPr="00BA2696">
        <w:rPr>
          <w:rFonts w:cs="Calibri"/>
          <w:sz w:val="24"/>
          <w:szCs w:val="24"/>
        </w:rPr>
        <w:t xml:space="preserve">The researchers argue that a way to mitigate this is through employing coping strategies such as possessing a strong racial identity, they also argue mental health professionals should actively enquire about racial discrimination as standard procedure (Polanco-Roman, Daines and Anglin, 2018). Similar to Polanco-Roman, Daines and Anglin (2018), another North American study with 282 participants, found that an internalised, i.e., strong, racial identity can be related to lower levels of ‘race’-based traumatic stress (Carter </w:t>
      </w:r>
      <w:r w:rsidRPr="00BA2696">
        <w:rPr>
          <w:rFonts w:cs="Calibri"/>
          <w:i/>
          <w:iCs/>
          <w:sz w:val="24"/>
          <w:szCs w:val="24"/>
        </w:rPr>
        <w:t>et al</w:t>
      </w:r>
      <w:r w:rsidRPr="00BA2696">
        <w:rPr>
          <w:rFonts w:cs="Calibri"/>
          <w:sz w:val="24"/>
          <w:szCs w:val="24"/>
        </w:rPr>
        <w:t xml:space="preserve">, 2017). Whilst both of these studies offer valuable insights into the presentation of ‘race’-based traumatic stress, the research itself carries an ethical risk that neither study mentioned: re-traumatisation. These studies relied on self-report measures via various questionnaires and required the participants to re-examine traumatic incidents, it could be argued that this carries a risk of re-traumatisation that was not acknowledged by the researchers. Re-traumatisation pertains to trauma being re-experienced by a person with a similar intensity as when they first experienced it (Rothschild, 2017). Therefore, it is possible to infer that research on this topic needs to be conducted ethically, sensitively and with awareness </w:t>
      </w:r>
      <w:r w:rsidRPr="00BA2696">
        <w:rPr>
          <w:rFonts w:cs="Calibri"/>
          <w:sz w:val="24"/>
          <w:szCs w:val="24"/>
        </w:rPr>
        <w:lastRenderedPageBreak/>
        <w:t xml:space="preserve">that findings may be affected by the re-traumatisation the participant could be experiencing in the present when recounting incidents in the past.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Likewise, a systemic review of 28 studies on ‘race’-based traumatic stress (Kirkinis </w:t>
      </w:r>
      <w:r w:rsidRPr="00BA2696">
        <w:rPr>
          <w:rFonts w:cs="Calibri"/>
          <w:i/>
          <w:iCs/>
          <w:sz w:val="24"/>
          <w:szCs w:val="24"/>
        </w:rPr>
        <w:t>et al</w:t>
      </w:r>
      <w:r w:rsidRPr="00BA2696">
        <w:rPr>
          <w:rFonts w:cs="Calibri"/>
          <w:sz w:val="24"/>
          <w:szCs w:val="24"/>
        </w:rPr>
        <w:t xml:space="preserve"> 2018) found that whilst this is a relatively new area of research that has found significant links between racism and trauma symptoms, the studies fail to account for factors such as vicarious and intergenerational trauma. However, ‘race’-based traumatic stress is a theory which has potential for further research and is something to which health professionals need to remain vigilant (Kirkinis </w:t>
      </w:r>
      <w:r w:rsidRPr="00BA2696">
        <w:rPr>
          <w:rFonts w:cs="Calibri"/>
          <w:i/>
          <w:iCs/>
          <w:sz w:val="24"/>
          <w:szCs w:val="24"/>
        </w:rPr>
        <w:t>et al</w:t>
      </w:r>
      <w:r w:rsidRPr="00BA2696">
        <w:rPr>
          <w:rFonts w:cs="Calibri"/>
          <w:sz w:val="24"/>
          <w:szCs w:val="24"/>
        </w:rPr>
        <w:t xml:space="preserve">, 2018). Indeed, research in North America using an online survey with 106 counsellors, found that 70% of respondents felt they had worked with ‘race’-based traumatic stress yet 71% felt they had not received adequate training to identify it and 81% believed they did not receive any training in how to work with it </w:t>
      </w:r>
      <w:bookmarkStart w:id="131" w:name="_Hlk58754491"/>
      <w:r w:rsidRPr="00BA2696">
        <w:rPr>
          <w:rFonts w:cs="Calibri"/>
          <w:sz w:val="24"/>
          <w:szCs w:val="24"/>
        </w:rPr>
        <w:t>(Hemmings and Evans, 2018)</w:t>
      </w:r>
      <w:bookmarkEnd w:id="131"/>
      <w:r w:rsidRPr="00BA2696">
        <w:rPr>
          <w:rFonts w:cs="Calibri"/>
          <w:sz w:val="24"/>
          <w:szCs w:val="24"/>
        </w:rPr>
        <w:t xml:space="preserve">. Therefore, solutions to deal with racial trauma seem to be presented in two separate ways: with the individual affected applying coping strategies (Carter </w:t>
      </w:r>
      <w:r w:rsidRPr="00BA2696">
        <w:rPr>
          <w:rFonts w:cs="Calibri"/>
          <w:i/>
          <w:iCs/>
          <w:sz w:val="24"/>
          <w:szCs w:val="24"/>
        </w:rPr>
        <w:t>et al</w:t>
      </w:r>
      <w:r w:rsidRPr="00BA2696">
        <w:rPr>
          <w:rFonts w:cs="Calibri"/>
          <w:sz w:val="24"/>
          <w:szCs w:val="24"/>
        </w:rPr>
        <w:t xml:space="preserve">, 2016; Polanco-Roman, Daines and Anglin, 2018) and mental health professionals, including counsellors, being more aware of it (Carter, 2007; Carter </w:t>
      </w:r>
      <w:r w:rsidRPr="00BA2696">
        <w:rPr>
          <w:rFonts w:cs="Calibri"/>
          <w:i/>
          <w:iCs/>
          <w:sz w:val="24"/>
          <w:szCs w:val="24"/>
        </w:rPr>
        <w:t>et al</w:t>
      </w:r>
      <w:r w:rsidRPr="00BA2696">
        <w:rPr>
          <w:rFonts w:cs="Calibri"/>
          <w:sz w:val="24"/>
          <w:szCs w:val="24"/>
        </w:rPr>
        <w:t xml:space="preserve">, 2017; Hemmings and Evans, 2018; Kirkinis, 2018).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Therefore, racism has a psychological impact on people of colour, but it is something to which counsellors feel ill-equipped to identify or work</w:t>
      </w:r>
      <w:r>
        <w:rPr>
          <w:rFonts w:cs="Calibri"/>
          <w:sz w:val="24"/>
          <w:szCs w:val="24"/>
        </w:rPr>
        <w:t xml:space="preserve"> with</w:t>
      </w:r>
      <w:r w:rsidRPr="00BA2696">
        <w:rPr>
          <w:rFonts w:cs="Calibri"/>
          <w:sz w:val="24"/>
          <w:szCs w:val="24"/>
        </w:rPr>
        <w:t xml:space="preserve"> (Hemmings and Evans, 2018). To understand why counsellors may feel untrained and unprepared to work </w:t>
      </w:r>
      <w:r w:rsidRPr="00BA2696">
        <w:rPr>
          <w:rFonts w:cs="Calibri"/>
          <w:sz w:val="24"/>
          <w:szCs w:val="24"/>
        </w:rPr>
        <w:lastRenderedPageBreak/>
        <w:t>with race-based traumatic stress, part 2 of the literature review will consider the counselling profession and its relationship to ‘race’.</w:t>
      </w:r>
    </w:p>
    <w:p w:rsidR="00836C90" w:rsidRPr="00BA2696" w:rsidRDefault="00836C90" w:rsidP="00836C90">
      <w:pPr>
        <w:spacing w:after="0" w:line="480" w:lineRule="auto"/>
        <w:rPr>
          <w:rFonts w:cs="Calibri"/>
          <w:sz w:val="24"/>
          <w:szCs w:val="24"/>
        </w:rPr>
      </w:pPr>
      <w:bookmarkStart w:id="132" w:name="_Hlk521031"/>
    </w:p>
    <w:p w:rsidR="00836C90" w:rsidRPr="00BA2696" w:rsidRDefault="00836C90" w:rsidP="00836C90">
      <w:pPr>
        <w:pStyle w:val="Heading3"/>
      </w:pPr>
      <w:bookmarkStart w:id="133" w:name="_Toc56522993"/>
      <w:bookmarkStart w:id="134" w:name="_Toc56523275"/>
      <w:bookmarkStart w:id="135" w:name="_Toc57910083"/>
      <w:bookmarkStart w:id="136" w:name="_Toc58251299"/>
      <w:bookmarkStart w:id="137" w:name="_Toc72413627"/>
      <w:r w:rsidRPr="00BA2696">
        <w:t>2.2 Counselling and ‘Race</w:t>
      </w:r>
      <w:bookmarkEnd w:id="132"/>
      <w:r w:rsidRPr="00BA2696">
        <w:t>’</w:t>
      </w:r>
      <w:bookmarkEnd w:id="133"/>
      <w:bookmarkEnd w:id="134"/>
      <w:bookmarkEnd w:id="135"/>
      <w:bookmarkEnd w:id="136"/>
      <w:bookmarkEnd w:id="137"/>
    </w:p>
    <w:p w:rsidR="00836C90" w:rsidRPr="00BA2696" w:rsidRDefault="00836C90" w:rsidP="00836C90">
      <w:pPr>
        <w:spacing w:after="0" w:line="480" w:lineRule="auto"/>
        <w:rPr>
          <w:rFonts w:cs="Calibri"/>
          <w:sz w:val="24"/>
          <w:szCs w:val="24"/>
        </w:rPr>
      </w:pPr>
      <w:r w:rsidRPr="00BA2696">
        <w:rPr>
          <w:rFonts w:cs="Calibri"/>
          <w:sz w:val="24"/>
          <w:szCs w:val="24"/>
        </w:rPr>
        <w:t>A succinct history of ‘race’ and its contemporary implications has been considered in part 1 of this chapter. The literature reviewed thus far indicates that white people are generally unaware of the social construction of ‘race’ or their racial identity (Sections 2.1.1, 2.1.2, 2.1.3).</w:t>
      </w:r>
      <w:r w:rsidRPr="00BA2696">
        <w:rPr>
          <w:rFonts w:cs="Calibri"/>
          <w:color w:val="FF0000"/>
          <w:sz w:val="24"/>
          <w:szCs w:val="24"/>
        </w:rPr>
        <w:t xml:space="preserve"> </w:t>
      </w:r>
      <w:r w:rsidRPr="00BA2696">
        <w:rPr>
          <w:rFonts w:cs="Calibri"/>
          <w:sz w:val="24"/>
          <w:szCs w:val="24"/>
        </w:rPr>
        <w:t xml:space="preserve">The literature that follows suggests this is also replicated within the counselling profession.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It is worth re-iterating that this research is undertaken with </w:t>
      </w:r>
      <w:r w:rsidRPr="006E6EC1">
        <w:rPr>
          <w:rFonts w:cs="Calibri"/>
          <w:sz w:val="24"/>
          <w:szCs w:val="24"/>
        </w:rPr>
        <w:t>The Centre of Humanities and Social Sciences</w:t>
      </w:r>
      <w:r>
        <w:rPr>
          <w:rFonts w:cs="Calibri"/>
          <w:sz w:val="24"/>
          <w:szCs w:val="24"/>
        </w:rPr>
        <w:t xml:space="preserve">. </w:t>
      </w:r>
      <w:r w:rsidRPr="00BA2696">
        <w:rPr>
          <w:rFonts w:cs="Calibri"/>
          <w:sz w:val="24"/>
          <w:szCs w:val="24"/>
        </w:rPr>
        <w:t xml:space="preserve">Consequently, the literature will not focus on the dynamics of therapeutic practice but rather offer a consideration of broader themes related to ‘race’, Eurocentrism and pedagogy within counselling. It is thought that in doing so, a balance will be struck between the social justice and counselling elements of this doctoral research. Research pertaining to psychotherapy has been included because the British Association of Counselling and Psychotherapy (BACP), do not distinguish between counselling and psychotherapy. This is discussed further when defining what is meant by ‘counselling’ (Section 2.2.2).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 chapter will begin with an overview of the Eurocentric nature of mental health before focusing on counselling. It would appear that the Eurocentric parameters of mental health reflect the findings in part 1 of this chapter, in that whiteness is the </w:t>
      </w:r>
      <w:r w:rsidRPr="00BA2696">
        <w:rPr>
          <w:rFonts w:cs="Calibri"/>
          <w:sz w:val="24"/>
          <w:szCs w:val="24"/>
        </w:rPr>
        <w:lastRenderedPageBreak/>
        <w:t>normalised and invisible standard by which other groups are measured (</w:t>
      </w:r>
      <w:r w:rsidRPr="00BA2696">
        <w:rPr>
          <w:rFonts w:cs="Calibri"/>
          <w:bCs/>
          <w:color w:val="000000"/>
          <w:sz w:val="24"/>
          <w:szCs w:val="24"/>
        </w:rPr>
        <w:t xml:space="preserve">Halley, Eshleman, and Mahadevan-Vijaya, 2011; Hayes </w:t>
      </w:r>
      <w:r w:rsidRPr="00BA2696">
        <w:rPr>
          <w:rFonts w:cs="Calibri"/>
          <w:bCs/>
          <w:i/>
          <w:iCs/>
          <w:color w:val="000000"/>
          <w:sz w:val="24"/>
          <w:szCs w:val="24"/>
        </w:rPr>
        <w:t>et al</w:t>
      </w:r>
      <w:r w:rsidRPr="00BA2696">
        <w:rPr>
          <w:rFonts w:cs="Calibri"/>
          <w:bCs/>
          <w:color w:val="000000"/>
          <w:sz w:val="24"/>
          <w:szCs w:val="24"/>
        </w:rPr>
        <w:t>, 2013; Applebaum, 2016</w:t>
      </w:r>
      <w:r>
        <w:rPr>
          <w:rFonts w:cs="Calibri"/>
          <w:bCs/>
          <w:color w:val="000000"/>
          <w:sz w:val="24"/>
          <w:szCs w:val="24"/>
        </w:rPr>
        <w:t>a</w:t>
      </w:r>
      <w:r w:rsidRPr="00BA2696">
        <w:rPr>
          <w:rFonts w:cs="Calibri"/>
          <w:bCs/>
          <w:color w:val="000000"/>
          <w:sz w:val="24"/>
          <w:szCs w:val="24"/>
        </w:rPr>
        <w:t>).</w:t>
      </w:r>
    </w:p>
    <w:p w:rsidR="00836C90" w:rsidRPr="00BA2696" w:rsidRDefault="00836C90" w:rsidP="00836C90">
      <w:pPr>
        <w:pStyle w:val="Heading4"/>
        <w:spacing w:before="0" w:after="0"/>
      </w:pPr>
    </w:p>
    <w:p w:rsidR="00836C90" w:rsidRPr="00BA2696" w:rsidRDefault="00836C90" w:rsidP="00836C90">
      <w:pPr>
        <w:pStyle w:val="Heading3"/>
      </w:pPr>
      <w:bookmarkStart w:id="138" w:name="_Toc58251300"/>
      <w:bookmarkStart w:id="139" w:name="_Toc72413628"/>
      <w:r w:rsidRPr="00BA2696">
        <w:t>2.2.1 Eurocentrism and mental health</w:t>
      </w:r>
      <w:bookmarkEnd w:id="138"/>
      <w:bookmarkEnd w:id="139"/>
    </w:p>
    <w:p w:rsidR="00836C90" w:rsidRPr="00BA2696" w:rsidRDefault="00836C90" w:rsidP="00836C90">
      <w:pPr>
        <w:spacing w:after="0" w:line="480" w:lineRule="auto"/>
        <w:rPr>
          <w:rFonts w:cs="Calibri"/>
          <w:sz w:val="24"/>
          <w:szCs w:val="24"/>
        </w:rPr>
      </w:pPr>
      <w:r w:rsidRPr="00BA2696">
        <w:rPr>
          <w:rFonts w:cs="Calibri"/>
          <w:sz w:val="24"/>
          <w:szCs w:val="24"/>
        </w:rPr>
        <w:t>Eurocentrism relates to the domination of the Westernised perspective on other cultures (Amin, 2009; Stanziani, 2018). With Eurocentric theories prioritising ‘certain race, class and gender variables over others (e.g., white, middle-class, heterosexual and masculine)’ (Braun Williams, 2006, p. 177). In regard to mental health, Eurocentrism can present itself in the construction of diagnostic labels and conditions, meaning culturally appropriate behaviour could be perceived as abnormal from a Westernised perspective (Hall, 2011). Supporting this argument, Watters (2011) states that the Westernised understanding of mental illness dominates the global understanding of mental illness. Thus, culture-specific comprehension of well-being is being replaced by a homogenised, Western standardisation (Watters, 2011). This spread of Westernised understanding, diagnosis and treatment to the Global South has been referred to a form of colonialisation (Fernando, 2014) and ‘psychiatric imperialism’ (Fernando, 2010, p. 112). Western historical and political dominance has been cited as contributory factors in influencing the meaning of ‘mental health’ in the Global South that align with Westernised definitions (Fernando and Moodley, 2018). The Eurocentric parameters of what constitutes as ‘mental health’ may be one explanation for why people of colour have negative and inequitable experiences of mental health services in the UK (</w:t>
      </w:r>
      <w:r w:rsidRPr="00BA2696">
        <w:rPr>
          <w:sz w:val="24"/>
          <w:szCs w:val="24"/>
        </w:rPr>
        <w:t>The Sainsbury Centre for Mental Health, 2002; Mental Health Foundation, 2018; Chouhan and Nazroo, 2020).</w:t>
      </w:r>
      <w:r w:rsidRPr="00BA2696">
        <w:rPr>
          <w:rFonts w:cs="Calibri"/>
          <w:sz w:val="24"/>
          <w:szCs w:val="24"/>
        </w:rPr>
        <w:t xml:space="preserve"> To overcome this issue, </w:t>
      </w:r>
      <w:r w:rsidRPr="00BA2696">
        <w:rPr>
          <w:rFonts w:cs="Calibri"/>
          <w:sz w:val="24"/>
          <w:szCs w:val="24"/>
        </w:rPr>
        <w:lastRenderedPageBreak/>
        <w:t xml:space="preserve">there have been calls to decolonialise understandings of mental health, through social justice approaches </w:t>
      </w:r>
      <w:bookmarkStart w:id="140" w:name="_Hlk7350721"/>
      <w:r w:rsidRPr="00BA2696">
        <w:rPr>
          <w:rFonts w:cs="Calibri"/>
          <w:sz w:val="24"/>
          <w:szCs w:val="24"/>
        </w:rPr>
        <w:t xml:space="preserve">(Mills, 2014; Ibrahim, 2017; Gelberg </w:t>
      </w:r>
      <w:r w:rsidRPr="00BA2696">
        <w:rPr>
          <w:rFonts w:cs="Calibri"/>
          <w:i/>
          <w:iCs/>
          <w:sz w:val="24"/>
          <w:szCs w:val="24"/>
        </w:rPr>
        <w:t>et al</w:t>
      </w:r>
      <w:r w:rsidRPr="00BA2696">
        <w:rPr>
          <w:rFonts w:cs="Calibri"/>
          <w:sz w:val="24"/>
          <w:szCs w:val="24"/>
        </w:rPr>
        <w:t xml:space="preserve">, 2018) (Section 2.2.2). </w:t>
      </w:r>
      <w:bookmarkEnd w:id="140"/>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As perceptions and definitions of mental health have been accused of being Westernised and Eurocentric, counselling has also been accused of Eurocentrism (</w:t>
      </w:r>
      <w:bookmarkStart w:id="141" w:name="_Hlk15298670"/>
      <w:r w:rsidRPr="00BA2696">
        <w:rPr>
          <w:rFonts w:cs="Calibri"/>
          <w:sz w:val="24"/>
          <w:szCs w:val="24"/>
        </w:rPr>
        <w:t>Alleyne, 2011</w:t>
      </w:r>
      <w:bookmarkEnd w:id="141"/>
      <w:r w:rsidRPr="00BA2696">
        <w:rPr>
          <w:rFonts w:cs="Calibri"/>
          <w:sz w:val="24"/>
          <w:szCs w:val="24"/>
        </w:rPr>
        <w:t>; Jones-Smith; 2012). Eurocentrism in counselling can perhaps be located in the dominance of white practitioners (Boyle, 2020). However, it may also be located in how counselling considers ‘race’, racial identity, racism and the traditional approaches it has used in working with people of colour (Section 2.2.2). Likewise, this literature review has found that reference to ‘race’, racism and whiteness is absent from the BACP’s course accreditation guidelines (</w:t>
      </w:r>
      <w:r>
        <w:rPr>
          <w:rFonts w:cs="Calibri"/>
          <w:sz w:val="24"/>
          <w:szCs w:val="24"/>
        </w:rPr>
        <w:t xml:space="preserve">BACP, </w:t>
      </w:r>
      <w:r w:rsidRPr="00BA2696">
        <w:rPr>
          <w:rFonts w:cs="Calibri"/>
          <w:sz w:val="24"/>
          <w:szCs w:val="24"/>
        </w:rPr>
        <w:t xml:space="preserve">2012) and their ethical framework (BACP, 2018a) (Section 2.2.3). Hence, the dominance of whiteness and avoidance of ‘race’, (Section 2.2.2) supports the argument that like mental health services, counselling is also culpable of Eurocentrism. </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3"/>
      </w:pPr>
      <w:bookmarkStart w:id="142" w:name="_Toc56522995"/>
      <w:bookmarkStart w:id="143" w:name="_Toc56523277"/>
      <w:bookmarkStart w:id="144" w:name="_Toc57910085"/>
      <w:bookmarkStart w:id="145" w:name="_Toc58251301"/>
      <w:bookmarkStart w:id="146" w:name="_Toc72413629"/>
      <w:r w:rsidRPr="00BA2696">
        <w:t>2.2.2 Counselling</w:t>
      </w:r>
      <w:bookmarkEnd w:id="142"/>
      <w:bookmarkEnd w:id="143"/>
      <w:bookmarkEnd w:id="144"/>
      <w:bookmarkEnd w:id="145"/>
      <w:bookmarkEnd w:id="146"/>
    </w:p>
    <w:p w:rsidR="00836C90" w:rsidRPr="00BA2696" w:rsidRDefault="00836C90" w:rsidP="00836C90">
      <w:pPr>
        <w:spacing w:after="0" w:line="480" w:lineRule="auto"/>
        <w:rPr>
          <w:rFonts w:cs="Calibri"/>
          <w:sz w:val="24"/>
          <w:szCs w:val="24"/>
        </w:rPr>
      </w:pPr>
      <w:r w:rsidRPr="00BA2696">
        <w:rPr>
          <w:rFonts w:cs="Calibri"/>
          <w:sz w:val="24"/>
          <w:szCs w:val="24"/>
        </w:rPr>
        <w:t>Finding a clear definition for ‘counselling’ is more challenging than it might appear, given the disagreements within the profession over what constitutes ‘counselling’ verses ‘psychotherapy’ (Reeves, 2013). The two dominant professional bodies in the UK are the British Association of Counselling and Psychotherapy (BACP, 2020a) and the United Kingdom Council for Psychotherapy (UKCP, 2020a) and both have different definitions. The BACP contends that counselling and psychotherapy are essentially the same process and use the word ‘therapy’ a</w:t>
      </w:r>
      <w:r>
        <w:rPr>
          <w:rFonts w:cs="Calibri"/>
          <w:sz w:val="24"/>
          <w:szCs w:val="24"/>
        </w:rPr>
        <w:t>s</w:t>
      </w:r>
      <w:r w:rsidRPr="00BA2696">
        <w:rPr>
          <w:rFonts w:cs="Calibri"/>
          <w:sz w:val="24"/>
          <w:szCs w:val="24"/>
        </w:rPr>
        <w:t xml:space="preserve"> an umbrella term (BACP 2020b). Whereas </w:t>
      </w:r>
      <w:r w:rsidRPr="00BA2696">
        <w:rPr>
          <w:rFonts w:cs="Calibri"/>
          <w:sz w:val="24"/>
          <w:szCs w:val="24"/>
        </w:rPr>
        <w:lastRenderedPageBreak/>
        <w:t xml:space="preserve">the UKCP differentiates itself by representing psychotherapy and psychotherapeutic counselling, the latter being counselling that is rooted in psychotherapeutic theories and tradition (UKCP, 2020b). Both of these organisations provide training, registration, and accreditation and have their own ethical frameworks (BACP, 2018a; UKCP, 2019). It should be noted that in the UK, counselling is not a regulated profession. To deal with the ambiguity around counselling and psychotherapy, the BACP, UKCP and the British Psychoanalytic Council (BPC) are currently collaborating on a new framework that aims to differentiate and clarify what is meant by ‘counselling’ and ‘psychotherapy’. This is intended to inform training, competency, and standards for practitioners and is known as ‘The Scope of Practice and Education (SCoPEd) Framework’ (BACP, 2018b).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For the purposes of researcher transparency, it is relevant to present my own understanding of ‘counselling’ which informs this research. My training was on a BACP accredited course and was rooted in the humanistic models, specifically the ‘Integrative Framework’ (Lapworth and Sills, 2010) and the ‘</w:t>
      </w:r>
      <w:r>
        <w:rPr>
          <w:rFonts w:cs="Calibri"/>
          <w:sz w:val="24"/>
          <w:szCs w:val="24"/>
        </w:rPr>
        <w:t>p</w:t>
      </w:r>
      <w:r w:rsidRPr="00BA2696">
        <w:rPr>
          <w:rFonts w:cs="Calibri"/>
          <w:sz w:val="24"/>
          <w:szCs w:val="24"/>
        </w:rPr>
        <w:t>erson-</w:t>
      </w:r>
      <w:r>
        <w:rPr>
          <w:rFonts w:cs="Calibri"/>
          <w:sz w:val="24"/>
          <w:szCs w:val="24"/>
        </w:rPr>
        <w:t>c</w:t>
      </w:r>
      <w:r w:rsidRPr="00BA2696">
        <w:rPr>
          <w:rFonts w:cs="Calibri"/>
          <w:sz w:val="24"/>
          <w:szCs w:val="24"/>
        </w:rPr>
        <w:t xml:space="preserve">entred approach’ (Rogers, 1989). Humanistic models were first developed in the mid-twentieth century and sought to actively move away from the notion of the therapist as the ‘expert’ (Reeves, 2013) and was centred on the premise that an individual has the capacity to reach ‘self-actualisation’ (Maslow, 1968). The </w:t>
      </w:r>
      <w:r>
        <w:rPr>
          <w:rFonts w:cs="Calibri"/>
          <w:sz w:val="24"/>
          <w:szCs w:val="24"/>
        </w:rPr>
        <w:t>p</w:t>
      </w:r>
      <w:r w:rsidRPr="00BA2696">
        <w:rPr>
          <w:rFonts w:cs="Calibri"/>
          <w:sz w:val="24"/>
          <w:szCs w:val="24"/>
        </w:rPr>
        <w:t>erson-</w:t>
      </w:r>
      <w:r>
        <w:rPr>
          <w:rFonts w:cs="Calibri"/>
          <w:sz w:val="24"/>
          <w:szCs w:val="24"/>
        </w:rPr>
        <w:t>c</w:t>
      </w:r>
      <w:r w:rsidRPr="00BA2696">
        <w:rPr>
          <w:rFonts w:cs="Calibri"/>
          <w:sz w:val="24"/>
          <w:szCs w:val="24"/>
        </w:rPr>
        <w:t xml:space="preserve">entred approach was developed by Carl Rogers and sought to shift the client/therapist power dynamics, depart from medicalisation and placed greater significance on the relationship between the therapist and client; known as the ‘therapeutic relationship’ (Rogers, </w:t>
      </w:r>
      <w:r w:rsidRPr="00BA2696">
        <w:rPr>
          <w:rFonts w:cs="Calibri"/>
          <w:sz w:val="24"/>
          <w:szCs w:val="24"/>
        </w:rPr>
        <w:lastRenderedPageBreak/>
        <w:t xml:space="preserve">1989). Indeed, it was Rogers who used the word ‘counselling’ to signify a mental health professional who did not have a medical background (Joseph, Murphy and Holford, 2018). Central to Rogers theory are his ‘core conditions’ of counselling: congruence, unconditional positive regard and empathy (Rogers, 1989). This approach has been called radical given its conscious departure from medicalising emotions (Wilkins, 2016) with Rogers </w:t>
      </w:r>
      <w:r>
        <w:rPr>
          <w:rFonts w:cs="Calibri"/>
          <w:sz w:val="24"/>
          <w:szCs w:val="24"/>
        </w:rPr>
        <w:t>exhortation</w:t>
      </w:r>
      <w:r w:rsidRPr="00BA2696">
        <w:rPr>
          <w:rFonts w:cs="Calibri"/>
          <w:sz w:val="24"/>
          <w:szCs w:val="24"/>
        </w:rPr>
        <w:t xml:space="preserve"> for ‘the need to identify external oppressions which we have internalised’ (Kearney, 1996, p. 70). Wilkins (2016) and Kearney (1996) concede this political dynamic has been lost. </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0"/>
      </w:pPr>
      <w:r w:rsidRPr="00BA2696">
        <w:t>Counselling and ‘race’</w:t>
      </w:r>
    </w:p>
    <w:p w:rsidR="00836C90" w:rsidRPr="00BA2696" w:rsidRDefault="00836C90" w:rsidP="00836C90">
      <w:pPr>
        <w:spacing w:after="0"/>
      </w:pPr>
    </w:p>
    <w:p w:rsidR="00836C90" w:rsidRPr="00BA2696" w:rsidRDefault="00836C90" w:rsidP="00836C90">
      <w:pPr>
        <w:spacing w:after="0" w:line="480" w:lineRule="auto"/>
        <w:rPr>
          <w:rFonts w:cs="Calibri"/>
          <w:sz w:val="24"/>
          <w:szCs w:val="24"/>
        </w:rPr>
      </w:pPr>
      <w:r w:rsidRPr="00BA2696">
        <w:rPr>
          <w:rFonts w:cs="Calibri"/>
          <w:sz w:val="24"/>
          <w:szCs w:val="24"/>
        </w:rPr>
        <w:t>The loss of the political dynamic of counselling may explain why there are limited, if notable, voices within the counselling profession who write about ‘race’. These include Lago (2001); Sue and Sue (2008; 2016); Tuckwell, (2002); Moodley and Palmer (2006); Ryde (2009), McKenzie-Mavinga (2016) and Turner (2021). This has changed recently with recognition that white counsellors need to become aware of ‘race’ and their whiteness (Jackson 2018, 2020a; Turner 2018a, 2018b) and counsellors of colour calling for policy changes (Jackson, 2020b).</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Banks (1999) suggests that the traditional lack of discourse about ‘race’ in counselling may be situated in the emphasis on theoretical orientation and counselling model, rather approaching ‘race’ as a specific topic. He argues that when working with black clients, white counsellors may adhere to their theoretical counselling orientation </w:t>
      </w:r>
      <w:r w:rsidRPr="00BA2696">
        <w:rPr>
          <w:rFonts w:cs="Calibri"/>
          <w:sz w:val="24"/>
          <w:szCs w:val="24"/>
        </w:rPr>
        <w:lastRenderedPageBreak/>
        <w:t>rather than considering the socio-political realities of their black clients’ lives. Further, white counsellors:</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 xml:space="preserve">although claiming to have skills in mutual understanding, empathy, rapport, etc. would seem to have difficulties with issues involving direct reference to race and ethnicity (Banks, 1999, p. 14)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Supporting this, it has been suggested that therapists find it ‘difficult to adopt and implement appropriate therapeutic approaches with ethnic minority clients’ </w:t>
      </w:r>
      <w:bookmarkStart w:id="147" w:name="_Hlk62831535"/>
      <w:r w:rsidRPr="00BA2696">
        <w:rPr>
          <w:rFonts w:cs="Calibri"/>
          <w:sz w:val="24"/>
          <w:szCs w:val="24"/>
        </w:rPr>
        <w:t>(Moodley and Palmer, 2006</w:t>
      </w:r>
      <w:bookmarkEnd w:id="147"/>
      <w:r w:rsidRPr="00BA2696">
        <w:rPr>
          <w:rFonts w:cs="Calibri"/>
          <w:sz w:val="24"/>
          <w:szCs w:val="24"/>
        </w:rPr>
        <w:t>, p. 23). The inference being that white therapists may feel unprepared to change their approach with clients of colour, given the dominance of whiteness in counselling theory and practice (Sections 2.2.2 and 2.2.3). Part 1 of this chapter showed that there is a lack of awareness about ‘race’ and whiteness for white people (Sections 2.1.1, 2.1.2, 2.1</w:t>
      </w:r>
      <w:r>
        <w:rPr>
          <w:rFonts w:cs="Calibri"/>
          <w:sz w:val="24"/>
          <w:szCs w:val="24"/>
        </w:rPr>
        <w:t>.</w:t>
      </w:r>
      <w:r w:rsidRPr="00BA2696">
        <w:rPr>
          <w:rFonts w:cs="Calibri"/>
          <w:sz w:val="24"/>
          <w:szCs w:val="24"/>
        </w:rPr>
        <w:t xml:space="preserve">3). White ignorance has been offered as an explanation for this (Mills, 2007; Section 2.1.5). It is therefore possible to argue that this lack of awareness, or ignorance, continues into the counselling profession which is dominated by white practitioners (Lago, 2011, p. 179; Boyle, 2020). </w:t>
      </w:r>
      <w:bookmarkStart w:id="148" w:name="_Hlk52352700"/>
      <w:r w:rsidRPr="00BA2696">
        <w:rPr>
          <w:rFonts w:cs="Calibri"/>
          <w:sz w:val="24"/>
          <w:szCs w:val="24"/>
        </w:rPr>
        <w:t>Based on the research findings, this research presents the argument that white trainee counsellors own whiteness was de-racialised and they were confused by what ‘race’ and racism meant (Chapter 5, Section 5.3; Chapter 6, 6.4; Chapter 7, Section 7.6). This may present one explanation for why white counsellors may adhere to their theoretical orientation (Banks, 1999) and feel unprepared in adapting their approach when working with clients of colour (Moodley and Palmer, 2006).</w:t>
      </w:r>
      <w:bookmarkEnd w:id="148"/>
      <w:r w:rsidRPr="00BA2696">
        <w:rPr>
          <w:rFonts w:cs="Calibri"/>
          <w:sz w:val="24"/>
          <w:szCs w:val="24"/>
        </w:rPr>
        <w:t xml:space="preserve"> Lago and Thompson (2002, p. 3) highlight the ongoing debate in counselling as to whether counsellors need ‘specialist knowledge of and sensitivity to race relations’ through historical and </w:t>
      </w:r>
      <w:r w:rsidRPr="00BA2696">
        <w:rPr>
          <w:rFonts w:cs="Calibri"/>
          <w:sz w:val="24"/>
          <w:szCs w:val="24"/>
        </w:rPr>
        <w:lastRenderedPageBreak/>
        <w:t>contemporary knowledge. They conclude that counsellors should possess ‘maximum awareness’ (Lago and Thompson, 2002, p. 5). However, in discussing oppressions (including racism) in psychotherapy, Turner (2021, p</w:t>
      </w:r>
      <w:r>
        <w:rPr>
          <w:rFonts w:cs="Calibri"/>
          <w:sz w:val="24"/>
          <w:szCs w:val="24"/>
        </w:rPr>
        <w:t>.</w:t>
      </w:r>
      <w:r w:rsidRPr="00BA2696">
        <w:rPr>
          <w:rFonts w:cs="Calibri"/>
          <w:sz w:val="24"/>
          <w:szCs w:val="24"/>
        </w:rPr>
        <w:t xml:space="preserve"> 6) has argued that:</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The world of psychotherapy has remained largely immune to the impact of these oppressions within the therapeutic dyad, failing to recognise how the position of the therapist, be it that they hold the privileged position of being heterosexual, or male, or white, or able-bodied, for example, might be consciously or unconsciously oppressive for others they will undoubtedly encounter.</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This suggest that the exhortation for counsellor ‘maximum awareness’ (Lago and Thompson, 2002, p. 5) has gone unheeded. The immunity towards awareness of oppression (Turner, 2021) can perhaps explain why there was no research available </w:t>
      </w:r>
      <w:r>
        <w:rPr>
          <w:rFonts w:cs="Calibri"/>
          <w:sz w:val="24"/>
          <w:szCs w:val="24"/>
        </w:rPr>
        <w:t>regarding</w:t>
      </w:r>
      <w:r w:rsidRPr="00BA2696">
        <w:rPr>
          <w:rFonts w:cs="Calibri"/>
          <w:sz w:val="24"/>
          <w:szCs w:val="24"/>
        </w:rPr>
        <w:t xml:space="preserve"> counselling, ‘race’, racism and whiteness that was conducted in Wales. To understand this further, counselling and ‘race’ will be considered through exploring Carl Rogers’ recorded session with a black client, racial identity in counselling and anti-discriminatory counselling practice.</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240" w:line="250" w:lineRule="auto"/>
      </w:pPr>
      <w:r w:rsidRPr="00BA2696">
        <w:t>Carl Rogers counsels a black client</w:t>
      </w:r>
    </w:p>
    <w:p w:rsidR="00836C90" w:rsidRPr="00BA2696" w:rsidRDefault="00836C90" w:rsidP="00836C90">
      <w:pPr>
        <w:spacing w:after="0" w:line="480" w:lineRule="auto"/>
        <w:rPr>
          <w:rFonts w:cs="Calibri"/>
          <w:sz w:val="24"/>
          <w:szCs w:val="24"/>
        </w:rPr>
      </w:pPr>
      <w:r w:rsidRPr="00BA2696">
        <w:rPr>
          <w:rFonts w:cs="Calibri"/>
          <w:sz w:val="24"/>
          <w:szCs w:val="24"/>
        </w:rPr>
        <w:t>One of the earliest</w:t>
      </w:r>
      <w:r>
        <w:rPr>
          <w:rFonts w:cs="Calibri"/>
          <w:sz w:val="24"/>
          <w:szCs w:val="24"/>
        </w:rPr>
        <w:t>,</w:t>
      </w:r>
      <w:r w:rsidRPr="00BA2696">
        <w:rPr>
          <w:rFonts w:cs="Calibri"/>
          <w:sz w:val="24"/>
          <w:szCs w:val="24"/>
        </w:rPr>
        <w:t xml:space="preserve"> and significant</w:t>
      </w:r>
      <w:r>
        <w:rPr>
          <w:rFonts w:cs="Calibri"/>
          <w:sz w:val="24"/>
          <w:szCs w:val="24"/>
        </w:rPr>
        <w:t>,</w:t>
      </w:r>
      <w:r w:rsidRPr="00BA2696">
        <w:rPr>
          <w:rFonts w:cs="Calibri"/>
          <w:sz w:val="24"/>
          <w:szCs w:val="24"/>
        </w:rPr>
        <w:t xml:space="preserve"> contributions to the topic</w:t>
      </w:r>
      <w:r>
        <w:rPr>
          <w:rFonts w:cs="Calibri"/>
          <w:sz w:val="24"/>
          <w:szCs w:val="24"/>
        </w:rPr>
        <w:t xml:space="preserve"> of</w:t>
      </w:r>
      <w:r w:rsidRPr="00BA2696">
        <w:rPr>
          <w:rFonts w:cs="Calibri"/>
          <w:sz w:val="24"/>
          <w:szCs w:val="24"/>
        </w:rPr>
        <w:t xml:space="preserve"> counselling and ‘race’ is found in two recorded counselling sessions between Carl Rogers, the white preeminent counsellor, and a young un-named African-American man in 1977. The second session is available on YouTube (2017). The client was in remission from leukaemia, but his primary concern was the ‘race’ conflict he felt existed in American society and his perception of himself as a victim within that conflict. Lee (2004, p. 229) states ‘it is obvious that his Blackness and his experience of it is at the root of the </w:t>
      </w:r>
      <w:r w:rsidRPr="00BA2696">
        <w:rPr>
          <w:rFonts w:cs="Calibri"/>
          <w:sz w:val="24"/>
          <w:szCs w:val="24"/>
        </w:rPr>
        <w:lastRenderedPageBreak/>
        <w:t xml:space="preserve">issue’, something which Rogers repeatedly overlooks and fails to explore with the client.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It is notable that the client remains nameless throughout the recording. Perhaps due to confidentiality the participant did not want to give his name (although this feels a logical fallacy given that he is video recorded and therefore identifiable). The absence of a name somehow feels dehumanising and gives the (white) counsellor a higher status. This may be an unfair criticism and there may be legitimate reasons as to why the viewer is not privy to the individuals name. However, when considering Rogers other video-recorded sessions where the clients’ are referred to by name, it makes one wonder why the black client is not named. McLeod (2004, p. 176) acknowledges that Carl Rogers is ‘privileged’ in this exchange from having a famous name and control over the reflective voiceover, while the client remains nameless and is not afforded the same opportunity for self-reflective commentary. Dyer (2017) argues that whiteness is a dominant cultural force because white people dominate the cultural landscape, and it seems that Rogers’s privileged voice in this exchange is an example of this.</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Further</w:t>
      </w:r>
      <w:bookmarkStart w:id="149" w:name="_Hlk52801375"/>
      <w:r w:rsidRPr="00BA2696">
        <w:rPr>
          <w:rFonts w:cs="Calibri"/>
          <w:sz w:val="24"/>
          <w:szCs w:val="24"/>
        </w:rPr>
        <w:t xml:space="preserve">, Brodley (2004) </w:t>
      </w:r>
      <w:bookmarkEnd w:id="149"/>
      <w:r w:rsidRPr="00BA2696">
        <w:rPr>
          <w:rFonts w:cs="Calibri"/>
          <w:sz w:val="24"/>
          <w:szCs w:val="24"/>
        </w:rPr>
        <w:t xml:space="preserve">compares this session to other recorded counselling sessions with Rogers and found that Rogers oscillated between the familiar empathetic man embodying his core conditions (Rogers, 1989), to a ‘peculiar and disturbing, uncharacteristic’ (Brodley, 2004, p. 45) demeanour not found elsewhere in other videoed recordings. Specifically, Rogers was more directive toward this client, as </w:t>
      </w:r>
      <w:r w:rsidRPr="00BA2696">
        <w:rPr>
          <w:rFonts w:cs="Calibri"/>
          <w:sz w:val="24"/>
          <w:szCs w:val="24"/>
        </w:rPr>
        <w:lastRenderedPageBreak/>
        <w:t xml:space="preserve">opposed to the non-directiveness he normally demonstrated and put central to his person-centred theory. This viewpoint is supported by others </w:t>
      </w:r>
      <w:bookmarkStart w:id="150" w:name="_Hlk52801401"/>
      <w:r w:rsidRPr="00BA2696">
        <w:rPr>
          <w:rFonts w:cs="Calibri"/>
          <w:sz w:val="24"/>
          <w:szCs w:val="24"/>
        </w:rPr>
        <w:t>(Lietaer, 2004) and it is acknowledged that Rogers directiveness was an obstacle to hearing the client and led him away from his ‘generally high level of empathic understanding’ (Mier and Witty, 2004 p. 99).</w:t>
      </w:r>
      <w:bookmarkEnd w:id="150"/>
      <w:r w:rsidRPr="00BA2696">
        <w:rPr>
          <w:rFonts w:cs="Calibri"/>
          <w:sz w:val="24"/>
          <w:szCs w:val="24"/>
        </w:rPr>
        <w:t xml:space="preserve"> McLeod (2004) argues, it is important to remember that the sessions were recorded at a time when understanding about multicultural counselling was limited.</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Nonetheless, the black client mentioning ‘race’ and racism throughout the session and the overall avoidance of ‘race ‘and racism by the white, (famous) counsellor within the session makes for uncomfortable viewing. This is especially so when one thinks of Carl Rogers reputation as an empathetic, gentle person and as someone who has greatly influenced the theory and practice of counselling. Notable is a lack of recognition of client’s contemporary experiences of his ‘race’, or the historical relations between white and black people in American society. Turner (2020) has suggested that Roger’s white-male privilege is evident, particularly his complimenting the client’s ability to contain his anger which de-historicises and de-contextualises the anger a black man living in the United States may feel. These recorded sessions are a powerful demonstration of how racial identity is important to black people (Zirkel and Johnson, 2016) but does not seem to be so for white people (Frankenberg, 1993) and how even well-meaning white people can be unintentionally discriminatory (</w:t>
      </w:r>
      <w:r>
        <w:rPr>
          <w:rFonts w:cs="Calibri"/>
          <w:sz w:val="24"/>
          <w:szCs w:val="24"/>
        </w:rPr>
        <w:t xml:space="preserve">Sullivan, 2014a; </w:t>
      </w:r>
      <w:r w:rsidRPr="00BA2696">
        <w:rPr>
          <w:rFonts w:cs="Calibri"/>
          <w:bCs/>
          <w:sz w:val="24"/>
          <w:szCs w:val="24"/>
        </w:rPr>
        <w:t>Trepagnier, 2016</w:t>
      </w:r>
      <w:r w:rsidRPr="00BA2696">
        <w:rPr>
          <w:rFonts w:cs="Calibri"/>
          <w:sz w:val="24"/>
          <w:szCs w:val="24"/>
        </w:rPr>
        <w:t xml:space="preserve">). </w:t>
      </w:r>
    </w:p>
    <w:p w:rsidR="00836C90" w:rsidRPr="00BA2696" w:rsidRDefault="00836C90" w:rsidP="00836C90">
      <w:pPr>
        <w:spacing w:after="0" w:line="480" w:lineRule="auto"/>
        <w:rPr>
          <w:rFonts w:cs="Calibri"/>
          <w:color w:val="FF0000"/>
          <w:sz w:val="24"/>
          <w:szCs w:val="24"/>
        </w:rPr>
      </w:pPr>
    </w:p>
    <w:p w:rsidR="00836C90" w:rsidRPr="00BA2696" w:rsidRDefault="00836C90" w:rsidP="00836C90">
      <w:pPr>
        <w:pStyle w:val="Heading4"/>
        <w:spacing w:before="0" w:after="240" w:line="250" w:lineRule="auto"/>
      </w:pPr>
      <w:r w:rsidRPr="00BA2696">
        <w:lastRenderedPageBreak/>
        <w:t xml:space="preserve">Racial identity in counselling  </w:t>
      </w:r>
    </w:p>
    <w:p w:rsidR="00836C90" w:rsidRPr="00BA2696" w:rsidRDefault="00836C90" w:rsidP="00836C90">
      <w:pPr>
        <w:spacing w:line="480" w:lineRule="auto"/>
        <w:rPr>
          <w:rFonts w:cs="Calibri"/>
          <w:sz w:val="24"/>
          <w:szCs w:val="24"/>
        </w:rPr>
      </w:pPr>
      <w:r w:rsidRPr="00BA2696">
        <w:rPr>
          <w:rFonts w:cs="Calibri"/>
          <w:sz w:val="24"/>
          <w:szCs w:val="24"/>
        </w:rPr>
        <w:t xml:space="preserve">Racial identity was previously discussed in this chapter (Section 2.1.3) and it was found it is something white people rarely consider (Frankenberg, 1993) and if they do, the subjective understanding is ambiguous (Croll, 2007; Hughey, 2010; Goren and Plaut, 2012). Psychotherapists Ryde (2009) and Tuckwell (2002) have both argued that white racial identity development is important for white counsellors, advocating for a committed self-exploration to reflect on their whiteness and to develop a racial identity. </w:t>
      </w:r>
      <w:bookmarkStart w:id="151" w:name="_Hlk506281194"/>
      <w:r w:rsidRPr="00BA2696">
        <w:rPr>
          <w:rFonts w:cs="Calibri"/>
          <w:sz w:val="24"/>
          <w:szCs w:val="24"/>
        </w:rPr>
        <w:t xml:space="preserve">To that end, Tuckwell (2002, p. 120) suggests that white counsellors need to form a positive white racial identity, which necessitates:  </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relinquishing the ties to white dominance and privilege</w:t>
      </w:r>
      <w:bookmarkEnd w:id="151"/>
      <w:r w:rsidRPr="00BA2696">
        <w:rPr>
          <w:rFonts w:cs="Calibri"/>
          <w:sz w:val="24"/>
          <w:szCs w:val="24"/>
        </w:rPr>
        <w:t>, confronting one’s internalised beliefs and feelings and recognising the benefits of evolving a positive white racial identity.</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Helms (1984) and Carter (1990) have presented important contributions to understanding racial identity in a therapeutic context. Although it is acknowledged these are not modern contributions, given their standing in ‘race’ studies scholarship and their therapeutic backgrounds, it is appropriate to present their work. </w:t>
      </w:r>
    </w:p>
    <w:p w:rsidR="00836C90" w:rsidRPr="00BA2696" w:rsidRDefault="00836C90" w:rsidP="00836C90">
      <w:pPr>
        <w:spacing w:after="0" w:line="480" w:lineRule="auto"/>
        <w:rPr>
          <w:rFonts w:cs="Calibri"/>
          <w:sz w:val="24"/>
          <w:szCs w:val="24"/>
        </w:rPr>
      </w:pPr>
      <w:r w:rsidRPr="00BA2696">
        <w:rPr>
          <w:rFonts w:cs="Calibri"/>
          <w:sz w:val="24"/>
          <w:szCs w:val="24"/>
        </w:rPr>
        <w:t xml:space="preserve">Helms (1984) considered how racial identity could affect the counselling dyad in her ‘Black-White Interaction model’. The model consists of four categories of cross-racial therapeutic relationship: parallel, crossed, progressive and regressive (p. 2). Helms (1984) outlines that within in a parallel relationship, both the client and counsellor have similar attitudes of black and white people. With a crossed relationship, the counsellor’s views differ and conflict with the client’s views. If the counsellor is at a higher stage of racial identity development, they may be able to support the client to </w:t>
      </w:r>
      <w:r w:rsidRPr="00BA2696">
        <w:rPr>
          <w:rFonts w:cs="Calibri"/>
          <w:sz w:val="24"/>
          <w:szCs w:val="24"/>
        </w:rPr>
        <w:lastRenderedPageBreak/>
        <w:t xml:space="preserve">move their own racial identity development onward, which is seen as a progressive relationship. A regressive relationship means the counsellor is at a lower stage in their racial identity development and therefore, is unable to understand the client’s worldview.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Carter (1990) researched the accuracy of Helms (1984) theory that the client and counsellors’ stage of racial identity development was relevant to effective cross-racial counselling. The research comprised of 31 participants who were grouped into simulated counselling dyads which consisted of 19 white counsellor/white clients, 8 white counsellors/black clients and 4 black counsellors/white clients. The ‘clients’ were given a list of ‘race’ related topics and asked to select one that had personal resonance to discuss with the counsellor. Post dyad, the participants reviewed the recordings with clients giving feedback about their reactions and counsellors giving feedback about their intentions. It was found that black clients had mostly negative reactions related to their own and the white counsellors’ racial identity attitudes, no matter the counsellors’ intentions within the counselling dyad. This was particularly so if the white counsellor was in Helms (1990) ‘Disintegration’ and ‘Pseudo-Independent’ phases of white racial identity development (Section 2.1.3</w:t>
      </w:r>
      <w:r>
        <w:rPr>
          <w:rFonts w:cs="Calibri"/>
          <w:sz w:val="24"/>
          <w:szCs w:val="24"/>
        </w:rPr>
        <w:t>, Table 3</w:t>
      </w:r>
      <w:r w:rsidRPr="00BA2696">
        <w:rPr>
          <w:rFonts w:cs="Calibri"/>
          <w:sz w:val="24"/>
          <w:szCs w:val="24"/>
        </w:rPr>
        <w:t xml:space="preserve">). The former relating to ‘the conscious, though conflicted acknowledgement of one’s whiteness’ (Helms, 1990, p. 58) and the latter occurring when ‘the person begins actively to question the proposition that Blacks are inferior to Whites’ (Helms, 1990, p. 61). The same was true if the black client was in the stages of Encounter, Immersion/Emersion or Internalisation found in Cross’s model (1991). Therefore, Carter (1990) concludes </w:t>
      </w:r>
      <w:r w:rsidRPr="00BA2696">
        <w:rPr>
          <w:rFonts w:cs="Calibri"/>
          <w:sz w:val="24"/>
          <w:szCs w:val="24"/>
        </w:rPr>
        <w:lastRenderedPageBreak/>
        <w:t xml:space="preserve">that ‘race’ alone is not sufficient to predict the efficacy of the counselling dyad but rather it is the stage of racial identity development of each person that is </w:t>
      </w:r>
      <w:r>
        <w:rPr>
          <w:rFonts w:cs="Calibri"/>
          <w:sz w:val="24"/>
          <w:szCs w:val="24"/>
        </w:rPr>
        <w:t>the</w:t>
      </w:r>
      <w:r w:rsidRPr="00BA2696">
        <w:rPr>
          <w:rFonts w:cs="Calibri"/>
          <w:sz w:val="24"/>
          <w:szCs w:val="24"/>
        </w:rPr>
        <w:t xml:space="preserve"> significant</w:t>
      </w:r>
      <w:r>
        <w:rPr>
          <w:rFonts w:cs="Calibri"/>
          <w:sz w:val="24"/>
          <w:szCs w:val="24"/>
        </w:rPr>
        <w:t xml:space="preserve"> factor</w:t>
      </w:r>
      <w:r w:rsidRPr="00BA2696">
        <w:rPr>
          <w:rFonts w:cs="Calibri"/>
          <w:sz w:val="24"/>
          <w:szCs w:val="24"/>
        </w:rPr>
        <w:t xml:space="preserv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Assessing the participant’s stage of racial identity development was evaluated via Helms (1990) Black and White racial identity attitudinal measures. A deeper level of understanding to this research could be added if participants were asked to state how developed they felt their racial identity was and then compare this to the results from Helms’ (1990) measures. The space in-between the counsellor’s self-perception and the actuality would offer valuable insights into how aware white counsellors are of their racial identity. It is possible to infer that awareness or ignorance around racial identity impacts the cross-racial counselling dyad as Helms (1984) and Carter (1990) claim. This may be evident in </w:t>
      </w:r>
      <w:bookmarkStart w:id="152" w:name="_Hlk52352978"/>
      <w:r w:rsidRPr="00BA2696">
        <w:rPr>
          <w:rFonts w:cs="Calibri"/>
          <w:sz w:val="24"/>
          <w:szCs w:val="24"/>
        </w:rPr>
        <w:t xml:space="preserve">white counsellor’s reluctance to discuss racial identity with black clients (Barnes, Williams and Barnes, 2014). </w:t>
      </w:r>
      <w:bookmarkEnd w:id="152"/>
      <w:r w:rsidRPr="00BA2696">
        <w:rPr>
          <w:rFonts w:cs="Calibri"/>
          <w:sz w:val="24"/>
          <w:szCs w:val="24"/>
        </w:rPr>
        <w:t xml:space="preserve">On the other hand, it has been argued there is an ethical tension that can occur for therapists when broaching the subject of ‘race’, noting that in choosing to speak or not speak about ‘race’, allows the ‘potential for oppression’ (Gregory, 2013, p. 153). This </w:t>
      </w:r>
      <w:r>
        <w:rPr>
          <w:rFonts w:cs="Calibri"/>
          <w:sz w:val="24"/>
          <w:szCs w:val="24"/>
        </w:rPr>
        <w:t>may be</w:t>
      </w:r>
      <w:r w:rsidRPr="00BA2696">
        <w:rPr>
          <w:rFonts w:cs="Calibri"/>
          <w:sz w:val="24"/>
          <w:szCs w:val="24"/>
        </w:rPr>
        <w:t xml:space="preserve"> particularly true for those therapists who do not take an active anti-oppressive, consciousness raising worldview. Yet, if ‘race’ is discussed in the counselling dyad, it may result in a stronger therapeutic relationship (Gregory, 2013).  This argument seems to concur with Helms (1984) Black-White Interaction model, although Carter’s (1990) research suggests racial discourse between white counsellors and black clients should be done from a place of advanced racial identity development. If the white counsellor is in a pre or </w:t>
      </w:r>
      <w:r w:rsidRPr="00BA2696">
        <w:rPr>
          <w:rFonts w:cs="Calibri"/>
          <w:sz w:val="24"/>
          <w:szCs w:val="24"/>
        </w:rPr>
        <w:lastRenderedPageBreak/>
        <w:t xml:space="preserve">early stage of their racial identity development, they may behave in a way that is racist or discriminatory.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Therefore, it would seem that a white counsellors’ stage of racial identity is more significant in cross-racial counselling than ‘race’ per se, as one’s level of racial identity development indicates one’s awareness of, and comfort in discussing, ‘race’.</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240" w:line="250" w:lineRule="auto"/>
      </w:pPr>
      <w:r w:rsidRPr="00BA2696">
        <w:t xml:space="preserve">Racism and counselling </w:t>
      </w:r>
    </w:p>
    <w:p w:rsidR="00836C90" w:rsidRPr="00BA2696" w:rsidRDefault="00836C90" w:rsidP="00836C90">
      <w:pPr>
        <w:spacing w:after="0" w:line="480" w:lineRule="auto"/>
        <w:rPr>
          <w:rFonts w:cs="Calibri"/>
          <w:sz w:val="24"/>
          <w:szCs w:val="24"/>
        </w:rPr>
      </w:pPr>
      <w:r w:rsidRPr="00BA2696">
        <w:rPr>
          <w:rFonts w:cs="Calibri"/>
          <w:sz w:val="24"/>
          <w:szCs w:val="24"/>
        </w:rPr>
        <w:t xml:space="preserve">The findings of this research would suggest that white trainee counsellors perceived colour-blindness as the correct, and even moral, way to understand ‘race’. This will </w:t>
      </w:r>
      <w:r>
        <w:rPr>
          <w:rFonts w:cs="Calibri"/>
          <w:sz w:val="24"/>
          <w:szCs w:val="24"/>
        </w:rPr>
        <w:t xml:space="preserve">be </w:t>
      </w:r>
      <w:r w:rsidRPr="00BA2696">
        <w:rPr>
          <w:rFonts w:cs="Calibri"/>
          <w:sz w:val="24"/>
          <w:szCs w:val="24"/>
        </w:rPr>
        <w:t>presented in Chapter 5 (Section 5.4) and discussed in Chapters 6 (Section 6.5) and 7 (Section 7.5). This finding supports the argument that covert racism may exist in the counselling profession. It has been put forward that overt racism within counselling and psychotherapy is rare, but ‘subtle racism’ (Alleyne, 2011, p. 118) can be demonstrated by counsellors in covert ways such as holding negative preconceptions about clients with non-European names, being colour-blind, and disregarding cultural heritage (Alleyne, 2011, pp</w:t>
      </w:r>
      <w:r>
        <w:rPr>
          <w:rFonts w:cs="Calibri"/>
          <w:sz w:val="24"/>
          <w:szCs w:val="24"/>
        </w:rPr>
        <w:t>.</w:t>
      </w:r>
      <w:r w:rsidRPr="00BA2696">
        <w:rPr>
          <w:rFonts w:cs="Calibri"/>
          <w:sz w:val="24"/>
          <w:szCs w:val="24"/>
        </w:rPr>
        <w:t xml:space="preserve"> 118-119). These examples could also be described as ‘micro-aggressions’:</w:t>
      </w:r>
    </w:p>
    <w:p w:rsidR="00836C90" w:rsidRPr="00BA2696" w:rsidRDefault="00836C90" w:rsidP="00836C90">
      <w:pPr>
        <w:spacing w:after="0" w:line="240" w:lineRule="auto"/>
        <w:ind w:left="567" w:right="567"/>
        <w:rPr>
          <w:rFonts w:cs="Calibri"/>
          <w:sz w:val="24"/>
          <w:szCs w:val="24"/>
        </w:rPr>
      </w:pPr>
      <w:r w:rsidRPr="00BA2696">
        <w:rPr>
          <w:rFonts w:cs="Calibri"/>
          <w:sz w:val="24"/>
          <w:szCs w:val="24"/>
        </w:rPr>
        <w:t xml:space="preserve">‘the everyday verbal, nonverbal and environmental slights, snubs or insults, whether intentional or unintentional, that communicate hostile, derogatory or negative messages to target persons based solely upon their marginalized </w:t>
      </w:r>
      <w:r w:rsidRPr="00BA2696">
        <w:rPr>
          <w:rFonts w:cs="Calibri"/>
          <w:i/>
          <w:sz w:val="24"/>
          <w:szCs w:val="24"/>
        </w:rPr>
        <w:t>(sic)</w:t>
      </w:r>
      <w:r w:rsidRPr="00BA2696">
        <w:rPr>
          <w:rFonts w:cs="Calibri"/>
          <w:sz w:val="24"/>
          <w:szCs w:val="24"/>
        </w:rPr>
        <w:t xml:space="preserve"> group membership’ (Sue, 2010, p. 1)</w:t>
      </w:r>
    </w:p>
    <w:p w:rsidR="00836C90" w:rsidRPr="00BA2696" w:rsidRDefault="00836C90" w:rsidP="00836C90">
      <w:pPr>
        <w:spacing w:after="0" w:line="240" w:lineRule="auto"/>
        <w:ind w:left="567" w:right="567"/>
        <w:rPr>
          <w:rFonts w:cs="Calibri"/>
          <w:sz w:val="24"/>
          <w:szCs w:val="24"/>
        </w:rPr>
      </w:pP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color w:val="FF0000"/>
          <w:sz w:val="24"/>
          <w:szCs w:val="24"/>
        </w:rPr>
      </w:pPr>
      <w:r w:rsidRPr="00BA2696">
        <w:rPr>
          <w:rFonts w:cs="Calibri"/>
          <w:sz w:val="24"/>
          <w:szCs w:val="24"/>
        </w:rPr>
        <w:lastRenderedPageBreak/>
        <w:t>Despite this, white counsellors may be dismayed to think of themselves as racist given their chosen vocation requires sensitivity to others (Lago and Thompson, 2002). This is akin to the well-meaning white people who would not perceive themselves as racist (Sullivan, 2014a; Trepagnier, 2016) or react with strong emotions when accused of racism (DiAngelo, 2018). I have developed the theory of the ‘Good White Counsellor’ to describe this phenomenon</w:t>
      </w:r>
      <w:r>
        <w:rPr>
          <w:rFonts w:cs="Calibri"/>
          <w:sz w:val="24"/>
          <w:szCs w:val="24"/>
        </w:rPr>
        <w:t xml:space="preserve"> within the counselling context</w:t>
      </w:r>
      <w:r w:rsidRPr="00BA2696">
        <w:rPr>
          <w:rFonts w:cs="Calibri"/>
          <w:sz w:val="24"/>
          <w:szCs w:val="24"/>
        </w:rPr>
        <w:t xml:space="preserve"> (Chapter 6, Section 6.2 and 6.6). To counteract counselling’s reluctance to discuss racism, practitioners have been urged to reflect on the silence around racism and to evaluate Eurocentric therapeutic theories </w:t>
      </w:r>
      <w:bookmarkStart w:id="153" w:name="_Hlk7346614"/>
      <w:r w:rsidRPr="00BA2696">
        <w:rPr>
          <w:rFonts w:cs="Calibri"/>
          <w:sz w:val="24"/>
          <w:szCs w:val="24"/>
        </w:rPr>
        <w:t>(</w:t>
      </w:r>
      <w:bookmarkStart w:id="154" w:name="_Hlk62830304"/>
      <w:r w:rsidRPr="00BA2696">
        <w:rPr>
          <w:rFonts w:cs="Calibri"/>
          <w:sz w:val="24"/>
          <w:szCs w:val="24"/>
        </w:rPr>
        <w:t>McKenzie-Mavinga, 2016</w:t>
      </w:r>
      <w:bookmarkEnd w:id="154"/>
      <w:r w:rsidRPr="00BA2696">
        <w:rPr>
          <w:rFonts w:cs="Calibri"/>
          <w:sz w:val="24"/>
          <w:szCs w:val="24"/>
        </w:rPr>
        <w:t xml:space="preserve">; Therapy Today, 2020b). </w:t>
      </w:r>
      <w:bookmarkEnd w:id="153"/>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Writing from the perspective of a black woman from North America, Adams (2016) considers how white privilege, white guilt and the invisibility of whiteness has repercussions in therapy by perpetuating colour-blind ideology. Considering Hartmann </w:t>
      </w:r>
      <w:r w:rsidRPr="00BA2696">
        <w:rPr>
          <w:rFonts w:cs="Calibri"/>
          <w:i/>
          <w:iCs/>
          <w:sz w:val="24"/>
          <w:szCs w:val="24"/>
        </w:rPr>
        <w:t>et al’s</w:t>
      </w:r>
      <w:r w:rsidRPr="00BA2696">
        <w:rPr>
          <w:rFonts w:cs="Calibri"/>
          <w:sz w:val="24"/>
          <w:szCs w:val="24"/>
        </w:rPr>
        <w:t xml:space="preserve"> (2017) research findings which suggest colour-blindness is seen as an acceptable, even positive, form of identity amongst white people and that white counsellors are unlikely to believe they could be racist (Lago and Thompson, 2002), it follows that counselling could be culpable of colour-blind ideology. This supports the findings of this research (Chapters 5, 6 and 7). However, counselling has tried to tackle discriminatory practice and become more inclusive. The traditional approach is through multicultural counselling and the more recent approach of social justice counselling.</w:t>
      </w:r>
    </w:p>
    <w:p w:rsidR="00836C90" w:rsidRPr="00BA2696" w:rsidRDefault="00836C90" w:rsidP="00836C90">
      <w:pPr>
        <w:spacing w:after="0" w:line="480" w:lineRule="auto"/>
        <w:rPr>
          <w:rFonts w:cs="Calibri"/>
          <w:i/>
          <w:sz w:val="24"/>
          <w:szCs w:val="24"/>
        </w:rPr>
      </w:pPr>
    </w:p>
    <w:p w:rsidR="00836C90" w:rsidRPr="00BA2696" w:rsidRDefault="00836C90" w:rsidP="00836C90">
      <w:pPr>
        <w:pStyle w:val="Heading4"/>
        <w:spacing w:before="0" w:after="240" w:line="250" w:lineRule="auto"/>
      </w:pPr>
      <w:r w:rsidRPr="00BA2696">
        <w:lastRenderedPageBreak/>
        <w:t>Anti-discriminatory counselling practice</w:t>
      </w:r>
    </w:p>
    <w:p w:rsidR="00836C90" w:rsidRPr="00BA2696" w:rsidRDefault="00836C90" w:rsidP="00836C90">
      <w:pPr>
        <w:spacing w:after="0" w:line="480" w:lineRule="auto"/>
        <w:rPr>
          <w:rFonts w:cs="Calibri"/>
          <w:sz w:val="24"/>
          <w:szCs w:val="24"/>
        </w:rPr>
      </w:pPr>
      <w:r w:rsidRPr="00BA2696">
        <w:rPr>
          <w:rFonts w:cs="Calibri"/>
          <w:sz w:val="24"/>
          <w:szCs w:val="24"/>
        </w:rPr>
        <w:t>Anti-discriminatory practice, also called anti-oppressive practice, presents various theories to deal with discrimination and power differentials in counselling. At the vanguard of this was feminist counselling</w:t>
      </w:r>
      <w:r w:rsidRPr="00BA2696">
        <w:rPr>
          <w:rFonts w:cs="Calibri"/>
          <w:i/>
          <w:sz w:val="24"/>
          <w:szCs w:val="24"/>
        </w:rPr>
        <w:t xml:space="preserve">, </w:t>
      </w:r>
      <w:r w:rsidRPr="00BA2696">
        <w:rPr>
          <w:rFonts w:cs="Calibri"/>
          <w:sz w:val="24"/>
          <w:szCs w:val="24"/>
        </w:rPr>
        <w:t>with</w:t>
      </w:r>
      <w:r w:rsidRPr="00BA2696">
        <w:rPr>
          <w:rFonts w:cs="Calibri"/>
          <w:i/>
          <w:sz w:val="24"/>
          <w:szCs w:val="24"/>
        </w:rPr>
        <w:t xml:space="preserve"> </w:t>
      </w:r>
      <w:r w:rsidRPr="00BA2696">
        <w:rPr>
          <w:rFonts w:cs="Calibri"/>
          <w:sz w:val="24"/>
          <w:szCs w:val="24"/>
        </w:rPr>
        <w:t>its movement away</w:t>
      </w:r>
      <w:r>
        <w:rPr>
          <w:rFonts w:cs="Calibri"/>
          <w:sz w:val="24"/>
          <w:szCs w:val="24"/>
        </w:rPr>
        <w:t xml:space="preserve"> from</w:t>
      </w:r>
      <w:r w:rsidRPr="00BA2696">
        <w:rPr>
          <w:rFonts w:cs="Calibri"/>
          <w:sz w:val="24"/>
          <w:szCs w:val="24"/>
        </w:rPr>
        <w:t xml:space="preserve"> </w:t>
      </w:r>
      <w:r>
        <w:rPr>
          <w:rFonts w:cs="Calibri"/>
          <w:sz w:val="24"/>
          <w:szCs w:val="24"/>
        </w:rPr>
        <w:t>an</w:t>
      </w:r>
      <w:r w:rsidRPr="00BA2696">
        <w:rPr>
          <w:rFonts w:cs="Calibri"/>
          <w:sz w:val="24"/>
          <w:szCs w:val="24"/>
        </w:rPr>
        <w:t xml:space="preserve"> individualistic, interpersonal level to consider the cultural and social influences on women’s lives, including ‘race’ (Smith </w:t>
      </w:r>
      <w:r w:rsidRPr="00BA2696">
        <w:rPr>
          <w:rFonts w:cs="Calibri"/>
          <w:i/>
          <w:iCs/>
          <w:sz w:val="24"/>
          <w:szCs w:val="24"/>
        </w:rPr>
        <w:t>et al</w:t>
      </w:r>
      <w:r w:rsidRPr="00BA2696">
        <w:rPr>
          <w:rFonts w:cs="Calibri"/>
          <w:sz w:val="24"/>
          <w:szCs w:val="24"/>
        </w:rPr>
        <w:t xml:space="preserve">, 2012). For this literature review, two approaches will be considered: multicultural counselling and social justice counselling. These were chosen as they are representative of </w:t>
      </w:r>
      <w:r>
        <w:rPr>
          <w:rFonts w:cs="Calibri"/>
          <w:sz w:val="24"/>
          <w:szCs w:val="24"/>
        </w:rPr>
        <w:t xml:space="preserve">the </w:t>
      </w:r>
      <w:r w:rsidRPr="00BA2696">
        <w:rPr>
          <w:rFonts w:cs="Calibri"/>
          <w:sz w:val="24"/>
          <w:szCs w:val="24"/>
        </w:rPr>
        <w:t xml:space="preserve">established (multicultural) and new (social justice) anti-discriminatory theories. </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240" w:line="250" w:lineRule="auto"/>
      </w:pPr>
      <w:r w:rsidRPr="00BA2696">
        <w:t xml:space="preserve">Multicultural counselling </w:t>
      </w:r>
    </w:p>
    <w:p w:rsidR="00836C90" w:rsidRPr="00BA2696" w:rsidRDefault="00836C90" w:rsidP="00836C90">
      <w:pPr>
        <w:spacing w:after="0" w:line="480" w:lineRule="auto"/>
        <w:rPr>
          <w:rFonts w:cs="Calibri"/>
          <w:sz w:val="24"/>
          <w:szCs w:val="24"/>
        </w:rPr>
      </w:pPr>
      <w:r w:rsidRPr="00BA2696">
        <w:rPr>
          <w:rFonts w:cs="Calibri"/>
          <w:sz w:val="24"/>
          <w:szCs w:val="24"/>
        </w:rPr>
        <w:t xml:space="preserve">Multicultural counselling practice attempts to address the power differentials within the counselling relationship and racial differences between counsellor and client. Cultural competency is at the core of multicultural counselling and requires the counsellor to become aware of their own assumptions regarding ‘human behaviour, values, biases, preconceived notions, personal limitations’ (Sue and Sue, 2008, pp. 43-44). This ongoing process is combined with an attempt to understand the client’s worldview and to employ culturally suitable and sensitive interventions </w:t>
      </w:r>
      <w:bookmarkStart w:id="155" w:name="_Hlk505854639"/>
      <w:r w:rsidRPr="00BA2696">
        <w:rPr>
          <w:rFonts w:cs="Calibri"/>
          <w:sz w:val="24"/>
          <w:szCs w:val="24"/>
        </w:rPr>
        <w:t>in therapeutic practice (Sue and Sue, 2008)</w:t>
      </w:r>
      <w:bookmarkEnd w:id="155"/>
      <w:r w:rsidRPr="00BA2696">
        <w:rPr>
          <w:rFonts w:cs="Calibri"/>
          <w:sz w:val="24"/>
          <w:szCs w:val="24"/>
        </w:rPr>
        <w:t xml:space="preserve">. Cultural competency, or the word ‘multicultural’, does not appear in the BACP ethical framework (BACP, 2018a) as a standard for practice.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 counsellor’s self-awareness regarding their own cultural positioning is the first step in cultural competency frameworks </w:t>
      </w:r>
      <w:bookmarkStart w:id="156" w:name="_Hlk52801754"/>
      <w:r w:rsidRPr="00BA2696">
        <w:rPr>
          <w:rFonts w:cs="Calibri"/>
          <w:sz w:val="24"/>
          <w:szCs w:val="24"/>
        </w:rPr>
        <w:t xml:space="preserve">(such as: Constantine and Landany, 2001; Sue </w:t>
      </w:r>
      <w:r w:rsidRPr="00BA2696">
        <w:rPr>
          <w:rFonts w:cs="Calibri"/>
          <w:sz w:val="24"/>
          <w:szCs w:val="24"/>
        </w:rPr>
        <w:lastRenderedPageBreak/>
        <w:t xml:space="preserve">and Sue, 2008; Collins and Arthur, 2010) </w:t>
      </w:r>
      <w:bookmarkEnd w:id="156"/>
      <w:r w:rsidRPr="00BA2696">
        <w:rPr>
          <w:rFonts w:cs="Calibri"/>
          <w:sz w:val="24"/>
          <w:szCs w:val="24"/>
        </w:rPr>
        <w:t xml:space="preserve">and seeks to prevail over unintentional racism by the counsellor (Ridley, 2005). To that end, Moodley (2004) posits that it may be necessary for multicultural counsellors to contemplate their past and present relationships in order to move forward as a counsellor. However, Moodley (2004) does not further this observation to include the historical past and the socio-political present. However, Collins and Arthur (2010) suggest that counsellors need to become aware of their own cultural positioning, the influence of the dominant culture on counselling theory and to be cognisant </w:t>
      </w:r>
      <w:r>
        <w:rPr>
          <w:rFonts w:cs="Calibri"/>
          <w:sz w:val="24"/>
          <w:szCs w:val="24"/>
        </w:rPr>
        <w:t xml:space="preserve">of </w:t>
      </w:r>
      <w:r w:rsidRPr="00BA2696">
        <w:rPr>
          <w:rFonts w:cs="Calibri"/>
          <w:sz w:val="24"/>
          <w:szCs w:val="24"/>
        </w:rPr>
        <w:t>the socio-political reality of clients from nondominant cultures.</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bookmarkStart w:id="157" w:name="_Hlk52801819"/>
      <w:r w:rsidRPr="00BA2696">
        <w:rPr>
          <w:rFonts w:cs="Calibri"/>
          <w:sz w:val="24"/>
          <w:szCs w:val="24"/>
        </w:rPr>
        <w:t>Sue and Sue (2016)</w:t>
      </w:r>
      <w:bookmarkEnd w:id="157"/>
      <w:r w:rsidRPr="00BA2696">
        <w:rPr>
          <w:rFonts w:cs="Calibri"/>
          <w:sz w:val="24"/>
          <w:szCs w:val="24"/>
        </w:rPr>
        <w:t xml:space="preserve"> recognise that the term ‘multicultural’ counselling can reinforce the belief amongst white counsellors that ‘race’ and culture are separate issues and requires learning about ‘Other’ people and their cultures. This is supported by the argument that multicultural counselling fails to consider whiteness and ‘risks mirroring the very dynamics embedded in white privilege’ (Bartoli </w:t>
      </w:r>
      <w:r w:rsidRPr="00BA2696">
        <w:rPr>
          <w:rFonts w:cs="Calibri"/>
          <w:i/>
          <w:iCs/>
          <w:sz w:val="24"/>
          <w:szCs w:val="24"/>
        </w:rPr>
        <w:t>et al</w:t>
      </w:r>
      <w:r w:rsidRPr="00BA2696">
        <w:rPr>
          <w:rFonts w:cs="Calibri"/>
          <w:sz w:val="24"/>
          <w:szCs w:val="24"/>
        </w:rPr>
        <w:t xml:space="preserve">, 2015, p. 426). To that end, Chao </w:t>
      </w:r>
      <w:r w:rsidRPr="00BA2696">
        <w:rPr>
          <w:rFonts w:cs="Calibri"/>
          <w:i/>
          <w:iCs/>
          <w:sz w:val="24"/>
          <w:szCs w:val="24"/>
        </w:rPr>
        <w:t>et al</w:t>
      </w:r>
      <w:r w:rsidRPr="00BA2696">
        <w:rPr>
          <w:rFonts w:cs="Calibri"/>
          <w:sz w:val="24"/>
          <w:szCs w:val="24"/>
        </w:rPr>
        <w:t xml:space="preserve"> (2011) argue that multicultural awareness needs to focus on the counsellor’s critical self-awareness rather than emphasising cultural difference.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Criticism has also been levelled at the theory and application of multicultural counselling competence, as it was developed </w:t>
      </w:r>
      <w:bookmarkStart w:id="158" w:name="_Hlk47529454"/>
      <w:r w:rsidRPr="00BA2696">
        <w:rPr>
          <w:rFonts w:cs="Calibri"/>
          <w:sz w:val="24"/>
          <w:szCs w:val="24"/>
        </w:rPr>
        <w:t xml:space="preserve">‘within colonial confines’, given the domination of Westernised psychological research, theory and practice </w:t>
      </w:r>
      <w:bookmarkStart w:id="159" w:name="_Hlk6926774"/>
      <w:r w:rsidRPr="00BA2696">
        <w:rPr>
          <w:rFonts w:cs="Calibri"/>
          <w:sz w:val="24"/>
          <w:szCs w:val="24"/>
        </w:rPr>
        <w:t xml:space="preserve">(Tate, </w:t>
      </w:r>
      <w:r w:rsidRPr="00BC30BF">
        <w:rPr>
          <w:rFonts w:cs="Calibri"/>
          <w:bCs/>
          <w:sz w:val="24"/>
          <w:szCs w:val="24"/>
        </w:rPr>
        <w:t>Torres Rivera, and Edwards</w:t>
      </w:r>
      <w:r w:rsidRPr="00BA2696">
        <w:rPr>
          <w:rFonts w:cs="Calibri"/>
          <w:sz w:val="24"/>
          <w:szCs w:val="24"/>
        </w:rPr>
        <w:t>, 2015, p. 44).</w:t>
      </w:r>
      <w:bookmarkEnd w:id="158"/>
      <w:r w:rsidRPr="00BA2696">
        <w:rPr>
          <w:rFonts w:cs="Calibri"/>
          <w:sz w:val="24"/>
          <w:szCs w:val="24"/>
        </w:rPr>
        <w:t xml:space="preserve"> </w:t>
      </w:r>
      <w:bookmarkEnd w:id="159"/>
      <w:r w:rsidRPr="00BA2696">
        <w:rPr>
          <w:rFonts w:cs="Calibri"/>
          <w:sz w:val="24"/>
          <w:szCs w:val="24"/>
        </w:rPr>
        <w:t xml:space="preserve">This echoes the argument that understandings of mental health are Westernised and Eurocentric (Watters, 2011; Mills, 2014; Fernando </w:t>
      </w:r>
      <w:r w:rsidRPr="00BA2696">
        <w:rPr>
          <w:rFonts w:cs="Calibri"/>
          <w:sz w:val="24"/>
          <w:szCs w:val="24"/>
        </w:rPr>
        <w:lastRenderedPageBreak/>
        <w:t xml:space="preserve">and Moodley, 2018). Similarly, it has been put forward that multicultural counselling can imitate the very power dynamics they are meant to reject and is only adopted into counselling theory and discourse once its transformative potential has been ‘scrubbed’, furthering colonial practice (Gorski and Goodman, 2015, p. 2). To decolonise multicultural counselling competency, it is suggested that disregarding the ‘multicultural’ prefix altogether will remove its colonial connotations and through fostering ‘egalitarian inclusion’ by asking ethnic minority clients directly what ‘competent’ would mean to them rather than assuming </w:t>
      </w:r>
      <w:bookmarkStart w:id="160" w:name="_Hlk6927425"/>
      <w:r w:rsidRPr="00BA2696">
        <w:rPr>
          <w:rFonts w:cs="Calibri"/>
          <w:sz w:val="24"/>
          <w:szCs w:val="24"/>
        </w:rPr>
        <w:t xml:space="preserve">(Tate, Torres Rivera and Edwards, 2015, p. 49). </w:t>
      </w:r>
      <w:bookmarkStart w:id="161" w:name="_Hlk505855488"/>
      <w:bookmarkEnd w:id="160"/>
      <w:r w:rsidRPr="00BA2696">
        <w:rPr>
          <w:rFonts w:cs="Calibri"/>
          <w:sz w:val="24"/>
          <w:szCs w:val="24"/>
        </w:rPr>
        <w:t xml:space="preserve">Given that there may be an association between cultural incompetence and treatment dissatisfaction </w:t>
      </w:r>
      <w:bookmarkStart w:id="162" w:name="_Hlk506402871"/>
      <w:r w:rsidRPr="00BA2696">
        <w:rPr>
          <w:rFonts w:cs="Calibri"/>
          <w:sz w:val="24"/>
          <w:szCs w:val="24"/>
        </w:rPr>
        <w:t xml:space="preserve">(Chang and Berk, 2009) and that </w:t>
      </w:r>
      <w:bookmarkEnd w:id="161"/>
      <w:bookmarkEnd w:id="162"/>
      <w:r w:rsidRPr="00BA2696">
        <w:rPr>
          <w:rFonts w:cs="Calibri"/>
          <w:sz w:val="24"/>
          <w:szCs w:val="24"/>
        </w:rPr>
        <w:t xml:space="preserve">ethnic minority clients feel that issues of ‘race’ and ethnicity were important and were left less satisfied when ‘race’ and ethnicity were excluded from the therapeutic discourse (Meyer and Zane, 2013), it would seem the ‘egalitarian inclusion’ (Tate, Torres Rivera and Edwards, 2015, p. 49) approach would be a positive step forward and reduce power disparity. On a superficial level, it seems that multicultural counselling, specifically cultural competency, is an antidote to oppressive counselling practice and could offer rich opportunities for the counsellor to consider their cultural and racial positionality. However, a more nuanced critique highlights that ‘multicultural’ counselling is largely rooted in Western and Eurocentric counselling theory and the very term itself may engrain notions of ‘the Other’. Simply put, there is an implication that ‘multicultural’ counselling is something to be done with people from ‘other’ ‘races’ and cultures reserving ‘counselling’ for white people. </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4"/>
        <w:spacing w:before="0" w:after="240" w:line="250" w:lineRule="auto"/>
      </w:pPr>
      <w:r w:rsidRPr="00BA2696">
        <w:lastRenderedPageBreak/>
        <w:t>Social justice counselling</w:t>
      </w:r>
    </w:p>
    <w:p w:rsidR="00836C90" w:rsidRPr="00BA2696" w:rsidRDefault="00836C90" w:rsidP="00836C90">
      <w:pPr>
        <w:spacing w:after="0" w:line="480" w:lineRule="auto"/>
        <w:rPr>
          <w:rFonts w:cs="Calibri"/>
          <w:sz w:val="24"/>
          <w:szCs w:val="24"/>
        </w:rPr>
      </w:pPr>
      <w:r w:rsidRPr="00BA2696">
        <w:rPr>
          <w:rFonts w:cs="Calibri"/>
          <w:sz w:val="24"/>
          <w:szCs w:val="24"/>
        </w:rPr>
        <w:t xml:space="preserve">A remedy for multicultural counselling may be found in social justice counselling which has been called the fifth force (of five) in counselling, with multicultural counselling being the fourth force (Ratts and Pedersen, 2014). It is motivated by social justice and human rights and has feminist and multicultural theory at its core. It considers ‘how inequality, discrimination, oppression and other societal-level forces contribute to mental illness at the individual level’ </w:t>
      </w:r>
      <w:bookmarkStart w:id="163" w:name="_Hlk51085564"/>
      <w:r w:rsidRPr="00BA2696">
        <w:rPr>
          <w:rFonts w:cs="Calibri"/>
          <w:sz w:val="24"/>
          <w:szCs w:val="24"/>
        </w:rPr>
        <w:t>(Rogers-Sirin, 2017</w:t>
      </w:r>
      <w:bookmarkEnd w:id="163"/>
      <w:r w:rsidRPr="00BA2696">
        <w:rPr>
          <w:rFonts w:cs="Calibri"/>
          <w:sz w:val="24"/>
          <w:szCs w:val="24"/>
        </w:rPr>
        <w:t>, p. 55). Social justice counselling is a progression from the cultural awareness of multicultural counselling to advocating more systemic change (</w:t>
      </w:r>
      <w:bookmarkStart w:id="164" w:name="_Hlk51085598"/>
      <w:r w:rsidRPr="00BA2696">
        <w:rPr>
          <w:rFonts w:cs="Calibri"/>
          <w:sz w:val="24"/>
          <w:szCs w:val="24"/>
        </w:rPr>
        <w:t>Ratts, Rafferty McCullough and Rubel, 2016</w:t>
      </w:r>
      <w:bookmarkEnd w:id="164"/>
      <w:r w:rsidRPr="00BA2696">
        <w:rPr>
          <w:rFonts w:cs="Calibri"/>
          <w:sz w:val="24"/>
          <w:szCs w:val="24"/>
        </w:rPr>
        <w:t xml:space="preserve">). An example of this is the ‘Multi-Phase Model’ of counselling and psychotherapy developed by </w:t>
      </w:r>
      <w:bookmarkStart w:id="165" w:name="_Hlk51085630"/>
      <w:r w:rsidRPr="00BA2696">
        <w:rPr>
          <w:rFonts w:cs="Calibri"/>
          <w:sz w:val="24"/>
          <w:szCs w:val="24"/>
        </w:rPr>
        <w:t>Chung and Bemak (2012</w:t>
      </w:r>
      <w:bookmarkEnd w:id="165"/>
      <w:r w:rsidRPr="00BA2696">
        <w:rPr>
          <w:rFonts w:cs="Calibri"/>
          <w:sz w:val="24"/>
          <w:szCs w:val="24"/>
        </w:rPr>
        <w:t xml:space="preserve">, p. 78) which promotes social justice and human rights within the therapeutic process. It comprises of five phases and includes client cultural empowerment and the inclusion of non-Westernised practices to support client healing. Counselling has been accused of being perceived by those within and without it as a ‘politically neutral activity’ (Kearney, 1996, p. 6) which has separated the clinical side from the socio-critical side (Samuels, 2006). Social justice counselling theory and practice is unambiguously political. As has been mentioned above, social justice approaches have been cited as solutions for decolonialising Eurocentric mental health theories and practice (Mills, 2014; Ibrahim, 2017; Gelberg </w:t>
      </w:r>
      <w:r w:rsidRPr="00BA2696">
        <w:rPr>
          <w:rFonts w:cs="Calibri"/>
          <w:i/>
          <w:iCs/>
          <w:sz w:val="24"/>
          <w:szCs w:val="24"/>
        </w:rPr>
        <w:t>et al</w:t>
      </w:r>
      <w:r w:rsidRPr="00BA2696">
        <w:rPr>
          <w:rFonts w:cs="Calibri"/>
          <w:sz w:val="24"/>
          <w:szCs w:val="24"/>
        </w:rPr>
        <w:t xml:space="preserve">, 2018). Whilst social justice counselling is concerned with social justice issues more broadly, it offers an activist element to counselling and an opportunity to explicitly include racial discourse in counselling. However, before practicing as a </w:t>
      </w:r>
      <w:r w:rsidRPr="00BA2696">
        <w:rPr>
          <w:rFonts w:cs="Calibri"/>
          <w:sz w:val="24"/>
          <w:szCs w:val="24"/>
        </w:rPr>
        <w:lastRenderedPageBreak/>
        <w:t>counsellor, one must train to be a counsellor and it</w:t>
      </w:r>
      <w:r>
        <w:rPr>
          <w:rFonts w:cs="Calibri"/>
          <w:sz w:val="24"/>
          <w:szCs w:val="24"/>
        </w:rPr>
        <w:t xml:space="preserve"> is</w:t>
      </w:r>
      <w:r w:rsidRPr="00BA2696">
        <w:rPr>
          <w:rFonts w:cs="Calibri"/>
          <w:sz w:val="24"/>
          <w:szCs w:val="24"/>
        </w:rPr>
        <w:t xml:space="preserve"> therefore pertinent to consider how counselling pedagogy does or does not consider ‘race’. </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3"/>
      </w:pPr>
      <w:bookmarkStart w:id="166" w:name="_Toc56522996"/>
      <w:bookmarkStart w:id="167" w:name="_Toc56523278"/>
      <w:bookmarkStart w:id="168" w:name="_Toc57910086"/>
      <w:bookmarkStart w:id="169" w:name="_Toc58251302"/>
      <w:bookmarkStart w:id="170" w:name="_Toc72413630"/>
      <w:r w:rsidRPr="00BA2696">
        <w:t>2.2.3 Counselling pedagogy</w:t>
      </w:r>
      <w:bookmarkEnd w:id="166"/>
      <w:bookmarkEnd w:id="167"/>
      <w:bookmarkEnd w:id="168"/>
      <w:bookmarkEnd w:id="169"/>
      <w:bookmarkEnd w:id="170"/>
    </w:p>
    <w:p w:rsidR="00836C90" w:rsidRPr="00BA2696" w:rsidRDefault="00836C90" w:rsidP="00836C90">
      <w:pPr>
        <w:spacing w:after="0" w:line="480" w:lineRule="auto"/>
        <w:rPr>
          <w:rFonts w:cs="Calibri"/>
          <w:sz w:val="24"/>
          <w:szCs w:val="24"/>
        </w:rPr>
      </w:pPr>
      <w:bookmarkStart w:id="171" w:name="_Hlk505961874"/>
      <w:r w:rsidRPr="00BA2696">
        <w:rPr>
          <w:rFonts w:cs="Calibri"/>
          <w:sz w:val="24"/>
          <w:szCs w:val="24"/>
        </w:rPr>
        <w:t xml:space="preserve">Despite ‘race’-based training for white trainee counsellors being recommended (Helms, Guerda and Green, 2012; Bartoli </w:t>
      </w:r>
      <w:r w:rsidRPr="00BA2696">
        <w:rPr>
          <w:rFonts w:cs="Calibri"/>
          <w:i/>
          <w:iCs/>
          <w:sz w:val="24"/>
          <w:szCs w:val="24"/>
        </w:rPr>
        <w:t>et al</w:t>
      </w:r>
      <w:r w:rsidRPr="00BA2696">
        <w:rPr>
          <w:rFonts w:cs="Calibri"/>
          <w:sz w:val="24"/>
          <w:szCs w:val="24"/>
        </w:rPr>
        <w:t xml:space="preserve">, 2015) with its potential for positive self-development recognised (Paone, Malott and Barr, 2015), </w:t>
      </w:r>
      <w:bookmarkStart w:id="172" w:name="_Hlk52353117"/>
      <w:r w:rsidRPr="00BA2696">
        <w:rPr>
          <w:rFonts w:cs="Calibri"/>
          <w:sz w:val="24"/>
          <w:szCs w:val="24"/>
        </w:rPr>
        <w:t xml:space="preserve">there is a privation of published resources regarding ‘race’ and counselling training in the UK (Tuckwell, 2002) with no national standardisation </w:t>
      </w:r>
      <w:bookmarkEnd w:id="171"/>
      <w:r w:rsidRPr="00BA2696">
        <w:rPr>
          <w:rFonts w:cs="Calibri"/>
          <w:sz w:val="24"/>
          <w:szCs w:val="24"/>
        </w:rPr>
        <w:t xml:space="preserve">relating to the teaching of ‘race’ and culture (d’Ardenne, 2013). Consequently, whiteness as a racial identity is often neglected in counselling training (Ryde, 2011), with a culture of normalised whiteness permeating (Rotham, Malott and Paone, 2012). </w:t>
      </w:r>
      <w:bookmarkEnd w:id="172"/>
      <w:r w:rsidRPr="00BA2696">
        <w:rPr>
          <w:rFonts w:cs="Calibri"/>
          <w:sz w:val="24"/>
          <w:szCs w:val="24"/>
        </w:rPr>
        <w:t xml:space="preserve">In short, training institutes are not adequately preparing white trainee therapists to work multi-culturally (Jackson, 2018). If ‘race’ is openly discussed, it can elicit powerful and complex emotions amongst white trainees (Tuckwell, 2002; Chick, Karis and Kernahan, 2009; Powell, 2016).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 Higher Education Academy (HEA, 2013) carried out a report that considered counselling and psychotherapy pedagogy. Amongst the findings, the report found that increasingly counselling and psychotherapy was being taught in Higher Education Institutes (HEIs). Joseph, Murphy and Holford (2018, p. 387) highlight the ‘vulnerability’ of counselling and psychotherapy as a subject given its relatively recent status within HEIs. The teaching of ‘race’, racism, whiteness or multiculturalism was not included in the HEA (2013) report. However, it does state that the counselling </w:t>
      </w:r>
      <w:r w:rsidRPr="00BA2696">
        <w:rPr>
          <w:rFonts w:cs="Calibri"/>
          <w:sz w:val="24"/>
          <w:szCs w:val="24"/>
        </w:rPr>
        <w:lastRenderedPageBreak/>
        <w:t xml:space="preserve">student population is ‘diverse’ and ‘may need additional support for their personal development’ (HEA, 2013, p. 3). It does not elucidate on what is meant by ‘diverse’ or specify what the additional support may encompass.  The BACP is mentioned within the HEA report, with the argument that BACP accredited courses are viewed as ‘desirable for marketing and quality control purposes’ (HEA, 2013, p. 6). This statement would give credence to Kearny’s (1996) argument that the BACP are monopolising entrance and economic revenue to counselling work by means of qualifications and accreditation.  In the </w:t>
      </w:r>
      <w:bookmarkStart w:id="173" w:name="_Hlk18494518"/>
      <w:r w:rsidRPr="00BA2696">
        <w:rPr>
          <w:rFonts w:cs="Calibri"/>
          <w:sz w:val="24"/>
          <w:szCs w:val="24"/>
        </w:rPr>
        <w:t>BACP’s (2012, pp. 1-20) guidelines for course accreditation</w:t>
      </w:r>
      <w:bookmarkEnd w:id="173"/>
      <w:r w:rsidRPr="00BA2696">
        <w:rPr>
          <w:rFonts w:cs="Calibri"/>
          <w:sz w:val="24"/>
          <w:szCs w:val="24"/>
        </w:rPr>
        <w:t>, it outlines the follow</w:t>
      </w:r>
      <w:r>
        <w:rPr>
          <w:rFonts w:cs="Calibri"/>
          <w:sz w:val="24"/>
          <w:szCs w:val="24"/>
        </w:rPr>
        <w:t>ing</w:t>
      </w:r>
      <w:r w:rsidRPr="00BA2696">
        <w:rPr>
          <w:rFonts w:cs="Calibri"/>
          <w:sz w:val="24"/>
          <w:szCs w:val="24"/>
        </w:rPr>
        <w:t xml:space="preserve"> criteria for the course provider and the trainee. Table </w:t>
      </w:r>
      <w:r>
        <w:rPr>
          <w:rFonts w:cs="Calibri"/>
          <w:sz w:val="24"/>
          <w:szCs w:val="24"/>
        </w:rPr>
        <w:t>8</w:t>
      </w:r>
      <w:r w:rsidRPr="00BA2696">
        <w:rPr>
          <w:rFonts w:cs="Calibri"/>
          <w:sz w:val="24"/>
          <w:szCs w:val="24"/>
        </w:rPr>
        <w:t xml:space="preserve"> below reproduces the criteria relevant to the focus of this research:</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i/>
          <w:sz w:val="24"/>
          <w:szCs w:val="24"/>
        </w:rPr>
      </w:pPr>
    </w:p>
    <w:p w:rsidR="00836C90" w:rsidRPr="00BA2696" w:rsidRDefault="00836C90" w:rsidP="00836C90">
      <w:pPr>
        <w:spacing w:after="0" w:line="480" w:lineRule="auto"/>
        <w:rPr>
          <w:rFonts w:cs="Calibri"/>
          <w:i/>
          <w:sz w:val="24"/>
          <w:szCs w:val="24"/>
        </w:rPr>
        <w:sectPr w:rsidR="00836C90" w:rsidRPr="00BA2696" w:rsidSect="007F0E73">
          <w:footerReference w:type="default" r:id="rId6"/>
          <w:pgSz w:w="11906" w:h="16838"/>
          <w:pgMar w:top="1440" w:right="1440" w:bottom="1440" w:left="1440" w:header="720" w:footer="720" w:gutter="567"/>
          <w:cols w:space="720"/>
        </w:sectPr>
      </w:pPr>
    </w:p>
    <w:p w:rsidR="00836C90" w:rsidRPr="009C3ADD" w:rsidRDefault="00836C90" w:rsidP="00836C90">
      <w:pPr>
        <w:pStyle w:val="Caption"/>
        <w:keepNext/>
        <w:rPr>
          <w:sz w:val="24"/>
          <w:szCs w:val="24"/>
        </w:rPr>
      </w:pPr>
      <w:bookmarkStart w:id="174" w:name="_Toc72253522"/>
      <w:bookmarkStart w:id="175" w:name="_Toc72253844"/>
      <w:bookmarkStart w:id="176" w:name="_Toc72253866"/>
      <w:bookmarkStart w:id="177" w:name="_Toc72324669"/>
      <w:r w:rsidRPr="009C3ADD">
        <w:rPr>
          <w:sz w:val="24"/>
          <w:szCs w:val="24"/>
        </w:rPr>
        <w:lastRenderedPageBreak/>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8</w:t>
      </w:r>
      <w:r w:rsidRPr="009C3ADD">
        <w:rPr>
          <w:sz w:val="24"/>
          <w:szCs w:val="24"/>
        </w:rPr>
        <w:fldChar w:fldCharType="end"/>
      </w:r>
      <w:r w:rsidRPr="009C3ADD">
        <w:rPr>
          <w:sz w:val="24"/>
          <w:szCs w:val="24"/>
        </w:rPr>
        <w:t xml:space="preserve"> Relevant criteria in the BACP’s (2012) guidelines for course accreditation</w:t>
      </w:r>
      <w:bookmarkEnd w:id="174"/>
      <w:bookmarkEnd w:id="175"/>
      <w:bookmarkEnd w:id="176"/>
      <w:bookmarkEnd w:id="177"/>
    </w:p>
    <w:tbl>
      <w:tblPr>
        <w:tblW w:w="13325" w:type="dxa"/>
        <w:tblInd w:w="675" w:type="dxa"/>
        <w:tblBorders>
          <w:top w:val="double" w:sz="4" w:space="0" w:color="auto"/>
          <w:bottom w:val="double" w:sz="4" w:space="0" w:color="auto"/>
          <w:insideH w:val="single" w:sz="6" w:space="0" w:color="auto"/>
          <w:insideV w:val="single" w:sz="6" w:space="0" w:color="auto"/>
        </w:tblBorders>
        <w:tblCellMar>
          <w:left w:w="10" w:type="dxa"/>
          <w:right w:w="10" w:type="dxa"/>
        </w:tblCellMar>
        <w:tblLook w:val="04A0" w:firstRow="1" w:lastRow="0" w:firstColumn="1" w:lastColumn="0" w:noHBand="0" w:noVBand="1"/>
      </w:tblPr>
      <w:tblGrid>
        <w:gridCol w:w="2977"/>
        <w:gridCol w:w="10348"/>
      </w:tblGrid>
      <w:tr w:rsidR="00836C90" w:rsidRPr="00BA2696" w:rsidTr="00C75158">
        <w:tc>
          <w:tcPr>
            <w:tcW w:w="2977"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Section</w:t>
            </w:r>
          </w:p>
        </w:tc>
        <w:tc>
          <w:tcPr>
            <w:tcW w:w="10348"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 xml:space="preserve">Criteria </w:t>
            </w:r>
          </w:p>
        </w:tc>
      </w:tr>
      <w:tr w:rsidR="00836C90" w:rsidRPr="00BA2696" w:rsidTr="00C75158">
        <w:tc>
          <w:tcPr>
            <w:tcW w:w="2977"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B1. Admission</w:t>
            </w:r>
          </w:p>
        </w:tc>
        <w:tc>
          <w:tcPr>
            <w:tcW w:w="10348"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Applicants will be assessed for their:</w:t>
            </w:r>
          </w:p>
          <w:p w:rsidR="00836C90" w:rsidRPr="00BA2696" w:rsidRDefault="00836C90" w:rsidP="00C75158">
            <w:pPr>
              <w:spacing w:after="0" w:line="240" w:lineRule="auto"/>
              <w:rPr>
                <w:rFonts w:cs="Calibri"/>
                <w:sz w:val="20"/>
                <w:szCs w:val="24"/>
              </w:rPr>
            </w:pPr>
            <w:r w:rsidRPr="00BA2696">
              <w:rPr>
                <w:rFonts w:cs="Calibri"/>
                <w:sz w:val="20"/>
                <w:szCs w:val="24"/>
              </w:rPr>
              <w:t>B1.vii: ‘Awareness of the nature of prejudice and oppression’ (p. 3)</w:t>
            </w:r>
          </w:p>
          <w:p w:rsidR="00836C90" w:rsidRPr="00BA2696" w:rsidRDefault="00836C90" w:rsidP="00C75158">
            <w:pPr>
              <w:spacing w:after="0" w:line="240" w:lineRule="auto"/>
              <w:rPr>
                <w:rFonts w:cs="Calibri"/>
                <w:sz w:val="20"/>
                <w:szCs w:val="24"/>
              </w:rPr>
            </w:pPr>
            <w:r w:rsidRPr="00BA2696">
              <w:rPr>
                <w:rFonts w:cs="Calibri"/>
                <w:sz w:val="20"/>
                <w:szCs w:val="24"/>
              </w:rPr>
              <w:t>B1. viii: ‘Awareness of issues of difference and equality’ (p. 3)</w:t>
            </w:r>
          </w:p>
        </w:tc>
      </w:tr>
      <w:tr w:rsidR="00836C90" w:rsidRPr="00BA2696" w:rsidTr="00C75158">
        <w:tc>
          <w:tcPr>
            <w:tcW w:w="2977"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B3. Knowledge</w:t>
            </w:r>
          </w:p>
        </w:tc>
        <w:tc>
          <w:tcPr>
            <w:tcW w:w="10348"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The trainee shout be able to critique:</w:t>
            </w:r>
          </w:p>
          <w:p w:rsidR="00836C90" w:rsidRPr="00BA2696" w:rsidRDefault="00836C90" w:rsidP="00C75158">
            <w:pPr>
              <w:spacing w:after="0" w:line="240" w:lineRule="auto"/>
              <w:rPr>
                <w:rFonts w:cs="Calibri"/>
                <w:sz w:val="20"/>
                <w:szCs w:val="24"/>
              </w:rPr>
            </w:pPr>
            <w:r w:rsidRPr="00BA2696">
              <w:rPr>
                <w:rFonts w:cs="Calibri"/>
                <w:sz w:val="20"/>
                <w:szCs w:val="24"/>
              </w:rPr>
              <w:t>B3.i: ‘The social, political and legislative systems in which we live and the ways these affect client development and counselling practice’ (p.4)</w:t>
            </w:r>
          </w:p>
          <w:p w:rsidR="00836C90" w:rsidRPr="00BA2696" w:rsidRDefault="00836C90" w:rsidP="00C75158">
            <w:pPr>
              <w:spacing w:after="0" w:line="240" w:lineRule="auto"/>
              <w:rPr>
                <w:rFonts w:cs="Calibri"/>
                <w:sz w:val="20"/>
                <w:szCs w:val="24"/>
              </w:rPr>
            </w:pPr>
            <w:r w:rsidRPr="00BA2696">
              <w:rPr>
                <w:rFonts w:cs="Calibri"/>
                <w:sz w:val="20"/>
                <w:szCs w:val="24"/>
              </w:rPr>
              <w:t>B3.4: ‘Students must be made aware of the influence of social and cultural factors on mental health and the interrelatedness of psychological and physical symptoms’ (p. 5)</w:t>
            </w:r>
          </w:p>
        </w:tc>
      </w:tr>
      <w:tr w:rsidR="00836C90" w:rsidRPr="00BA2696" w:rsidTr="00C75158">
        <w:tc>
          <w:tcPr>
            <w:tcW w:w="2977"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B4. Client work</w:t>
            </w:r>
          </w:p>
        </w:tc>
        <w:tc>
          <w:tcPr>
            <w:tcW w:w="10348"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B4. iv: ‘Work with difference and diversity as it impacts on the therapeutic relationship or the process of therapy’ (p. 7)</w:t>
            </w:r>
          </w:p>
        </w:tc>
      </w:tr>
      <w:tr w:rsidR="00836C90" w:rsidRPr="00BA2696" w:rsidTr="00C75158">
        <w:tc>
          <w:tcPr>
            <w:tcW w:w="2977"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B5. Professional context</w:t>
            </w:r>
          </w:p>
        </w:tc>
        <w:tc>
          <w:tcPr>
            <w:tcW w:w="10348"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B5.2: ‘Students must be made aware of the wider political, social, legal and organisational framework for therapeutic practice; to ensure that they are able to work appropriately in different counselling and psychotherapy contexts’ (p. 9)</w:t>
            </w:r>
          </w:p>
        </w:tc>
      </w:tr>
      <w:tr w:rsidR="00836C90" w:rsidRPr="00BA2696" w:rsidTr="00C75158">
        <w:tc>
          <w:tcPr>
            <w:tcW w:w="2977"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b/>
                <w:bCs/>
                <w:sz w:val="20"/>
                <w:szCs w:val="24"/>
              </w:rPr>
              <w:t>9.1 B. Understanding the client</w:t>
            </w:r>
          </w:p>
        </w:tc>
        <w:tc>
          <w:tcPr>
            <w:tcW w:w="10348"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9.1B.6: ‘Demonstrate awareness of diversity and the rights and responsibilities of all clients, regardless of their gender, age, ethnicity, culture, class, ability, sexuality, religion and belief’ (p. 17)</w:t>
            </w:r>
          </w:p>
          <w:p w:rsidR="00836C90" w:rsidRPr="00BA2696" w:rsidRDefault="00836C90" w:rsidP="00C75158">
            <w:pPr>
              <w:spacing w:after="0" w:line="240" w:lineRule="auto"/>
              <w:rPr>
                <w:rFonts w:cs="Calibri"/>
                <w:sz w:val="20"/>
                <w:szCs w:val="24"/>
              </w:rPr>
            </w:pPr>
            <w:r w:rsidRPr="00BA2696">
              <w:rPr>
                <w:rFonts w:cs="Calibri"/>
                <w:sz w:val="20"/>
                <w:szCs w:val="24"/>
              </w:rPr>
              <w:t>9.1B.12: ‘Understand the inter-relatedness of social and psychological factors’ (p. 17)</w:t>
            </w:r>
          </w:p>
        </w:tc>
      </w:tr>
      <w:tr w:rsidR="00836C90" w:rsidRPr="00BA2696" w:rsidTr="00C75158">
        <w:tc>
          <w:tcPr>
            <w:tcW w:w="2977"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9.1 C. The therapeutic process</w:t>
            </w:r>
          </w:p>
        </w:tc>
        <w:tc>
          <w:tcPr>
            <w:tcW w:w="10348" w:type="dxa"/>
            <w:shd w:val="clear" w:color="auto" w:fill="auto"/>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9.1C.8 ‘Acknowledge diversity relating to gender, age, ethnicity, culture, ability, religion, spirituality and sexuality as it impacts on the therapeutic relationship or the process of therapy’ (p. 18)</w:t>
            </w:r>
          </w:p>
        </w:tc>
      </w:tr>
      <w:tr w:rsidR="00836C90" w:rsidRPr="00BA2696" w:rsidTr="00C75158">
        <w:tc>
          <w:tcPr>
            <w:tcW w:w="2977"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b/>
                <w:bCs/>
                <w:sz w:val="20"/>
                <w:szCs w:val="24"/>
              </w:rPr>
            </w:pPr>
            <w:r w:rsidRPr="00BA2696">
              <w:rPr>
                <w:rFonts w:cs="Calibri"/>
                <w:b/>
                <w:bCs/>
                <w:sz w:val="20"/>
                <w:szCs w:val="24"/>
              </w:rPr>
              <w:t>9.1 D The social, professional and organisational context for therapy</w:t>
            </w:r>
          </w:p>
        </w:tc>
        <w:tc>
          <w:tcPr>
            <w:tcW w:w="10348" w:type="dxa"/>
            <w:shd w:val="clear" w:color="auto" w:fill="F2F2F2"/>
            <w:tcMar>
              <w:top w:w="0" w:type="dxa"/>
              <w:left w:w="108" w:type="dxa"/>
              <w:bottom w:w="0" w:type="dxa"/>
              <w:right w:w="108" w:type="dxa"/>
            </w:tcMar>
          </w:tcPr>
          <w:p w:rsidR="00836C90" w:rsidRPr="00BA2696" w:rsidRDefault="00836C90" w:rsidP="00C75158">
            <w:pPr>
              <w:spacing w:after="0" w:line="240" w:lineRule="auto"/>
              <w:rPr>
                <w:rFonts w:cs="Calibri"/>
                <w:sz w:val="20"/>
                <w:szCs w:val="24"/>
              </w:rPr>
            </w:pPr>
            <w:r w:rsidRPr="00BA2696">
              <w:rPr>
                <w:rFonts w:cs="Calibri"/>
                <w:sz w:val="20"/>
                <w:szCs w:val="24"/>
              </w:rPr>
              <w:t>9.1D.2: ‘Show a critical awareness of the history of ideas, the cultural context and social and political theories that inform and influence the practice of counselling and psychotherapy’ (p. 19)</w:t>
            </w:r>
          </w:p>
          <w:p w:rsidR="00836C90" w:rsidRPr="00BA2696" w:rsidRDefault="00836C90" w:rsidP="00C75158">
            <w:pPr>
              <w:spacing w:after="0" w:line="240" w:lineRule="auto"/>
              <w:rPr>
                <w:rFonts w:cs="Calibri"/>
                <w:sz w:val="20"/>
                <w:szCs w:val="24"/>
              </w:rPr>
            </w:pPr>
            <w:r w:rsidRPr="00BA2696">
              <w:rPr>
                <w:rFonts w:cs="Calibri"/>
                <w:sz w:val="20"/>
                <w:szCs w:val="24"/>
              </w:rPr>
              <w:t>9.1D.4: ‘Understand the inter-relatedness of truth claims, belief and ideology and their influence on professional practice’ (p. 19)</w:t>
            </w:r>
          </w:p>
          <w:p w:rsidR="00836C90" w:rsidRPr="00BA2696" w:rsidRDefault="00836C90" w:rsidP="00C75158">
            <w:pPr>
              <w:spacing w:after="0" w:line="240" w:lineRule="auto"/>
              <w:rPr>
                <w:rFonts w:cs="Calibri"/>
                <w:sz w:val="20"/>
                <w:szCs w:val="24"/>
              </w:rPr>
            </w:pPr>
            <w:r w:rsidRPr="00BA2696">
              <w:rPr>
                <w:rFonts w:cs="Calibri"/>
                <w:sz w:val="20"/>
                <w:szCs w:val="24"/>
              </w:rPr>
              <w:t xml:space="preserve">9.1D.6: ‘Explore sensitively and respectfully with clients their culture and associated values recognising cultural differences, for example, in terms of predispositions to individualism and collectivism, emotional involvement and detachment’ (p. 19) </w:t>
            </w:r>
          </w:p>
          <w:p w:rsidR="00836C90" w:rsidRPr="00BA2696" w:rsidRDefault="00836C90" w:rsidP="00C75158">
            <w:pPr>
              <w:spacing w:after="0" w:line="240" w:lineRule="auto"/>
              <w:rPr>
                <w:rFonts w:cs="Calibri"/>
                <w:sz w:val="20"/>
                <w:szCs w:val="24"/>
              </w:rPr>
            </w:pPr>
            <w:r w:rsidRPr="00BA2696">
              <w:rPr>
                <w:rFonts w:cs="Calibri"/>
                <w:sz w:val="20"/>
                <w:szCs w:val="24"/>
              </w:rPr>
              <w:t>9.1D.7: ‘Reflect on the role and function of counselling and psychotherapy in society and understand national politics in relation to mental health service provision and client wellbeing’ (p. 19)</w:t>
            </w:r>
          </w:p>
          <w:p w:rsidR="00836C90" w:rsidRPr="00BA2696" w:rsidRDefault="00836C90" w:rsidP="00C75158">
            <w:pPr>
              <w:spacing w:after="0" w:line="240" w:lineRule="auto"/>
              <w:rPr>
                <w:rFonts w:cs="Calibri"/>
                <w:sz w:val="20"/>
                <w:szCs w:val="24"/>
              </w:rPr>
            </w:pPr>
            <w:r w:rsidRPr="00BA2696">
              <w:rPr>
                <w:rFonts w:cs="Calibri"/>
                <w:sz w:val="20"/>
                <w:szCs w:val="24"/>
              </w:rPr>
              <w:t>9.1D.11. ‘Demonstrate an awareness of power relationships and dynamics within groups and organisations and their potential impact on therapy’ (p. 19)</w:t>
            </w:r>
          </w:p>
        </w:tc>
      </w:tr>
    </w:tbl>
    <w:p w:rsidR="00836C90" w:rsidRPr="00BA2696" w:rsidRDefault="00836C90" w:rsidP="00836C90">
      <w:pPr>
        <w:spacing w:after="0" w:line="480" w:lineRule="auto"/>
        <w:jc w:val="right"/>
        <w:rPr>
          <w:rFonts w:cs="Calibri"/>
          <w:sz w:val="24"/>
          <w:szCs w:val="24"/>
        </w:rPr>
      </w:pPr>
      <w:r w:rsidRPr="00BA2696">
        <w:rPr>
          <w:rFonts w:cs="Calibri"/>
          <w:sz w:val="24"/>
          <w:szCs w:val="24"/>
        </w:rPr>
        <w:t>(</w:t>
      </w:r>
      <w:r w:rsidRPr="00BA2696">
        <w:rPr>
          <w:rFonts w:cs="Calibri"/>
          <w:i/>
          <w:sz w:val="24"/>
          <w:szCs w:val="24"/>
        </w:rPr>
        <w:t>adapted from</w:t>
      </w:r>
      <w:r w:rsidRPr="00BA2696">
        <w:rPr>
          <w:rFonts w:cs="Calibri"/>
          <w:sz w:val="24"/>
          <w:szCs w:val="24"/>
        </w:rPr>
        <w:t xml:space="preserve"> BACP, 2012, pp. 1-20).</w:t>
      </w:r>
    </w:p>
    <w:p w:rsidR="00836C90" w:rsidRPr="00BA2696" w:rsidRDefault="00836C90" w:rsidP="00836C90">
      <w:pPr>
        <w:spacing w:after="0" w:line="480" w:lineRule="auto"/>
        <w:rPr>
          <w:rFonts w:cs="Calibri"/>
          <w:sz w:val="24"/>
          <w:szCs w:val="24"/>
        </w:rPr>
        <w:sectPr w:rsidR="00836C90" w:rsidRPr="00BA2696" w:rsidSect="00014155">
          <w:pgSz w:w="16838" w:h="11906" w:orient="landscape"/>
          <w:pgMar w:top="1440" w:right="1440" w:bottom="1440" w:left="1440" w:header="720" w:footer="720" w:gutter="567"/>
          <w:cols w:space="720"/>
          <w:docGrid w:linePitch="299"/>
        </w:sectPr>
      </w:pPr>
    </w:p>
    <w:p w:rsidR="00836C90" w:rsidRPr="00BA2696" w:rsidRDefault="00836C90" w:rsidP="00836C90">
      <w:pPr>
        <w:spacing w:after="0" w:line="480" w:lineRule="auto"/>
        <w:rPr>
          <w:rFonts w:cs="Calibri"/>
          <w:sz w:val="24"/>
          <w:szCs w:val="24"/>
        </w:rPr>
      </w:pPr>
      <w:r w:rsidRPr="00BA2696">
        <w:rPr>
          <w:rFonts w:cs="Calibri"/>
          <w:sz w:val="24"/>
          <w:szCs w:val="24"/>
        </w:rPr>
        <w:lastRenderedPageBreak/>
        <w:t xml:space="preserve">The criteria outlined above seems to be outward looking, requiring the trainee and/or training provider to consider the social and political context of counselling theory and practice. It omits to emphasise that the trainee applies critical self-awareness to their own personal historical, socio-political or racial positionality, despite trainee/therapist self-awareness being a </w:t>
      </w:r>
      <w:r>
        <w:rPr>
          <w:rFonts w:cs="Calibri"/>
          <w:sz w:val="24"/>
          <w:szCs w:val="24"/>
        </w:rPr>
        <w:t>recurrent</w:t>
      </w:r>
      <w:r w:rsidRPr="00BA2696">
        <w:rPr>
          <w:rFonts w:cs="Calibri"/>
          <w:sz w:val="24"/>
          <w:szCs w:val="24"/>
        </w:rPr>
        <w:t xml:space="preserve"> theme throughout the guidelines. Nor does it specify how the training provider should present these topics, meaning that they could either be integrated throughout the duration of the course or be referred to in a stand-alone one-hour seminar. Thus, there is no standardisation across all training providers. The guidelines also fail to mention ‘race’, ‘racism’, ‘whiteness’ or ‘racial identity’. Although these could be inferred from the quoted criteria above, the guidelines do not mention ‘race’ and therefore the interpretation of ‘ethnicity’ and ‘culture’ is left to course trainers who will be presenting these topics through their own ‘racialized </w:t>
      </w:r>
      <w:r w:rsidRPr="00BA2696">
        <w:rPr>
          <w:rFonts w:cs="Calibri"/>
          <w:i/>
          <w:sz w:val="24"/>
          <w:szCs w:val="24"/>
        </w:rPr>
        <w:t>(sic)</w:t>
      </w:r>
      <w:r w:rsidRPr="00BA2696">
        <w:rPr>
          <w:rFonts w:cs="Calibri"/>
          <w:sz w:val="24"/>
          <w:szCs w:val="24"/>
        </w:rPr>
        <w:t xml:space="preserve"> lens’ (Thompson and Carter, 2012, p. xv). It also advocates that the counsellor explores with the client their cultural values (BACP, 2012, 9.1D.6, p. 19). This opens up criticism on two fronts; it is indicative of Lorde’s (1984) argument that expecting minorities to teach white people about their ‘race’ (in this case culture) is a form of oppression and the replacement of ‘race’ for ‘culture’ is removing the potential for </w:t>
      </w:r>
      <w:r>
        <w:rPr>
          <w:rFonts w:cs="Calibri"/>
          <w:sz w:val="24"/>
          <w:szCs w:val="24"/>
        </w:rPr>
        <w:t>anti-racism</w:t>
      </w:r>
      <w:r w:rsidRPr="00BA2696">
        <w:rPr>
          <w:rFonts w:cs="Calibri"/>
          <w:sz w:val="24"/>
          <w:szCs w:val="24"/>
        </w:rPr>
        <w:t xml:space="preserve"> advocacy, thereby reinforcing the post-racial society narrative (Lentin and Titley, 2015; Bhopal, 2018). On the other hand, openly discussing culture with clients may be the first step to ‘egalitarian inclusion’ (Tate, Torres Rivera and Edwards, 2015, p. 49). As with the criticism of ‘multicultural counselling’, the BACP’s (2012) course accreditation guidelines would cursorily give the impression that they are attempting to address diversity, requiring the course, trainers and trainee counsellors to be aware of socio-political factors, and even mentioning the ‘history of ideas’ pertinent to counselling </w:t>
      </w:r>
      <w:r w:rsidRPr="00BA2696">
        <w:rPr>
          <w:rFonts w:cs="Calibri"/>
          <w:sz w:val="24"/>
          <w:szCs w:val="24"/>
        </w:rPr>
        <w:lastRenderedPageBreak/>
        <w:t xml:space="preserve">practice and theory (BACP, 2012, p. 19). This may mitigate potential power differentials. Another interpretation of the guidelines is that they lack clarity in regard to explicit direction regarding </w:t>
      </w:r>
      <w:r w:rsidRPr="00BA2696">
        <w:rPr>
          <w:rFonts w:cs="Calibri"/>
          <w:i/>
          <w:sz w:val="24"/>
          <w:szCs w:val="24"/>
        </w:rPr>
        <w:t xml:space="preserve">how </w:t>
      </w:r>
      <w:r w:rsidRPr="00BA2696">
        <w:rPr>
          <w:rFonts w:cs="Calibri"/>
          <w:sz w:val="24"/>
          <w:szCs w:val="24"/>
        </w:rPr>
        <w:t xml:space="preserve">to both teach and assess these requirements.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b/>
          <w:sz w:val="24"/>
          <w:szCs w:val="24"/>
        </w:rPr>
      </w:pPr>
      <w:r w:rsidRPr="00BA2696">
        <w:rPr>
          <w:rFonts w:cs="Calibri"/>
          <w:sz w:val="24"/>
          <w:szCs w:val="24"/>
        </w:rPr>
        <w:t>Addressing the lack of discussion around ‘race’ in counselling training (as evidenced by the BACP’s, 2012, guidelines), Nadirshaw (2010) presents topics that could be included in counselling training, such as: awareness of the Eurocentrism and the barriers faced by people of colour in mental health services and evaluating trainees’ comprehension of historical and social methods of discrimination</w:t>
      </w:r>
      <w:r w:rsidRPr="00BA2696">
        <w:rPr>
          <w:rFonts w:cs="Calibri"/>
          <w:b/>
          <w:sz w:val="24"/>
          <w:szCs w:val="24"/>
        </w:rPr>
        <w:t xml:space="preserv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A lack of mandatory pedagogical requirements around ‘race’ in counselling training, indeed an omission of compulsorily racial discourse altogether, means that learning around ‘race’ takes place at an individual level and has an effect on black trainee counsellors. It can result in the exclusion of black trainees own experiences, suppression of their learning needs and expectations from white </w:t>
      </w:r>
      <w:bookmarkStart w:id="178" w:name="_Hlk506379071"/>
      <w:r w:rsidRPr="00BA2696">
        <w:rPr>
          <w:rFonts w:cs="Calibri"/>
          <w:sz w:val="24"/>
          <w:szCs w:val="24"/>
        </w:rPr>
        <w:t>trainees to provide expertise around ‘race’ when required (McKenzie-Mavinga, 2009).</w:t>
      </w:r>
      <w:bookmarkEnd w:id="178"/>
      <w:r w:rsidRPr="00BA2696">
        <w:rPr>
          <w:rFonts w:cs="Calibri"/>
          <w:sz w:val="24"/>
          <w:szCs w:val="24"/>
        </w:rPr>
        <w:t xml:space="preserve"> In Robinson’s (2015) personal experiences of counselling training, the avoidance of racial discourse by her white peers led her to conclude that counselling fails to challenge racism. Silence around ‘race’ can lead to feelings of isolation, shame and self-censorship in counsellors of colour (Jackson, 2020b). In the same way, counselling training has been accused of being colour-blind, with white trainees remaining silent when black and Asian students try to discuss ‘race’ (Ellis and Cooper, 2013). To combat this, The Black African and Asian Therapy Network (2020) offers a space for </w:t>
      </w:r>
      <w:r w:rsidRPr="00BA2696">
        <w:rPr>
          <w:rFonts w:cs="Calibri"/>
          <w:sz w:val="24"/>
          <w:szCs w:val="24"/>
        </w:rPr>
        <w:lastRenderedPageBreak/>
        <w:t xml:space="preserve">counsellors and psychotherapists of colour, providing resources and events, as well as challenging racism.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Therefore, counselling pedagogy is a potential pathway to facilitate ‘race’ based learning and discourse amongst white trainees which will ultimately influence counselling practice and future theory. In spite of attempts to recognise diversity as shown in the BACP’s (2012) course guidelines, the omission of ‘race’, racism, racial identity and whiteness is representative of the wider socio-political discourse around ‘race’ where whiteness is normalised </w:t>
      </w:r>
      <w:bookmarkStart w:id="179" w:name="_Hlk18403867"/>
      <w:r w:rsidRPr="00BA2696">
        <w:rPr>
          <w:rFonts w:cs="Calibri"/>
          <w:sz w:val="24"/>
          <w:szCs w:val="24"/>
        </w:rPr>
        <w:t>(</w:t>
      </w:r>
      <w:r w:rsidRPr="00BA2696">
        <w:rPr>
          <w:rFonts w:cs="Calibri"/>
          <w:bCs/>
          <w:sz w:val="24"/>
          <w:szCs w:val="24"/>
        </w:rPr>
        <w:t>Halley, Eshleman, and Mahadevan-Vijaya, 2011;</w:t>
      </w:r>
      <w:r w:rsidRPr="00BA2696">
        <w:rPr>
          <w:rFonts w:cs="Calibri"/>
          <w:bCs/>
          <w:color w:val="000000"/>
          <w:sz w:val="24"/>
          <w:szCs w:val="24"/>
        </w:rPr>
        <w:t xml:space="preserve"> </w:t>
      </w:r>
      <w:r w:rsidRPr="00BA2696">
        <w:rPr>
          <w:rFonts w:cs="Calibri"/>
          <w:bCs/>
          <w:sz w:val="24"/>
          <w:szCs w:val="24"/>
        </w:rPr>
        <w:t xml:space="preserve">Hayes </w:t>
      </w:r>
      <w:r w:rsidRPr="00BA2696">
        <w:rPr>
          <w:rFonts w:cs="Calibri"/>
          <w:bCs/>
          <w:i/>
          <w:iCs/>
          <w:sz w:val="24"/>
          <w:szCs w:val="24"/>
        </w:rPr>
        <w:t>et al</w:t>
      </w:r>
      <w:r w:rsidRPr="00BA2696">
        <w:rPr>
          <w:rFonts w:cs="Calibri"/>
          <w:bCs/>
          <w:sz w:val="24"/>
          <w:szCs w:val="24"/>
        </w:rPr>
        <w:t>, 2013</w:t>
      </w:r>
      <w:r w:rsidRPr="00BA2696">
        <w:rPr>
          <w:rFonts w:cs="Calibri"/>
          <w:sz w:val="24"/>
          <w:szCs w:val="24"/>
        </w:rPr>
        <w:t>)</w:t>
      </w:r>
      <w:bookmarkEnd w:id="179"/>
      <w:r w:rsidRPr="00BA2696">
        <w:rPr>
          <w:rFonts w:cs="Calibri"/>
          <w:sz w:val="24"/>
          <w:szCs w:val="24"/>
        </w:rPr>
        <w:t xml:space="preserve"> and colour-blind ideology dominates (Bonilla-Silva, 2018)</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Part 3 of the literature</w:t>
      </w:r>
      <w:r>
        <w:rPr>
          <w:rFonts w:cs="Calibri"/>
          <w:sz w:val="24"/>
          <w:szCs w:val="24"/>
        </w:rPr>
        <w:t xml:space="preserve"> review</w:t>
      </w:r>
      <w:r w:rsidRPr="00BA2696">
        <w:rPr>
          <w:rFonts w:cs="Calibri"/>
          <w:sz w:val="24"/>
          <w:szCs w:val="24"/>
        </w:rPr>
        <w:t xml:space="preserve"> will summarise parts 1 and 2, </w:t>
      </w:r>
      <w:bookmarkStart w:id="180" w:name="_Hlk7459808"/>
      <w:r w:rsidRPr="00BA2696">
        <w:rPr>
          <w:rFonts w:cs="Calibri"/>
          <w:sz w:val="24"/>
          <w:szCs w:val="24"/>
        </w:rPr>
        <w:t>by using the primary theoretical lens of critical whiteness studies (Delgado and Stefancic, 1997; Applebaum, 201</w:t>
      </w:r>
      <w:r>
        <w:rPr>
          <w:rFonts w:cs="Calibri"/>
          <w:sz w:val="24"/>
          <w:szCs w:val="24"/>
        </w:rPr>
        <w:t>6a</w:t>
      </w:r>
      <w:r w:rsidRPr="00BA2696">
        <w:rPr>
          <w:rFonts w:cs="Calibri"/>
          <w:sz w:val="24"/>
          <w:szCs w:val="24"/>
        </w:rPr>
        <w:t xml:space="preserve">) and the complimentary theoretical lens of critical race theory (Crenshaw </w:t>
      </w:r>
      <w:r w:rsidRPr="00BA2696">
        <w:rPr>
          <w:rFonts w:cs="Calibri"/>
          <w:i/>
          <w:iCs/>
          <w:sz w:val="24"/>
          <w:szCs w:val="24"/>
        </w:rPr>
        <w:t>et al</w:t>
      </w:r>
      <w:r w:rsidRPr="00BA2696">
        <w:rPr>
          <w:rFonts w:cs="Calibri"/>
          <w:sz w:val="24"/>
          <w:szCs w:val="24"/>
        </w:rPr>
        <w:t>, 1995; Delgado and Stefancic, 2017)</w:t>
      </w:r>
      <w:bookmarkEnd w:id="180"/>
      <w:r w:rsidRPr="00BA2696">
        <w:rPr>
          <w:rFonts w:cs="Calibri"/>
          <w:sz w:val="24"/>
          <w:szCs w:val="24"/>
        </w:rPr>
        <w:t xml:space="preserve">. A deeper exploration of these theoretical lenses is discussed in Chapter 3 (Section 3.4). </w:t>
      </w:r>
    </w:p>
    <w:p w:rsidR="00836C90" w:rsidRPr="00BA2696" w:rsidRDefault="00836C90" w:rsidP="00836C90">
      <w:bookmarkStart w:id="181" w:name="_Toc56522997"/>
      <w:bookmarkStart w:id="182" w:name="_Toc56523279"/>
      <w:bookmarkStart w:id="183" w:name="_Toc57910087"/>
      <w:bookmarkStart w:id="184" w:name="_Toc58251303"/>
    </w:p>
    <w:p w:rsidR="00836C90" w:rsidRPr="00BA2696" w:rsidRDefault="00836C90" w:rsidP="00836C90">
      <w:pPr>
        <w:pStyle w:val="Heading3"/>
      </w:pPr>
      <w:bookmarkStart w:id="185" w:name="_Toc72413631"/>
      <w:r w:rsidRPr="00BA2696">
        <w:t>2.3: Summary of the literature review</w:t>
      </w:r>
      <w:bookmarkEnd w:id="181"/>
      <w:bookmarkEnd w:id="182"/>
      <w:bookmarkEnd w:id="183"/>
      <w:bookmarkEnd w:id="184"/>
      <w:bookmarkEnd w:id="185"/>
    </w:p>
    <w:p w:rsidR="00836C90" w:rsidRPr="00BA2696" w:rsidRDefault="00836C90" w:rsidP="00836C90">
      <w:pPr>
        <w:spacing w:after="0" w:line="480" w:lineRule="auto"/>
        <w:rPr>
          <w:rFonts w:cs="Calibri"/>
          <w:sz w:val="24"/>
          <w:szCs w:val="24"/>
        </w:rPr>
      </w:pPr>
      <w:r w:rsidRPr="00BA2696">
        <w:rPr>
          <w:rFonts w:cs="Calibri"/>
          <w:sz w:val="24"/>
          <w:szCs w:val="24"/>
        </w:rPr>
        <w:t xml:space="preserve">The third part of this literature review seeks to synthesise the findings presented in this chapter by using the chosen theoretical lenses of critical whiteness studies and critical race theory to consider the socio-political history of ‘race’ and counselling theory. </w:t>
      </w:r>
    </w:p>
    <w:p w:rsidR="00836C90" w:rsidRPr="00BA2696" w:rsidRDefault="00836C90" w:rsidP="00836C90">
      <w:pPr>
        <w:pStyle w:val="Heading3"/>
      </w:pPr>
      <w:bookmarkStart w:id="186" w:name="_Toc56523000"/>
      <w:bookmarkStart w:id="187" w:name="_Toc56523282"/>
      <w:bookmarkStart w:id="188" w:name="_Toc57910090"/>
      <w:bookmarkStart w:id="189" w:name="_Toc58251306"/>
      <w:bookmarkStart w:id="190" w:name="_Toc72413632"/>
      <w:r w:rsidRPr="00BA2696">
        <w:lastRenderedPageBreak/>
        <w:t>2.3.1 Critical Whiteness Studies</w:t>
      </w:r>
      <w:bookmarkEnd w:id="186"/>
      <w:bookmarkEnd w:id="187"/>
      <w:bookmarkEnd w:id="188"/>
      <w:bookmarkEnd w:id="189"/>
      <w:bookmarkEnd w:id="190"/>
    </w:p>
    <w:p w:rsidR="00836C90" w:rsidRPr="00BA2696" w:rsidRDefault="00836C90" w:rsidP="00836C90">
      <w:pPr>
        <w:spacing w:after="0" w:line="480" w:lineRule="auto"/>
        <w:rPr>
          <w:rFonts w:cs="Calibri"/>
          <w:sz w:val="24"/>
          <w:szCs w:val="24"/>
        </w:rPr>
      </w:pPr>
      <w:r w:rsidRPr="00BA2696">
        <w:rPr>
          <w:rFonts w:cs="Calibri"/>
          <w:sz w:val="24"/>
          <w:szCs w:val="24"/>
        </w:rPr>
        <w:t xml:space="preserve">It has been argued that critical whiteness studies consists of three core principles: that white people are unaware of their ‘race’ and its social construction, white people are unaware of the unearned benefits of being white and that colour-blind ideology disguises systemic racism (Hartmann, Gerteis and Croll, 2009). The literature reviewed would appear to support that these principles are prevalent, both in a societal and counselling context.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When looking at the history of ‘race’, white people have exerted power in developing its construction, beginning with creating the classifications of ‘race’ in the eighteenth-century </w:t>
      </w:r>
      <w:r w:rsidRPr="00BA2696">
        <w:rPr>
          <w:rFonts w:cs="Calibri"/>
          <w:color w:val="000000"/>
          <w:sz w:val="24"/>
          <w:szCs w:val="24"/>
        </w:rPr>
        <w:t>(Section 2.1.1).</w:t>
      </w:r>
      <w:r w:rsidRPr="00BA2696">
        <w:rPr>
          <w:rFonts w:cs="Calibri"/>
          <w:sz w:val="24"/>
          <w:szCs w:val="24"/>
        </w:rPr>
        <w:t xml:space="preserve"> Contemporaneously this power is demonstrated systemically through institutions such as education (Section 2.1.6).  While a contentious term, this unearned, unrecognised power is generally known as ‘white privilege’ (McIntosh, 1988). When considering counselling, white privilege can be exerted through the authority of Eurocentric counselling theory, it’s predominantly white work force and its pedagogy which neglects ‘race’ (Sections 2.2.2, 2.2.3). Through these means, whiteness is upheld as the invisible standard of ‘normal’ (</w:t>
      </w:r>
      <w:r w:rsidRPr="00BA2696">
        <w:rPr>
          <w:rFonts w:cs="Calibri"/>
          <w:bCs/>
          <w:sz w:val="24"/>
          <w:szCs w:val="24"/>
        </w:rPr>
        <w:t>Halley, Eshleman, Mahadevan-Vijaya, 2011;</w:t>
      </w:r>
      <w:r w:rsidRPr="00BA2696">
        <w:rPr>
          <w:rFonts w:cs="Calibri"/>
          <w:bCs/>
          <w:color w:val="000000"/>
          <w:sz w:val="24"/>
          <w:szCs w:val="24"/>
        </w:rPr>
        <w:t xml:space="preserve"> </w:t>
      </w:r>
      <w:r w:rsidRPr="00BA2696">
        <w:rPr>
          <w:rFonts w:cs="Calibri"/>
          <w:bCs/>
          <w:sz w:val="24"/>
          <w:szCs w:val="24"/>
        </w:rPr>
        <w:t xml:space="preserve">Hayes </w:t>
      </w:r>
      <w:r w:rsidRPr="00BA2696">
        <w:rPr>
          <w:rFonts w:cs="Calibri"/>
          <w:bCs/>
          <w:i/>
          <w:iCs/>
          <w:sz w:val="24"/>
          <w:szCs w:val="24"/>
        </w:rPr>
        <w:t>et al</w:t>
      </w:r>
      <w:r w:rsidRPr="00BA2696">
        <w:rPr>
          <w:rFonts w:cs="Calibri"/>
          <w:bCs/>
          <w:sz w:val="24"/>
          <w:szCs w:val="24"/>
        </w:rPr>
        <w:t>, 2013</w:t>
      </w:r>
      <w:r w:rsidRPr="00BA2696">
        <w:rPr>
          <w:rFonts w:cs="Calibri"/>
          <w:sz w:val="24"/>
          <w:szCs w:val="24"/>
        </w:rPr>
        <w:t xml:space="preserve">). Arguably, underpinning this is white ignorance, the wilful ‘not knowing’ about ‘race’ (Section 2.1.5). When applied to counselling, what is deemed as ‘normal’ parameters and expressions of mental health, ‘normal’ treatment and ‘normal’ expectations of both client and counsellor are taken from the (ad)vantage point of whiteness.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Although multicultural counselling has been a leading force in addressing racial discrimination in counselling, the very term ‘multicultural’ implies something to do with </w:t>
      </w:r>
      <w:r w:rsidRPr="00BA2696">
        <w:rPr>
          <w:rFonts w:cs="Calibri"/>
          <w:sz w:val="24"/>
          <w:szCs w:val="24"/>
        </w:rPr>
        <w:lastRenderedPageBreak/>
        <w:t xml:space="preserve">people from other cultures (Sue and Sue, 2016; Chao </w:t>
      </w:r>
      <w:r w:rsidRPr="00BA2696">
        <w:rPr>
          <w:rFonts w:cs="Calibri"/>
          <w:i/>
          <w:iCs/>
          <w:sz w:val="24"/>
          <w:szCs w:val="24"/>
        </w:rPr>
        <w:t>et al,</w:t>
      </w:r>
      <w:r w:rsidRPr="00BA2696">
        <w:rPr>
          <w:rFonts w:cs="Calibri"/>
          <w:sz w:val="24"/>
          <w:szCs w:val="24"/>
        </w:rPr>
        <w:t xml:space="preserve"> 2011), and normalises whiteness. Postcolonial scholar Spivak (1988, pp. 24-25) argues that the West positioned itself as the powerful Subject and thus allowing it ‘to constitute the colonial Other’. Similarly, Hall (1992) refers to the notion of ‘the West and the Rest’, whereby the West has dominated global power and discourse. Therefore, the perception that multicultural counselling entails working with people from ‘Other’ cultures is a reimagining of the Subject/Other (Spivak, 1998) colonial dynamic. The Westernised, Eurocentric theoretical foundations of counselling theory suggest a ‘West and the Rest’ (Hall, 1992) attitude, with its dominance and globalisation of what constitutes as ‘mental health’ (Watters, 2011; Mills, 2014; Fernando and Moodley, 2018). This is not a new critique, Frantz Fanon (1967) the psychiatrist and ‘race’ scholar, explored the detrimental effects of colonialism to mental health, as did Albert Memmi (2016 [1974]). To that end, it has been argued the term ’multicultural’ needs to be discarded and its theories decolonised (Tate, Torres Rivera and Edwards, 2015; Goodman and Gorski, 2015). However, cultural competency models remain central to multicultural counselling and is the accepted approach to working cross-racially. Yet, it is not a mandatory requirement of training</w:t>
      </w:r>
      <w:r>
        <w:rPr>
          <w:rFonts w:cs="Calibri"/>
          <w:sz w:val="24"/>
          <w:szCs w:val="24"/>
        </w:rPr>
        <w:t>,</w:t>
      </w:r>
      <w:r w:rsidRPr="00BA2696">
        <w:rPr>
          <w:rFonts w:cs="Calibri"/>
          <w:sz w:val="24"/>
          <w:szCs w:val="24"/>
        </w:rPr>
        <w:t xml:space="preserve"> and cultural competency taught at the discretion of individual training courses. Consequently, the literature reviewed seems to support the notion that the role of whiteness is an ignored area of psychotherapy (and by inference counselling), even by those working multi-culturally (Dottolo and Kaschak, 2018) and there is a general belief ‘that race is a </w:t>
      </w:r>
      <w:bookmarkStart w:id="191" w:name="_Hlk18403261"/>
      <w:r w:rsidRPr="00BA2696">
        <w:rPr>
          <w:rFonts w:cs="Calibri"/>
          <w:sz w:val="24"/>
          <w:szCs w:val="24"/>
        </w:rPr>
        <w:t xml:space="preserve">characteristic of those who are not white’ (Dottolo and Kaschak, 2018, p. 2). </w:t>
      </w:r>
      <w:bookmarkEnd w:id="191"/>
      <w:r w:rsidRPr="00BA2696">
        <w:rPr>
          <w:rFonts w:cs="Calibri"/>
          <w:sz w:val="24"/>
          <w:szCs w:val="24"/>
        </w:rPr>
        <w:t>This research will provide an original contri</w:t>
      </w:r>
      <w:r>
        <w:rPr>
          <w:rFonts w:cs="Calibri"/>
          <w:sz w:val="24"/>
          <w:szCs w:val="24"/>
        </w:rPr>
        <w:t>bution</w:t>
      </w:r>
      <w:r w:rsidRPr="00BA2696">
        <w:rPr>
          <w:rFonts w:cs="Calibri"/>
          <w:sz w:val="24"/>
          <w:szCs w:val="24"/>
        </w:rPr>
        <w:t xml:space="preserve"> by exploring whether this is true for counselling trainees in South Wales (Chapters 5, 6 and 7). </w:t>
      </w:r>
    </w:p>
    <w:p w:rsidR="00836C90" w:rsidRPr="00BA2696" w:rsidRDefault="00836C90" w:rsidP="00836C90">
      <w:pPr>
        <w:spacing w:after="0" w:line="480" w:lineRule="auto"/>
        <w:rPr>
          <w:rFonts w:cs="Calibri"/>
          <w:i/>
          <w:sz w:val="24"/>
          <w:szCs w:val="24"/>
        </w:rPr>
      </w:pPr>
    </w:p>
    <w:p w:rsidR="00836C90" w:rsidRPr="00BA2696" w:rsidRDefault="00836C90" w:rsidP="00836C90">
      <w:pPr>
        <w:pStyle w:val="Heading3"/>
      </w:pPr>
      <w:bookmarkStart w:id="192" w:name="_Toc56523001"/>
      <w:bookmarkStart w:id="193" w:name="_Toc56523283"/>
      <w:bookmarkStart w:id="194" w:name="_Toc57910091"/>
      <w:bookmarkStart w:id="195" w:name="_Toc58251307"/>
      <w:bookmarkStart w:id="196" w:name="_Toc72413633"/>
      <w:r w:rsidRPr="00BA2696">
        <w:lastRenderedPageBreak/>
        <w:t>2.3.2 Critical Race Theory</w:t>
      </w:r>
      <w:bookmarkEnd w:id="192"/>
      <w:bookmarkEnd w:id="193"/>
      <w:bookmarkEnd w:id="194"/>
      <w:bookmarkEnd w:id="195"/>
      <w:bookmarkEnd w:id="196"/>
    </w:p>
    <w:p w:rsidR="00836C90" w:rsidRPr="00BA2696" w:rsidRDefault="00836C90" w:rsidP="00836C90">
      <w:pPr>
        <w:spacing w:after="0" w:line="480" w:lineRule="auto"/>
        <w:rPr>
          <w:rFonts w:cs="Calibri"/>
          <w:sz w:val="24"/>
          <w:szCs w:val="24"/>
        </w:rPr>
      </w:pPr>
      <w:r w:rsidRPr="00BA2696">
        <w:rPr>
          <w:rFonts w:cs="Calibri"/>
          <w:sz w:val="24"/>
          <w:szCs w:val="24"/>
        </w:rPr>
        <w:t>The first tenet of critical race theory holds that racism is</w:t>
      </w:r>
      <w:r>
        <w:rPr>
          <w:rFonts w:cs="Calibri"/>
          <w:sz w:val="24"/>
          <w:szCs w:val="24"/>
        </w:rPr>
        <w:t xml:space="preserve"> a</w:t>
      </w:r>
      <w:r w:rsidRPr="00BA2696">
        <w:rPr>
          <w:rFonts w:cs="Calibri"/>
          <w:sz w:val="24"/>
          <w:szCs w:val="24"/>
        </w:rPr>
        <w:t xml:space="preserve"> commonplace phenomenon, not an abnormality (Bell, 1992; Delgado and Stefancic, 2017). This commonality of racism can be seen in the ‘new’ racisms (Barker, 1981; Bonilla-Silva and Dietrich, 2012) which present themselves in covert forms and may be hard for white people to recognise. Indeed, white people can be racist even when they believe that</w:t>
      </w:r>
      <w:r>
        <w:rPr>
          <w:rFonts w:cs="Calibri"/>
          <w:sz w:val="24"/>
          <w:szCs w:val="24"/>
        </w:rPr>
        <w:t xml:space="preserve"> they</w:t>
      </w:r>
      <w:r w:rsidRPr="00BA2696">
        <w:rPr>
          <w:rFonts w:cs="Calibri"/>
          <w:sz w:val="24"/>
          <w:szCs w:val="24"/>
        </w:rPr>
        <w:t xml:space="preserve"> are not (Mooney, Knox and Schacht, 2009; Dovidio, Gaertner and Pearson, 2018), with white counsellors reluctant to view themselves as racist (Lago and Thompson, 2002). Societally, there is a belief that we live in post-racial and post-racism world (Wise, 2010; Bhopal, 2018). This may be evidenced in the BACP’s ethical framework (2018a) and course accreditation guidelines (BACP, 2012) which omit ‘race’, racism and whiteness. Bonilla-Silva’s (2003) ‘minimisation’ frame of colour-blindness feels apposite, given the systemic de-emphasis on ‘race’ and racism. Critical race theory contends that white dominance serves two purposes. Firstly, that racism remains unacknowledged by white people meaning that it is not addressed, with colour-blindness and blanket equality only tackling more overt forms of racism (Delgado and Stefancic, 2017). This blanket equality is evident in the BACP’s (2012) course guidelines with words such a ‘difference and equality’ (p. 3), ‘prejudice and oppression’ (p. 3), ‘difference and diversity’ (p. 7) and ‘ethnicity and culture’ (p. 17) used in place of ‘race’, racism and whiteness. Secondly, ‘interest convergence’ means white people will only support racial justice when it is beneficial for them to do so (Delgado and Stefancic, 2012, p. 9). Perhaps counselling has not yet alighted on an ‘interest convergence’ or a good enough and beneficial reason to promote racial justice in theory and practice. Further, epistemic ignorance asserts that the ignorance of the ‘racially privileged’ is a purposeful act ‘made easier by the vast array of </w:t>
      </w:r>
      <w:r w:rsidRPr="00BA2696">
        <w:rPr>
          <w:rFonts w:cs="Calibri"/>
          <w:sz w:val="24"/>
          <w:szCs w:val="24"/>
        </w:rPr>
        <w:lastRenderedPageBreak/>
        <w:t xml:space="preserve">institutional systems supporting white people’s obliviousness of the world of people of colour’ (Sullivan and Tuana, 2007, p. 3). </w:t>
      </w:r>
      <w:bookmarkStart w:id="197" w:name="_Hlk52216342"/>
      <w:r w:rsidRPr="00BA2696">
        <w:rPr>
          <w:rFonts w:cs="Calibri"/>
          <w:sz w:val="24"/>
          <w:szCs w:val="24"/>
        </w:rPr>
        <w:t>It could be inferred from this literature review that systems such as counselling theory, practice and pedagogy are facilitating wider white ignorance (Mills, 2007) about ‘race’ and racism. This will be expanded upon in Chapter 6.</w:t>
      </w:r>
    </w:p>
    <w:p w:rsidR="00836C90" w:rsidRPr="00BA2696" w:rsidRDefault="00836C90" w:rsidP="00836C90">
      <w:pPr>
        <w:spacing w:after="0" w:line="480" w:lineRule="auto"/>
        <w:rPr>
          <w:rFonts w:cs="Calibri"/>
          <w:sz w:val="24"/>
          <w:szCs w:val="24"/>
        </w:rPr>
      </w:pPr>
    </w:p>
    <w:p w:rsidR="00836C90" w:rsidRPr="00BA2696" w:rsidRDefault="00836C90" w:rsidP="00836C90">
      <w:pPr>
        <w:pStyle w:val="Heading3"/>
      </w:pPr>
      <w:bookmarkStart w:id="198" w:name="_Toc56523002"/>
      <w:bookmarkStart w:id="199" w:name="_Toc56523284"/>
      <w:bookmarkStart w:id="200" w:name="_Toc57910092"/>
      <w:bookmarkStart w:id="201" w:name="_Toc58251308"/>
      <w:bookmarkStart w:id="202" w:name="_Toc72413634"/>
      <w:bookmarkEnd w:id="197"/>
      <w:r w:rsidRPr="00BA2696">
        <w:t>2.3.3 Summary of the Literature Review</w:t>
      </w:r>
      <w:bookmarkEnd w:id="198"/>
      <w:bookmarkEnd w:id="199"/>
      <w:bookmarkEnd w:id="200"/>
      <w:bookmarkEnd w:id="201"/>
      <w:bookmarkEnd w:id="202"/>
    </w:p>
    <w:p w:rsidR="00836C90" w:rsidRPr="00BA2696" w:rsidRDefault="00836C90" w:rsidP="00836C90">
      <w:pPr>
        <w:spacing w:after="0" w:line="480" w:lineRule="auto"/>
        <w:rPr>
          <w:rFonts w:cs="Calibri"/>
          <w:sz w:val="24"/>
          <w:szCs w:val="24"/>
        </w:rPr>
      </w:pPr>
      <w:r w:rsidRPr="00BA2696">
        <w:rPr>
          <w:rFonts w:cs="Calibri"/>
          <w:sz w:val="24"/>
          <w:szCs w:val="24"/>
        </w:rPr>
        <w:t xml:space="preserve">The literature found that ‘race’ and whiteness are historically socially constructed concepts (Sections 2.1.1 and 2.1.2) but the historical elevation of whiteness as superior racial category is one that has ongoing consequences. One consequence is the disparate experiences of whites and people of colour in the contemporary education sector (Section 2.1.6). Another reason for racial inequality can be found in covert racisms, such as systemic racism, racialisation and colour-blind racism (Section 2.1.7). Additionally, it was found that white people are ignorant of their own racial identity (Section 2.1.3). However, if white people are aware it is unclear as to whether it forms part of a racist or </w:t>
      </w:r>
      <w:r>
        <w:rPr>
          <w:rFonts w:cs="Calibri"/>
          <w:sz w:val="24"/>
          <w:szCs w:val="24"/>
        </w:rPr>
        <w:t>anti-racist</w:t>
      </w:r>
      <w:r w:rsidRPr="00BA2696">
        <w:rPr>
          <w:rFonts w:cs="Calibri"/>
          <w:sz w:val="24"/>
          <w:szCs w:val="24"/>
        </w:rPr>
        <w:t xml:space="preserve"> identity (Section 2.1.3). A lack of white people’s awareness of racial identity can lead to white privilege, through receiving systemic and personal benefits from being white (Section 2.1.4).  Arguably, white ignorance is one method through which this racial inequality is sustained, whereby whites actively choose to not know about ‘race’ and racism or acknowledge the rewards of whiteness (Section 2.1.5)</w:t>
      </w:r>
      <w:r>
        <w:rPr>
          <w:rFonts w:cs="Calibri"/>
          <w:sz w:val="24"/>
          <w:szCs w:val="24"/>
        </w:rPr>
        <w:t>.</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bCs/>
          <w:sz w:val="24"/>
          <w:szCs w:val="24"/>
        </w:rPr>
      </w:pPr>
      <w:r w:rsidRPr="00BA2696">
        <w:rPr>
          <w:rFonts w:cs="Calibri"/>
          <w:bCs/>
          <w:sz w:val="24"/>
          <w:szCs w:val="24"/>
        </w:rPr>
        <w:t xml:space="preserve">One manifestation of the dominance of whiteness, and the legacy of the constructions of ‘race’, can be located in the prevalent Eurocentric view of mental health (Section 2.2.1). This has resulted in what has been referred to as a colonialisation of Westernised standards of </w:t>
      </w:r>
      <w:r w:rsidRPr="00BA2696">
        <w:rPr>
          <w:rFonts w:cs="Calibri"/>
          <w:bCs/>
          <w:sz w:val="24"/>
          <w:szCs w:val="24"/>
        </w:rPr>
        <w:lastRenderedPageBreak/>
        <w:t>diagnosis and treatment in mental healthcare (Section 2.2.1). The origins of counselling, specifically in the person-centred approach, sought to distance itself from the medicalisation of mental health and the role of the counsellor a</w:t>
      </w:r>
      <w:r>
        <w:rPr>
          <w:rFonts w:cs="Calibri"/>
          <w:bCs/>
          <w:sz w:val="24"/>
          <w:szCs w:val="24"/>
        </w:rPr>
        <w:t>s</w:t>
      </w:r>
      <w:r w:rsidRPr="00BA2696">
        <w:rPr>
          <w:rFonts w:cs="Calibri"/>
          <w:bCs/>
          <w:sz w:val="24"/>
          <w:szCs w:val="24"/>
        </w:rPr>
        <w:t xml:space="preserve"> ‘expert’ (Section 2.2.2). However, counselling can replicate racial inequality through ignoring ‘race’, such as Carl Rogers ignoring the racial reality of his client (Section 2.2.2), silence around racial identity (Section 2.2.2) and omitting ‘race’, racism and whiteness from its pedagogy (Section 2.2.3). Multicultural counselling theory has been the dominant method to address racial ‘difference’ in counselling, however this can be problematic as it is located in a Eurocentric understanding of wellbeing and risks ‘Othering’ clients of colour (Section 2.2.2). It was also found that </w:t>
      </w:r>
      <w:r w:rsidRPr="00BA2696">
        <w:rPr>
          <w:rFonts w:cs="Calibri"/>
          <w:sz w:val="24"/>
          <w:szCs w:val="24"/>
        </w:rPr>
        <w:t xml:space="preserve">counselling largely divorces the socio-political and historical context in counselling practice and theory (Section 2.2.2) which may explain why ‘race’, racism and whiteness are not systemically incorporated in counselling theory, training and practice.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Therefore, this literature review identified that whiteness is an ‘unseen’ category for white people, but one that has ongoing consequences for people of colour through systemic inequality. This includes the field of counselling where ‘race’, racism and whiteness seem to be similarly ‘unseen’. This is supported by the literature review not being able to identify how white trainee counsellors understand ‘race’, racism and whiteness. </w:t>
      </w:r>
    </w:p>
    <w:p w:rsidR="00836C90" w:rsidRPr="00BA2696" w:rsidRDefault="00836C90" w:rsidP="00836C90">
      <w:pPr>
        <w:spacing w:after="0" w:line="480" w:lineRule="auto"/>
        <w:rPr>
          <w:rFonts w:cs="Calibri"/>
          <w:sz w:val="24"/>
          <w:szCs w:val="24"/>
        </w:rPr>
      </w:pPr>
    </w:p>
    <w:p w:rsidR="00836C90" w:rsidRPr="00BA2696" w:rsidRDefault="00836C90" w:rsidP="00836C90">
      <w:pPr>
        <w:spacing w:after="0" w:line="480" w:lineRule="auto"/>
        <w:rPr>
          <w:rFonts w:cs="Calibri"/>
          <w:sz w:val="24"/>
          <w:szCs w:val="24"/>
        </w:rPr>
      </w:pPr>
      <w:r w:rsidRPr="00BA2696">
        <w:rPr>
          <w:rFonts w:cs="Calibri"/>
          <w:sz w:val="24"/>
          <w:szCs w:val="24"/>
        </w:rPr>
        <w:t xml:space="preserve">Therefore, this research sought to explore how white people understand ‘race’, racism and whiteness and specifically with white counselling trainees. In this way, this research adds to the knowledge base of critical whiteness studies through the explicit exploration </w:t>
      </w:r>
      <w:r>
        <w:rPr>
          <w:rFonts w:cs="Calibri"/>
          <w:sz w:val="24"/>
          <w:szCs w:val="24"/>
        </w:rPr>
        <w:t xml:space="preserve">of </w:t>
      </w:r>
      <w:r w:rsidRPr="00BA2696">
        <w:rPr>
          <w:rFonts w:cs="Calibri"/>
          <w:sz w:val="24"/>
          <w:szCs w:val="24"/>
        </w:rPr>
        <w:t xml:space="preserve">white people’s understanding of ‘race’, racism and whiteness in South Wales. Further, it </w:t>
      </w:r>
      <w:r w:rsidRPr="00BA2696">
        <w:rPr>
          <w:rFonts w:cs="Calibri"/>
          <w:sz w:val="24"/>
          <w:szCs w:val="24"/>
        </w:rPr>
        <w:lastRenderedPageBreak/>
        <w:t xml:space="preserve">contributes to the field of counselling by asking this question to white trainee counsellors. Combining critical whiteness studies with counselling in South Wales provides an original contribution </w:t>
      </w:r>
      <w:r>
        <w:rPr>
          <w:rFonts w:cs="Calibri"/>
          <w:sz w:val="24"/>
          <w:szCs w:val="24"/>
        </w:rPr>
        <w:t>to</w:t>
      </w:r>
      <w:r w:rsidRPr="00BA2696">
        <w:rPr>
          <w:rFonts w:cs="Calibri"/>
          <w:sz w:val="24"/>
          <w:szCs w:val="24"/>
        </w:rPr>
        <w:t xml:space="preserve"> knowledge. Arguably, uniting the literature in this chapter is that whiteness is perceived as invisible and ‘normal’, through white people’s lack of awareness about the social construction of ‘race’, white racial identity and white privilege. This is echoed in counselling where ‘race’, racism and whiteness are overlooked at systemic and individual levels. Post-critical ethnography (Noblit, Flores and Murillo, 2004; Anders, 2019) provided the methodological approach to make the original contribution and make whiteness visible. It does this through two of its core tenets of researcher positionality and reflexivity (Noblit, Flores and Murillo, 2004), which permits the implications of my own whiteness as a researcher and the relationship between myself and the white participants to be explicit and visible. Therefore, the methodology enabled a way to address the problem</w:t>
      </w:r>
      <w:r>
        <w:rPr>
          <w:rFonts w:cs="Calibri"/>
          <w:sz w:val="24"/>
          <w:szCs w:val="24"/>
        </w:rPr>
        <w:t xml:space="preserve"> of the</w:t>
      </w:r>
      <w:r w:rsidRPr="00BA2696">
        <w:rPr>
          <w:rFonts w:cs="Calibri"/>
          <w:sz w:val="24"/>
          <w:szCs w:val="24"/>
        </w:rPr>
        <w:t xml:space="preserve"> invisibility of whiteness found in the literature review. The selection of the methodology is expanded in Chapter 3 (Section 3.5).</w:t>
      </w:r>
    </w:p>
    <w:p w:rsidR="00836C90" w:rsidRPr="00BA2696" w:rsidRDefault="00836C90" w:rsidP="00836C90">
      <w:pPr>
        <w:spacing w:after="0" w:line="247" w:lineRule="auto"/>
        <w:jc w:val="center"/>
        <w:rPr>
          <w:b/>
          <w:bCs/>
          <w:sz w:val="24"/>
          <w:szCs w:val="24"/>
        </w:rPr>
      </w:pPr>
    </w:p>
    <w:p w:rsidR="00836C90" w:rsidRPr="00BA2696" w:rsidRDefault="00836C90" w:rsidP="00836C90">
      <w:pPr>
        <w:spacing w:after="0" w:line="247" w:lineRule="auto"/>
        <w:jc w:val="center"/>
        <w:rPr>
          <w:b/>
          <w:bCs/>
          <w:sz w:val="24"/>
          <w:szCs w:val="24"/>
        </w:rPr>
      </w:pPr>
    </w:p>
    <w:p w:rsidR="00413A7C" w:rsidRDefault="00413A7C"/>
    <w:sectPr w:rsidR="00413A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70743"/>
      <w:docPartObj>
        <w:docPartGallery w:val="Page Numbers (Bottom of Page)"/>
        <w:docPartUnique/>
      </w:docPartObj>
    </w:sdtPr>
    <w:sdtEndPr>
      <w:rPr>
        <w:noProof/>
      </w:rPr>
    </w:sdtEndPr>
    <w:sdtContent>
      <w:p w:rsidR="009C3ADD" w:rsidRDefault="00836C90">
        <w:pPr>
          <w:pStyle w:val="Footer"/>
          <w:jc w:val="center"/>
        </w:pPr>
        <w:r>
          <w:fldChar w:fldCharType="begin"/>
        </w:r>
        <w:r>
          <w:instrText xml:space="preserve"> PAGE   \* MERGEFORMAT </w:instrText>
        </w:r>
        <w:r>
          <w:fldChar w:fldCharType="separate"/>
        </w:r>
        <w:r>
          <w:rPr>
            <w:noProof/>
          </w:rPr>
          <w:t>46</w:t>
        </w:r>
        <w:r>
          <w:rPr>
            <w:noProof/>
          </w:rPr>
          <w:fldChar w:fldCharType="end"/>
        </w:r>
      </w:p>
    </w:sdtContent>
  </w:sdt>
  <w:p w:rsidR="009C3ADD" w:rsidRDefault="00836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C3ADD" w:rsidRDefault="00836C90" w:rsidP="00A14271">
    <w:pPr>
      <w:pStyle w:val="Footer"/>
      <w:jc w:val="center"/>
    </w:pPr>
    <w:r>
      <w:fldChar w:fldCharType="begin"/>
    </w:r>
    <w:r>
      <w:instrText xml:space="preserve"> PAGE   \* MERGEFORMAT </w:instrText>
    </w:r>
    <w:r>
      <w:fldChar w:fldCharType="separate"/>
    </w:r>
    <w:r>
      <w:rPr>
        <w:noProof/>
      </w:rPr>
      <w:t>149</w:t>
    </w:r>
    <w:r>
      <w:rPr>
        <w:noProof/>
      </w:rPr>
      <w:fldChar w:fldCharType="end"/>
    </w:r>
  </w:p>
  <w:p w:rsidR="009C3ADD" w:rsidRDefault="00836C90">
    <w:pPr>
      <w:pStyle w:val="Footer"/>
    </w:pPr>
  </w:p>
  <w:p w:rsidR="009C3ADD" w:rsidRDefault="00836C90"/>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54C"/>
    <w:multiLevelType w:val="hybridMultilevel"/>
    <w:tmpl w:val="1DE0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0090C"/>
    <w:multiLevelType w:val="hybridMultilevel"/>
    <w:tmpl w:val="82C2BFA6"/>
    <w:lvl w:ilvl="0" w:tplc="08090001">
      <w:start w:val="1"/>
      <w:numFmt w:val="bullet"/>
      <w:lvlText w:val=""/>
      <w:lvlJc w:val="left"/>
      <w:pPr>
        <w:ind w:left="1434" w:hanging="360"/>
      </w:pPr>
      <w:rPr>
        <w:rFonts w:ascii="Symbol" w:hAnsi="Symbol" w:hint="default"/>
      </w:r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2" w15:restartNumberingAfterBreak="0">
    <w:nsid w:val="09EF4405"/>
    <w:multiLevelType w:val="hybridMultilevel"/>
    <w:tmpl w:val="89F4E7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D0DDD"/>
    <w:multiLevelType w:val="multilevel"/>
    <w:tmpl w:val="C35AD8E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ADC462D"/>
    <w:multiLevelType w:val="hybridMultilevel"/>
    <w:tmpl w:val="3F4E14A4"/>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C7157"/>
    <w:multiLevelType w:val="multilevel"/>
    <w:tmpl w:val="E7CE6CBC"/>
    <w:lvl w:ilvl="0">
      <w:start w:val="2"/>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3804797"/>
    <w:multiLevelType w:val="multilevel"/>
    <w:tmpl w:val="75AA7C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16F435A1"/>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FD0867"/>
    <w:multiLevelType w:val="hybridMultilevel"/>
    <w:tmpl w:val="011A954A"/>
    <w:lvl w:ilvl="0" w:tplc="11229894">
      <w:start w:val="1"/>
      <w:numFmt w:val="bullet"/>
      <w:lvlText w:val=""/>
      <w:lvlJc w:val="left"/>
      <w:pPr>
        <w:ind w:left="720" w:hanging="360"/>
      </w:pPr>
      <w:rPr>
        <w:rFonts w:ascii="Symbol" w:hAnsi="Symbol"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D355D"/>
    <w:multiLevelType w:val="hybridMultilevel"/>
    <w:tmpl w:val="C13E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E7480"/>
    <w:multiLevelType w:val="hybridMultilevel"/>
    <w:tmpl w:val="5BFA0EA2"/>
    <w:lvl w:ilvl="0" w:tplc="0809001B">
      <w:start w:val="1"/>
      <w:numFmt w:val="lowerRoman"/>
      <w:lvlText w:val="%1."/>
      <w:lvlJc w:val="righ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11" w15:restartNumberingAfterBreak="0">
    <w:nsid w:val="2733087C"/>
    <w:multiLevelType w:val="hybridMultilevel"/>
    <w:tmpl w:val="36AA9A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7743DAD"/>
    <w:multiLevelType w:val="hybridMultilevel"/>
    <w:tmpl w:val="7F3CB3E6"/>
    <w:lvl w:ilvl="0" w:tplc="93A24F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8C60046"/>
    <w:multiLevelType w:val="hybridMultilevel"/>
    <w:tmpl w:val="47BAFEA6"/>
    <w:lvl w:ilvl="0" w:tplc="B3B6F160">
      <w:start w:val="1"/>
      <w:numFmt w:val="bullet"/>
      <w:lvlText w:val="•"/>
      <w:lvlJc w:val="left"/>
      <w:pPr>
        <w:tabs>
          <w:tab w:val="num" w:pos="720"/>
        </w:tabs>
        <w:ind w:left="720" w:hanging="360"/>
      </w:pPr>
      <w:rPr>
        <w:rFonts w:ascii="Times New Roman" w:hAnsi="Times New Roman" w:hint="default"/>
      </w:rPr>
    </w:lvl>
    <w:lvl w:ilvl="1" w:tplc="A39647BC" w:tentative="1">
      <w:start w:val="1"/>
      <w:numFmt w:val="bullet"/>
      <w:lvlText w:val="•"/>
      <w:lvlJc w:val="left"/>
      <w:pPr>
        <w:tabs>
          <w:tab w:val="num" w:pos="1440"/>
        </w:tabs>
        <w:ind w:left="1440" w:hanging="360"/>
      </w:pPr>
      <w:rPr>
        <w:rFonts w:ascii="Times New Roman" w:hAnsi="Times New Roman" w:hint="default"/>
      </w:rPr>
    </w:lvl>
    <w:lvl w:ilvl="2" w:tplc="5584345C" w:tentative="1">
      <w:start w:val="1"/>
      <w:numFmt w:val="bullet"/>
      <w:lvlText w:val="•"/>
      <w:lvlJc w:val="left"/>
      <w:pPr>
        <w:tabs>
          <w:tab w:val="num" w:pos="2160"/>
        </w:tabs>
        <w:ind w:left="2160" w:hanging="360"/>
      </w:pPr>
      <w:rPr>
        <w:rFonts w:ascii="Times New Roman" w:hAnsi="Times New Roman" w:hint="default"/>
      </w:rPr>
    </w:lvl>
    <w:lvl w:ilvl="3" w:tplc="236C3202" w:tentative="1">
      <w:start w:val="1"/>
      <w:numFmt w:val="bullet"/>
      <w:lvlText w:val="•"/>
      <w:lvlJc w:val="left"/>
      <w:pPr>
        <w:tabs>
          <w:tab w:val="num" w:pos="2880"/>
        </w:tabs>
        <w:ind w:left="2880" w:hanging="360"/>
      </w:pPr>
      <w:rPr>
        <w:rFonts w:ascii="Times New Roman" w:hAnsi="Times New Roman" w:hint="default"/>
      </w:rPr>
    </w:lvl>
    <w:lvl w:ilvl="4" w:tplc="0008A8B0" w:tentative="1">
      <w:start w:val="1"/>
      <w:numFmt w:val="bullet"/>
      <w:lvlText w:val="•"/>
      <w:lvlJc w:val="left"/>
      <w:pPr>
        <w:tabs>
          <w:tab w:val="num" w:pos="3600"/>
        </w:tabs>
        <w:ind w:left="3600" w:hanging="360"/>
      </w:pPr>
      <w:rPr>
        <w:rFonts w:ascii="Times New Roman" w:hAnsi="Times New Roman" w:hint="default"/>
      </w:rPr>
    </w:lvl>
    <w:lvl w:ilvl="5" w:tplc="E7507498" w:tentative="1">
      <w:start w:val="1"/>
      <w:numFmt w:val="bullet"/>
      <w:lvlText w:val="•"/>
      <w:lvlJc w:val="left"/>
      <w:pPr>
        <w:tabs>
          <w:tab w:val="num" w:pos="4320"/>
        </w:tabs>
        <w:ind w:left="4320" w:hanging="360"/>
      </w:pPr>
      <w:rPr>
        <w:rFonts w:ascii="Times New Roman" w:hAnsi="Times New Roman" w:hint="default"/>
      </w:rPr>
    </w:lvl>
    <w:lvl w:ilvl="6" w:tplc="6D1648EA" w:tentative="1">
      <w:start w:val="1"/>
      <w:numFmt w:val="bullet"/>
      <w:lvlText w:val="•"/>
      <w:lvlJc w:val="left"/>
      <w:pPr>
        <w:tabs>
          <w:tab w:val="num" w:pos="5040"/>
        </w:tabs>
        <w:ind w:left="5040" w:hanging="360"/>
      </w:pPr>
      <w:rPr>
        <w:rFonts w:ascii="Times New Roman" w:hAnsi="Times New Roman" w:hint="default"/>
      </w:rPr>
    </w:lvl>
    <w:lvl w:ilvl="7" w:tplc="8C38CC66" w:tentative="1">
      <w:start w:val="1"/>
      <w:numFmt w:val="bullet"/>
      <w:lvlText w:val="•"/>
      <w:lvlJc w:val="left"/>
      <w:pPr>
        <w:tabs>
          <w:tab w:val="num" w:pos="5760"/>
        </w:tabs>
        <w:ind w:left="5760" w:hanging="360"/>
      </w:pPr>
      <w:rPr>
        <w:rFonts w:ascii="Times New Roman" w:hAnsi="Times New Roman" w:hint="default"/>
      </w:rPr>
    </w:lvl>
    <w:lvl w:ilvl="8" w:tplc="DDF23C9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E2E5DD4"/>
    <w:multiLevelType w:val="hybridMultilevel"/>
    <w:tmpl w:val="BE46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F3FAC"/>
    <w:multiLevelType w:val="hybridMultilevel"/>
    <w:tmpl w:val="DC16B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47243B"/>
    <w:multiLevelType w:val="multilevel"/>
    <w:tmpl w:val="28BC2B90"/>
    <w:lvl w:ilvl="0">
      <w:start w:val="2"/>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98E2E20"/>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EE0C84"/>
    <w:multiLevelType w:val="hybridMultilevel"/>
    <w:tmpl w:val="ABD6C338"/>
    <w:lvl w:ilvl="0" w:tplc="08090001">
      <w:start w:val="1"/>
      <w:numFmt w:val="bullet"/>
      <w:lvlText w:val=""/>
      <w:lvlJc w:val="left"/>
      <w:pPr>
        <w:ind w:left="1434" w:hanging="360"/>
      </w:pPr>
      <w:rPr>
        <w:rFonts w:ascii="Symbol" w:hAnsi="Symbol" w:hint="default"/>
      </w:r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19" w15:restartNumberingAfterBreak="0">
    <w:nsid w:val="450877DB"/>
    <w:multiLevelType w:val="multilevel"/>
    <w:tmpl w:val="A238DA9E"/>
    <w:lvl w:ilvl="0">
      <w:start w:val="1"/>
      <w:numFmt w:val="decimal"/>
      <w:lvlText w:val="%1."/>
      <w:lvlJc w:val="left"/>
      <w:pPr>
        <w:ind w:left="360" w:hanging="360"/>
      </w:pPr>
      <w:rPr>
        <w:rFonts w:hint="default"/>
      </w:rPr>
    </w:lvl>
    <w:lvl w:ilvl="1">
      <w:start w:val="1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0" w15:restartNumberingAfterBreak="0">
    <w:nsid w:val="46363E8B"/>
    <w:multiLevelType w:val="hybridMultilevel"/>
    <w:tmpl w:val="1DBC167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1" w15:restartNumberingAfterBreak="0">
    <w:nsid w:val="484A05D5"/>
    <w:multiLevelType w:val="hybridMultilevel"/>
    <w:tmpl w:val="7E286A1A"/>
    <w:lvl w:ilvl="0" w:tplc="BFC8F8A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4926F6"/>
    <w:multiLevelType w:val="hybridMultilevel"/>
    <w:tmpl w:val="BCE4FB96"/>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CC7308E"/>
    <w:multiLevelType w:val="hybridMultilevel"/>
    <w:tmpl w:val="FFC6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B60463"/>
    <w:multiLevelType w:val="hybridMultilevel"/>
    <w:tmpl w:val="00C8479A"/>
    <w:lvl w:ilvl="0" w:tplc="0809001B">
      <w:start w:val="1"/>
      <w:numFmt w:val="lowerRoman"/>
      <w:lvlText w:val="%1."/>
      <w:lvlJc w:val="righ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25" w15:restartNumberingAfterBreak="0">
    <w:nsid w:val="4E3B763B"/>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6F47AE"/>
    <w:multiLevelType w:val="hybridMultilevel"/>
    <w:tmpl w:val="59FA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DD59DE"/>
    <w:multiLevelType w:val="hybridMultilevel"/>
    <w:tmpl w:val="EBA83D0E"/>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8" w15:restartNumberingAfterBreak="0">
    <w:nsid w:val="5A983442"/>
    <w:multiLevelType w:val="hybridMultilevel"/>
    <w:tmpl w:val="1D5004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ADD1C78"/>
    <w:multiLevelType w:val="multilevel"/>
    <w:tmpl w:val="DAB847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CF578A0"/>
    <w:multiLevelType w:val="hybridMultilevel"/>
    <w:tmpl w:val="416EA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0C3F11"/>
    <w:multiLevelType w:val="hybridMultilevel"/>
    <w:tmpl w:val="2E8E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2B3A4D"/>
    <w:multiLevelType w:val="hybridMultilevel"/>
    <w:tmpl w:val="D0B69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E47FF6"/>
    <w:multiLevelType w:val="hybridMultilevel"/>
    <w:tmpl w:val="C706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87233"/>
    <w:multiLevelType w:val="hybridMultilevel"/>
    <w:tmpl w:val="B48E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0271CB"/>
    <w:multiLevelType w:val="hybridMultilevel"/>
    <w:tmpl w:val="7F42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1C5A3B"/>
    <w:multiLevelType w:val="hybridMultilevel"/>
    <w:tmpl w:val="9A148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583320"/>
    <w:multiLevelType w:val="hybridMultilevel"/>
    <w:tmpl w:val="FF260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913645"/>
    <w:multiLevelType w:val="hybridMultilevel"/>
    <w:tmpl w:val="27AC7316"/>
    <w:lvl w:ilvl="0" w:tplc="CD8638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DE826BC"/>
    <w:multiLevelType w:val="multilevel"/>
    <w:tmpl w:val="44CA59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0" w15:restartNumberingAfterBreak="0">
    <w:nsid w:val="756A3481"/>
    <w:multiLevelType w:val="hybridMultilevel"/>
    <w:tmpl w:val="C8EA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F87A82"/>
    <w:multiLevelType w:val="hybridMultilevel"/>
    <w:tmpl w:val="65BA29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A3D5034"/>
    <w:multiLevelType w:val="multilevel"/>
    <w:tmpl w:val="20084F24"/>
    <w:lvl w:ilvl="0">
      <w:start w:val="2"/>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7EF00896"/>
    <w:multiLevelType w:val="hybridMultilevel"/>
    <w:tmpl w:val="13F28A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3"/>
  </w:num>
  <w:num w:numId="3">
    <w:abstractNumId w:val="38"/>
  </w:num>
  <w:num w:numId="4">
    <w:abstractNumId w:val="12"/>
  </w:num>
  <w:num w:numId="5">
    <w:abstractNumId w:val="15"/>
  </w:num>
  <w:num w:numId="6">
    <w:abstractNumId w:val="19"/>
  </w:num>
  <w:num w:numId="7">
    <w:abstractNumId w:val="28"/>
  </w:num>
  <w:num w:numId="8">
    <w:abstractNumId w:val="35"/>
  </w:num>
  <w:num w:numId="9">
    <w:abstractNumId w:val="8"/>
  </w:num>
  <w:num w:numId="10">
    <w:abstractNumId w:val="20"/>
  </w:num>
  <w:num w:numId="11">
    <w:abstractNumId w:val="41"/>
  </w:num>
  <w:num w:numId="12">
    <w:abstractNumId w:val="11"/>
  </w:num>
  <w:num w:numId="13">
    <w:abstractNumId w:val="43"/>
  </w:num>
  <w:num w:numId="14">
    <w:abstractNumId w:val="22"/>
  </w:num>
  <w:num w:numId="15">
    <w:abstractNumId w:val="31"/>
  </w:num>
  <w:num w:numId="16">
    <w:abstractNumId w:val="33"/>
  </w:num>
  <w:num w:numId="17">
    <w:abstractNumId w:val="32"/>
  </w:num>
  <w:num w:numId="18">
    <w:abstractNumId w:val="9"/>
  </w:num>
  <w:num w:numId="19">
    <w:abstractNumId w:val="21"/>
  </w:num>
  <w:num w:numId="20">
    <w:abstractNumId w:val="16"/>
  </w:num>
  <w:num w:numId="21">
    <w:abstractNumId w:val="42"/>
  </w:num>
  <w:num w:numId="22">
    <w:abstractNumId w:val="23"/>
  </w:num>
  <w:num w:numId="23">
    <w:abstractNumId w:val="4"/>
  </w:num>
  <w:num w:numId="24">
    <w:abstractNumId w:val="26"/>
  </w:num>
  <w:num w:numId="25">
    <w:abstractNumId w:val="5"/>
  </w:num>
  <w:num w:numId="26">
    <w:abstractNumId w:val="39"/>
  </w:num>
  <w:num w:numId="27">
    <w:abstractNumId w:val="29"/>
  </w:num>
  <w:num w:numId="28">
    <w:abstractNumId w:val="27"/>
  </w:num>
  <w:num w:numId="29">
    <w:abstractNumId w:val="2"/>
  </w:num>
  <w:num w:numId="30">
    <w:abstractNumId w:val="40"/>
  </w:num>
  <w:num w:numId="31">
    <w:abstractNumId w:val="13"/>
  </w:num>
  <w:num w:numId="32">
    <w:abstractNumId w:val="30"/>
  </w:num>
  <w:num w:numId="33">
    <w:abstractNumId w:val="17"/>
  </w:num>
  <w:num w:numId="34">
    <w:abstractNumId w:val="25"/>
  </w:num>
  <w:num w:numId="35">
    <w:abstractNumId w:val="7"/>
  </w:num>
  <w:num w:numId="36">
    <w:abstractNumId w:val="34"/>
  </w:num>
  <w:num w:numId="37">
    <w:abstractNumId w:val="36"/>
  </w:num>
  <w:num w:numId="38">
    <w:abstractNumId w:val="0"/>
  </w:num>
  <w:num w:numId="39">
    <w:abstractNumId w:val="10"/>
  </w:num>
  <w:num w:numId="40">
    <w:abstractNumId w:val="24"/>
  </w:num>
  <w:num w:numId="41">
    <w:abstractNumId w:val="18"/>
  </w:num>
  <w:num w:numId="42">
    <w:abstractNumId w:val="1"/>
  </w:num>
  <w:num w:numId="43">
    <w:abstractNumId w:val="14"/>
  </w:num>
  <w:num w:numId="44">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C90"/>
    <w:rsid w:val="00413A7C"/>
    <w:rsid w:val="00836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A88F48-C6EC-468A-9B41-DF39781A1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C90"/>
    <w:pPr>
      <w:suppressAutoHyphens/>
      <w:autoSpaceDN w:val="0"/>
      <w:spacing w:line="249"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836C90"/>
    <w:pPr>
      <w:keepNext/>
      <w:spacing w:before="240" w:after="60"/>
      <w:jc w:val="center"/>
      <w:outlineLvl w:val="0"/>
    </w:pPr>
    <w:rPr>
      <w:rFonts w:ascii="Calibri Light" w:eastAsia="Times New Roman" w:hAnsi="Calibri Light"/>
      <w:sz w:val="32"/>
      <w:szCs w:val="32"/>
      <w:lang w:val="en-US" w:eastAsia="en-GB"/>
    </w:rPr>
  </w:style>
  <w:style w:type="paragraph" w:styleId="Heading2">
    <w:name w:val="heading 2"/>
    <w:aliases w:val="Chapter Title"/>
    <w:basedOn w:val="Normal"/>
    <w:next w:val="Normal"/>
    <w:link w:val="Heading2Char"/>
    <w:uiPriority w:val="9"/>
    <w:unhideWhenUsed/>
    <w:qFormat/>
    <w:rsid w:val="00836C90"/>
    <w:pPr>
      <w:keepNext/>
      <w:spacing w:before="240" w:after="60" w:line="240" w:lineRule="auto"/>
      <w:outlineLvl w:val="1"/>
    </w:pPr>
    <w:rPr>
      <w:rFonts w:ascii="Calibri Light" w:eastAsia="Times New Roman" w:hAnsi="Calibri Light"/>
      <w:b/>
      <w:bCs/>
      <w:iCs/>
      <w:sz w:val="36"/>
      <w:szCs w:val="28"/>
    </w:rPr>
  </w:style>
  <w:style w:type="paragraph" w:styleId="Heading3">
    <w:name w:val="heading 3"/>
    <w:basedOn w:val="Normal"/>
    <w:next w:val="Normal"/>
    <w:link w:val="Heading3Char"/>
    <w:uiPriority w:val="9"/>
    <w:unhideWhenUsed/>
    <w:qFormat/>
    <w:rsid w:val="00836C90"/>
    <w:pPr>
      <w:keepNext/>
      <w:spacing w:before="240" w:after="60"/>
      <w:outlineLvl w:val="2"/>
    </w:pPr>
    <w:rPr>
      <w:rFonts w:ascii="Calibri Light" w:eastAsia="Times New Roman" w:hAnsi="Calibri Light"/>
      <w:b/>
      <w:bCs/>
      <w:sz w:val="28"/>
      <w:szCs w:val="26"/>
    </w:rPr>
  </w:style>
  <w:style w:type="paragraph" w:styleId="Heading4">
    <w:name w:val="heading 4"/>
    <w:basedOn w:val="Normal"/>
    <w:next w:val="Normal"/>
    <w:link w:val="Heading4Char"/>
    <w:uiPriority w:val="9"/>
    <w:unhideWhenUsed/>
    <w:qFormat/>
    <w:rsid w:val="00836C90"/>
    <w:pPr>
      <w:keepNext/>
      <w:spacing w:before="240" w:after="60"/>
      <w:outlineLvl w:val="3"/>
    </w:pPr>
    <w:rPr>
      <w:rFonts w:eastAsia="Times New Roman"/>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C90"/>
    <w:rPr>
      <w:rFonts w:ascii="Calibri Light" w:eastAsia="Times New Roman" w:hAnsi="Calibri Light" w:cs="Times New Roman"/>
      <w:sz w:val="32"/>
      <w:szCs w:val="32"/>
      <w:lang w:val="en-US" w:eastAsia="en-GB"/>
    </w:rPr>
  </w:style>
  <w:style w:type="character" w:customStyle="1" w:styleId="Heading2Char">
    <w:name w:val="Heading 2 Char"/>
    <w:aliases w:val="Chapter Title Char"/>
    <w:basedOn w:val="DefaultParagraphFont"/>
    <w:link w:val="Heading2"/>
    <w:uiPriority w:val="9"/>
    <w:rsid w:val="00836C90"/>
    <w:rPr>
      <w:rFonts w:ascii="Calibri Light" w:eastAsia="Times New Roman" w:hAnsi="Calibri Light" w:cs="Times New Roman"/>
      <w:b/>
      <w:bCs/>
      <w:iCs/>
      <w:sz w:val="36"/>
      <w:szCs w:val="28"/>
    </w:rPr>
  </w:style>
  <w:style w:type="character" w:customStyle="1" w:styleId="Heading3Char">
    <w:name w:val="Heading 3 Char"/>
    <w:basedOn w:val="DefaultParagraphFont"/>
    <w:link w:val="Heading3"/>
    <w:uiPriority w:val="9"/>
    <w:rsid w:val="00836C90"/>
    <w:rPr>
      <w:rFonts w:ascii="Calibri Light" w:eastAsia="Times New Roman" w:hAnsi="Calibri Light" w:cs="Times New Roman"/>
      <w:b/>
      <w:bCs/>
      <w:sz w:val="28"/>
      <w:szCs w:val="26"/>
    </w:rPr>
  </w:style>
  <w:style w:type="character" w:customStyle="1" w:styleId="Heading4Char">
    <w:name w:val="Heading 4 Char"/>
    <w:basedOn w:val="DefaultParagraphFont"/>
    <w:link w:val="Heading4"/>
    <w:uiPriority w:val="9"/>
    <w:rsid w:val="00836C90"/>
    <w:rPr>
      <w:rFonts w:ascii="Calibri" w:eastAsia="Times New Roman" w:hAnsi="Calibri" w:cs="Times New Roman"/>
      <w:bCs/>
      <w:sz w:val="28"/>
      <w:szCs w:val="28"/>
      <w:u w:val="single"/>
    </w:rPr>
  </w:style>
  <w:style w:type="paragraph" w:customStyle="1" w:styleId="Heading11">
    <w:name w:val="Heading 11"/>
    <w:basedOn w:val="Normal"/>
    <w:next w:val="Normal"/>
    <w:rsid w:val="00836C90"/>
    <w:pPr>
      <w:keepNext/>
      <w:keepLines/>
      <w:spacing w:before="240" w:after="0"/>
      <w:outlineLvl w:val="0"/>
    </w:pPr>
    <w:rPr>
      <w:rFonts w:ascii="Calibri Light" w:eastAsia="Times New Roman" w:hAnsi="Calibri Light"/>
      <w:color w:val="2E74B5"/>
      <w:sz w:val="32"/>
      <w:szCs w:val="32"/>
      <w:lang w:val="en-US"/>
    </w:rPr>
  </w:style>
  <w:style w:type="character" w:customStyle="1" w:styleId="Hyperlink1">
    <w:name w:val="Hyperlink1"/>
    <w:rsid w:val="00836C90"/>
    <w:rPr>
      <w:color w:val="0563C1"/>
      <w:u w:val="single"/>
    </w:rPr>
  </w:style>
  <w:style w:type="character" w:customStyle="1" w:styleId="UnresolvedMention1">
    <w:name w:val="Unresolved Mention1"/>
    <w:uiPriority w:val="99"/>
    <w:rsid w:val="00836C90"/>
    <w:rPr>
      <w:color w:val="605E5C"/>
      <w:shd w:val="clear" w:color="auto" w:fill="E1DFDD"/>
    </w:rPr>
  </w:style>
  <w:style w:type="character" w:styleId="PlaceholderText">
    <w:name w:val="Placeholder Text"/>
    <w:uiPriority w:val="99"/>
    <w:rsid w:val="00836C90"/>
    <w:rPr>
      <w:color w:val="808080"/>
    </w:rPr>
  </w:style>
  <w:style w:type="character" w:customStyle="1" w:styleId="UnresolvedMention2">
    <w:name w:val="Unresolved Mention2"/>
    <w:rsid w:val="00836C90"/>
    <w:rPr>
      <w:color w:val="605E5C"/>
      <w:shd w:val="clear" w:color="auto" w:fill="E1DFDD"/>
    </w:rPr>
  </w:style>
  <w:style w:type="character" w:styleId="Hyperlink">
    <w:name w:val="Hyperlink"/>
    <w:uiPriority w:val="99"/>
    <w:rsid w:val="00836C90"/>
    <w:rPr>
      <w:color w:val="0563C1"/>
      <w:u w:val="single"/>
    </w:rPr>
  </w:style>
  <w:style w:type="character" w:customStyle="1" w:styleId="Heading1Char1">
    <w:name w:val="Heading 1 Char1"/>
    <w:rsid w:val="00836C90"/>
    <w:rPr>
      <w:rFonts w:ascii="Calibri Light" w:eastAsia="Times New Roman" w:hAnsi="Calibri Light" w:cs="Times New Roman"/>
      <w:b/>
      <w:bCs/>
      <w:kern w:val="3"/>
      <w:sz w:val="32"/>
      <w:szCs w:val="32"/>
      <w:lang w:eastAsia="en-US"/>
    </w:rPr>
  </w:style>
  <w:style w:type="character" w:styleId="CommentReference">
    <w:name w:val="annotation reference"/>
    <w:uiPriority w:val="99"/>
    <w:semiHidden/>
    <w:unhideWhenUsed/>
    <w:rsid w:val="00836C90"/>
    <w:rPr>
      <w:sz w:val="16"/>
      <w:szCs w:val="16"/>
    </w:rPr>
  </w:style>
  <w:style w:type="paragraph" w:styleId="CommentText">
    <w:name w:val="annotation text"/>
    <w:basedOn w:val="Normal"/>
    <w:link w:val="CommentTextChar"/>
    <w:uiPriority w:val="99"/>
    <w:unhideWhenUsed/>
    <w:rsid w:val="00836C90"/>
    <w:pPr>
      <w:spacing w:line="240" w:lineRule="auto"/>
    </w:pPr>
    <w:rPr>
      <w:sz w:val="20"/>
      <w:szCs w:val="20"/>
    </w:rPr>
  </w:style>
  <w:style w:type="character" w:customStyle="1" w:styleId="CommentTextChar">
    <w:name w:val="Comment Text Char"/>
    <w:basedOn w:val="DefaultParagraphFont"/>
    <w:link w:val="CommentText"/>
    <w:uiPriority w:val="99"/>
    <w:rsid w:val="00836C90"/>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836C90"/>
    <w:rPr>
      <w:b/>
      <w:bCs/>
    </w:rPr>
  </w:style>
  <w:style w:type="character" w:customStyle="1" w:styleId="CommentSubjectChar">
    <w:name w:val="Comment Subject Char"/>
    <w:basedOn w:val="CommentTextChar"/>
    <w:link w:val="CommentSubject"/>
    <w:uiPriority w:val="99"/>
    <w:semiHidden/>
    <w:rsid w:val="00836C90"/>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836C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6C90"/>
    <w:rPr>
      <w:rFonts w:ascii="Segoe UI" w:eastAsia="Calibri" w:hAnsi="Segoe UI" w:cs="Segoe UI"/>
      <w:sz w:val="18"/>
      <w:szCs w:val="18"/>
    </w:rPr>
  </w:style>
  <w:style w:type="numbering" w:customStyle="1" w:styleId="NoList1">
    <w:name w:val="No List1"/>
    <w:next w:val="NoList"/>
    <w:uiPriority w:val="99"/>
    <w:semiHidden/>
    <w:unhideWhenUsed/>
    <w:rsid w:val="00836C90"/>
  </w:style>
  <w:style w:type="character" w:customStyle="1" w:styleId="UnresolvedMention21">
    <w:name w:val="Unresolved Mention21"/>
    <w:uiPriority w:val="99"/>
    <w:semiHidden/>
    <w:unhideWhenUsed/>
    <w:rsid w:val="00836C90"/>
    <w:rPr>
      <w:color w:val="605E5C"/>
      <w:shd w:val="clear" w:color="auto" w:fill="E1DFDD"/>
    </w:rPr>
  </w:style>
  <w:style w:type="paragraph" w:styleId="ListParagraph">
    <w:name w:val="List Paragraph"/>
    <w:basedOn w:val="Normal"/>
    <w:qFormat/>
    <w:rsid w:val="00836C90"/>
    <w:pPr>
      <w:spacing w:line="240" w:lineRule="auto"/>
      <w:ind w:left="720"/>
    </w:pPr>
  </w:style>
  <w:style w:type="table" w:styleId="TableGrid">
    <w:name w:val="Table Grid"/>
    <w:basedOn w:val="TableNormal"/>
    <w:uiPriority w:val="59"/>
    <w:rsid w:val="00836C9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36C90"/>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Spacing">
    <w:name w:val="No Spacing"/>
    <w:link w:val="NoSpacingChar"/>
    <w:uiPriority w:val="1"/>
    <w:qFormat/>
    <w:rsid w:val="00836C90"/>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836C90"/>
    <w:rPr>
      <w:rFonts w:ascii="Calibri" w:eastAsia="Times New Roman" w:hAnsi="Calibri" w:cs="Times New Roman"/>
      <w:lang w:val="en-US"/>
    </w:rPr>
  </w:style>
  <w:style w:type="paragraph" w:styleId="Header">
    <w:name w:val="header"/>
    <w:basedOn w:val="Normal"/>
    <w:link w:val="HeaderChar"/>
    <w:uiPriority w:val="99"/>
    <w:unhideWhenUsed/>
    <w:rsid w:val="00836C90"/>
    <w:pPr>
      <w:tabs>
        <w:tab w:val="center" w:pos="4513"/>
        <w:tab w:val="right" w:pos="9026"/>
      </w:tabs>
    </w:pPr>
  </w:style>
  <w:style w:type="character" w:customStyle="1" w:styleId="HeaderChar">
    <w:name w:val="Header Char"/>
    <w:basedOn w:val="DefaultParagraphFont"/>
    <w:link w:val="Header"/>
    <w:uiPriority w:val="99"/>
    <w:rsid w:val="00836C90"/>
    <w:rPr>
      <w:rFonts w:ascii="Calibri" w:eastAsia="Calibri" w:hAnsi="Calibri" w:cs="Times New Roman"/>
    </w:rPr>
  </w:style>
  <w:style w:type="paragraph" w:styleId="Footer">
    <w:name w:val="footer"/>
    <w:basedOn w:val="Normal"/>
    <w:link w:val="FooterChar"/>
    <w:uiPriority w:val="99"/>
    <w:unhideWhenUsed/>
    <w:rsid w:val="00836C90"/>
    <w:pPr>
      <w:tabs>
        <w:tab w:val="center" w:pos="4513"/>
        <w:tab w:val="right" w:pos="9026"/>
      </w:tabs>
    </w:pPr>
  </w:style>
  <w:style w:type="character" w:customStyle="1" w:styleId="FooterChar">
    <w:name w:val="Footer Char"/>
    <w:basedOn w:val="DefaultParagraphFont"/>
    <w:link w:val="Footer"/>
    <w:uiPriority w:val="99"/>
    <w:rsid w:val="00836C90"/>
    <w:rPr>
      <w:rFonts w:ascii="Calibri" w:eastAsia="Calibri" w:hAnsi="Calibri" w:cs="Times New Roman"/>
    </w:rPr>
  </w:style>
  <w:style w:type="paragraph" w:styleId="EndnoteText">
    <w:name w:val="endnote text"/>
    <w:basedOn w:val="Normal"/>
    <w:link w:val="EndnoteTextChar"/>
    <w:uiPriority w:val="99"/>
    <w:semiHidden/>
    <w:unhideWhenUsed/>
    <w:rsid w:val="00836C90"/>
    <w:rPr>
      <w:sz w:val="20"/>
      <w:szCs w:val="20"/>
    </w:rPr>
  </w:style>
  <w:style w:type="character" w:customStyle="1" w:styleId="EndnoteTextChar">
    <w:name w:val="Endnote Text Char"/>
    <w:basedOn w:val="DefaultParagraphFont"/>
    <w:link w:val="EndnoteText"/>
    <w:uiPriority w:val="99"/>
    <w:semiHidden/>
    <w:rsid w:val="00836C90"/>
    <w:rPr>
      <w:rFonts w:ascii="Calibri" w:eastAsia="Calibri" w:hAnsi="Calibri" w:cs="Times New Roman"/>
      <w:sz w:val="20"/>
      <w:szCs w:val="20"/>
    </w:rPr>
  </w:style>
  <w:style w:type="character" w:styleId="EndnoteReference">
    <w:name w:val="endnote reference"/>
    <w:uiPriority w:val="99"/>
    <w:semiHidden/>
    <w:unhideWhenUsed/>
    <w:rsid w:val="00836C90"/>
    <w:rPr>
      <w:vertAlign w:val="superscript"/>
    </w:rPr>
  </w:style>
  <w:style w:type="table" w:styleId="TableGridLight">
    <w:name w:val="Grid Table Light"/>
    <w:basedOn w:val="TableNormal"/>
    <w:uiPriority w:val="40"/>
    <w:rsid w:val="00836C90"/>
    <w:pPr>
      <w:spacing w:after="0" w:line="240" w:lineRule="auto"/>
    </w:pPr>
    <w:rPr>
      <w:rFonts w:ascii="Calibri" w:eastAsia="Calibri" w:hAnsi="Calibri" w:cs="Times New Roman"/>
      <w:sz w:val="20"/>
      <w:szCs w:val="20"/>
      <w:lang w:eastAsia="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rsid w:val="00836C90"/>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PlainTable11">
    <w:name w:val="Plain Table 11"/>
    <w:basedOn w:val="TableNormal"/>
    <w:next w:val="PlainTable1"/>
    <w:uiPriority w:val="41"/>
    <w:rsid w:val="00836C90"/>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2">
    <w:name w:val="Plain Table 12"/>
    <w:basedOn w:val="TableNormal"/>
    <w:next w:val="PlainTable1"/>
    <w:uiPriority w:val="41"/>
    <w:rsid w:val="00836C90"/>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2">
    <w:name w:val="No List2"/>
    <w:next w:val="NoList"/>
    <w:uiPriority w:val="99"/>
    <w:semiHidden/>
    <w:unhideWhenUsed/>
    <w:rsid w:val="00836C90"/>
  </w:style>
  <w:style w:type="table" w:customStyle="1" w:styleId="TableGrid1">
    <w:name w:val="Table Grid1"/>
    <w:basedOn w:val="TableNormal"/>
    <w:next w:val="TableGrid"/>
    <w:uiPriority w:val="39"/>
    <w:rsid w:val="00836C9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3">
    <w:name w:val="Plain Table 13"/>
    <w:basedOn w:val="TableNormal"/>
    <w:next w:val="PlainTable1"/>
    <w:uiPriority w:val="41"/>
    <w:rsid w:val="00836C90"/>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TOCHeading">
    <w:name w:val="TOC Heading"/>
    <w:basedOn w:val="Heading1"/>
    <w:next w:val="Normal"/>
    <w:uiPriority w:val="39"/>
    <w:unhideWhenUsed/>
    <w:qFormat/>
    <w:rsid w:val="00836C90"/>
    <w:pPr>
      <w:keepLines/>
      <w:suppressAutoHyphens w:val="0"/>
      <w:autoSpaceDN/>
      <w:spacing w:after="0" w:line="259" w:lineRule="auto"/>
      <w:jc w:val="left"/>
      <w:textAlignment w:val="auto"/>
      <w:outlineLvl w:val="9"/>
    </w:pPr>
    <w:rPr>
      <w:color w:val="2F5496"/>
      <w:lang w:eastAsia="en-US"/>
    </w:rPr>
  </w:style>
  <w:style w:type="paragraph" w:styleId="TOC1">
    <w:name w:val="toc 1"/>
    <w:basedOn w:val="Normal"/>
    <w:next w:val="Normal"/>
    <w:autoRedefine/>
    <w:uiPriority w:val="39"/>
    <w:unhideWhenUsed/>
    <w:rsid w:val="00836C90"/>
    <w:rPr>
      <w:rFonts w:ascii="Calibri Light" w:hAnsi="Calibri Light"/>
      <w:sz w:val="24"/>
    </w:rPr>
  </w:style>
  <w:style w:type="paragraph" w:styleId="TOC2">
    <w:name w:val="toc 2"/>
    <w:basedOn w:val="Normal"/>
    <w:next w:val="Normal"/>
    <w:autoRedefine/>
    <w:uiPriority w:val="39"/>
    <w:unhideWhenUsed/>
    <w:rsid w:val="00836C90"/>
    <w:pPr>
      <w:tabs>
        <w:tab w:val="right" w:leader="dot" w:pos="8449"/>
      </w:tabs>
      <w:ind w:left="220"/>
    </w:pPr>
    <w:rPr>
      <w:noProof/>
      <w:lang w:eastAsia="en-GB"/>
    </w:rPr>
  </w:style>
  <w:style w:type="paragraph" w:styleId="TOC3">
    <w:name w:val="toc 3"/>
    <w:basedOn w:val="Normal"/>
    <w:next w:val="Normal"/>
    <w:autoRedefine/>
    <w:uiPriority w:val="39"/>
    <w:unhideWhenUsed/>
    <w:rsid w:val="00836C90"/>
    <w:pPr>
      <w:tabs>
        <w:tab w:val="left" w:pos="1320"/>
        <w:tab w:val="right" w:leader="dot" w:pos="8449"/>
      </w:tabs>
      <w:ind w:left="440"/>
    </w:pPr>
    <w:rPr>
      <w:rFonts w:ascii="Calibri Light" w:eastAsia="Times New Roman" w:hAnsi="Calibri Light"/>
      <w:noProof/>
    </w:rPr>
  </w:style>
  <w:style w:type="character" w:styleId="Emphasis">
    <w:name w:val="Emphasis"/>
    <w:uiPriority w:val="20"/>
    <w:qFormat/>
    <w:rsid w:val="00836C90"/>
    <w:rPr>
      <w:i/>
      <w:iCs/>
    </w:rPr>
  </w:style>
  <w:style w:type="numbering" w:customStyle="1" w:styleId="NoList3">
    <w:name w:val="No List3"/>
    <w:next w:val="NoList"/>
    <w:uiPriority w:val="99"/>
    <w:semiHidden/>
    <w:unhideWhenUsed/>
    <w:rsid w:val="00836C90"/>
  </w:style>
  <w:style w:type="numbering" w:customStyle="1" w:styleId="NoList11">
    <w:name w:val="No List11"/>
    <w:next w:val="NoList"/>
    <w:uiPriority w:val="99"/>
    <w:semiHidden/>
    <w:unhideWhenUsed/>
    <w:rsid w:val="00836C90"/>
  </w:style>
  <w:style w:type="numbering" w:customStyle="1" w:styleId="NoList111">
    <w:name w:val="No List111"/>
    <w:next w:val="NoList"/>
    <w:uiPriority w:val="99"/>
    <w:semiHidden/>
    <w:unhideWhenUsed/>
    <w:rsid w:val="00836C90"/>
  </w:style>
  <w:style w:type="table" w:customStyle="1" w:styleId="TableGrid2">
    <w:name w:val="Table Grid2"/>
    <w:basedOn w:val="TableNormal"/>
    <w:next w:val="TableGrid"/>
    <w:uiPriority w:val="59"/>
    <w:rsid w:val="00836C9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4">
    <w:name w:val="Plain Table 14"/>
    <w:basedOn w:val="TableNormal"/>
    <w:next w:val="PlainTable1"/>
    <w:uiPriority w:val="41"/>
    <w:rsid w:val="00836C90"/>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Light1">
    <w:name w:val="Table Grid Light1"/>
    <w:basedOn w:val="TableNormal"/>
    <w:next w:val="TableGridLight"/>
    <w:uiPriority w:val="40"/>
    <w:rsid w:val="00836C90"/>
    <w:pPr>
      <w:spacing w:after="0" w:line="240" w:lineRule="auto"/>
    </w:pPr>
    <w:rPr>
      <w:rFonts w:ascii="Calibri" w:eastAsia="Calibri" w:hAnsi="Calibri" w:cs="Times New Roman"/>
      <w:sz w:val="20"/>
      <w:szCs w:val="20"/>
      <w:lang w:eastAsia="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PlainTable21">
    <w:name w:val="Plain Table 21"/>
    <w:basedOn w:val="TableNormal"/>
    <w:next w:val="PlainTable2"/>
    <w:uiPriority w:val="42"/>
    <w:rsid w:val="00836C90"/>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PlainTable111">
    <w:name w:val="Plain Table 111"/>
    <w:basedOn w:val="TableNormal"/>
    <w:next w:val="PlainTable1"/>
    <w:uiPriority w:val="41"/>
    <w:rsid w:val="00836C90"/>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21">
    <w:name w:val="Plain Table 121"/>
    <w:basedOn w:val="TableNormal"/>
    <w:next w:val="PlainTable1"/>
    <w:uiPriority w:val="41"/>
    <w:rsid w:val="00836C90"/>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21">
    <w:name w:val="No List21"/>
    <w:next w:val="NoList"/>
    <w:uiPriority w:val="99"/>
    <w:semiHidden/>
    <w:unhideWhenUsed/>
    <w:rsid w:val="00836C90"/>
  </w:style>
  <w:style w:type="table" w:customStyle="1" w:styleId="TableGrid11">
    <w:name w:val="Table Grid11"/>
    <w:basedOn w:val="TableNormal"/>
    <w:next w:val="TableGrid"/>
    <w:uiPriority w:val="39"/>
    <w:rsid w:val="00836C9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31">
    <w:name w:val="Plain Table 131"/>
    <w:basedOn w:val="TableNormal"/>
    <w:next w:val="PlainTable1"/>
    <w:uiPriority w:val="41"/>
    <w:rsid w:val="00836C90"/>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1111">
    <w:name w:val="No List1111"/>
    <w:next w:val="NoList"/>
    <w:uiPriority w:val="99"/>
    <w:semiHidden/>
    <w:unhideWhenUsed/>
    <w:rsid w:val="00836C90"/>
  </w:style>
  <w:style w:type="numbering" w:customStyle="1" w:styleId="NoList4">
    <w:name w:val="No List4"/>
    <w:next w:val="NoList"/>
    <w:uiPriority w:val="99"/>
    <w:semiHidden/>
    <w:unhideWhenUsed/>
    <w:rsid w:val="00836C90"/>
  </w:style>
  <w:style w:type="character" w:styleId="BookTitle">
    <w:name w:val="Book Title"/>
    <w:uiPriority w:val="33"/>
    <w:qFormat/>
    <w:rsid w:val="00836C90"/>
    <w:rPr>
      <w:b/>
      <w:bCs/>
      <w:i/>
      <w:iCs/>
      <w:spacing w:val="5"/>
    </w:rPr>
  </w:style>
  <w:style w:type="paragraph" w:styleId="Revision">
    <w:name w:val="Revision"/>
    <w:hidden/>
    <w:uiPriority w:val="99"/>
    <w:semiHidden/>
    <w:rsid w:val="00836C90"/>
    <w:pPr>
      <w:spacing w:after="0" w:line="240" w:lineRule="auto"/>
    </w:pPr>
    <w:rPr>
      <w:rFonts w:ascii="Calibri" w:eastAsia="Calibri" w:hAnsi="Calibri" w:cs="Times New Roman"/>
    </w:rPr>
  </w:style>
  <w:style w:type="paragraph" w:styleId="TableofFigures">
    <w:name w:val="table of figures"/>
    <w:basedOn w:val="Normal"/>
    <w:next w:val="Normal"/>
    <w:uiPriority w:val="99"/>
    <w:unhideWhenUsed/>
    <w:rsid w:val="00836C90"/>
    <w:rPr>
      <w:rFonts w:ascii="Calibri Light" w:hAnsi="Calibri Light"/>
      <w:sz w:val="24"/>
    </w:rPr>
  </w:style>
  <w:style w:type="paragraph" w:styleId="NormalWeb">
    <w:name w:val="Normal (Web)"/>
    <w:basedOn w:val="Normal"/>
    <w:uiPriority w:val="99"/>
    <w:unhideWhenUsed/>
    <w:rsid w:val="00836C90"/>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SubtleEmphasis">
    <w:name w:val="Subtle Emphasis"/>
    <w:aliases w:val="Tables"/>
    <w:uiPriority w:val="19"/>
    <w:qFormat/>
    <w:rsid w:val="00836C90"/>
    <w:rPr>
      <w:rFonts w:ascii="Calibri" w:hAnsi="Calibri"/>
      <w:b/>
      <w:i/>
      <w:iCs/>
      <w:color w:val="404040"/>
      <w:sz w:val="24"/>
    </w:rPr>
  </w:style>
  <w:style w:type="character" w:customStyle="1" w:styleId="UnresolvedMention3">
    <w:name w:val="Unresolved Mention3"/>
    <w:basedOn w:val="DefaultParagraphFont"/>
    <w:uiPriority w:val="99"/>
    <w:semiHidden/>
    <w:unhideWhenUsed/>
    <w:rsid w:val="00836C90"/>
    <w:rPr>
      <w:color w:val="605E5C"/>
      <w:shd w:val="clear" w:color="auto" w:fill="E1DFDD"/>
    </w:rPr>
  </w:style>
  <w:style w:type="table" w:customStyle="1" w:styleId="TableGrid0">
    <w:name w:val="TableGrid"/>
    <w:rsid w:val="00836C90"/>
    <w:pPr>
      <w:spacing w:after="0" w:line="240" w:lineRule="auto"/>
    </w:pPr>
    <w:rPr>
      <w:rFonts w:eastAsiaTheme="minorEastAsia"/>
      <w:lang w:eastAsia="en-GB"/>
    </w:rPr>
    <w:tblPr>
      <w:tblCellMar>
        <w:top w:w="0" w:type="dxa"/>
        <w:left w:w="0" w:type="dxa"/>
        <w:bottom w:w="0" w:type="dxa"/>
        <w:right w:w="0" w:type="dxa"/>
      </w:tblCellMar>
    </w:tblPr>
  </w:style>
  <w:style w:type="paragraph" w:styleId="Caption">
    <w:name w:val="caption"/>
    <w:basedOn w:val="Normal"/>
    <w:next w:val="Normal"/>
    <w:uiPriority w:val="35"/>
    <w:unhideWhenUsed/>
    <w:qFormat/>
    <w:rsid w:val="00836C90"/>
    <w:pPr>
      <w:spacing w:after="200" w:line="240" w:lineRule="auto"/>
    </w:pPr>
    <w:rPr>
      <w:i/>
      <w:iCs/>
      <w:color w:val="44546A" w:themeColor="text2"/>
      <w:sz w:val="18"/>
      <w:szCs w:val="18"/>
    </w:rPr>
  </w:style>
  <w:style w:type="character" w:customStyle="1" w:styleId="UnresolvedMention4">
    <w:name w:val="Unresolved Mention4"/>
    <w:basedOn w:val="DefaultParagraphFont"/>
    <w:uiPriority w:val="99"/>
    <w:semiHidden/>
    <w:unhideWhenUsed/>
    <w:rsid w:val="00836C90"/>
    <w:rPr>
      <w:color w:val="605E5C"/>
      <w:shd w:val="clear" w:color="auto" w:fill="E1DFDD"/>
    </w:rPr>
  </w:style>
  <w:style w:type="character" w:customStyle="1" w:styleId="cf01">
    <w:name w:val="cf01"/>
    <w:basedOn w:val="DefaultParagraphFont"/>
    <w:rsid w:val="00836C90"/>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93</Pages>
  <Words>23762</Words>
  <Characters>135449</Characters>
  <Application>Microsoft Office Word</Application>
  <DocSecurity>0</DocSecurity>
  <Lines>1128</Lines>
  <Paragraphs>317</Paragraphs>
  <ScaleCrop>false</ScaleCrop>
  <Company/>
  <LinksUpToDate>false</LinksUpToDate>
  <CharactersWithSpaces>158894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Kate Smith</dc:creator>
  <cp:keywords/>
  <dc:description/>
  <cp:lastModifiedBy>Ruth Kate Smith</cp:lastModifiedBy>
  <cp:revision>1</cp:revision>
  <dcterms:created xsi:type="dcterms:W3CDTF">2021-05-20T13:36:00Z</dcterms:created>
  <dcterms:modified xsi:type="dcterms:W3CDTF">2021-05-20T13:36:00Z</dcterms:modified>
</cp:coreProperties>
</file>