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8343725"/>
        <w:docPartObj>
          <w:docPartGallery w:val="Cover Pages"/>
          <w:docPartUnique/>
        </w:docPartObj>
      </w:sdtPr>
      <w:sdtEndPr>
        <w:rPr>
          <w:rFonts w:asciiTheme="minorHAnsi" w:eastAsiaTheme="minorEastAsia" w:hAnsiTheme="minorHAnsi" w:cstheme="minorBidi"/>
          <w:noProof/>
          <w:color w:val="1F497D" w:themeColor="text2"/>
          <w:sz w:val="22"/>
          <w:szCs w:val="22"/>
        </w:rPr>
      </w:sdtEndPr>
      <w:sdtContent>
        <w:p w14:paraId="119D53E0" w14:textId="65BB6C89" w:rsidR="007D7804" w:rsidRDefault="007D7804">
          <w:r>
            <w:rPr>
              <w:noProof/>
            </w:rPr>
            <mc:AlternateContent>
              <mc:Choice Requires="wpg">
                <w:drawing>
                  <wp:anchor distT="0" distB="0" distL="114300" distR="114300" simplePos="0" relativeHeight="251659264" behindDoc="1" locked="0" layoutInCell="1" allowOverlap="1" wp14:anchorId="5BA76DF3" wp14:editId="4131D83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C90248" w14:textId="2A4DCDC8" w:rsidR="007D7804" w:rsidRPr="007D7804" w:rsidRDefault="007D7804">
                                      <w:pPr>
                                        <w:pStyle w:val="NoSpacing"/>
                                        <w:spacing w:before="120"/>
                                        <w:jc w:val="center"/>
                                        <w:rPr>
                                          <w:color w:val="FFFFFF" w:themeColor="background1"/>
                                          <w:sz w:val="32"/>
                                          <w:szCs w:val="32"/>
                                        </w:rPr>
                                      </w:pPr>
                                      <w:proofErr w:type="spellStart"/>
                                      <w:r w:rsidRPr="007D7804">
                                        <w:rPr>
                                          <w:color w:val="FFFFFF" w:themeColor="background1"/>
                                          <w:sz w:val="32"/>
                                          <w:szCs w:val="32"/>
                                        </w:rPr>
                                        <w:t>Mihnea</w:t>
                                      </w:r>
                                      <w:proofErr w:type="spellEnd"/>
                                      <w:r w:rsidRPr="007D7804">
                                        <w:rPr>
                                          <w:color w:val="FFFFFF" w:themeColor="background1"/>
                                          <w:sz w:val="32"/>
                                          <w:szCs w:val="32"/>
                                        </w:rPr>
                                        <w:t xml:space="preserve"> </w:t>
                                      </w:r>
                                      <w:proofErr w:type="spellStart"/>
                                      <w:r w:rsidRPr="007D7804">
                                        <w:rPr>
                                          <w:color w:val="FFFFFF" w:themeColor="background1"/>
                                          <w:sz w:val="32"/>
                                          <w:szCs w:val="32"/>
                                        </w:rPr>
                                        <w:t>Alexandru</w:t>
                                      </w:r>
                                      <w:proofErr w:type="spellEnd"/>
                                      <w:r w:rsidRPr="007D7804">
                                        <w:rPr>
                                          <w:color w:val="FFFFFF" w:themeColor="background1"/>
                                          <w:sz w:val="32"/>
                                          <w:szCs w:val="32"/>
                                        </w:rPr>
                                        <w:t xml:space="preserve"> </w:t>
                                      </w:r>
                                      <w:proofErr w:type="spellStart"/>
                                      <w:r w:rsidRPr="007D7804">
                                        <w:rPr>
                                          <w:color w:val="FFFFFF" w:themeColor="background1"/>
                                          <w:sz w:val="32"/>
                                          <w:szCs w:val="32"/>
                                        </w:rPr>
                                        <w:t>Antonescu</w:t>
                                      </w:r>
                                      <w:proofErr w:type="spellEnd"/>
                                    </w:p>
                                  </w:sdtContent>
                                </w:sdt>
                                <w:p w14:paraId="3769420C" w14:textId="3605A168" w:rsidR="007D7804" w:rsidRDefault="007D780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17A18C" w14:textId="4FCB1080" w:rsidR="007D7804" w:rsidRDefault="007D7804">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Criminal litigation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A76DF3"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1C90248" w14:textId="2A4DCDC8" w:rsidR="007D7804" w:rsidRPr="007D7804" w:rsidRDefault="007D7804">
                                <w:pPr>
                                  <w:pStyle w:val="NoSpacing"/>
                                  <w:spacing w:before="120"/>
                                  <w:jc w:val="center"/>
                                  <w:rPr>
                                    <w:color w:val="FFFFFF" w:themeColor="background1"/>
                                    <w:sz w:val="32"/>
                                    <w:szCs w:val="32"/>
                                  </w:rPr>
                                </w:pPr>
                                <w:proofErr w:type="spellStart"/>
                                <w:r w:rsidRPr="007D7804">
                                  <w:rPr>
                                    <w:color w:val="FFFFFF" w:themeColor="background1"/>
                                    <w:sz w:val="32"/>
                                    <w:szCs w:val="32"/>
                                  </w:rPr>
                                  <w:t>Mihnea</w:t>
                                </w:r>
                                <w:proofErr w:type="spellEnd"/>
                                <w:r w:rsidRPr="007D7804">
                                  <w:rPr>
                                    <w:color w:val="FFFFFF" w:themeColor="background1"/>
                                    <w:sz w:val="32"/>
                                    <w:szCs w:val="32"/>
                                  </w:rPr>
                                  <w:t xml:space="preserve"> </w:t>
                                </w:r>
                                <w:proofErr w:type="spellStart"/>
                                <w:r w:rsidRPr="007D7804">
                                  <w:rPr>
                                    <w:color w:val="FFFFFF" w:themeColor="background1"/>
                                    <w:sz w:val="32"/>
                                    <w:szCs w:val="32"/>
                                  </w:rPr>
                                  <w:t>Alexandru</w:t>
                                </w:r>
                                <w:proofErr w:type="spellEnd"/>
                                <w:r w:rsidRPr="007D7804">
                                  <w:rPr>
                                    <w:color w:val="FFFFFF" w:themeColor="background1"/>
                                    <w:sz w:val="32"/>
                                    <w:szCs w:val="32"/>
                                  </w:rPr>
                                  <w:t xml:space="preserve"> </w:t>
                                </w:r>
                                <w:proofErr w:type="spellStart"/>
                                <w:r w:rsidRPr="007D7804">
                                  <w:rPr>
                                    <w:color w:val="FFFFFF" w:themeColor="background1"/>
                                    <w:sz w:val="32"/>
                                    <w:szCs w:val="32"/>
                                  </w:rPr>
                                  <w:t>Antonescu</w:t>
                                </w:r>
                                <w:proofErr w:type="spellEnd"/>
                              </w:p>
                            </w:sdtContent>
                          </w:sdt>
                          <w:p w14:paraId="3769420C" w14:textId="3605A168" w:rsidR="007D7804" w:rsidRDefault="007D780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C17A18C" w14:textId="4FCB1080" w:rsidR="007D7804" w:rsidRDefault="007D7804">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Criminal litigation</w:t>
                                </w:r>
                              </w:p>
                            </w:sdtContent>
                          </w:sdt>
                        </w:txbxContent>
                      </v:textbox>
                    </v:shape>
                    <w10:wrap anchorx="page" anchory="page"/>
                  </v:group>
                </w:pict>
              </mc:Fallback>
            </mc:AlternateContent>
          </w:r>
        </w:p>
        <w:p w14:paraId="1945248D" w14:textId="3041C1FA" w:rsidR="007D7804" w:rsidRDefault="007D7804">
          <w:pPr>
            <w:rPr>
              <w:rFonts w:asciiTheme="minorHAnsi" w:eastAsiaTheme="minorEastAsia" w:hAnsiTheme="minorHAnsi" w:cstheme="minorBidi"/>
              <w:noProof/>
              <w:color w:val="1F497D" w:themeColor="text2"/>
              <w:sz w:val="22"/>
              <w:szCs w:val="22"/>
            </w:rPr>
          </w:pPr>
          <w:r>
            <w:rPr>
              <w:rFonts w:asciiTheme="minorHAnsi" w:eastAsiaTheme="minorEastAsia" w:hAnsiTheme="minorHAnsi" w:cstheme="minorBidi"/>
              <w:noProof/>
              <w:color w:val="1F497D" w:themeColor="text2"/>
              <w:sz w:val="22"/>
              <w:szCs w:val="22"/>
            </w:rPr>
            <w:br w:type="page"/>
          </w:r>
        </w:p>
      </w:sdtContent>
    </w:sdt>
    <w:p w14:paraId="20C0DC1D" w14:textId="77777777" w:rsidR="007D7804" w:rsidRDefault="007D7804">
      <w:pPr>
        <w:rPr>
          <w:b/>
          <w:sz w:val="32"/>
          <w:szCs w:val="32"/>
          <w:u w:val="single"/>
        </w:rPr>
      </w:pPr>
    </w:p>
    <w:p w14:paraId="4E98A1D0" w14:textId="77777777" w:rsidR="00D85603" w:rsidRDefault="00D85603" w:rsidP="007157B1">
      <w:pPr>
        <w:pStyle w:val="Normal1"/>
        <w:spacing w:line="360" w:lineRule="auto"/>
        <w:jc w:val="center"/>
        <w:rPr>
          <w:b/>
          <w:sz w:val="32"/>
          <w:szCs w:val="32"/>
          <w:u w:val="single"/>
        </w:rPr>
      </w:pPr>
    </w:p>
    <w:p w14:paraId="0FC4E813" w14:textId="02F1EC62" w:rsidR="00D85603" w:rsidRDefault="00D85603">
      <w:pPr>
        <w:rPr>
          <w:b/>
          <w:sz w:val="32"/>
          <w:szCs w:val="32"/>
          <w:u w:val="single"/>
        </w:rPr>
      </w:pPr>
    </w:p>
    <w:p w14:paraId="16062F6A" w14:textId="0655B7C0" w:rsidR="00D85603" w:rsidRDefault="00D85603">
      <w:pPr>
        <w:rPr>
          <w:b/>
          <w:sz w:val="32"/>
          <w:szCs w:val="32"/>
          <w:u w:val="single"/>
        </w:rPr>
      </w:pPr>
    </w:p>
    <w:p w14:paraId="2176FABF" w14:textId="6C7E3B7D" w:rsidR="00D85603" w:rsidRDefault="00D85603">
      <w:pPr>
        <w:rPr>
          <w:b/>
          <w:sz w:val="32"/>
          <w:szCs w:val="32"/>
          <w:u w:val="single"/>
        </w:rPr>
      </w:pPr>
    </w:p>
    <w:p w14:paraId="41BD1CE7" w14:textId="0F0A9260" w:rsidR="00D85603" w:rsidRDefault="00D85603">
      <w:pPr>
        <w:rPr>
          <w:b/>
          <w:sz w:val="32"/>
          <w:szCs w:val="32"/>
          <w:u w:val="single"/>
        </w:rPr>
      </w:pPr>
    </w:p>
    <w:p w14:paraId="239E3927" w14:textId="08036390" w:rsidR="00D85603" w:rsidRDefault="00D85603">
      <w:pPr>
        <w:rPr>
          <w:b/>
          <w:sz w:val="32"/>
          <w:szCs w:val="32"/>
          <w:u w:val="single"/>
        </w:rPr>
      </w:pPr>
    </w:p>
    <w:p w14:paraId="050F4F5A" w14:textId="3763E079" w:rsidR="00D85603" w:rsidRDefault="00D85603">
      <w:pPr>
        <w:rPr>
          <w:b/>
          <w:sz w:val="32"/>
          <w:szCs w:val="32"/>
          <w:u w:val="single"/>
        </w:rPr>
      </w:pPr>
    </w:p>
    <w:p w14:paraId="0DA76551" w14:textId="69E6825B" w:rsidR="00D85603" w:rsidRDefault="00D85603">
      <w:pPr>
        <w:rPr>
          <w:b/>
          <w:sz w:val="32"/>
          <w:szCs w:val="32"/>
          <w:u w:val="single"/>
        </w:rPr>
      </w:pPr>
    </w:p>
    <w:p w14:paraId="4B23C429" w14:textId="36293056" w:rsidR="00D85603" w:rsidRDefault="00D85603">
      <w:pPr>
        <w:rPr>
          <w:b/>
          <w:sz w:val="32"/>
          <w:szCs w:val="32"/>
          <w:u w:val="single"/>
        </w:rPr>
      </w:pPr>
    </w:p>
    <w:p w14:paraId="65302C1B" w14:textId="0418F1FC" w:rsidR="00D85603" w:rsidRDefault="00D85603">
      <w:pPr>
        <w:rPr>
          <w:b/>
          <w:sz w:val="32"/>
          <w:szCs w:val="32"/>
          <w:u w:val="single"/>
        </w:rPr>
      </w:pPr>
    </w:p>
    <w:p w14:paraId="1A097D1B" w14:textId="77777777" w:rsidR="00D85603" w:rsidRDefault="00D85603">
      <w:pPr>
        <w:rPr>
          <w:b/>
          <w:sz w:val="32"/>
          <w:szCs w:val="32"/>
          <w:u w:val="single"/>
        </w:rPr>
      </w:pPr>
    </w:p>
    <w:p w14:paraId="0F454A46" w14:textId="4EFE6065" w:rsidR="007157B1" w:rsidRDefault="007157B1" w:rsidP="007157B1">
      <w:pPr>
        <w:pStyle w:val="Normal1"/>
        <w:spacing w:line="360" w:lineRule="auto"/>
        <w:jc w:val="center"/>
        <w:rPr>
          <w:b/>
          <w:sz w:val="32"/>
          <w:szCs w:val="32"/>
          <w:u w:val="single"/>
        </w:rPr>
      </w:pPr>
      <w:r w:rsidRPr="007157B1">
        <w:rPr>
          <w:b/>
          <w:sz w:val="32"/>
          <w:szCs w:val="32"/>
          <w:u w:val="single"/>
        </w:rPr>
        <w:t>Criminal Litigation</w:t>
      </w:r>
    </w:p>
    <w:p w14:paraId="703F0F75" w14:textId="77777777" w:rsidR="007157B1" w:rsidRDefault="007157B1" w:rsidP="007157B1">
      <w:pPr>
        <w:pStyle w:val="Normal1"/>
        <w:spacing w:line="360" w:lineRule="auto"/>
        <w:jc w:val="center"/>
        <w:rPr>
          <w:b/>
          <w:sz w:val="32"/>
          <w:szCs w:val="32"/>
          <w:u w:val="single"/>
        </w:rPr>
      </w:pPr>
    </w:p>
    <w:p w14:paraId="3E40E5E7" w14:textId="77777777" w:rsidR="007157B1" w:rsidRDefault="007157B1" w:rsidP="007157B1">
      <w:pPr>
        <w:pStyle w:val="Normal1"/>
        <w:spacing w:line="360" w:lineRule="auto"/>
        <w:jc w:val="center"/>
        <w:rPr>
          <w:b/>
          <w:sz w:val="32"/>
          <w:szCs w:val="32"/>
          <w:u w:val="single"/>
        </w:rPr>
      </w:pPr>
    </w:p>
    <w:p w14:paraId="5AC0A60F" w14:textId="77777777" w:rsidR="007157B1" w:rsidRDefault="007157B1" w:rsidP="007157B1">
      <w:pPr>
        <w:pStyle w:val="Normal1"/>
        <w:spacing w:line="360" w:lineRule="auto"/>
        <w:jc w:val="center"/>
        <w:rPr>
          <w:b/>
          <w:sz w:val="32"/>
          <w:szCs w:val="32"/>
          <w:u w:val="single"/>
        </w:rPr>
      </w:pPr>
    </w:p>
    <w:p w14:paraId="2BAF70CE" w14:textId="77777777" w:rsidR="00F77D8B" w:rsidRDefault="000B3115" w:rsidP="007157B1">
      <w:pPr>
        <w:pStyle w:val="Normal1"/>
        <w:spacing w:line="360" w:lineRule="auto"/>
        <w:jc w:val="center"/>
        <w:rPr>
          <w:b/>
          <w:sz w:val="32"/>
          <w:szCs w:val="32"/>
          <w:u w:val="single"/>
        </w:rPr>
      </w:pPr>
      <w:r>
        <w:rPr>
          <w:b/>
          <w:sz w:val="32"/>
          <w:szCs w:val="32"/>
          <w:u w:val="single"/>
        </w:rPr>
        <w:t>The Case of Miss Sarah Jones</w:t>
      </w:r>
    </w:p>
    <w:p w14:paraId="04876322" w14:textId="77777777" w:rsidR="00F77D8B" w:rsidRDefault="000B3115" w:rsidP="007157B1">
      <w:pPr>
        <w:pStyle w:val="Normal1"/>
        <w:spacing w:line="360" w:lineRule="auto"/>
        <w:rPr>
          <w:b/>
          <w:sz w:val="32"/>
          <w:szCs w:val="32"/>
        </w:rPr>
      </w:pPr>
      <w:r>
        <w:br w:type="page"/>
      </w:r>
    </w:p>
    <w:p w14:paraId="58F2D017" w14:textId="77777777" w:rsidR="00F77D8B" w:rsidRDefault="007157B1" w:rsidP="007157B1">
      <w:pPr>
        <w:pStyle w:val="Normal1"/>
        <w:spacing w:line="360" w:lineRule="auto"/>
        <w:rPr>
          <w:b/>
        </w:rPr>
      </w:pPr>
      <w:r>
        <w:rPr>
          <w:b/>
        </w:rPr>
        <w:lastRenderedPageBreak/>
        <w:t>“</w:t>
      </w:r>
      <w:r w:rsidR="000B3115">
        <w:rPr>
          <w:b/>
        </w:rPr>
        <w:t>INTERNAL MEMORANDUM</w:t>
      </w:r>
    </w:p>
    <w:p w14:paraId="7625D9CB" w14:textId="77777777" w:rsidR="00F77D8B" w:rsidRDefault="000B3115" w:rsidP="007157B1">
      <w:pPr>
        <w:pStyle w:val="Normal1"/>
        <w:spacing w:line="360" w:lineRule="auto"/>
        <w:rPr>
          <w:b/>
        </w:rPr>
      </w:pPr>
      <w:r>
        <w:rPr>
          <w:b/>
        </w:rPr>
        <w:t>TO: Thomas Trinity</w:t>
      </w:r>
    </w:p>
    <w:p w14:paraId="25213FFA" w14:textId="77777777" w:rsidR="00F77D8B" w:rsidRDefault="000B3115" w:rsidP="007157B1">
      <w:pPr>
        <w:pStyle w:val="Normal1"/>
        <w:spacing w:line="360" w:lineRule="auto"/>
        <w:rPr>
          <w:b/>
        </w:rPr>
      </w:pPr>
      <w:r>
        <w:rPr>
          <w:b/>
        </w:rPr>
        <w:t>FROM: (insert your name)</w:t>
      </w:r>
    </w:p>
    <w:p w14:paraId="07A01DC9" w14:textId="77777777" w:rsidR="00F77D8B" w:rsidRDefault="000B3115" w:rsidP="007157B1">
      <w:pPr>
        <w:pStyle w:val="Normal1"/>
        <w:spacing w:line="360" w:lineRule="auto"/>
        <w:rPr>
          <w:b/>
        </w:rPr>
      </w:pPr>
      <w:r>
        <w:rPr>
          <w:b/>
        </w:rPr>
        <w:t xml:space="preserve">MATTER: </w:t>
      </w:r>
      <w:r w:rsidR="008808F8">
        <w:rPr>
          <w:b/>
        </w:rPr>
        <w:t>the</w:t>
      </w:r>
      <w:r>
        <w:rPr>
          <w:b/>
        </w:rPr>
        <w:t xml:space="preserve"> case of SARAH JONES</w:t>
      </w:r>
    </w:p>
    <w:p w14:paraId="24A351D5" w14:textId="77777777" w:rsidR="00F77D8B" w:rsidRDefault="000B3115" w:rsidP="007157B1">
      <w:pPr>
        <w:pStyle w:val="Normal1"/>
        <w:spacing w:line="360" w:lineRule="auto"/>
        <w:rPr>
          <w:b/>
        </w:rPr>
      </w:pPr>
      <w:r>
        <w:rPr>
          <w:b/>
        </w:rPr>
        <w:t>DATE:</w:t>
      </w:r>
    </w:p>
    <w:p w14:paraId="2887197E" w14:textId="77777777" w:rsidR="00F77D8B" w:rsidRDefault="00F77D8B" w:rsidP="007157B1">
      <w:pPr>
        <w:pStyle w:val="Normal1"/>
        <w:spacing w:line="360" w:lineRule="auto"/>
        <w:rPr>
          <w:b/>
        </w:rPr>
      </w:pPr>
    </w:p>
    <w:p w14:paraId="61E9CAB1" w14:textId="77777777" w:rsidR="00F77D8B" w:rsidRDefault="000B3115" w:rsidP="007157B1">
      <w:pPr>
        <w:pStyle w:val="Normal1"/>
        <w:spacing w:line="360" w:lineRule="auto"/>
      </w:pPr>
      <w:r>
        <w:t>This is the case of Miss Sarah Jones.</w:t>
      </w:r>
    </w:p>
    <w:p w14:paraId="6111D2EC" w14:textId="77777777" w:rsidR="008808F8" w:rsidRDefault="000B3115" w:rsidP="007157B1">
      <w:pPr>
        <w:pStyle w:val="Normal1"/>
        <w:spacing w:line="360" w:lineRule="auto"/>
      </w:pPr>
      <w:r>
        <w:t xml:space="preserve">I will set out below the </w:t>
      </w:r>
      <w:proofErr w:type="gramStart"/>
      <w:r>
        <w:t>following</w:t>
      </w:r>
      <w:r w:rsidR="007157B1">
        <w:t>”</w:t>
      </w:r>
      <w:r>
        <w:t>…</w:t>
      </w:r>
      <w:proofErr w:type="gramEnd"/>
      <w:r>
        <w:t>.</w:t>
      </w:r>
    </w:p>
    <w:p w14:paraId="03D593C9" w14:textId="77777777" w:rsidR="008808F8" w:rsidRDefault="008808F8" w:rsidP="007157B1">
      <w:pPr>
        <w:spacing w:line="360" w:lineRule="auto"/>
      </w:pPr>
      <w:r>
        <w:br w:type="page"/>
      </w:r>
    </w:p>
    <w:sdt>
      <w:sdtPr>
        <w:rPr>
          <w:rFonts w:ascii="Times New Roman" w:eastAsia="Times New Roman" w:hAnsi="Times New Roman" w:cs="Times New Roman"/>
          <w:b w:val="0"/>
          <w:bCs w:val="0"/>
          <w:color w:val="auto"/>
          <w:sz w:val="24"/>
          <w:szCs w:val="24"/>
        </w:rPr>
        <w:id w:val="115994423"/>
        <w:docPartObj>
          <w:docPartGallery w:val="Table of Contents"/>
          <w:docPartUnique/>
        </w:docPartObj>
      </w:sdtPr>
      <w:sdtContent>
        <w:p w14:paraId="339336A6" w14:textId="77777777" w:rsidR="008808F8" w:rsidRDefault="008808F8" w:rsidP="007157B1">
          <w:pPr>
            <w:pStyle w:val="TOCHeading"/>
            <w:spacing w:before="0" w:line="360" w:lineRule="auto"/>
            <w:jc w:val="center"/>
          </w:pPr>
          <w:r w:rsidRPr="008808F8">
            <w:rPr>
              <w:rFonts w:ascii="Times New Roman" w:hAnsi="Times New Roman" w:cs="Times New Roman"/>
              <w:color w:val="auto"/>
              <w:sz w:val="24"/>
              <w:szCs w:val="24"/>
            </w:rPr>
            <w:t>Table of Contents</w:t>
          </w:r>
        </w:p>
        <w:p w14:paraId="31A453B9" w14:textId="77777777" w:rsidR="008808F8" w:rsidRDefault="008808F8" w:rsidP="007157B1">
          <w:pPr>
            <w:pStyle w:val="TOC1"/>
            <w:tabs>
              <w:tab w:val="right" w:leader="dot" w:pos="9019"/>
            </w:tabs>
            <w:spacing w:after="0" w:line="360" w:lineRule="auto"/>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19081899" w:history="1">
            <w:r w:rsidRPr="008F31DB">
              <w:rPr>
                <w:rStyle w:val="Hyperlink"/>
                <w:noProof/>
              </w:rPr>
              <w:t>“Review and set out the law for the offences and explain the mens rea and actus reus”</w:t>
            </w:r>
            <w:r>
              <w:rPr>
                <w:noProof/>
                <w:webHidden/>
              </w:rPr>
              <w:tab/>
            </w:r>
            <w:r>
              <w:rPr>
                <w:noProof/>
                <w:webHidden/>
              </w:rPr>
              <w:fldChar w:fldCharType="begin"/>
            </w:r>
            <w:r>
              <w:rPr>
                <w:noProof/>
                <w:webHidden/>
              </w:rPr>
              <w:instrText xml:space="preserve"> PAGEREF _Toc119081899 \h </w:instrText>
            </w:r>
            <w:r>
              <w:rPr>
                <w:noProof/>
                <w:webHidden/>
              </w:rPr>
            </w:r>
            <w:r>
              <w:rPr>
                <w:noProof/>
                <w:webHidden/>
              </w:rPr>
              <w:fldChar w:fldCharType="separate"/>
            </w:r>
            <w:r>
              <w:rPr>
                <w:noProof/>
                <w:webHidden/>
              </w:rPr>
              <w:t>4</w:t>
            </w:r>
            <w:r>
              <w:rPr>
                <w:noProof/>
                <w:webHidden/>
              </w:rPr>
              <w:fldChar w:fldCharType="end"/>
            </w:r>
          </w:hyperlink>
        </w:p>
        <w:p w14:paraId="082CBCBF"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0" w:history="1">
            <w:r w:rsidR="008808F8" w:rsidRPr="008F31DB">
              <w:rPr>
                <w:rStyle w:val="Hyperlink"/>
                <w:noProof/>
              </w:rPr>
              <w:t>“Explain the range of possible sentences for the alleged offences”</w:t>
            </w:r>
            <w:r w:rsidR="008808F8">
              <w:rPr>
                <w:noProof/>
                <w:webHidden/>
              </w:rPr>
              <w:tab/>
            </w:r>
            <w:r w:rsidR="008808F8">
              <w:rPr>
                <w:noProof/>
                <w:webHidden/>
              </w:rPr>
              <w:fldChar w:fldCharType="begin"/>
            </w:r>
            <w:r w:rsidR="008808F8">
              <w:rPr>
                <w:noProof/>
                <w:webHidden/>
              </w:rPr>
              <w:instrText xml:space="preserve"> PAGEREF _Toc119081900 \h </w:instrText>
            </w:r>
            <w:r w:rsidR="008808F8">
              <w:rPr>
                <w:noProof/>
                <w:webHidden/>
              </w:rPr>
            </w:r>
            <w:r w:rsidR="008808F8">
              <w:rPr>
                <w:noProof/>
                <w:webHidden/>
              </w:rPr>
              <w:fldChar w:fldCharType="separate"/>
            </w:r>
            <w:r w:rsidR="008808F8">
              <w:rPr>
                <w:noProof/>
                <w:webHidden/>
              </w:rPr>
              <w:t>4</w:t>
            </w:r>
            <w:r w:rsidR="008808F8">
              <w:rPr>
                <w:noProof/>
                <w:webHidden/>
              </w:rPr>
              <w:fldChar w:fldCharType="end"/>
            </w:r>
          </w:hyperlink>
        </w:p>
        <w:p w14:paraId="3751AB60"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1" w:history="1">
            <w:r w:rsidR="008808F8" w:rsidRPr="008F31DB">
              <w:rPr>
                <w:rStyle w:val="Hyperlink"/>
                <w:noProof/>
              </w:rPr>
              <w:t>“Evaluate the strength of the evidence against the client”</w:t>
            </w:r>
            <w:r w:rsidR="008808F8">
              <w:rPr>
                <w:noProof/>
                <w:webHidden/>
              </w:rPr>
              <w:tab/>
            </w:r>
            <w:r w:rsidR="008808F8">
              <w:rPr>
                <w:noProof/>
                <w:webHidden/>
              </w:rPr>
              <w:fldChar w:fldCharType="begin"/>
            </w:r>
            <w:r w:rsidR="008808F8">
              <w:rPr>
                <w:noProof/>
                <w:webHidden/>
              </w:rPr>
              <w:instrText xml:space="preserve"> PAGEREF _Toc119081901 \h </w:instrText>
            </w:r>
            <w:r w:rsidR="008808F8">
              <w:rPr>
                <w:noProof/>
                <w:webHidden/>
              </w:rPr>
            </w:r>
            <w:r w:rsidR="008808F8">
              <w:rPr>
                <w:noProof/>
                <w:webHidden/>
              </w:rPr>
              <w:fldChar w:fldCharType="separate"/>
            </w:r>
            <w:r w:rsidR="008808F8">
              <w:rPr>
                <w:noProof/>
                <w:webHidden/>
              </w:rPr>
              <w:t>4</w:t>
            </w:r>
            <w:r w:rsidR="008808F8">
              <w:rPr>
                <w:noProof/>
                <w:webHidden/>
              </w:rPr>
              <w:fldChar w:fldCharType="end"/>
            </w:r>
          </w:hyperlink>
        </w:p>
        <w:p w14:paraId="5328605C"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2" w:history="1">
            <w:r w:rsidR="008808F8" w:rsidRPr="008F31DB">
              <w:rPr>
                <w:rStyle w:val="Hyperlink"/>
                <w:noProof/>
              </w:rPr>
              <w:t>“Evaluate the value/strength of Miss Davies’ claims and how this impacts upon Miss Jones Case”</w:t>
            </w:r>
            <w:r w:rsidR="008808F8">
              <w:rPr>
                <w:noProof/>
                <w:webHidden/>
              </w:rPr>
              <w:tab/>
            </w:r>
            <w:r w:rsidR="008808F8">
              <w:rPr>
                <w:noProof/>
                <w:webHidden/>
              </w:rPr>
              <w:fldChar w:fldCharType="begin"/>
            </w:r>
            <w:r w:rsidR="008808F8">
              <w:rPr>
                <w:noProof/>
                <w:webHidden/>
              </w:rPr>
              <w:instrText xml:space="preserve"> PAGEREF _Toc119081902 \h </w:instrText>
            </w:r>
            <w:r w:rsidR="008808F8">
              <w:rPr>
                <w:noProof/>
                <w:webHidden/>
              </w:rPr>
            </w:r>
            <w:r w:rsidR="008808F8">
              <w:rPr>
                <w:noProof/>
                <w:webHidden/>
              </w:rPr>
              <w:fldChar w:fldCharType="separate"/>
            </w:r>
            <w:r w:rsidR="008808F8">
              <w:rPr>
                <w:noProof/>
                <w:webHidden/>
              </w:rPr>
              <w:t>5</w:t>
            </w:r>
            <w:r w:rsidR="008808F8">
              <w:rPr>
                <w:noProof/>
                <w:webHidden/>
              </w:rPr>
              <w:fldChar w:fldCharType="end"/>
            </w:r>
          </w:hyperlink>
        </w:p>
        <w:p w14:paraId="4F058522"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3" w:history="1">
            <w:r w:rsidR="008808F8" w:rsidRPr="008F31DB">
              <w:rPr>
                <w:rStyle w:val="Hyperlink"/>
                <w:noProof/>
              </w:rPr>
              <w:t>“Explain the advantages and disadvantages in advising the client to remain silent during the police interview”</w:t>
            </w:r>
            <w:r w:rsidR="008808F8">
              <w:rPr>
                <w:noProof/>
                <w:webHidden/>
              </w:rPr>
              <w:tab/>
            </w:r>
            <w:r w:rsidR="008808F8">
              <w:rPr>
                <w:noProof/>
                <w:webHidden/>
              </w:rPr>
              <w:fldChar w:fldCharType="begin"/>
            </w:r>
            <w:r w:rsidR="008808F8">
              <w:rPr>
                <w:noProof/>
                <w:webHidden/>
              </w:rPr>
              <w:instrText xml:space="preserve"> PAGEREF _Toc119081903 \h </w:instrText>
            </w:r>
            <w:r w:rsidR="008808F8">
              <w:rPr>
                <w:noProof/>
                <w:webHidden/>
              </w:rPr>
            </w:r>
            <w:r w:rsidR="008808F8">
              <w:rPr>
                <w:noProof/>
                <w:webHidden/>
              </w:rPr>
              <w:fldChar w:fldCharType="separate"/>
            </w:r>
            <w:r w:rsidR="008808F8">
              <w:rPr>
                <w:noProof/>
                <w:webHidden/>
              </w:rPr>
              <w:t>6</w:t>
            </w:r>
            <w:r w:rsidR="008808F8">
              <w:rPr>
                <w:noProof/>
                <w:webHidden/>
              </w:rPr>
              <w:fldChar w:fldCharType="end"/>
            </w:r>
          </w:hyperlink>
        </w:p>
        <w:p w14:paraId="21D14FC8"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4" w:history="1">
            <w:r w:rsidR="008808F8" w:rsidRPr="008F31DB">
              <w:rPr>
                <w:rStyle w:val="Hyperlink"/>
                <w:noProof/>
              </w:rPr>
              <w:t>“Discuss what factors the court will take into account when allocating Miss Jones’ case from trial.”</w:t>
            </w:r>
            <w:r w:rsidR="008808F8">
              <w:rPr>
                <w:noProof/>
                <w:webHidden/>
              </w:rPr>
              <w:tab/>
            </w:r>
            <w:r w:rsidR="008808F8">
              <w:rPr>
                <w:noProof/>
                <w:webHidden/>
              </w:rPr>
              <w:fldChar w:fldCharType="begin"/>
            </w:r>
            <w:r w:rsidR="008808F8">
              <w:rPr>
                <w:noProof/>
                <w:webHidden/>
              </w:rPr>
              <w:instrText xml:space="preserve"> PAGEREF _Toc119081904 \h </w:instrText>
            </w:r>
            <w:r w:rsidR="008808F8">
              <w:rPr>
                <w:noProof/>
                <w:webHidden/>
              </w:rPr>
            </w:r>
            <w:r w:rsidR="008808F8">
              <w:rPr>
                <w:noProof/>
                <w:webHidden/>
              </w:rPr>
              <w:fldChar w:fldCharType="separate"/>
            </w:r>
            <w:r w:rsidR="008808F8">
              <w:rPr>
                <w:noProof/>
                <w:webHidden/>
              </w:rPr>
              <w:t>6</w:t>
            </w:r>
            <w:r w:rsidR="008808F8">
              <w:rPr>
                <w:noProof/>
                <w:webHidden/>
              </w:rPr>
              <w:fldChar w:fldCharType="end"/>
            </w:r>
          </w:hyperlink>
        </w:p>
        <w:p w14:paraId="75EE6ABE" w14:textId="77777777" w:rsidR="008808F8" w:rsidRDefault="00000000" w:rsidP="007157B1">
          <w:pPr>
            <w:pStyle w:val="TOC1"/>
            <w:tabs>
              <w:tab w:val="right" w:leader="dot" w:pos="9019"/>
            </w:tabs>
            <w:spacing w:after="0" w:line="360" w:lineRule="auto"/>
            <w:rPr>
              <w:rFonts w:asciiTheme="minorHAnsi" w:eastAsiaTheme="minorEastAsia" w:hAnsiTheme="minorHAnsi" w:cstheme="minorBidi"/>
              <w:noProof/>
              <w:sz w:val="22"/>
              <w:szCs w:val="22"/>
            </w:rPr>
          </w:pPr>
          <w:hyperlink w:anchor="_Toc119081905" w:history="1">
            <w:r w:rsidR="008808F8" w:rsidRPr="008F31DB">
              <w:rPr>
                <w:rStyle w:val="Hyperlink"/>
                <w:noProof/>
              </w:rPr>
              <w:t>References</w:t>
            </w:r>
            <w:r w:rsidR="008808F8">
              <w:rPr>
                <w:noProof/>
                <w:webHidden/>
              </w:rPr>
              <w:tab/>
            </w:r>
            <w:r w:rsidR="008808F8">
              <w:rPr>
                <w:noProof/>
                <w:webHidden/>
              </w:rPr>
              <w:fldChar w:fldCharType="begin"/>
            </w:r>
            <w:r w:rsidR="008808F8">
              <w:rPr>
                <w:noProof/>
                <w:webHidden/>
              </w:rPr>
              <w:instrText xml:space="preserve"> PAGEREF _Toc119081905 \h </w:instrText>
            </w:r>
            <w:r w:rsidR="008808F8">
              <w:rPr>
                <w:noProof/>
                <w:webHidden/>
              </w:rPr>
            </w:r>
            <w:r w:rsidR="008808F8">
              <w:rPr>
                <w:noProof/>
                <w:webHidden/>
              </w:rPr>
              <w:fldChar w:fldCharType="separate"/>
            </w:r>
            <w:r w:rsidR="008808F8">
              <w:rPr>
                <w:noProof/>
                <w:webHidden/>
              </w:rPr>
              <w:t>7</w:t>
            </w:r>
            <w:r w:rsidR="008808F8">
              <w:rPr>
                <w:noProof/>
                <w:webHidden/>
              </w:rPr>
              <w:fldChar w:fldCharType="end"/>
            </w:r>
          </w:hyperlink>
        </w:p>
        <w:p w14:paraId="5681F8FA" w14:textId="77777777" w:rsidR="008808F8" w:rsidRDefault="008808F8" w:rsidP="007157B1">
          <w:pPr>
            <w:spacing w:line="360" w:lineRule="auto"/>
          </w:pPr>
          <w:r>
            <w:fldChar w:fldCharType="end"/>
          </w:r>
        </w:p>
      </w:sdtContent>
    </w:sdt>
    <w:p w14:paraId="533975B2" w14:textId="77777777" w:rsidR="008808F8" w:rsidRDefault="008808F8" w:rsidP="007157B1">
      <w:pPr>
        <w:pStyle w:val="Normal1"/>
        <w:spacing w:line="360" w:lineRule="auto"/>
      </w:pPr>
    </w:p>
    <w:p w14:paraId="5E651690" w14:textId="77777777" w:rsidR="008808F8" w:rsidRDefault="008808F8" w:rsidP="007157B1">
      <w:pPr>
        <w:spacing w:line="360" w:lineRule="auto"/>
      </w:pPr>
      <w:r>
        <w:br w:type="page"/>
      </w:r>
    </w:p>
    <w:p w14:paraId="671F778A" w14:textId="77777777" w:rsidR="00F77D8B" w:rsidRPr="008808F8" w:rsidRDefault="000B3115" w:rsidP="007157B1">
      <w:pPr>
        <w:pStyle w:val="Heading1"/>
      </w:pPr>
      <w:bookmarkStart w:id="0" w:name="_nk7f2do722yy" w:colFirst="0" w:colLast="0"/>
      <w:bookmarkStart w:id="1" w:name="_Toc119081899"/>
      <w:bookmarkEnd w:id="0"/>
      <w:r w:rsidRPr="008808F8">
        <w:lastRenderedPageBreak/>
        <w:t>“</w:t>
      </w:r>
      <w:r w:rsidR="008808F8" w:rsidRPr="008808F8">
        <w:t>R</w:t>
      </w:r>
      <w:r w:rsidRPr="008808F8">
        <w:t xml:space="preserve">eview and set out the law for the offences and explain the </w:t>
      </w:r>
      <w:proofErr w:type="spellStart"/>
      <w:r w:rsidRPr="008808F8">
        <w:t>mens</w:t>
      </w:r>
      <w:proofErr w:type="spellEnd"/>
      <w:r w:rsidRPr="008808F8">
        <w:t xml:space="preserve"> rea and actus reus”</w:t>
      </w:r>
      <w:bookmarkEnd w:id="1"/>
    </w:p>
    <w:p w14:paraId="3D39D22F" w14:textId="77777777" w:rsidR="00F77D8B" w:rsidRDefault="000B3115" w:rsidP="007157B1">
      <w:pPr>
        <w:pStyle w:val="Normal1"/>
        <w:spacing w:line="360" w:lineRule="auto"/>
      </w:pPr>
      <w:r>
        <w:t xml:space="preserve">Observing the case of </w:t>
      </w:r>
      <w:proofErr w:type="spellStart"/>
      <w:r>
        <w:t>Mrs</w:t>
      </w:r>
      <w:proofErr w:type="spellEnd"/>
      <w:r>
        <w:t xml:space="preserve"> Jones, it is still uncertain on whether the offences which </w:t>
      </w:r>
      <w:proofErr w:type="spellStart"/>
      <w:r>
        <w:t>Mrs</w:t>
      </w:r>
      <w:proofErr w:type="spellEnd"/>
      <w:r>
        <w:t xml:space="preserve"> Jones is charged with are valid or not. According to the </w:t>
      </w:r>
      <w:r>
        <w:rPr>
          <w:b/>
          <w:i/>
        </w:rPr>
        <w:t>Theft Act (1968),</w:t>
      </w:r>
      <w:r>
        <w:t xml:space="preserve"> if a person dishonestly claims the belongings of another person bearing an intention of permanently depriving it is punishable (Monaghan and Monaghan, 2018). The act also states the point that if the person who is charged with the acquisition of another property by mistake is under the obligation of restoration, then the property shall be regarded as belonging to the person who is entitled with the </w:t>
      </w:r>
      <w:proofErr w:type="spellStart"/>
      <w:r>
        <w:t>restoration.The</w:t>
      </w:r>
      <w:proofErr w:type="spellEnd"/>
      <w:r>
        <w:t xml:space="preserve"> </w:t>
      </w:r>
      <w:proofErr w:type="spellStart"/>
      <w:r>
        <w:t>mens</w:t>
      </w:r>
      <w:proofErr w:type="spellEnd"/>
      <w:r>
        <w:t xml:space="preserve"> rea which is an essential part of deciding whether the act of crime was culpable or not</w:t>
      </w:r>
      <w:r w:rsidR="008808F8">
        <w:t>, reiterates</w:t>
      </w:r>
      <w:r>
        <w:t xml:space="preserve"> the fact that the actions which the accused have committed are willingly done or it was just a mishap that has happened. However, in the case of </w:t>
      </w:r>
      <w:proofErr w:type="spellStart"/>
      <w:r>
        <w:t>Mrs</w:t>
      </w:r>
      <w:proofErr w:type="spellEnd"/>
      <w:r>
        <w:t xml:space="preserve"> Jones, the guilt is determined only on the basis and the facts of the case. On the other hand, Actus Reus relates to the physical domain of crime. In the case of </w:t>
      </w:r>
      <w:proofErr w:type="spellStart"/>
      <w:r>
        <w:t>Mrs</w:t>
      </w:r>
      <w:proofErr w:type="spellEnd"/>
      <w:r>
        <w:t xml:space="preserve"> Jones, the fighting that took place between Jones and Miss Davies can be noted and if Davies has obtained certain injury during the </w:t>
      </w:r>
      <w:proofErr w:type="gramStart"/>
      <w:r>
        <w:t>incident</w:t>
      </w:r>
      <w:proofErr w:type="gramEnd"/>
      <w:r>
        <w:t xml:space="preserve"> then Actus Reus comes into the picture. The subject of Actus Reus comes into picture only when the accused have done something that has resulted in the physical injury to the victim. However, only an act of indulgence does not lead to any crime but the intention of the accused and the significance of the act </w:t>
      </w:r>
      <w:r w:rsidR="008808F8">
        <w:t>lead</w:t>
      </w:r>
      <w:r>
        <w:t xml:space="preserve"> to creation of a crime. </w:t>
      </w:r>
    </w:p>
    <w:p w14:paraId="6E4121E0" w14:textId="77777777" w:rsidR="00F77D8B" w:rsidRPr="008808F8" w:rsidRDefault="000B3115" w:rsidP="007157B1">
      <w:pPr>
        <w:pStyle w:val="Heading1"/>
      </w:pPr>
      <w:bookmarkStart w:id="2" w:name="_yewcm8l9y4xc" w:colFirst="0" w:colLast="0"/>
      <w:bookmarkStart w:id="3" w:name="_Toc119081900"/>
      <w:bookmarkEnd w:id="2"/>
      <w:r w:rsidRPr="008808F8">
        <w:t>“Explain the range of possible sentences for the alleged offences”</w:t>
      </w:r>
      <w:bookmarkEnd w:id="3"/>
    </w:p>
    <w:p w14:paraId="53BD6F2E" w14:textId="77777777" w:rsidR="00F77D8B" w:rsidRDefault="000B3115" w:rsidP="007157B1">
      <w:pPr>
        <w:pStyle w:val="Normal1"/>
        <w:spacing w:line="360" w:lineRule="auto"/>
        <w:rPr>
          <w:b/>
        </w:rPr>
      </w:pPr>
      <w:r>
        <w:t xml:space="preserve">The prosecutors in the theft case </w:t>
      </w:r>
      <w:proofErr w:type="gramStart"/>
      <w:r>
        <w:t>have to</w:t>
      </w:r>
      <w:proofErr w:type="gramEnd"/>
      <w:r>
        <w:t xml:space="preserve"> know that the Crown Court trial in the case of </w:t>
      </w:r>
      <w:r w:rsidR="007157B1">
        <w:t>theft</w:t>
      </w:r>
      <w:r>
        <w:t xml:space="preserve"> has the power to return the verdict of guilty without taking any consent if they are not satisfied with the evidence provided, validating the act of theft (Robinson and Brenner, 2021). In the case of </w:t>
      </w:r>
      <w:proofErr w:type="spellStart"/>
      <w:r>
        <w:t>Mrs</w:t>
      </w:r>
      <w:proofErr w:type="spellEnd"/>
      <w:r>
        <w:t xml:space="preserve"> Jones, it is possible that the act of offence which </w:t>
      </w:r>
      <w:proofErr w:type="spellStart"/>
      <w:r>
        <w:t>Mrs</w:t>
      </w:r>
      <w:proofErr w:type="spellEnd"/>
      <w:r>
        <w:t xml:space="preserve"> Jones is charged with, is not validated and not sufficient evidence is provided regarding the act of theft. The case involves only two participants, </w:t>
      </w:r>
      <w:proofErr w:type="gramStart"/>
      <w:r>
        <w:t>Jones</w:t>
      </w:r>
      <w:proofErr w:type="gramEnd"/>
      <w:r>
        <w:t xml:space="preserve"> and Miss Davies, which does not involve huge financial loss. The prosecution might include public interest or sentimental value for the item of loss which can cause significant inconvenience.  According to </w:t>
      </w:r>
      <w:r>
        <w:rPr>
          <w:b/>
          <w:i/>
        </w:rPr>
        <w:t>The criminal justice Act 2003</w:t>
      </w:r>
      <w:r w:rsidR="008808F8">
        <w:t>, the</w:t>
      </w:r>
      <w:r>
        <w:t xml:space="preserve"> offence of theft is a triable offence that can result in the maximum penalty of seven years imprisonment and/or unlimited </w:t>
      </w:r>
      <w:proofErr w:type="spellStart"/>
      <w:proofErr w:type="gramStart"/>
      <w:r>
        <w:t>fine.The</w:t>
      </w:r>
      <w:proofErr w:type="spellEnd"/>
      <w:proofErr w:type="gramEnd"/>
      <w:r>
        <w:t xml:space="preserve"> offences committed prior to second of Monday May 2022, in relation to theft are charged with up to six months of imprisonment and/or an unlimited fine. Whereas for the offences committed on or after 1am second of Monday May 2022, the maximum penalty is up to 12 months of imprisonment.  Apart from these, for the property that is of low value, the court considers plea and allocation for the defendant’s first appearance. </w:t>
      </w:r>
      <w:proofErr w:type="gramStart"/>
      <w:r>
        <w:t>However</w:t>
      </w:r>
      <w:proofErr w:type="gramEnd"/>
      <w:r>
        <w:t xml:space="preserve"> in the case of </w:t>
      </w:r>
      <w:proofErr w:type="spellStart"/>
      <w:r>
        <w:t>Mrs</w:t>
      </w:r>
      <w:proofErr w:type="spellEnd"/>
      <w:r>
        <w:t xml:space="preserve"> Jones, the threshold low value £200 is exceeded. If the acquisition against </w:t>
      </w:r>
      <w:proofErr w:type="spellStart"/>
      <w:r>
        <w:t>Mrs</w:t>
      </w:r>
      <w:proofErr w:type="spellEnd"/>
      <w:r>
        <w:t xml:space="preserve"> Jones is </w:t>
      </w:r>
      <w:proofErr w:type="gramStart"/>
      <w:r>
        <w:t>proven</w:t>
      </w:r>
      <w:proofErr w:type="gramEnd"/>
      <w:r>
        <w:t xml:space="preserve"> then </w:t>
      </w:r>
      <w:r>
        <w:lastRenderedPageBreak/>
        <w:t xml:space="preserve">she can be charged with 6th months of imprisonment and fine. However, since </w:t>
      </w:r>
      <w:proofErr w:type="spellStart"/>
      <w:r>
        <w:t>Mrs</w:t>
      </w:r>
      <w:proofErr w:type="spellEnd"/>
      <w:r>
        <w:t xml:space="preserve"> Jones is also charged with an </w:t>
      </w:r>
      <w:proofErr w:type="spellStart"/>
      <w:proofErr w:type="gramStart"/>
      <w:r>
        <w:t>assault,according</w:t>
      </w:r>
      <w:proofErr w:type="spellEnd"/>
      <w:proofErr w:type="gramEnd"/>
      <w:r>
        <w:t xml:space="preserve"> to </w:t>
      </w:r>
      <w:r>
        <w:rPr>
          <w:b/>
          <w:i/>
        </w:rPr>
        <w:t>Criminal Justice Act 1988</w:t>
      </w:r>
      <w:r>
        <w:t xml:space="preserve">, she can be charged with imprisonment and fine (Leuschner, 2021). Since </w:t>
      </w:r>
      <w:proofErr w:type="spellStart"/>
      <w:r>
        <w:t>Mrs</w:t>
      </w:r>
      <w:proofErr w:type="spellEnd"/>
      <w:r>
        <w:t xml:space="preserve"> Jones is under parole for showing good </w:t>
      </w:r>
      <w:proofErr w:type="spellStart"/>
      <w:r>
        <w:t>behaviour</w:t>
      </w:r>
      <w:proofErr w:type="spellEnd"/>
      <w:r>
        <w:t xml:space="preserve">, if her charges are testified to be false, then she may be released the day from the holding and the case is dropped. </w:t>
      </w:r>
    </w:p>
    <w:p w14:paraId="255F2BA1" w14:textId="77777777" w:rsidR="00F77D8B" w:rsidRPr="008808F8" w:rsidRDefault="000B3115" w:rsidP="007157B1">
      <w:pPr>
        <w:pStyle w:val="Heading1"/>
      </w:pPr>
      <w:bookmarkStart w:id="4" w:name="_472l9to4itv" w:colFirst="0" w:colLast="0"/>
      <w:bookmarkStart w:id="5" w:name="_Toc119081901"/>
      <w:bookmarkEnd w:id="4"/>
      <w:r w:rsidRPr="008808F8">
        <w:t>“Evaluate the strength of the evidence against the client”</w:t>
      </w:r>
      <w:bookmarkEnd w:id="5"/>
    </w:p>
    <w:p w14:paraId="4F1972E3" w14:textId="77777777" w:rsidR="00F77D8B" w:rsidRDefault="000B3115" w:rsidP="007157B1">
      <w:pPr>
        <w:pStyle w:val="Normal1"/>
        <w:spacing w:line="360" w:lineRule="auto"/>
      </w:pPr>
      <w:r>
        <w:t xml:space="preserve">Since </w:t>
      </w:r>
      <w:proofErr w:type="spellStart"/>
      <w:r>
        <w:t>Mrs</w:t>
      </w:r>
      <w:proofErr w:type="spellEnd"/>
      <w:r>
        <w:t xml:space="preserve"> Jones belongs from a troubled </w:t>
      </w:r>
      <w:proofErr w:type="spellStart"/>
      <w:r>
        <w:t>neighbourhood</w:t>
      </w:r>
      <w:proofErr w:type="spellEnd"/>
      <w:r>
        <w:t xml:space="preserve">, there is a presumption of her getting </w:t>
      </w:r>
      <w:r w:rsidR="008808F8">
        <w:t>indulged</w:t>
      </w:r>
      <w:r>
        <w:t xml:space="preserve"> in the crime. </w:t>
      </w:r>
      <w:proofErr w:type="spellStart"/>
      <w:r>
        <w:t>Mrs</w:t>
      </w:r>
      <w:proofErr w:type="spellEnd"/>
      <w:r>
        <w:t xml:space="preserve"> Jones also succumbed to various charges of crimes during her teenage days and early twenties, the jury can take a strong opinion from her past records. The unemployment situation of </w:t>
      </w:r>
      <w:proofErr w:type="spellStart"/>
      <w:r>
        <w:t>Mrs</w:t>
      </w:r>
      <w:proofErr w:type="spellEnd"/>
      <w:r>
        <w:t xml:space="preserve"> also provides a strong reason for which she might have indulged in an unethical act like theft (Merry, 2018). The Gucci bag which Miss Davies claimed was of high value amounting to £5000 and if Miss Jones had found it on the lane, she would have returned the bag to </w:t>
      </w:r>
      <w:proofErr w:type="spellStart"/>
      <w:r>
        <w:t>Mrs</w:t>
      </w:r>
      <w:proofErr w:type="spellEnd"/>
      <w:r>
        <w:t xml:space="preserve"> Davies gracefully and not indulge in an unnecessary confrontation. The act of confrontation and assault which Miss Jones was indulged in, provided evidence that she was not ready to handover the bag to Miss Davies easily (</w:t>
      </w:r>
      <w:proofErr w:type="spellStart"/>
      <w:r>
        <w:t>Bischoping</w:t>
      </w:r>
      <w:proofErr w:type="spellEnd"/>
      <w:r>
        <w:t xml:space="preserve">, 2018). This showed the moral situation of </w:t>
      </w:r>
      <w:proofErr w:type="spellStart"/>
      <w:r>
        <w:t>Mrs</w:t>
      </w:r>
      <w:proofErr w:type="spellEnd"/>
      <w:r>
        <w:t xml:space="preserve"> Jones and her greed to claim assets that were not hers (Bright </w:t>
      </w:r>
      <w:r>
        <w:rPr>
          <w:i/>
        </w:rPr>
        <w:t>et al</w:t>
      </w:r>
      <w:r>
        <w:t xml:space="preserve">., 2021). The act of confrontation portrayed by </w:t>
      </w:r>
      <w:proofErr w:type="spellStart"/>
      <w:r>
        <w:t>Mrs</w:t>
      </w:r>
      <w:proofErr w:type="spellEnd"/>
      <w:r>
        <w:t xml:space="preserve"> Jones showed the greed and materialism of </w:t>
      </w:r>
      <w:proofErr w:type="spellStart"/>
      <w:r>
        <w:t>Mrs</w:t>
      </w:r>
      <w:proofErr w:type="spellEnd"/>
      <w:r>
        <w:t xml:space="preserve"> Jones, giving enough reasons for the jury to articulate her involvement in theft. Another important fact which provided the strength of evidence of the case was the claim which Miss Jones made confidently. Miss Jones told PC Norman Jenkins that the bag belonged to her which was not the case. In the encounter </w:t>
      </w:r>
      <w:proofErr w:type="spellStart"/>
      <w:r>
        <w:t>Mrs</w:t>
      </w:r>
      <w:proofErr w:type="spellEnd"/>
      <w:r>
        <w:t xml:space="preserve"> Jones said that she had found the bag on Wind </w:t>
      </w:r>
      <w:r w:rsidR="008808F8">
        <w:t>Street</w:t>
      </w:r>
      <w:r>
        <w:t xml:space="preserve"> while she said otherwise to Jenkins. The divergent statement made by </w:t>
      </w:r>
      <w:proofErr w:type="spellStart"/>
      <w:r>
        <w:t>Mrs</w:t>
      </w:r>
      <w:proofErr w:type="spellEnd"/>
      <w:r>
        <w:t xml:space="preserve"> Jones clearly portrays her lack of sincerity and her dignity about the statement which she claimed. The very fact that PC Jenkins arrested Miss Jones and not Miss Davies after hearing the accounts of </w:t>
      </w:r>
      <w:r w:rsidR="008808F8">
        <w:t>both</w:t>
      </w:r>
      <w:r>
        <w:t xml:space="preserve"> also raises the question about </w:t>
      </w:r>
      <w:proofErr w:type="spellStart"/>
      <w:r>
        <w:t>Mrs</w:t>
      </w:r>
      <w:proofErr w:type="spellEnd"/>
      <w:r>
        <w:t xml:space="preserve"> Jones integrity in stating her accounts. These evidence or facts became strong evidence against </w:t>
      </w:r>
      <w:proofErr w:type="spellStart"/>
      <w:r>
        <w:t>Mrs</w:t>
      </w:r>
      <w:proofErr w:type="spellEnd"/>
      <w:r>
        <w:t xml:space="preserve"> Jones. </w:t>
      </w:r>
    </w:p>
    <w:p w14:paraId="1E595F89" w14:textId="77777777" w:rsidR="00F77D8B" w:rsidRPr="008808F8" w:rsidRDefault="000B3115" w:rsidP="007157B1">
      <w:pPr>
        <w:pStyle w:val="Heading1"/>
      </w:pPr>
      <w:bookmarkStart w:id="6" w:name="_rnqv1hn1m1ed" w:colFirst="0" w:colLast="0"/>
      <w:bookmarkStart w:id="7" w:name="_Toc119081902"/>
      <w:bookmarkEnd w:id="6"/>
      <w:r w:rsidRPr="008808F8">
        <w:t xml:space="preserve">“Evaluate the value/strength of Miss Davies’ claims and how </w:t>
      </w:r>
      <w:proofErr w:type="gramStart"/>
      <w:r w:rsidRPr="008808F8">
        <w:t>this impacts</w:t>
      </w:r>
      <w:proofErr w:type="gramEnd"/>
      <w:r w:rsidRPr="008808F8">
        <w:t xml:space="preserve"> upon Miss Jones Case”</w:t>
      </w:r>
      <w:bookmarkEnd w:id="7"/>
    </w:p>
    <w:p w14:paraId="65B2C1EA" w14:textId="77777777" w:rsidR="00F77D8B" w:rsidRDefault="000B3115" w:rsidP="007157B1">
      <w:pPr>
        <w:pStyle w:val="Normal1"/>
        <w:spacing w:line="360" w:lineRule="auto"/>
        <w:rPr>
          <w:b/>
        </w:rPr>
      </w:pPr>
      <w:r>
        <w:t xml:space="preserve">The claims which were put forward by Miss Davies may seem conflicting, but at the chance of site, it looked legitimate and quite acceptable from the claims in comparison to Miss Jones whose point of truth does not converge. The fact that Miss Davies does not have any receipt about the item which she claimed also raises the question of the validity of the statements made by her. In absence of no valid proof about the claims </w:t>
      </w:r>
      <w:r w:rsidR="008808F8">
        <w:t>made</w:t>
      </w:r>
      <w:r>
        <w:t xml:space="preserve"> this may impact the case </w:t>
      </w:r>
      <w:r>
        <w:lastRenderedPageBreak/>
        <w:t xml:space="preserve">and provide </w:t>
      </w:r>
      <w:proofErr w:type="spellStart"/>
      <w:r>
        <w:t>Mrs</w:t>
      </w:r>
      <w:proofErr w:type="spellEnd"/>
      <w:r>
        <w:t xml:space="preserve"> Jones with some advantage for claiming her innocence. According to the statements made by </w:t>
      </w:r>
      <w:proofErr w:type="spellStart"/>
      <w:r>
        <w:t>Mrs</w:t>
      </w:r>
      <w:proofErr w:type="spellEnd"/>
      <w:r>
        <w:t xml:space="preserve"> Jones, Miss Davies also belongs from a troubled </w:t>
      </w:r>
      <w:proofErr w:type="spellStart"/>
      <w:r>
        <w:t>neighbourhood</w:t>
      </w:r>
      <w:proofErr w:type="spellEnd"/>
      <w:r>
        <w:t xml:space="preserve"> and there is no way that she could have possessed the bag. This fact can be placed before the jury with </w:t>
      </w:r>
      <w:proofErr w:type="gramStart"/>
      <w:r>
        <w:t>evidence</w:t>
      </w:r>
      <w:proofErr w:type="gramEnd"/>
      <w:r>
        <w:t xml:space="preserve"> and which questions the integrity of the claims being made by </w:t>
      </w:r>
      <w:proofErr w:type="spellStart"/>
      <w:r>
        <w:t>Mrs</w:t>
      </w:r>
      <w:proofErr w:type="spellEnd"/>
      <w:r>
        <w:t xml:space="preserve"> Davies.</w:t>
      </w:r>
      <w:r>
        <w:br w:type="page"/>
      </w:r>
    </w:p>
    <w:p w14:paraId="15C62239" w14:textId="77777777" w:rsidR="00F77D8B" w:rsidRDefault="00F77D8B" w:rsidP="007157B1">
      <w:pPr>
        <w:pStyle w:val="Normal1"/>
        <w:spacing w:line="360" w:lineRule="auto"/>
        <w:rPr>
          <w:b/>
        </w:rPr>
      </w:pPr>
    </w:p>
    <w:p w14:paraId="6D1BB3FB" w14:textId="77777777" w:rsidR="00F77D8B" w:rsidRPr="008808F8" w:rsidRDefault="000B3115" w:rsidP="007157B1">
      <w:pPr>
        <w:pStyle w:val="Heading1"/>
      </w:pPr>
      <w:bookmarkStart w:id="8" w:name="_kfjstph9ag95" w:colFirst="0" w:colLast="0"/>
      <w:bookmarkStart w:id="9" w:name="_Toc119081903"/>
      <w:bookmarkEnd w:id="8"/>
      <w:r w:rsidRPr="008808F8">
        <w:t>“Explain the advantages and disadvantages in advising the client to remain silent during the police interview”</w:t>
      </w:r>
      <w:bookmarkEnd w:id="9"/>
    </w:p>
    <w:p w14:paraId="5AD484C4" w14:textId="77777777" w:rsidR="00F77D8B" w:rsidRDefault="008808F8" w:rsidP="007157B1">
      <w:pPr>
        <w:pStyle w:val="Normal1"/>
        <w:spacing w:line="360" w:lineRule="auto"/>
      </w:pPr>
      <w:r>
        <w:t>The</w:t>
      </w:r>
      <w:r w:rsidR="000B3115">
        <w:t xml:space="preserve"> main advantages in advising the client to remain silent in the police interview will help the client in having a good nature as police can suspect the client as the accused one which is trying to justify her fault and escape the situation. It can also create a positive impact on the police by showing the silent side and making them assured that the client has no fallout in the situation and is not guilty for anything. This can help </w:t>
      </w:r>
      <w:proofErr w:type="spellStart"/>
      <w:r w:rsidR="000B3115">
        <w:t>Ms</w:t>
      </w:r>
      <w:proofErr w:type="spellEnd"/>
      <w:r w:rsidR="000B3115">
        <w:t xml:space="preserve"> Jones in having a positive nature and make her willpower stronger and can present a strong profile in front of the police.  Offensive nature creates a space for doubt for the police which </w:t>
      </w:r>
      <w:proofErr w:type="gramStart"/>
      <w:r w:rsidR="000B3115">
        <w:t>is considered to be</w:t>
      </w:r>
      <w:proofErr w:type="gramEnd"/>
      <w:r w:rsidR="000B3115">
        <w:t xml:space="preserve"> a very strong point for the police for having a doubt in the client (JD Spicer Zeb Solicitors, 2022). But there are disadvantages in advising the client to remain silent as well during the police interview as it will make the police have a very strong doubt towards the client as </w:t>
      </w:r>
      <w:r>
        <w:t>not speaking</w:t>
      </w:r>
      <w:r w:rsidR="000B3115">
        <w:t xml:space="preserve"> for themselves and staying quiet as if they are the accused and they have done the wrong. Even the client can feel under pressure and </w:t>
      </w:r>
      <w:proofErr w:type="gramStart"/>
      <w:r w:rsidR="000B3115">
        <w:t>has to</w:t>
      </w:r>
      <w:proofErr w:type="gramEnd"/>
      <w:r w:rsidR="000B3115">
        <w:t xml:space="preserve"> </w:t>
      </w:r>
      <w:r>
        <w:t>accept the</w:t>
      </w:r>
      <w:r w:rsidR="000B3115">
        <w:t xml:space="preserve"> situation without their fault as well. Staying silent will be an advantage for th</w:t>
      </w:r>
      <w:r>
        <w:t>e opposite side of the client t</w:t>
      </w:r>
      <w:r w:rsidR="000B3115">
        <w:t>o have a strong point to blame the client and make the police believe that the client has made mistakes that is why the client is not speaking or fighting for their rights and justice (</w:t>
      </w:r>
      <w:r w:rsidR="000B3115">
        <w:rPr>
          <w:i/>
        </w:rPr>
        <w:t xml:space="preserve">Police Officer Test, </w:t>
      </w:r>
      <w:r w:rsidR="000B3115">
        <w:t xml:space="preserve">2022). This can hugely impact on the case of </w:t>
      </w:r>
      <w:proofErr w:type="spellStart"/>
      <w:r w:rsidR="000B3115">
        <w:t>Ms</w:t>
      </w:r>
      <w:proofErr w:type="spellEnd"/>
      <w:r w:rsidR="000B3115">
        <w:t xml:space="preserve"> Jones as it will lead the police to have a very strong doubt on </w:t>
      </w:r>
      <w:proofErr w:type="spellStart"/>
      <w:r w:rsidR="000B3115">
        <w:t>Ms</w:t>
      </w:r>
      <w:proofErr w:type="spellEnd"/>
      <w:r w:rsidR="000B3115">
        <w:t xml:space="preserve"> Jones which might also make her lose the case. </w:t>
      </w:r>
    </w:p>
    <w:p w14:paraId="25F6324A" w14:textId="77777777" w:rsidR="007157B1" w:rsidRDefault="007157B1" w:rsidP="007157B1">
      <w:pPr>
        <w:pStyle w:val="Normal1"/>
        <w:spacing w:line="360" w:lineRule="auto"/>
      </w:pPr>
    </w:p>
    <w:p w14:paraId="70F4079D" w14:textId="77777777" w:rsidR="00F77D8B" w:rsidRPr="008808F8" w:rsidRDefault="000B3115" w:rsidP="007157B1">
      <w:pPr>
        <w:pStyle w:val="Heading1"/>
      </w:pPr>
      <w:bookmarkStart w:id="10" w:name="_3qdv08hdr3k3" w:colFirst="0" w:colLast="0"/>
      <w:bookmarkStart w:id="11" w:name="_Toc119081904"/>
      <w:bookmarkEnd w:id="10"/>
      <w:r w:rsidRPr="008808F8">
        <w:t>“Discuss what factors the court will take into account when allocat</w:t>
      </w:r>
      <w:r w:rsidR="007157B1">
        <w:t>ing Miss Jones’ case from trial</w:t>
      </w:r>
      <w:r w:rsidRPr="008808F8">
        <w:t>”</w:t>
      </w:r>
      <w:bookmarkEnd w:id="11"/>
    </w:p>
    <w:p w14:paraId="5CD4FDDB" w14:textId="77777777" w:rsidR="00F77D8B" w:rsidRDefault="000B3115" w:rsidP="007157B1">
      <w:pPr>
        <w:pStyle w:val="Normal1"/>
        <w:spacing w:line="360" w:lineRule="auto"/>
      </w:pPr>
      <w:r>
        <w:t xml:space="preserve">The different factors which the court can </w:t>
      </w:r>
      <w:proofErr w:type="gramStart"/>
      <w:r>
        <w:t>take into account</w:t>
      </w:r>
      <w:proofErr w:type="gramEnd"/>
      <w:r>
        <w:t xml:space="preserve"> while allocating the case of Miss Jones’ case from the trial are the offence which has been put forward by the accuser and the situation why the accuser has put forward the offence. The court will also be looking after the history as well as the background of the culprit which is Miss Jones’ </w:t>
      </w:r>
      <w:proofErr w:type="gramStart"/>
      <w:r>
        <w:t>and also</w:t>
      </w:r>
      <w:proofErr w:type="gramEnd"/>
      <w:r>
        <w:t xml:space="preserve"> look towards the current situation the culprit is living with. Not just that, the court will also be taking into consideration the background of Miss Nora Davies who is the </w:t>
      </w:r>
      <w:r w:rsidR="008808F8">
        <w:t>accuser (</w:t>
      </w:r>
      <w:proofErr w:type="spellStart"/>
      <w:r>
        <w:rPr>
          <w:color w:val="222222"/>
          <w:highlight w:val="white"/>
        </w:rPr>
        <w:t>Charman</w:t>
      </w:r>
      <w:proofErr w:type="spellEnd"/>
      <w:r>
        <w:rPr>
          <w:color w:val="222222"/>
          <w:highlight w:val="white"/>
        </w:rPr>
        <w:t xml:space="preserve"> and Williams</w:t>
      </w:r>
      <w:r w:rsidR="008808F8">
        <w:rPr>
          <w:color w:val="222222"/>
          <w:highlight w:val="white"/>
        </w:rPr>
        <w:t>, 2022</w:t>
      </w:r>
      <w:r>
        <w:rPr>
          <w:color w:val="222222"/>
          <w:highlight w:val="white"/>
        </w:rPr>
        <w:t>)</w:t>
      </w:r>
      <w:r>
        <w:t xml:space="preserve">. The court will also be doing a </w:t>
      </w:r>
      <w:proofErr w:type="gramStart"/>
      <w:r>
        <w:t>360 degree</w:t>
      </w:r>
      <w:proofErr w:type="gramEnd"/>
      <w:r>
        <w:t xml:space="preserve"> analysis of the </w:t>
      </w:r>
      <w:r w:rsidR="008808F8">
        <w:t>parties in</w:t>
      </w:r>
      <w:r>
        <w:t xml:space="preserve"> which the mental health condition, financial condition, family background, employment and social activities will also be taken into consideration.</w:t>
      </w:r>
      <w:r>
        <w:br w:type="page"/>
      </w:r>
    </w:p>
    <w:p w14:paraId="721BA315" w14:textId="77777777" w:rsidR="00F77D8B" w:rsidRPr="008808F8" w:rsidRDefault="000B3115" w:rsidP="007157B1">
      <w:pPr>
        <w:pStyle w:val="Heading1"/>
      </w:pPr>
      <w:bookmarkStart w:id="12" w:name="_41rg8km3kptg" w:colFirst="0" w:colLast="0"/>
      <w:bookmarkStart w:id="13" w:name="_Toc119081905"/>
      <w:bookmarkEnd w:id="12"/>
      <w:r w:rsidRPr="008808F8">
        <w:lastRenderedPageBreak/>
        <w:t>References</w:t>
      </w:r>
      <w:bookmarkEnd w:id="13"/>
      <w:r w:rsidRPr="008808F8">
        <w:t xml:space="preserve"> </w:t>
      </w:r>
    </w:p>
    <w:p w14:paraId="294C4561" w14:textId="77777777" w:rsidR="008808F8" w:rsidRDefault="008808F8" w:rsidP="007157B1">
      <w:pPr>
        <w:pStyle w:val="Normal1"/>
        <w:spacing w:line="360" w:lineRule="auto"/>
      </w:pPr>
      <w:proofErr w:type="spellStart"/>
      <w:r>
        <w:t>Bischoping</w:t>
      </w:r>
      <w:proofErr w:type="spellEnd"/>
      <w:r>
        <w:t>, G., 2018. Prosecuting cryptocurrency theft with the Defend Trade Secrets Act of 2016. U. Pa. L. Rev., 167, p.239.</w:t>
      </w:r>
    </w:p>
    <w:p w14:paraId="6E0E71AD" w14:textId="77777777" w:rsidR="008808F8" w:rsidRDefault="008808F8" w:rsidP="007157B1">
      <w:pPr>
        <w:pStyle w:val="Normal1"/>
        <w:spacing w:line="360" w:lineRule="auto"/>
      </w:pPr>
      <w:r>
        <w:t xml:space="preserve">Bright, D., Brewer, R. and </w:t>
      </w:r>
      <w:proofErr w:type="spellStart"/>
      <w:r>
        <w:t>Morselli</w:t>
      </w:r>
      <w:proofErr w:type="spellEnd"/>
      <w:r>
        <w:t>, C., 2021. Using social network analysis to study crime: Navigating the challenges of criminal justice records. Social Networks, 66, pp.50-64.</w:t>
      </w:r>
    </w:p>
    <w:p w14:paraId="3B2BF914" w14:textId="77777777" w:rsidR="008808F8" w:rsidRDefault="008808F8" w:rsidP="007157B1">
      <w:pPr>
        <w:pStyle w:val="Normal1"/>
        <w:spacing w:line="360" w:lineRule="auto"/>
      </w:pPr>
      <w:proofErr w:type="spellStart"/>
      <w:r>
        <w:rPr>
          <w:color w:val="222222"/>
          <w:highlight w:val="white"/>
        </w:rPr>
        <w:t>Charman</w:t>
      </w:r>
      <w:proofErr w:type="spellEnd"/>
      <w:r>
        <w:rPr>
          <w:color w:val="222222"/>
          <w:highlight w:val="white"/>
        </w:rPr>
        <w:t xml:space="preserve">, S. and Williams, E., 2022. Accessing justice: The impact of </w:t>
      </w:r>
      <w:proofErr w:type="spellStart"/>
      <w:proofErr w:type="gramStart"/>
      <w:r>
        <w:rPr>
          <w:color w:val="222222"/>
          <w:highlight w:val="white"/>
        </w:rPr>
        <w:t>discretion,‘</w:t>
      </w:r>
      <w:proofErr w:type="gramEnd"/>
      <w:r>
        <w:rPr>
          <w:color w:val="222222"/>
          <w:highlight w:val="white"/>
        </w:rPr>
        <w:t>deservedness</w:t>
      </w:r>
      <w:proofErr w:type="spellEnd"/>
      <w:r>
        <w:rPr>
          <w:color w:val="222222"/>
          <w:highlight w:val="white"/>
        </w:rPr>
        <w:t xml:space="preserve">’ and distributive justice on the equitable allocation of policing resources. </w:t>
      </w:r>
      <w:r>
        <w:rPr>
          <w:i/>
          <w:color w:val="222222"/>
          <w:highlight w:val="white"/>
        </w:rPr>
        <w:t>Criminology &amp; Criminal Justice</w:t>
      </w:r>
      <w:r>
        <w:rPr>
          <w:color w:val="222222"/>
          <w:highlight w:val="white"/>
        </w:rPr>
        <w:t xml:space="preserve">, </w:t>
      </w:r>
      <w:r>
        <w:rPr>
          <w:i/>
          <w:color w:val="222222"/>
          <w:highlight w:val="white"/>
        </w:rPr>
        <w:t>22</w:t>
      </w:r>
      <w:r>
        <w:rPr>
          <w:color w:val="222222"/>
          <w:highlight w:val="white"/>
        </w:rPr>
        <w:t>(3), pp.404-422.</w:t>
      </w:r>
    </w:p>
    <w:p w14:paraId="20FF383A" w14:textId="77777777" w:rsidR="008808F8" w:rsidRDefault="008808F8" w:rsidP="007157B1">
      <w:pPr>
        <w:pStyle w:val="Normal1"/>
        <w:spacing w:line="360" w:lineRule="auto"/>
      </w:pPr>
      <w:r>
        <w:rPr>
          <w:i/>
        </w:rPr>
        <w:t>JD Spicer Zeb Solicitors</w:t>
      </w:r>
      <w:r>
        <w:t xml:space="preserve"> (2022). Available at: https://www.jdspicer.co.uk/site/blog/crime-fraud/should-you-say-no-comment-in-a-police-interview#:~:text=The%20best%20course%20of%20action,implicated%20for%20a%20separate%20offence (Accessed: 11 November 2022).</w:t>
      </w:r>
    </w:p>
    <w:p w14:paraId="7A1CD93E" w14:textId="77777777" w:rsidR="008808F8" w:rsidRDefault="008808F8" w:rsidP="007157B1">
      <w:pPr>
        <w:pStyle w:val="Normal1"/>
        <w:spacing w:line="360" w:lineRule="auto"/>
      </w:pPr>
      <w:r>
        <w:t>Leuschner, F., 2021. Exploring gender disparities in the prosecution of theft cases: Propensity score matching on data from German court files. European Journal of Criminology, p.14773708211003011.</w:t>
      </w:r>
    </w:p>
    <w:p w14:paraId="3FC70700" w14:textId="77777777" w:rsidR="008808F8" w:rsidRDefault="008808F8" w:rsidP="007157B1">
      <w:pPr>
        <w:pStyle w:val="Normal1"/>
        <w:spacing w:line="360" w:lineRule="auto"/>
      </w:pPr>
      <w:r>
        <w:t xml:space="preserve">Merry, S., 2018. Crime analysis: principles for </w:t>
      </w:r>
      <w:proofErr w:type="spellStart"/>
      <w:r>
        <w:t>analysing</w:t>
      </w:r>
      <w:proofErr w:type="spellEnd"/>
      <w:r>
        <w:t xml:space="preserve"> everyday serial crime. In Profiling property crimes (pp. 307-328). Routledge.</w:t>
      </w:r>
    </w:p>
    <w:p w14:paraId="51645EFE" w14:textId="77777777" w:rsidR="008808F8" w:rsidRDefault="008808F8" w:rsidP="007157B1">
      <w:pPr>
        <w:pStyle w:val="Normal1"/>
        <w:spacing w:line="360" w:lineRule="auto"/>
      </w:pPr>
      <w:r>
        <w:t>Monaghan, C. and Monaghan, N. eds., 2018. Financial Crime and Corporate Misconduct: A Critical Evaluation of Fraud Legislation. Routledge.</w:t>
      </w:r>
    </w:p>
    <w:p w14:paraId="129D27DE" w14:textId="77777777" w:rsidR="008808F8" w:rsidRDefault="008808F8" w:rsidP="007157B1">
      <w:pPr>
        <w:pStyle w:val="Normal1"/>
        <w:spacing w:line="360" w:lineRule="auto"/>
      </w:pPr>
      <w:r>
        <w:rPr>
          <w:i/>
        </w:rPr>
        <w:t>Police Officer Test</w:t>
      </w:r>
      <w:r>
        <w:t xml:space="preserve"> (2022). Available at: https://policetestguide.com/resources/common-police-interview-questions/ (Accessed: 11 November 2022).</w:t>
      </w:r>
    </w:p>
    <w:p w14:paraId="320F3136" w14:textId="77777777" w:rsidR="008808F8" w:rsidRDefault="008808F8" w:rsidP="007157B1">
      <w:pPr>
        <w:pStyle w:val="Normal1"/>
        <w:spacing w:line="360" w:lineRule="auto"/>
      </w:pPr>
      <w:r>
        <w:t xml:space="preserve">Robinson, </w:t>
      </w:r>
      <w:proofErr w:type="gramStart"/>
      <w:r>
        <w:t>R.N.</w:t>
      </w:r>
      <w:proofErr w:type="gramEnd"/>
      <w:r>
        <w:t xml:space="preserve"> and Brenner, M.L., 2021. Wage theft in professional kitchens: Conned or </w:t>
      </w:r>
      <w:proofErr w:type="gramStart"/>
      <w:r>
        <w:t>complicit?.</w:t>
      </w:r>
      <w:proofErr w:type="gramEnd"/>
      <w:r>
        <w:t xml:space="preserve"> Hospitality &amp; Society, 11(1), pp.87-106.</w:t>
      </w:r>
    </w:p>
    <w:p w14:paraId="0BDFBBFD" w14:textId="77777777" w:rsidR="00F77D8B" w:rsidRDefault="00F77D8B" w:rsidP="007157B1">
      <w:pPr>
        <w:pStyle w:val="Normal1"/>
        <w:spacing w:line="360" w:lineRule="auto"/>
      </w:pPr>
    </w:p>
    <w:p w14:paraId="213B8472" w14:textId="77777777" w:rsidR="00F77D8B" w:rsidRDefault="00F77D8B" w:rsidP="007157B1">
      <w:pPr>
        <w:pStyle w:val="Normal1"/>
        <w:spacing w:line="360" w:lineRule="auto"/>
      </w:pPr>
    </w:p>
    <w:p w14:paraId="0354D159" w14:textId="77777777" w:rsidR="00F77D8B" w:rsidRDefault="00F77D8B" w:rsidP="007157B1">
      <w:pPr>
        <w:pStyle w:val="Normal1"/>
        <w:spacing w:line="360" w:lineRule="auto"/>
        <w:rPr>
          <w:b/>
        </w:rPr>
      </w:pPr>
    </w:p>
    <w:p w14:paraId="67F00531" w14:textId="77777777" w:rsidR="00F77D8B" w:rsidRDefault="00F77D8B" w:rsidP="007157B1">
      <w:pPr>
        <w:pStyle w:val="Normal1"/>
        <w:spacing w:line="360" w:lineRule="auto"/>
        <w:rPr>
          <w:b/>
        </w:rPr>
      </w:pPr>
    </w:p>
    <w:sectPr w:rsidR="00F77D8B" w:rsidSect="007D7804">
      <w:footerReference w:type="default" r:id="rId7"/>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A20BC" w14:textId="77777777" w:rsidR="002E4FEA" w:rsidRDefault="002E4FEA" w:rsidP="008808F8">
      <w:pPr>
        <w:spacing w:line="240" w:lineRule="auto"/>
      </w:pPr>
      <w:r>
        <w:separator/>
      </w:r>
    </w:p>
  </w:endnote>
  <w:endnote w:type="continuationSeparator" w:id="0">
    <w:p w14:paraId="6E1DF07D" w14:textId="77777777" w:rsidR="002E4FEA" w:rsidRDefault="002E4FEA" w:rsidP="008808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994422"/>
      <w:docPartObj>
        <w:docPartGallery w:val="Page Numbers (Bottom of Page)"/>
        <w:docPartUnique/>
      </w:docPartObj>
    </w:sdtPr>
    <w:sdtContent>
      <w:p w14:paraId="6DA694B2" w14:textId="77777777" w:rsidR="008808F8" w:rsidRDefault="00455B3A">
        <w:pPr>
          <w:pStyle w:val="Footer"/>
          <w:jc w:val="right"/>
        </w:pPr>
        <w:r>
          <w:fldChar w:fldCharType="begin"/>
        </w:r>
        <w:r>
          <w:instrText xml:space="preserve"> PAGE   \* MERGEFORMAT </w:instrText>
        </w:r>
        <w:r>
          <w:fldChar w:fldCharType="separate"/>
        </w:r>
        <w:r w:rsidR="00662489">
          <w:rPr>
            <w:noProof/>
          </w:rPr>
          <w:t>8</w:t>
        </w:r>
        <w:r>
          <w:rPr>
            <w:noProof/>
          </w:rPr>
          <w:fldChar w:fldCharType="end"/>
        </w:r>
      </w:p>
    </w:sdtContent>
  </w:sdt>
  <w:p w14:paraId="2AA35AEA" w14:textId="77777777" w:rsidR="008808F8" w:rsidRDefault="00880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049E6" w14:textId="77777777" w:rsidR="002E4FEA" w:rsidRDefault="002E4FEA" w:rsidP="008808F8">
      <w:pPr>
        <w:spacing w:line="240" w:lineRule="auto"/>
      </w:pPr>
      <w:r>
        <w:separator/>
      </w:r>
    </w:p>
  </w:footnote>
  <w:footnote w:type="continuationSeparator" w:id="0">
    <w:p w14:paraId="380EFCEA" w14:textId="77777777" w:rsidR="002E4FEA" w:rsidRDefault="002E4FEA" w:rsidP="008808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7D8B"/>
    <w:rsid w:val="000B3115"/>
    <w:rsid w:val="002E4FEA"/>
    <w:rsid w:val="00455B3A"/>
    <w:rsid w:val="00662489"/>
    <w:rsid w:val="007157B1"/>
    <w:rsid w:val="007D7804"/>
    <w:rsid w:val="008808F8"/>
    <w:rsid w:val="00D85603"/>
    <w:rsid w:val="00F77D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EE73A"/>
  <w15:docId w15:val="{7464600A-FCAD-45E2-9688-7ADEAFEBC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808F8"/>
    <w:pPr>
      <w:keepNext/>
      <w:keepLines/>
      <w:spacing w:line="360" w:lineRule="auto"/>
      <w:outlineLvl w:val="0"/>
    </w:pPr>
    <w:rPr>
      <w:b/>
    </w:rPr>
  </w:style>
  <w:style w:type="paragraph" w:styleId="Heading2">
    <w:name w:val="heading 2"/>
    <w:basedOn w:val="Normal1"/>
    <w:next w:val="Normal1"/>
    <w:rsid w:val="00F77D8B"/>
    <w:pPr>
      <w:keepNext/>
      <w:keepLines/>
      <w:spacing w:before="360" w:after="120"/>
      <w:outlineLvl w:val="1"/>
    </w:pPr>
    <w:rPr>
      <w:sz w:val="32"/>
      <w:szCs w:val="32"/>
    </w:rPr>
  </w:style>
  <w:style w:type="paragraph" w:styleId="Heading3">
    <w:name w:val="heading 3"/>
    <w:basedOn w:val="Normal1"/>
    <w:next w:val="Normal1"/>
    <w:rsid w:val="00F77D8B"/>
    <w:pPr>
      <w:keepNext/>
      <w:keepLines/>
      <w:spacing w:before="320" w:after="80"/>
      <w:outlineLvl w:val="2"/>
    </w:pPr>
    <w:rPr>
      <w:color w:val="434343"/>
      <w:sz w:val="28"/>
      <w:szCs w:val="28"/>
    </w:rPr>
  </w:style>
  <w:style w:type="paragraph" w:styleId="Heading4">
    <w:name w:val="heading 4"/>
    <w:basedOn w:val="Normal1"/>
    <w:next w:val="Normal1"/>
    <w:rsid w:val="00F77D8B"/>
    <w:pPr>
      <w:keepNext/>
      <w:keepLines/>
      <w:spacing w:before="280" w:after="80"/>
      <w:outlineLvl w:val="3"/>
    </w:pPr>
    <w:rPr>
      <w:color w:val="666666"/>
    </w:rPr>
  </w:style>
  <w:style w:type="paragraph" w:styleId="Heading5">
    <w:name w:val="heading 5"/>
    <w:basedOn w:val="Normal1"/>
    <w:next w:val="Normal1"/>
    <w:rsid w:val="00F77D8B"/>
    <w:pPr>
      <w:keepNext/>
      <w:keepLines/>
      <w:spacing w:before="240" w:after="80"/>
      <w:outlineLvl w:val="4"/>
    </w:pPr>
    <w:rPr>
      <w:color w:val="666666"/>
      <w:sz w:val="22"/>
      <w:szCs w:val="22"/>
    </w:rPr>
  </w:style>
  <w:style w:type="paragraph" w:styleId="Heading6">
    <w:name w:val="heading 6"/>
    <w:basedOn w:val="Normal1"/>
    <w:next w:val="Normal1"/>
    <w:rsid w:val="00F77D8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77D8B"/>
  </w:style>
  <w:style w:type="paragraph" w:styleId="Title">
    <w:name w:val="Title"/>
    <w:basedOn w:val="Normal1"/>
    <w:next w:val="Normal1"/>
    <w:rsid w:val="00F77D8B"/>
    <w:pPr>
      <w:keepNext/>
      <w:keepLines/>
      <w:spacing w:after="60"/>
    </w:pPr>
    <w:rPr>
      <w:sz w:val="52"/>
      <w:szCs w:val="52"/>
    </w:rPr>
  </w:style>
  <w:style w:type="paragraph" w:styleId="Subtitle">
    <w:name w:val="Subtitle"/>
    <w:basedOn w:val="Normal1"/>
    <w:next w:val="Normal1"/>
    <w:rsid w:val="00F77D8B"/>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8808F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808F8"/>
  </w:style>
  <w:style w:type="paragraph" w:styleId="Footer">
    <w:name w:val="footer"/>
    <w:basedOn w:val="Normal"/>
    <w:link w:val="FooterChar"/>
    <w:uiPriority w:val="99"/>
    <w:unhideWhenUsed/>
    <w:rsid w:val="008808F8"/>
    <w:pPr>
      <w:tabs>
        <w:tab w:val="center" w:pos="4680"/>
        <w:tab w:val="right" w:pos="9360"/>
      </w:tabs>
      <w:spacing w:line="240" w:lineRule="auto"/>
    </w:pPr>
  </w:style>
  <w:style w:type="character" w:customStyle="1" w:styleId="FooterChar">
    <w:name w:val="Footer Char"/>
    <w:basedOn w:val="DefaultParagraphFont"/>
    <w:link w:val="Footer"/>
    <w:uiPriority w:val="99"/>
    <w:rsid w:val="008808F8"/>
  </w:style>
  <w:style w:type="paragraph" w:styleId="TOCHeading">
    <w:name w:val="TOC Heading"/>
    <w:basedOn w:val="Heading1"/>
    <w:next w:val="Normal"/>
    <w:uiPriority w:val="39"/>
    <w:semiHidden/>
    <w:unhideWhenUsed/>
    <w:qFormat/>
    <w:rsid w:val="008808F8"/>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808F8"/>
    <w:pPr>
      <w:spacing w:after="100"/>
    </w:pPr>
  </w:style>
  <w:style w:type="character" w:styleId="Hyperlink">
    <w:name w:val="Hyperlink"/>
    <w:basedOn w:val="DefaultParagraphFont"/>
    <w:uiPriority w:val="99"/>
    <w:unhideWhenUsed/>
    <w:rsid w:val="008808F8"/>
    <w:rPr>
      <w:color w:val="0000FF" w:themeColor="hyperlink"/>
      <w:u w:val="single"/>
    </w:rPr>
  </w:style>
  <w:style w:type="paragraph" w:styleId="BalloonText">
    <w:name w:val="Balloon Text"/>
    <w:basedOn w:val="Normal"/>
    <w:link w:val="BalloonTextChar"/>
    <w:uiPriority w:val="99"/>
    <w:semiHidden/>
    <w:unhideWhenUsed/>
    <w:rsid w:val="008808F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08F8"/>
    <w:rPr>
      <w:rFonts w:ascii="Tahoma" w:hAnsi="Tahoma" w:cs="Tahoma"/>
      <w:sz w:val="16"/>
      <w:szCs w:val="16"/>
    </w:rPr>
  </w:style>
  <w:style w:type="paragraph" w:styleId="NoSpacing">
    <w:name w:val="No Spacing"/>
    <w:link w:val="NoSpacingChar"/>
    <w:uiPriority w:val="1"/>
    <w:qFormat/>
    <w:rsid w:val="007D7804"/>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7D7804"/>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CB5D3B-661F-415C-B66F-4F49B2D8E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1716</Words>
  <Characters>9955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litigation</dc:title>
  <dc:creator>Mihnea Alexandru Antonescu</dc:creator>
  <cp:lastModifiedBy>mihnea.antonescu1@outlook.com</cp:lastModifiedBy>
  <cp:revision>4</cp:revision>
  <dcterms:created xsi:type="dcterms:W3CDTF">2022-11-11T12:33:00Z</dcterms:created>
  <dcterms:modified xsi:type="dcterms:W3CDTF">2022-11-11T20:32:00Z</dcterms:modified>
</cp:coreProperties>
</file>