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1A82D2" w14:textId="77777777" w:rsidR="00DB0DB5" w:rsidRPr="003968E9" w:rsidRDefault="00DB0DB5" w:rsidP="00DB0DB5">
      <w:pPr>
        <w:jc w:val="center"/>
        <w:rPr>
          <w:rFonts w:ascii="Arial" w:hAnsi="Arial" w:cs="Arial"/>
        </w:rPr>
      </w:pPr>
      <w:r w:rsidRPr="003968E9">
        <w:rPr>
          <w:rFonts w:ascii="Arial" w:hAnsi="Arial" w:cs="Arial"/>
        </w:rPr>
        <w:fldChar w:fldCharType="begin"/>
      </w:r>
      <w:r w:rsidRPr="003968E9">
        <w:rPr>
          <w:rFonts w:ascii="Arial" w:hAnsi="Arial" w:cs="Arial"/>
        </w:rPr>
        <w:instrText xml:space="preserve"> INCLUDEPICTURE "/Users/AzZedin01/Library/Group Containers/UBF8T346G9.ms/WebArchiveCopyPasteTempFiles/com.microsoft.Word/8P2xdp3q1g646AAAAAElFTkSuQmCC" \* MERGEFORMATINET </w:instrText>
      </w:r>
      <w:r w:rsidRPr="003968E9">
        <w:rPr>
          <w:rFonts w:ascii="Arial" w:hAnsi="Arial" w:cs="Arial"/>
        </w:rPr>
        <w:fldChar w:fldCharType="separate"/>
      </w:r>
      <w:r w:rsidRPr="003968E9">
        <w:rPr>
          <w:rFonts w:ascii="Arial" w:hAnsi="Arial" w:cs="Arial"/>
          <w:noProof/>
          <w:lang w:bidi="ar-SA"/>
        </w:rPr>
        <w:drawing>
          <wp:inline distT="0" distB="0" distL="0" distR="0" wp14:anchorId="3A5BDEB0" wp14:editId="717AE398">
            <wp:extent cx="2301072" cy="1169101"/>
            <wp:effectExtent l="0" t="0" r="0" b="0"/>
            <wp:docPr id="101200914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Q3LZ7moI_qmhbIP066MMQ_395"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53977" cy="1195980"/>
                    </a:xfrm>
                    <a:prstGeom prst="rect">
                      <a:avLst/>
                    </a:prstGeom>
                    <a:noFill/>
                    <a:ln>
                      <a:noFill/>
                    </a:ln>
                  </pic:spPr>
                </pic:pic>
              </a:graphicData>
            </a:graphic>
          </wp:inline>
        </w:drawing>
      </w:r>
      <w:r w:rsidRPr="003968E9">
        <w:rPr>
          <w:rFonts w:ascii="Arial" w:hAnsi="Arial" w:cs="Arial"/>
        </w:rPr>
        <w:fldChar w:fldCharType="end"/>
      </w:r>
    </w:p>
    <w:p w14:paraId="63196071" w14:textId="77777777" w:rsidR="00DB0DB5" w:rsidRPr="003968E9" w:rsidRDefault="00DB0DB5" w:rsidP="00DB0DB5">
      <w:pPr>
        <w:jc w:val="center"/>
        <w:rPr>
          <w:rFonts w:ascii="Arial" w:hAnsi="Arial" w:cs="Arial"/>
        </w:rPr>
      </w:pPr>
    </w:p>
    <w:p w14:paraId="5F95CB0E" w14:textId="77777777" w:rsidR="00DB0DB5" w:rsidRPr="003968E9" w:rsidRDefault="00DB0DB5" w:rsidP="00DB0DB5">
      <w:pPr>
        <w:jc w:val="center"/>
        <w:rPr>
          <w:rFonts w:ascii="Arial" w:hAnsi="Arial" w:cs="Arial"/>
        </w:rPr>
      </w:pPr>
    </w:p>
    <w:p w14:paraId="109BC988" w14:textId="77777777" w:rsidR="00DB0DB5" w:rsidRPr="003968E9" w:rsidRDefault="00DB0DB5" w:rsidP="00DB0DB5">
      <w:pPr>
        <w:rPr>
          <w:rFonts w:ascii="Arial" w:hAnsi="Arial" w:cs="Arial"/>
        </w:rPr>
      </w:pPr>
    </w:p>
    <w:p w14:paraId="438F1A08" w14:textId="06B99084" w:rsidR="00DB0DB5" w:rsidRPr="003968E9" w:rsidRDefault="00DB0DB5" w:rsidP="00DB0DB5">
      <w:pPr>
        <w:jc w:val="center"/>
        <w:rPr>
          <w:rFonts w:ascii="Arial" w:hAnsi="Arial" w:cs="Arial"/>
          <w:b/>
          <w:bCs/>
        </w:rPr>
      </w:pPr>
      <w:r w:rsidRPr="003968E9">
        <w:rPr>
          <w:rFonts w:ascii="Arial" w:hAnsi="Arial" w:cs="Arial"/>
          <w:b/>
          <w:bCs/>
        </w:rPr>
        <w:t xml:space="preserve">Student Name: </w:t>
      </w:r>
      <w:r w:rsidRPr="00DB0DB5">
        <w:rPr>
          <w:rFonts w:ascii="Arial" w:hAnsi="Arial" w:cs="Arial"/>
          <w:b/>
          <w:bCs/>
        </w:rPr>
        <w:t>Muminur Rahman</w:t>
      </w:r>
    </w:p>
    <w:p w14:paraId="63E68483" w14:textId="38A068B6" w:rsidR="00DB0DB5" w:rsidRPr="003968E9" w:rsidRDefault="00DB0DB5" w:rsidP="00DB0DB5">
      <w:pPr>
        <w:jc w:val="center"/>
        <w:rPr>
          <w:rFonts w:ascii="Arial" w:hAnsi="Arial" w:cs="Arial"/>
          <w:b/>
          <w:bCs/>
        </w:rPr>
      </w:pPr>
      <w:r w:rsidRPr="003968E9">
        <w:rPr>
          <w:rFonts w:ascii="Arial" w:hAnsi="Arial" w:cs="Arial"/>
          <w:b/>
          <w:bCs/>
        </w:rPr>
        <w:t xml:space="preserve">Student ID: </w:t>
      </w:r>
      <w:r w:rsidRPr="00DB0DB5">
        <w:rPr>
          <w:rFonts w:ascii="Arial" w:hAnsi="Arial" w:cs="Arial"/>
          <w:b/>
          <w:bCs/>
        </w:rPr>
        <w:t>2411218</w:t>
      </w:r>
    </w:p>
    <w:p w14:paraId="1D768D1A" w14:textId="77777777" w:rsidR="00DB0DB5" w:rsidRPr="003968E9" w:rsidRDefault="00DB0DB5" w:rsidP="00DB0DB5">
      <w:pPr>
        <w:jc w:val="center"/>
        <w:rPr>
          <w:rFonts w:ascii="Arial" w:hAnsi="Arial" w:cs="Arial"/>
          <w:b/>
          <w:bCs/>
        </w:rPr>
      </w:pPr>
    </w:p>
    <w:p w14:paraId="680FED6B" w14:textId="77777777" w:rsidR="00DB0DB5" w:rsidRPr="003968E9" w:rsidRDefault="00DB0DB5" w:rsidP="00DB0DB5">
      <w:pPr>
        <w:rPr>
          <w:rFonts w:ascii="Arial" w:hAnsi="Arial" w:cs="Arial"/>
        </w:rPr>
      </w:pPr>
    </w:p>
    <w:p w14:paraId="46140CF2" w14:textId="77777777" w:rsidR="00DB0DB5" w:rsidRPr="003968E9" w:rsidRDefault="00DB0DB5" w:rsidP="00DB0DB5">
      <w:pPr>
        <w:jc w:val="center"/>
        <w:rPr>
          <w:rFonts w:ascii="Arial" w:hAnsi="Arial" w:cs="Arial"/>
        </w:rPr>
      </w:pPr>
    </w:p>
    <w:p w14:paraId="0A41690C" w14:textId="77777777" w:rsidR="00DB0DB5" w:rsidRPr="003968E9" w:rsidRDefault="00DB0DB5" w:rsidP="00DB0DB5">
      <w:pPr>
        <w:jc w:val="center"/>
        <w:rPr>
          <w:rFonts w:ascii="Arial" w:hAnsi="Arial" w:cs="Arial"/>
          <w:b/>
          <w:bCs/>
        </w:rPr>
      </w:pPr>
      <w:r w:rsidRPr="003968E9">
        <w:rPr>
          <w:rFonts w:ascii="Arial" w:hAnsi="Arial" w:cs="Arial"/>
          <w:b/>
          <w:bCs/>
        </w:rPr>
        <w:t>Module Name: Marketing Management</w:t>
      </w:r>
    </w:p>
    <w:p w14:paraId="0A67AFA1" w14:textId="77777777" w:rsidR="00DB0DB5" w:rsidRPr="003968E9" w:rsidRDefault="00DB0DB5" w:rsidP="00DB0DB5">
      <w:pPr>
        <w:jc w:val="center"/>
        <w:rPr>
          <w:rFonts w:ascii="Arial" w:hAnsi="Arial" w:cs="Arial"/>
          <w:b/>
          <w:bCs/>
        </w:rPr>
      </w:pPr>
    </w:p>
    <w:p w14:paraId="46C964CA" w14:textId="77777777" w:rsidR="00DB0DB5" w:rsidRPr="003968E9" w:rsidRDefault="00DB0DB5" w:rsidP="00DB0DB5">
      <w:pPr>
        <w:jc w:val="center"/>
        <w:rPr>
          <w:rFonts w:ascii="Arial" w:hAnsi="Arial" w:cs="Arial"/>
          <w:b/>
          <w:bCs/>
        </w:rPr>
      </w:pPr>
      <w:r w:rsidRPr="003968E9">
        <w:rPr>
          <w:rFonts w:ascii="Arial" w:hAnsi="Arial" w:cs="Arial"/>
          <w:b/>
          <w:bCs/>
        </w:rPr>
        <w:t>Module Code: LCMB7024</w:t>
      </w:r>
    </w:p>
    <w:p w14:paraId="372C8727" w14:textId="77777777" w:rsidR="00DB0DB5" w:rsidRPr="003968E9" w:rsidRDefault="00DB0DB5" w:rsidP="00DB0DB5">
      <w:pPr>
        <w:jc w:val="center"/>
        <w:rPr>
          <w:rFonts w:ascii="Arial" w:hAnsi="Arial" w:cs="Arial"/>
          <w:b/>
          <w:bCs/>
        </w:rPr>
      </w:pPr>
    </w:p>
    <w:p w14:paraId="4249C0FA" w14:textId="77777777" w:rsidR="00DB0DB5" w:rsidRPr="003968E9" w:rsidRDefault="00DB0DB5" w:rsidP="00DB0DB5">
      <w:pPr>
        <w:jc w:val="center"/>
        <w:rPr>
          <w:rFonts w:ascii="Arial" w:hAnsi="Arial" w:cs="Arial"/>
          <w:b/>
          <w:bCs/>
        </w:rPr>
      </w:pPr>
    </w:p>
    <w:p w14:paraId="227D208C" w14:textId="77777777" w:rsidR="00DB0DB5" w:rsidRPr="003968E9" w:rsidRDefault="00DB0DB5" w:rsidP="00DB0DB5">
      <w:pPr>
        <w:jc w:val="center"/>
        <w:rPr>
          <w:rFonts w:ascii="Arial" w:hAnsi="Arial" w:cs="Arial"/>
          <w:b/>
          <w:bCs/>
        </w:rPr>
      </w:pPr>
    </w:p>
    <w:p w14:paraId="355659A6" w14:textId="77777777" w:rsidR="00DB0DB5" w:rsidRPr="003968E9" w:rsidRDefault="00DB0DB5" w:rsidP="00DB0DB5">
      <w:pPr>
        <w:jc w:val="center"/>
        <w:rPr>
          <w:rFonts w:ascii="Arial" w:hAnsi="Arial" w:cs="Arial"/>
          <w:b/>
          <w:bCs/>
        </w:rPr>
      </w:pPr>
    </w:p>
    <w:p w14:paraId="4CBA1763" w14:textId="77777777" w:rsidR="00DB0DB5" w:rsidRPr="003968E9" w:rsidRDefault="00DB0DB5" w:rsidP="00DB0DB5">
      <w:pPr>
        <w:jc w:val="center"/>
        <w:rPr>
          <w:rFonts w:ascii="Arial" w:hAnsi="Arial" w:cs="Arial"/>
          <w:b/>
          <w:bCs/>
          <w:lang w:val="en-US"/>
        </w:rPr>
      </w:pPr>
      <w:r w:rsidRPr="003968E9">
        <w:rPr>
          <w:rFonts w:ascii="Arial" w:hAnsi="Arial" w:cs="Arial"/>
          <w:b/>
          <w:bCs/>
        </w:rPr>
        <w:t>Lecturer’s Name:</w:t>
      </w:r>
      <w:r w:rsidRPr="003968E9">
        <w:rPr>
          <w:rFonts w:ascii="Arial" w:hAnsi="Arial" w:cs="Arial"/>
          <w:b/>
          <w:bCs/>
          <w:lang w:val="en-US"/>
        </w:rPr>
        <w:t xml:space="preserve"> </w:t>
      </w:r>
      <w:proofErr w:type="spellStart"/>
      <w:r w:rsidRPr="003968E9">
        <w:rPr>
          <w:rFonts w:ascii="Arial" w:hAnsi="Arial" w:cs="Arial"/>
          <w:b/>
          <w:bCs/>
          <w:lang w:val="en-US"/>
        </w:rPr>
        <w:t>Dr</w:t>
      </w:r>
      <w:proofErr w:type="spellEnd"/>
      <w:r w:rsidRPr="003968E9">
        <w:rPr>
          <w:rFonts w:ascii="Arial" w:hAnsi="Arial" w:cs="Arial"/>
          <w:b/>
          <w:bCs/>
          <w:lang w:val="en-US"/>
        </w:rPr>
        <w:t xml:space="preserve"> </w:t>
      </w:r>
      <w:proofErr w:type="spellStart"/>
      <w:r w:rsidRPr="003968E9">
        <w:rPr>
          <w:rFonts w:ascii="Arial" w:hAnsi="Arial" w:cs="Arial"/>
          <w:b/>
          <w:bCs/>
          <w:lang w:val="en-US"/>
        </w:rPr>
        <w:t>Haoran</w:t>
      </w:r>
      <w:proofErr w:type="spellEnd"/>
      <w:r w:rsidRPr="003968E9">
        <w:rPr>
          <w:rFonts w:ascii="Arial" w:hAnsi="Arial" w:cs="Arial"/>
          <w:b/>
          <w:bCs/>
          <w:lang w:val="en-US"/>
        </w:rPr>
        <w:t xml:space="preserve"> Liu</w:t>
      </w:r>
    </w:p>
    <w:p w14:paraId="1A2001E4" w14:textId="77777777" w:rsidR="00DB0DB5" w:rsidRPr="003968E9" w:rsidRDefault="00DB0DB5" w:rsidP="00DB0DB5">
      <w:pPr>
        <w:jc w:val="center"/>
        <w:rPr>
          <w:rFonts w:ascii="Arial" w:hAnsi="Arial" w:cs="Arial"/>
          <w:b/>
          <w:bCs/>
        </w:rPr>
      </w:pPr>
    </w:p>
    <w:p w14:paraId="58F541E5" w14:textId="77777777" w:rsidR="00DB0DB5" w:rsidRPr="003968E9" w:rsidRDefault="00DB0DB5" w:rsidP="00DB0DB5">
      <w:pPr>
        <w:jc w:val="center"/>
        <w:rPr>
          <w:rFonts w:ascii="Arial" w:hAnsi="Arial" w:cs="Arial"/>
          <w:b/>
          <w:bCs/>
        </w:rPr>
      </w:pPr>
    </w:p>
    <w:p w14:paraId="53EDE5A0" w14:textId="77777777" w:rsidR="00DB0DB5" w:rsidRPr="003968E9" w:rsidRDefault="00DB0DB5" w:rsidP="00DB0DB5">
      <w:pPr>
        <w:rPr>
          <w:rFonts w:ascii="Arial" w:hAnsi="Arial" w:cs="Arial"/>
          <w:b/>
          <w:bCs/>
        </w:rPr>
      </w:pPr>
    </w:p>
    <w:p w14:paraId="688F197E" w14:textId="77777777" w:rsidR="00DB0DB5" w:rsidRPr="003968E9" w:rsidRDefault="00DB0DB5" w:rsidP="00DB0DB5">
      <w:pPr>
        <w:jc w:val="center"/>
        <w:rPr>
          <w:rFonts w:ascii="Arial" w:hAnsi="Arial" w:cs="Arial"/>
          <w:b/>
          <w:bCs/>
        </w:rPr>
      </w:pPr>
      <w:r w:rsidRPr="003968E9">
        <w:rPr>
          <w:rFonts w:ascii="Arial" w:hAnsi="Arial" w:cs="Arial"/>
          <w:b/>
          <w:bCs/>
        </w:rPr>
        <w:t>Word Count: 2</w:t>
      </w:r>
      <w:r w:rsidRPr="003968E9">
        <w:rPr>
          <w:rFonts w:ascii="Arial" w:hAnsi="Arial" w:cs="Arial"/>
          <w:b/>
          <w:bCs/>
          <w:lang w:val="en-US"/>
        </w:rPr>
        <w:t>482</w:t>
      </w:r>
      <w:r w:rsidRPr="003968E9">
        <w:rPr>
          <w:rFonts w:ascii="Arial" w:hAnsi="Arial" w:cs="Arial"/>
          <w:b/>
          <w:bCs/>
        </w:rPr>
        <w:t xml:space="preserve"> </w:t>
      </w:r>
    </w:p>
    <w:p w14:paraId="54D1E5F7" w14:textId="77777777" w:rsidR="00DB0DB5" w:rsidRPr="003968E9" w:rsidRDefault="00DB0DB5" w:rsidP="00DB0DB5">
      <w:pPr>
        <w:jc w:val="center"/>
        <w:rPr>
          <w:rFonts w:ascii="Arial" w:hAnsi="Arial" w:cs="Arial"/>
          <w:b/>
          <w:bCs/>
        </w:rPr>
      </w:pPr>
    </w:p>
    <w:p w14:paraId="137023DA" w14:textId="77777777" w:rsidR="00DB0DB5" w:rsidRPr="003968E9" w:rsidRDefault="00DB0DB5" w:rsidP="00DB0DB5">
      <w:pPr>
        <w:rPr>
          <w:rFonts w:ascii="Arial" w:hAnsi="Arial" w:cs="Arial"/>
          <w:b/>
          <w:bCs/>
        </w:rPr>
      </w:pPr>
    </w:p>
    <w:p w14:paraId="501C23FB" w14:textId="77777777" w:rsidR="00DB0DB5" w:rsidRPr="003968E9" w:rsidRDefault="00DB0DB5" w:rsidP="00DB0DB5">
      <w:pPr>
        <w:rPr>
          <w:rFonts w:ascii="Arial" w:hAnsi="Arial" w:cs="Arial"/>
          <w:b/>
          <w:bCs/>
        </w:rPr>
      </w:pPr>
    </w:p>
    <w:p w14:paraId="629D4074" w14:textId="77777777" w:rsidR="00DB0DB5" w:rsidRPr="003968E9" w:rsidRDefault="00DB0DB5" w:rsidP="00DB0DB5">
      <w:pPr>
        <w:jc w:val="center"/>
        <w:rPr>
          <w:rFonts w:ascii="Arial" w:hAnsi="Arial" w:cs="Arial"/>
          <w:b/>
          <w:bCs/>
        </w:rPr>
      </w:pPr>
    </w:p>
    <w:p w14:paraId="45BE8E0A" w14:textId="77777777" w:rsidR="00DB0DB5" w:rsidRPr="003968E9" w:rsidRDefault="00DB0DB5" w:rsidP="00DB0DB5">
      <w:pPr>
        <w:jc w:val="center"/>
        <w:rPr>
          <w:rFonts w:ascii="Arial" w:hAnsi="Arial" w:cs="Arial"/>
          <w:b/>
          <w:bCs/>
        </w:rPr>
      </w:pPr>
      <w:r w:rsidRPr="003968E9">
        <w:rPr>
          <w:rFonts w:ascii="Arial" w:hAnsi="Arial" w:cs="Arial"/>
          <w:b/>
          <w:bCs/>
        </w:rPr>
        <w:t>Term 1</w:t>
      </w:r>
    </w:p>
    <w:p w14:paraId="18083BEE" w14:textId="77777777" w:rsidR="00DE4859" w:rsidRPr="00B03758" w:rsidRDefault="00DE4859" w:rsidP="00DE4859">
      <w:pPr>
        <w:rPr>
          <w:rFonts w:ascii="Arial" w:hAnsi="Arial" w:cs="Arial"/>
        </w:rPr>
      </w:pPr>
    </w:p>
    <w:p w14:paraId="10070C3F" w14:textId="77777777" w:rsidR="00DE4859" w:rsidRPr="00B03758" w:rsidRDefault="00DE4859" w:rsidP="00DE4859">
      <w:pPr>
        <w:spacing w:after="160" w:line="259" w:lineRule="auto"/>
        <w:jc w:val="left"/>
        <w:rPr>
          <w:rFonts w:ascii="Arial" w:hAnsi="Arial" w:cs="Arial"/>
        </w:rPr>
      </w:pPr>
      <w:r w:rsidRPr="00B03758">
        <w:rPr>
          <w:rFonts w:ascii="Arial" w:hAnsi="Arial" w:cs="Arial"/>
        </w:rPr>
        <w:br w:type="page"/>
      </w:r>
    </w:p>
    <w:sdt>
      <w:sdtPr>
        <w:rPr>
          <w:rFonts w:ascii="Arial" w:hAnsi="Arial" w:cs="Arial"/>
          <w:b w:val="0"/>
          <w:sz w:val="24"/>
          <w:szCs w:val="24"/>
          <w:lang w:val="en-GB" w:eastAsia="en-GB" w:bidi="bn-IN"/>
        </w:rPr>
        <w:id w:val="481735865"/>
        <w:docPartObj>
          <w:docPartGallery w:val="Table of Contents"/>
          <w:docPartUnique/>
        </w:docPartObj>
      </w:sdtPr>
      <w:sdtEndPr>
        <w:rPr>
          <w:bCs/>
          <w:noProof/>
        </w:rPr>
      </w:sdtEndPr>
      <w:sdtContent>
        <w:p w14:paraId="05086A42" w14:textId="5BBA1F99" w:rsidR="00DE4859" w:rsidRPr="00B03758" w:rsidRDefault="00DE4859">
          <w:pPr>
            <w:pStyle w:val="TOCHeading"/>
            <w:rPr>
              <w:rFonts w:ascii="Arial" w:hAnsi="Arial" w:cs="Arial"/>
            </w:rPr>
          </w:pPr>
          <w:r w:rsidRPr="00B03758">
            <w:rPr>
              <w:rFonts w:ascii="Arial" w:hAnsi="Arial" w:cs="Arial"/>
            </w:rPr>
            <w:t>Table of Contents</w:t>
          </w:r>
        </w:p>
        <w:p w14:paraId="1264FA11" w14:textId="49B72866" w:rsidR="00DE4859" w:rsidRPr="00B03758" w:rsidRDefault="00DE4859">
          <w:pPr>
            <w:pStyle w:val="TOC1"/>
            <w:tabs>
              <w:tab w:val="right" w:leader="dot" w:pos="9010"/>
            </w:tabs>
            <w:rPr>
              <w:rFonts w:ascii="Arial" w:eastAsiaTheme="minorEastAsia" w:hAnsi="Arial" w:cs="Arial"/>
              <w:b w:val="0"/>
              <w:bCs w:val="0"/>
              <w:i w:val="0"/>
              <w:iCs w:val="0"/>
              <w:noProof/>
              <w:szCs w:val="30"/>
            </w:rPr>
          </w:pPr>
          <w:r w:rsidRPr="00B03758">
            <w:rPr>
              <w:rFonts w:ascii="Arial" w:hAnsi="Arial" w:cs="Arial"/>
              <w:b w:val="0"/>
              <w:bCs w:val="0"/>
              <w:i w:val="0"/>
              <w:iCs w:val="0"/>
            </w:rPr>
            <w:fldChar w:fldCharType="begin"/>
          </w:r>
          <w:r w:rsidRPr="00B03758">
            <w:rPr>
              <w:rFonts w:ascii="Arial" w:hAnsi="Arial" w:cs="Arial"/>
              <w:b w:val="0"/>
              <w:bCs w:val="0"/>
              <w:i w:val="0"/>
              <w:iCs w:val="0"/>
            </w:rPr>
            <w:instrText xml:space="preserve"> TOC \o "1-3" \h \z \u </w:instrText>
          </w:r>
          <w:r w:rsidRPr="00B03758">
            <w:rPr>
              <w:rFonts w:ascii="Arial" w:hAnsi="Arial" w:cs="Arial"/>
              <w:b w:val="0"/>
              <w:bCs w:val="0"/>
              <w:i w:val="0"/>
              <w:iCs w:val="0"/>
            </w:rPr>
            <w:fldChar w:fldCharType="separate"/>
          </w:r>
          <w:hyperlink w:anchor="_Toc192981658" w:history="1">
            <w:r w:rsidRPr="00B03758">
              <w:rPr>
                <w:rStyle w:val="Hyperlink"/>
                <w:rFonts w:ascii="Arial" w:hAnsi="Arial" w:cs="Arial"/>
                <w:b w:val="0"/>
                <w:bCs w:val="0"/>
                <w:i w:val="0"/>
                <w:iCs w:val="0"/>
                <w:noProof/>
              </w:rPr>
              <w:t>Introduction</w:t>
            </w:r>
            <w:r w:rsidRPr="00B03758">
              <w:rPr>
                <w:rFonts w:ascii="Arial" w:hAnsi="Arial" w:cs="Arial"/>
                <w:b w:val="0"/>
                <w:bCs w:val="0"/>
                <w:i w:val="0"/>
                <w:iCs w:val="0"/>
                <w:noProof/>
                <w:webHidden/>
              </w:rPr>
              <w:tab/>
            </w:r>
            <w:r w:rsidRPr="00B03758">
              <w:rPr>
                <w:rFonts w:ascii="Arial" w:hAnsi="Arial" w:cs="Arial"/>
                <w:b w:val="0"/>
                <w:bCs w:val="0"/>
                <w:i w:val="0"/>
                <w:iCs w:val="0"/>
                <w:noProof/>
                <w:webHidden/>
              </w:rPr>
              <w:fldChar w:fldCharType="begin"/>
            </w:r>
            <w:r w:rsidRPr="00B03758">
              <w:rPr>
                <w:rFonts w:ascii="Arial" w:hAnsi="Arial" w:cs="Arial"/>
                <w:b w:val="0"/>
                <w:bCs w:val="0"/>
                <w:i w:val="0"/>
                <w:iCs w:val="0"/>
                <w:noProof/>
                <w:webHidden/>
              </w:rPr>
              <w:instrText xml:space="preserve"> PAGEREF _Toc192981658 \h </w:instrText>
            </w:r>
            <w:r w:rsidRPr="00B03758">
              <w:rPr>
                <w:rFonts w:ascii="Arial" w:hAnsi="Arial" w:cs="Arial"/>
                <w:b w:val="0"/>
                <w:bCs w:val="0"/>
                <w:i w:val="0"/>
                <w:iCs w:val="0"/>
                <w:noProof/>
                <w:webHidden/>
              </w:rPr>
            </w:r>
            <w:r w:rsidRPr="00B03758">
              <w:rPr>
                <w:rFonts w:ascii="Arial" w:hAnsi="Arial" w:cs="Arial"/>
                <w:b w:val="0"/>
                <w:bCs w:val="0"/>
                <w:i w:val="0"/>
                <w:iCs w:val="0"/>
                <w:noProof/>
                <w:webHidden/>
              </w:rPr>
              <w:fldChar w:fldCharType="separate"/>
            </w:r>
            <w:r w:rsidRPr="00B03758">
              <w:rPr>
                <w:rFonts w:ascii="Arial" w:hAnsi="Arial" w:cs="Arial"/>
                <w:b w:val="0"/>
                <w:bCs w:val="0"/>
                <w:i w:val="0"/>
                <w:iCs w:val="0"/>
                <w:noProof/>
                <w:webHidden/>
              </w:rPr>
              <w:t>3</w:t>
            </w:r>
            <w:r w:rsidRPr="00B03758">
              <w:rPr>
                <w:rFonts w:ascii="Arial" w:hAnsi="Arial" w:cs="Arial"/>
                <w:b w:val="0"/>
                <w:bCs w:val="0"/>
                <w:i w:val="0"/>
                <w:iCs w:val="0"/>
                <w:noProof/>
                <w:webHidden/>
              </w:rPr>
              <w:fldChar w:fldCharType="end"/>
            </w:r>
          </w:hyperlink>
        </w:p>
        <w:p w14:paraId="46DA0BA8" w14:textId="7F93D4EE" w:rsidR="00DE4859" w:rsidRPr="00B03758" w:rsidRDefault="00CD7A14">
          <w:pPr>
            <w:pStyle w:val="TOC1"/>
            <w:tabs>
              <w:tab w:val="right" w:leader="dot" w:pos="9010"/>
            </w:tabs>
            <w:rPr>
              <w:rFonts w:ascii="Arial" w:eastAsiaTheme="minorEastAsia" w:hAnsi="Arial" w:cs="Arial"/>
              <w:b w:val="0"/>
              <w:bCs w:val="0"/>
              <w:i w:val="0"/>
              <w:iCs w:val="0"/>
              <w:noProof/>
              <w:szCs w:val="30"/>
            </w:rPr>
          </w:pPr>
          <w:hyperlink w:anchor="_Toc192981659" w:history="1">
            <w:r w:rsidR="00DE4859" w:rsidRPr="00B03758">
              <w:rPr>
                <w:rStyle w:val="Hyperlink"/>
                <w:rFonts w:ascii="Arial" w:hAnsi="Arial" w:cs="Arial"/>
                <w:b w:val="0"/>
                <w:bCs w:val="0"/>
                <w:i w:val="0"/>
                <w:iCs w:val="0"/>
                <w:noProof/>
              </w:rPr>
              <w:t>The Advantages of Being a Pioneer Company</w:t>
            </w:r>
            <w:r w:rsidR="00DE4859" w:rsidRPr="00B03758">
              <w:rPr>
                <w:rFonts w:ascii="Arial" w:hAnsi="Arial" w:cs="Arial"/>
                <w:b w:val="0"/>
                <w:bCs w:val="0"/>
                <w:i w:val="0"/>
                <w:iCs w:val="0"/>
                <w:noProof/>
                <w:webHidden/>
              </w:rPr>
              <w:tab/>
            </w:r>
            <w:r w:rsidR="00DE4859" w:rsidRPr="00B03758">
              <w:rPr>
                <w:rFonts w:ascii="Arial" w:hAnsi="Arial" w:cs="Arial"/>
                <w:b w:val="0"/>
                <w:bCs w:val="0"/>
                <w:i w:val="0"/>
                <w:iCs w:val="0"/>
                <w:noProof/>
                <w:webHidden/>
              </w:rPr>
              <w:fldChar w:fldCharType="begin"/>
            </w:r>
            <w:r w:rsidR="00DE4859" w:rsidRPr="00B03758">
              <w:rPr>
                <w:rFonts w:ascii="Arial" w:hAnsi="Arial" w:cs="Arial"/>
                <w:b w:val="0"/>
                <w:bCs w:val="0"/>
                <w:i w:val="0"/>
                <w:iCs w:val="0"/>
                <w:noProof/>
                <w:webHidden/>
              </w:rPr>
              <w:instrText xml:space="preserve"> PAGEREF _Toc192981659 \h </w:instrText>
            </w:r>
            <w:r w:rsidR="00DE4859" w:rsidRPr="00B03758">
              <w:rPr>
                <w:rFonts w:ascii="Arial" w:hAnsi="Arial" w:cs="Arial"/>
                <w:b w:val="0"/>
                <w:bCs w:val="0"/>
                <w:i w:val="0"/>
                <w:iCs w:val="0"/>
                <w:noProof/>
                <w:webHidden/>
              </w:rPr>
            </w:r>
            <w:r w:rsidR="00DE4859" w:rsidRPr="00B03758">
              <w:rPr>
                <w:rFonts w:ascii="Arial" w:hAnsi="Arial" w:cs="Arial"/>
                <w:b w:val="0"/>
                <w:bCs w:val="0"/>
                <w:i w:val="0"/>
                <w:iCs w:val="0"/>
                <w:noProof/>
                <w:webHidden/>
              </w:rPr>
              <w:fldChar w:fldCharType="separate"/>
            </w:r>
            <w:r w:rsidR="00DE4859" w:rsidRPr="00B03758">
              <w:rPr>
                <w:rFonts w:ascii="Arial" w:hAnsi="Arial" w:cs="Arial"/>
                <w:b w:val="0"/>
                <w:bCs w:val="0"/>
                <w:i w:val="0"/>
                <w:iCs w:val="0"/>
                <w:noProof/>
                <w:webHidden/>
              </w:rPr>
              <w:t>3</w:t>
            </w:r>
            <w:r w:rsidR="00DE4859" w:rsidRPr="00B03758">
              <w:rPr>
                <w:rFonts w:ascii="Arial" w:hAnsi="Arial" w:cs="Arial"/>
                <w:b w:val="0"/>
                <w:bCs w:val="0"/>
                <w:i w:val="0"/>
                <w:iCs w:val="0"/>
                <w:noProof/>
                <w:webHidden/>
              </w:rPr>
              <w:fldChar w:fldCharType="end"/>
            </w:r>
          </w:hyperlink>
        </w:p>
        <w:p w14:paraId="35FE0FB0" w14:textId="1B27B38D" w:rsidR="00DE4859" w:rsidRPr="00B03758" w:rsidRDefault="00CD7A14">
          <w:pPr>
            <w:pStyle w:val="TOC1"/>
            <w:tabs>
              <w:tab w:val="right" w:leader="dot" w:pos="9010"/>
            </w:tabs>
            <w:rPr>
              <w:rFonts w:ascii="Arial" w:eastAsiaTheme="minorEastAsia" w:hAnsi="Arial" w:cs="Arial"/>
              <w:b w:val="0"/>
              <w:bCs w:val="0"/>
              <w:i w:val="0"/>
              <w:iCs w:val="0"/>
              <w:noProof/>
              <w:szCs w:val="30"/>
            </w:rPr>
          </w:pPr>
          <w:hyperlink w:anchor="_Toc192981660" w:history="1">
            <w:r w:rsidR="00DE4859" w:rsidRPr="00B03758">
              <w:rPr>
                <w:rStyle w:val="Hyperlink"/>
                <w:rFonts w:ascii="Arial" w:hAnsi="Arial" w:cs="Arial"/>
                <w:b w:val="0"/>
                <w:bCs w:val="0"/>
                <w:i w:val="0"/>
                <w:iCs w:val="0"/>
                <w:noProof/>
              </w:rPr>
              <w:t>The Advantages of Being a Follower Company</w:t>
            </w:r>
            <w:r w:rsidR="00DE4859" w:rsidRPr="00B03758">
              <w:rPr>
                <w:rFonts w:ascii="Arial" w:hAnsi="Arial" w:cs="Arial"/>
                <w:b w:val="0"/>
                <w:bCs w:val="0"/>
                <w:i w:val="0"/>
                <w:iCs w:val="0"/>
                <w:noProof/>
                <w:webHidden/>
              </w:rPr>
              <w:tab/>
            </w:r>
            <w:r w:rsidR="00DE4859" w:rsidRPr="00B03758">
              <w:rPr>
                <w:rFonts w:ascii="Arial" w:hAnsi="Arial" w:cs="Arial"/>
                <w:b w:val="0"/>
                <w:bCs w:val="0"/>
                <w:i w:val="0"/>
                <w:iCs w:val="0"/>
                <w:noProof/>
                <w:webHidden/>
              </w:rPr>
              <w:fldChar w:fldCharType="begin"/>
            </w:r>
            <w:r w:rsidR="00DE4859" w:rsidRPr="00B03758">
              <w:rPr>
                <w:rFonts w:ascii="Arial" w:hAnsi="Arial" w:cs="Arial"/>
                <w:b w:val="0"/>
                <w:bCs w:val="0"/>
                <w:i w:val="0"/>
                <w:iCs w:val="0"/>
                <w:noProof/>
                <w:webHidden/>
              </w:rPr>
              <w:instrText xml:space="preserve"> PAGEREF _Toc192981660 \h </w:instrText>
            </w:r>
            <w:r w:rsidR="00DE4859" w:rsidRPr="00B03758">
              <w:rPr>
                <w:rFonts w:ascii="Arial" w:hAnsi="Arial" w:cs="Arial"/>
                <w:b w:val="0"/>
                <w:bCs w:val="0"/>
                <w:i w:val="0"/>
                <w:iCs w:val="0"/>
                <w:noProof/>
                <w:webHidden/>
              </w:rPr>
            </w:r>
            <w:r w:rsidR="00DE4859" w:rsidRPr="00B03758">
              <w:rPr>
                <w:rFonts w:ascii="Arial" w:hAnsi="Arial" w:cs="Arial"/>
                <w:b w:val="0"/>
                <w:bCs w:val="0"/>
                <w:i w:val="0"/>
                <w:iCs w:val="0"/>
                <w:noProof/>
                <w:webHidden/>
              </w:rPr>
              <w:fldChar w:fldCharType="separate"/>
            </w:r>
            <w:r w:rsidR="00DE4859" w:rsidRPr="00B03758">
              <w:rPr>
                <w:rFonts w:ascii="Arial" w:hAnsi="Arial" w:cs="Arial"/>
                <w:b w:val="0"/>
                <w:bCs w:val="0"/>
                <w:i w:val="0"/>
                <w:iCs w:val="0"/>
                <w:noProof/>
                <w:webHidden/>
              </w:rPr>
              <w:t>4</w:t>
            </w:r>
            <w:r w:rsidR="00DE4859" w:rsidRPr="00B03758">
              <w:rPr>
                <w:rFonts w:ascii="Arial" w:hAnsi="Arial" w:cs="Arial"/>
                <w:b w:val="0"/>
                <w:bCs w:val="0"/>
                <w:i w:val="0"/>
                <w:iCs w:val="0"/>
                <w:noProof/>
                <w:webHidden/>
              </w:rPr>
              <w:fldChar w:fldCharType="end"/>
            </w:r>
          </w:hyperlink>
        </w:p>
        <w:p w14:paraId="6EAC9CBD" w14:textId="56742C64" w:rsidR="00DE4859" w:rsidRPr="00B03758" w:rsidRDefault="00CD7A14">
          <w:pPr>
            <w:pStyle w:val="TOC1"/>
            <w:tabs>
              <w:tab w:val="right" w:leader="dot" w:pos="9010"/>
            </w:tabs>
            <w:rPr>
              <w:rFonts w:ascii="Arial" w:eastAsiaTheme="minorEastAsia" w:hAnsi="Arial" w:cs="Arial"/>
              <w:b w:val="0"/>
              <w:bCs w:val="0"/>
              <w:i w:val="0"/>
              <w:iCs w:val="0"/>
              <w:noProof/>
              <w:szCs w:val="30"/>
            </w:rPr>
          </w:pPr>
          <w:hyperlink w:anchor="_Toc192981661" w:history="1">
            <w:r w:rsidR="00DE4859" w:rsidRPr="00B03758">
              <w:rPr>
                <w:rStyle w:val="Hyperlink"/>
                <w:rFonts w:ascii="Arial" w:hAnsi="Arial" w:cs="Arial"/>
                <w:b w:val="0"/>
                <w:bCs w:val="0"/>
                <w:i w:val="0"/>
                <w:iCs w:val="0"/>
                <w:noProof/>
              </w:rPr>
              <w:t>PLC Strategies in the Growth and Maturity Stages</w:t>
            </w:r>
            <w:r w:rsidR="00DE4859" w:rsidRPr="00B03758">
              <w:rPr>
                <w:rFonts w:ascii="Arial" w:hAnsi="Arial" w:cs="Arial"/>
                <w:b w:val="0"/>
                <w:bCs w:val="0"/>
                <w:i w:val="0"/>
                <w:iCs w:val="0"/>
                <w:noProof/>
                <w:webHidden/>
              </w:rPr>
              <w:tab/>
            </w:r>
            <w:r w:rsidR="00DE4859" w:rsidRPr="00B03758">
              <w:rPr>
                <w:rFonts w:ascii="Arial" w:hAnsi="Arial" w:cs="Arial"/>
                <w:b w:val="0"/>
                <w:bCs w:val="0"/>
                <w:i w:val="0"/>
                <w:iCs w:val="0"/>
                <w:noProof/>
                <w:webHidden/>
              </w:rPr>
              <w:fldChar w:fldCharType="begin"/>
            </w:r>
            <w:r w:rsidR="00DE4859" w:rsidRPr="00B03758">
              <w:rPr>
                <w:rFonts w:ascii="Arial" w:hAnsi="Arial" w:cs="Arial"/>
                <w:b w:val="0"/>
                <w:bCs w:val="0"/>
                <w:i w:val="0"/>
                <w:iCs w:val="0"/>
                <w:noProof/>
                <w:webHidden/>
              </w:rPr>
              <w:instrText xml:space="preserve"> PAGEREF _Toc192981661 \h </w:instrText>
            </w:r>
            <w:r w:rsidR="00DE4859" w:rsidRPr="00B03758">
              <w:rPr>
                <w:rFonts w:ascii="Arial" w:hAnsi="Arial" w:cs="Arial"/>
                <w:b w:val="0"/>
                <w:bCs w:val="0"/>
                <w:i w:val="0"/>
                <w:iCs w:val="0"/>
                <w:noProof/>
                <w:webHidden/>
              </w:rPr>
            </w:r>
            <w:r w:rsidR="00DE4859" w:rsidRPr="00B03758">
              <w:rPr>
                <w:rFonts w:ascii="Arial" w:hAnsi="Arial" w:cs="Arial"/>
                <w:b w:val="0"/>
                <w:bCs w:val="0"/>
                <w:i w:val="0"/>
                <w:iCs w:val="0"/>
                <w:noProof/>
                <w:webHidden/>
              </w:rPr>
              <w:fldChar w:fldCharType="separate"/>
            </w:r>
            <w:r w:rsidR="00DE4859" w:rsidRPr="00B03758">
              <w:rPr>
                <w:rFonts w:ascii="Arial" w:hAnsi="Arial" w:cs="Arial"/>
                <w:b w:val="0"/>
                <w:bCs w:val="0"/>
                <w:i w:val="0"/>
                <w:iCs w:val="0"/>
                <w:noProof/>
                <w:webHidden/>
              </w:rPr>
              <w:t>7</w:t>
            </w:r>
            <w:r w:rsidR="00DE4859" w:rsidRPr="00B03758">
              <w:rPr>
                <w:rFonts w:ascii="Arial" w:hAnsi="Arial" w:cs="Arial"/>
                <w:b w:val="0"/>
                <w:bCs w:val="0"/>
                <w:i w:val="0"/>
                <w:iCs w:val="0"/>
                <w:noProof/>
                <w:webHidden/>
              </w:rPr>
              <w:fldChar w:fldCharType="end"/>
            </w:r>
          </w:hyperlink>
        </w:p>
        <w:p w14:paraId="6F05FBA3" w14:textId="755D4770" w:rsidR="00DE4859" w:rsidRPr="00B03758" w:rsidRDefault="00CD7A14">
          <w:pPr>
            <w:pStyle w:val="TOC1"/>
            <w:tabs>
              <w:tab w:val="right" w:leader="dot" w:pos="9010"/>
            </w:tabs>
            <w:rPr>
              <w:rFonts w:ascii="Arial" w:eastAsiaTheme="minorEastAsia" w:hAnsi="Arial" w:cs="Arial"/>
              <w:b w:val="0"/>
              <w:bCs w:val="0"/>
              <w:i w:val="0"/>
              <w:iCs w:val="0"/>
              <w:noProof/>
              <w:szCs w:val="30"/>
            </w:rPr>
          </w:pPr>
          <w:hyperlink w:anchor="_Toc192981662" w:history="1">
            <w:r w:rsidR="00DE4859" w:rsidRPr="00B03758">
              <w:rPr>
                <w:rStyle w:val="Hyperlink"/>
                <w:rFonts w:ascii="Arial" w:hAnsi="Arial" w:cs="Arial"/>
                <w:b w:val="0"/>
                <w:bCs w:val="0"/>
                <w:i w:val="0"/>
                <w:iCs w:val="0"/>
                <w:noProof/>
              </w:rPr>
              <w:t>Conclusion</w:t>
            </w:r>
            <w:r w:rsidR="00DE4859" w:rsidRPr="00B03758">
              <w:rPr>
                <w:rFonts w:ascii="Arial" w:hAnsi="Arial" w:cs="Arial"/>
                <w:b w:val="0"/>
                <w:bCs w:val="0"/>
                <w:i w:val="0"/>
                <w:iCs w:val="0"/>
                <w:noProof/>
                <w:webHidden/>
              </w:rPr>
              <w:tab/>
            </w:r>
            <w:r w:rsidR="00DE4859" w:rsidRPr="00B03758">
              <w:rPr>
                <w:rFonts w:ascii="Arial" w:hAnsi="Arial" w:cs="Arial"/>
                <w:b w:val="0"/>
                <w:bCs w:val="0"/>
                <w:i w:val="0"/>
                <w:iCs w:val="0"/>
                <w:noProof/>
                <w:webHidden/>
              </w:rPr>
              <w:fldChar w:fldCharType="begin"/>
            </w:r>
            <w:r w:rsidR="00DE4859" w:rsidRPr="00B03758">
              <w:rPr>
                <w:rFonts w:ascii="Arial" w:hAnsi="Arial" w:cs="Arial"/>
                <w:b w:val="0"/>
                <w:bCs w:val="0"/>
                <w:i w:val="0"/>
                <w:iCs w:val="0"/>
                <w:noProof/>
                <w:webHidden/>
              </w:rPr>
              <w:instrText xml:space="preserve"> PAGEREF _Toc192981662 \h </w:instrText>
            </w:r>
            <w:r w:rsidR="00DE4859" w:rsidRPr="00B03758">
              <w:rPr>
                <w:rFonts w:ascii="Arial" w:hAnsi="Arial" w:cs="Arial"/>
                <w:b w:val="0"/>
                <w:bCs w:val="0"/>
                <w:i w:val="0"/>
                <w:iCs w:val="0"/>
                <w:noProof/>
                <w:webHidden/>
              </w:rPr>
            </w:r>
            <w:r w:rsidR="00DE4859" w:rsidRPr="00B03758">
              <w:rPr>
                <w:rFonts w:ascii="Arial" w:hAnsi="Arial" w:cs="Arial"/>
                <w:b w:val="0"/>
                <w:bCs w:val="0"/>
                <w:i w:val="0"/>
                <w:iCs w:val="0"/>
                <w:noProof/>
                <w:webHidden/>
              </w:rPr>
              <w:fldChar w:fldCharType="separate"/>
            </w:r>
            <w:r w:rsidR="00DE4859" w:rsidRPr="00B03758">
              <w:rPr>
                <w:rFonts w:ascii="Arial" w:hAnsi="Arial" w:cs="Arial"/>
                <w:b w:val="0"/>
                <w:bCs w:val="0"/>
                <w:i w:val="0"/>
                <w:iCs w:val="0"/>
                <w:noProof/>
                <w:webHidden/>
              </w:rPr>
              <w:t>9</w:t>
            </w:r>
            <w:r w:rsidR="00DE4859" w:rsidRPr="00B03758">
              <w:rPr>
                <w:rFonts w:ascii="Arial" w:hAnsi="Arial" w:cs="Arial"/>
                <w:b w:val="0"/>
                <w:bCs w:val="0"/>
                <w:i w:val="0"/>
                <w:iCs w:val="0"/>
                <w:noProof/>
                <w:webHidden/>
              </w:rPr>
              <w:fldChar w:fldCharType="end"/>
            </w:r>
          </w:hyperlink>
        </w:p>
        <w:p w14:paraId="53939B84" w14:textId="7DD508B0" w:rsidR="00DE4859" w:rsidRPr="00B03758" w:rsidRDefault="00CD7A14">
          <w:pPr>
            <w:pStyle w:val="TOC1"/>
            <w:tabs>
              <w:tab w:val="right" w:leader="dot" w:pos="9010"/>
            </w:tabs>
            <w:rPr>
              <w:rFonts w:ascii="Arial" w:eastAsiaTheme="minorEastAsia" w:hAnsi="Arial" w:cs="Arial"/>
              <w:b w:val="0"/>
              <w:bCs w:val="0"/>
              <w:i w:val="0"/>
              <w:iCs w:val="0"/>
              <w:noProof/>
              <w:szCs w:val="30"/>
            </w:rPr>
          </w:pPr>
          <w:hyperlink w:anchor="_Toc192981663" w:history="1">
            <w:r w:rsidR="00DE4859" w:rsidRPr="00B03758">
              <w:rPr>
                <w:rStyle w:val="Hyperlink"/>
                <w:rFonts w:ascii="Arial" w:hAnsi="Arial" w:cs="Arial"/>
                <w:b w:val="0"/>
                <w:bCs w:val="0"/>
                <w:i w:val="0"/>
                <w:iCs w:val="0"/>
                <w:noProof/>
              </w:rPr>
              <w:t>Reference</w:t>
            </w:r>
            <w:r w:rsidR="00DE4859" w:rsidRPr="00B03758">
              <w:rPr>
                <w:rFonts w:ascii="Arial" w:hAnsi="Arial" w:cs="Arial"/>
                <w:b w:val="0"/>
                <w:bCs w:val="0"/>
                <w:i w:val="0"/>
                <w:iCs w:val="0"/>
                <w:noProof/>
                <w:webHidden/>
              </w:rPr>
              <w:tab/>
            </w:r>
            <w:r w:rsidR="00DE4859" w:rsidRPr="00B03758">
              <w:rPr>
                <w:rFonts w:ascii="Arial" w:hAnsi="Arial" w:cs="Arial"/>
                <w:b w:val="0"/>
                <w:bCs w:val="0"/>
                <w:i w:val="0"/>
                <w:iCs w:val="0"/>
                <w:noProof/>
                <w:webHidden/>
              </w:rPr>
              <w:fldChar w:fldCharType="begin"/>
            </w:r>
            <w:r w:rsidR="00DE4859" w:rsidRPr="00B03758">
              <w:rPr>
                <w:rFonts w:ascii="Arial" w:hAnsi="Arial" w:cs="Arial"/>
                <w:b w:val="0"/>
                <w:bCs w:val="0"/>
                <w:i w:val="0"/>
                <w:iCs w:val="0"/>
                <w:noProof/>
                <w:webHidden/>
              </w:rPr>
              <w:instrText xml:space="preserve"> PAGEREF _Toc192981663 \h </w:instrText>
            </w:r>
            <w:r w:rsidR="00DE4859" w:rsidRPr="00B03758">
              <w:rPr>
                <w:rFonts w:ascii="Arial" w:hAnsi="Arial" w:cs="Arial"/>
                <w:b w:val="0"/>
                <w:bCs w:val="0"/>
                <w:i w:val="0"/>
                <w:iCs w:val="0"/>
                <w:noProof/>
                <w:webHidden/>
              </w:rPr>
            </w:r>
            <w:r w:rsidR="00DE4859" w:rsidRPr="00B03758">
              <w:rPr>
                <w:rFonts w:ascii="Arial" w:hAnsi="Arial" w:cs="Arial"/>
                <w:b w:val="0"/>
                <w:bCs w:val="0"/>
                <w:i w:val="0"/>
                <w:iCs w:val="0"/>
                <w:noProof/>
                <w:webHidden/>
              </w:rPr>
              <w:fldChar w:fldCharType="separate"/>
            </w:r>
            <w:r w:rsidR="00DE4859" w:rsidRPr="00B03758">
              <w:rPr>
                <w:rFonts w:ascii="Arial" w:hAnsi="Arial" w:cs="Arial"/>
                <w:b w:val="0"/>
                <w:bCs w:val="0"/>
                <w:i w:val="0"/>
                <w:iCs w:val="0"/>
                <w:noProof/>
                <w:webHidden/>
              </w:rPr>
              <w:t>10</w:t>
            </w:r>
            <w:r w:rsidR="00DE4859" w:rsidRPr="00B03758">
              <w:rPr>
                <w:rFonts w:ascii="Arial" w:hAnsi="Arial" w:cs="Arial"/>
                <w:b w:val="0"/>
                <w:bCs w:val="0"/>
                <w:i w:val="0"/>
                <w:iCs w:val="0"/>
                <w:noProof/>
                <w:webHidden/>
              </w:rPr>
              <w:fldChar w:fldCharType="end"/>
            </w:r>
          </w:hyperlink>
        </w:p>
        <w:p w14:paraId="2EE123F2" w14:textId="70BB47B0" w:rsidR="00DE4859" w:rsidRPr="00B03758" w:rsidRDefault="00DE4859">
          <w:pPr>
            <w:rPr>
              <w:rFonts w:ascii="Arial" w:hAnsi="Arial" w:cs="Arial"/>
            </w:rPr>
          </w:pPr>
          <w:r w:rsidRPr="00B03758">
            <w:rPr>
              <w:rFonts w:ascii="Arial" w:hAnsi="Arial" w:cs="Arial"/>
              <w:noProof/>
            </w:rPr>
            <w:fldChar w:fldCharType="end"/>
          </w:r>
        </w:p>
      </w:sdtContent>
    </w:sdt>
    <w:p w14:paraId="541FCD1B" w14:textId="77777777" w:rsidR="00DE4859" w:rsidRPr="00B03758" w:rsidRDefault="00DE4859" w:rsidP="00DE4859">
      <w:pPr>
        <w:rPr>
          <w:rFonts w:ascii="Arial" w:hAnsi="Arial" w:cs="Arial"/>
        </w:rPr>
      </w:pPr>
      <w:r w:rsidRPr="00B03758">
        <w:rPr>
          <w:rFonts w:ascii="Arial" w:hAnsi="Arial" w:cs="Arial"/>
        </w:rPr>
        <w:br w:type="page"/>
      </w:r>
    </w:p>
    <w:p w14:paraId="7423B7EA" w14:textId="77777777" w:rsidR="00DE4859" w:rsidRPr="00B03758" w:rsidRDefault="00DE4859" w:rsidP="00DE4859">
      <w:pPr>
        <w:pStyle w:val="Heading1"/>
        <w:rPr>
          <w:rFonts w:ascii="Arial" w:hAnsi="Arial" w:cs="Arial"/>
        </w:rPr>
      </w:pPr>
      <w:bookmarkStart w:id="0" w:name="_Toc192981658"/>
      <w:r w:rsidRPr="00B03758">
        <w:rPr>
          <w:rFonts w:ascii="Arial" w:hAnsi="Arial" w:cs="Arial"/>
        </w:rPr>
        <w:lastRenderedPageBreak/>
        <w:t>Introduction</w:t>
      </w:r>
      <w:bookmarkEnd w:id="0"/>
    </w:p>
    <w:p w14:paraId="19539295" w14:textId="31D1806E" w:rsidR="00DE4859" w:rsidRPr="00B03758" w:rsidRDefault="00DE4859" w:rsidP="00DE4859">
      <w:pPr>
        <w:rPr>
          <w:rFonts w:ascii="Arial" w:hAnsi="Arial" w:cs="Arial"/>
        </w:rPr>
      </w:pPr>
      <w:r w:rsidRPr="00B03758">
        <w:rPr>
          <w:rFonts w:ascii="Arial" w:hAnsi="Arial" w:cs="Arial"/>
          <w:color w:val="000000"/>
        </w:rPr>
        <w:t>A company’s strategic choices to enter markets at different points influence its overall future achievement in the modern business environment. Companies must make a critical decision about entering the market position between pioneering and following others. The pioneer status belongs to companies that launch fresh products or innovations before followers introduce them to a market that already exists</w:t>
      </w:r>
      <w:r w:rsidR="00B03758" w:rsidRPr="00B03758">
        <w:rPr>
          <w:rFonts w:ascii="Arial" w:hAnsi="Arial" w:cs="Arial"/>
          <w:color w:val="000000"/>
          <w:lang w:val="en-US"/>
        </w:rPr>
        <w:t xml:space="preserve">. </w:t>
      </w:r>
      <w:r w:rsidR="00B03758" w:rsidRPr="00B03758">
        <w:rPr>
          <w:rFonts w:ascii="Arial" w:hAnsi="Arial" w:cs="Arial"/>
        </w:rPr>
        <w:t>Strategic market positioning, whether pioneering or following, crucially shapes a company’s trajectory and competitive success in the dynamic business landscape</w:t>
      </w:r>
      <w:r w:rsidRPr="00B03758">
        <w:rPr>
          <w:rFonts w:ascii="Arial" w:hAnsi="Arial" w:cs="Arial"/>
          <w:color w:val="000000"/>
        </w:rPr>
        <w:t xml:space="preserve"> (Lukas and Bell, 2019). Companies that establish themselves as market pioneers obtain advantages from being first through identity recognition along with faithful customer retention and industry-standard creation yet they accept high uncertainty risks from unexplored product domains. Marching into the market behind pioneering ventures enables followers to improve proven models and cut their likelihood of failure. Followers entering established competitive markets should develop market-specific qualities to stand out from their competitors (Hongdao et al., 2022). This paper evaluates the strategic benefits alongside dangers that pioneers and followers can experience by exploring specific examples from easyJet, Betfair, and ASOS as pioneers combined with British Gas (Smart Metres), Sky (Streaming - NOW TV), and Halifax (Open Banking) as follower companies. This analysis examines market entry deployment by diverse companies which enables them to get market share growth and generate innovative advantages and enduring competitive positions (Dierickx and Cool, 2021). During growth and maturity stages the Product Life Cycle (PLC) model helps companies to modify their strategies so they can stay profitable and significant in volatile industry environments.</w:t>
      </w:r>
    </w:p>
    <w:p w14:paraId="2E9CA9FB" w14:textId="77777777" w:rsidR="00DE4859" w:rsidRPr="00B03758" w:rsidRDefault="00DE4859" w:rsidP="00DE4859">
      <w:pPr>
        <w:pStyle w:val="Heading1"/>
        <w:rPr>
          <w:rFonts w:ascii="Arial" w:hAnsi="Arial" w:cs="Arial"/>
        </w:rPr>
      </w:pPr>
      <w:bookmarkStart w:id="1" w:name="_Toc192981659"/>
      <w:r w:rsidRPr="00B03758">
        <w:rPr>
          <w:rFonts w:ascii="Arial" w:hAnsi="Arial" w:cs="Arial"/>
        </w:rPr>
        <w:t>The Advantages of Being a Pioneer Company</w:t>
      </w:r>
      <w:bookmarkEnd w:id="1"/>
      <w:r w:rsidRPr="00B03758">
        <w:rPr>
          <w:rFonts w:ascii="Arial" w:hAnsi="Arial" w:cs="Arial"/>
        </w:rPr>
        <w:t> </w:t>
      </w:r>
    </w:p>
    <w:p w14:paraId="4B31C9E4" w14:textId="5DA9F64D" w:rsidR="00DE4859" w:rsidRPr="00B03758" w:rsidRDefault="00DE4859" w:rsidP="00B03758">
      <w:pPr>
        <w:rPr>
          <w:rFonts w:ascii="Arial" w:hAnsi="Arial" w:cs="Arial"/>
        </w:rPr>
      </w:pPr>
      <w:r w:rsidRPr="00B03758">
        <w:rPr>
          <w:rFonts w:ascii="Arial" w:hAnsi="Arial" w:cs="Arial"/>
        </w:rPr>
        <w:t xml:space="preserve">The primary keys to strategic success in pioneering roles include market share dominance and brand leadership as well as the development of industry benchmarks. The ability to move first provides pioneers with what is probably their most influential strategic benefit. A company that launches its products initially obtains an association with their offerings in consumer minds. Temple changed the European airline business through its low-cost flight approach during a time when budget-friendly transportation remained rare in the market. easyJet secured first position as a market leader through </w:t>
      </w:r>
      <w:r w:rsidRPr="00B03758">
        <w:rPr>
          <w:rFonts w:ascii="Arial" w:hAnsi="Arial" w:cs="Arial"/>
        </w:rPr>
        <w:lastRenderedPageBreak/>
        <w:t>its early introduction of budget airline services across Europe. easyJet gained substantial market dominance thanks to its early entry into the market which helped it accumulate a customer following that maintains its selection as the cost-efficient air travel network</w:t>
      </w:r>
      <w:r w:rsidR="00B03758" w:rsidRPr="00B03758">
        <w:rPr>
          <w:rFonts w:ascii="Arial" w:hAnsi="Arial" w:cs="Arial"/>
          <w:lang w:val="en-US"/>
        </w:rPr>
        <w:t xml:space="preserve"> </w:t>
      </w:r>
      <w:r w:rsidR="00B03758" w:rsidRPr="00B03758">
        <w:rPr>
          <w:rFonts w:ascii="Arial" w:hAnsi="Arial" w:cs="Arial"/>
        </w:rPr>
        <w:t>(Lukas and Bell, 2019)</w:t>
      </w:r>
      <w:r w:rsidRPr="00B03758">
        <w:rPr>
          <w:rFonts w:ascii="Arial" w:hAnsi="Arial" w:cs="Arial"/>
        </w:rPr>
        <w:t>. Market pioneers can influence the establishment of new industry standards and develop how markets should appear. The betting exchange platform Betfair pioneered revolutionary changes in the traditional betting sector since users could wager with each other instead of facing the bookmaker. Betfair's novel business design brought the company to the lead position in the online betting exchange sector which determined market parameters for new competitors. Betfair introduced novel betting methods which transformed the betting industry while positioning themselves as the main marketplace for betting exchanges.</w:t>
      </w:r>
    </w:p>
    <w:p w14:paraId="501B0326" w14:textId="187EC1AB" w:rsidR="00DE4859" w:rsidRPr="00B03758" w:rsidRDefault="00DE4859" w:rsidP="00B03758">
      <w:pPr>
        <w:rPr>
          <w:rFonts w:ascii="Arial" w:hAnsi="Arial" w:cs="Arial"/>
        </w:rPr>
      </w:pPr>
      <w:r w:rsidRPr="00B03758">
        <w:rPr>
          <w:rFonts w:ascii="Arial" w:hAnsi="Arial" w:cs="Arial"/>
        </w:rPr>
        <w:t>A pioneer position allows businesses to develop powerful brand devotion among their users. Customers become brand loyal after experiencing new innovative products or services especially when these offerings meet their unaddressed requirements. ASOS built primary customer support when it entered the online fashion market because it provided customers with access to varied fashion items through digital platforms. ASOS gained substantial customer loyalty by pioneering the successful online fashion retail industry which continues to sustain its brand supporters</w:t>
      </w:r>
      <w:r w:rsidR="00B03758">
        <w:rPr>
          <w:rFonts w:ascii="Arial" w:hAnsi="Arial" w:cs="Arial"/>
          <w:lang w:val="en-US"/>
        </w:rPr>
        <w:t xml:space="preserve"> </w:t>
      </w:r>
      <w:r w:rsidR="00B03758" w:rsidRPr="00B03758">
        <w:rPr>
          <w:rFonts w:ascii="Arial" w:hAnsi="Arial" w:cs="Arial"/>
        </w:rPr>
        <w:t>(Lukas and Bell, 2019)</w:t>
      </w:r>
      <w:r w:rsidRPr="00B03758">
        <w:rPr>
          <w:rFonts w:ascii="Arial" w:hAnsi="Arial" w:cs="Arial"/>
        </w:rPr>
        <w:t xml:space="preserve">. ASOS achieved market dominance by reaching consumers first through e-commerce becoming the leader of the online fashion sector above conventional brick-and-mortar stores that were slow to shift to e-commerce. Early adopters can secure their innovative holdings through patent protection that deflects possible threats from competitors. The low-cost airline model of easyJet achieved patent status through business and service-related innovations and therefore protected its market entry. Firms that secure intellectual property rights block competitors from making unauthorised duplicates without lengthy investment costs and legal disputes (Omoge, Gala and Horky, 2022). Implementing the pioneer strategy provides significant benefits but leaders need to overcome multiple associated difficulties. Allowing a new product or service entry to the market requires a high initial investment but the market may reject the offerings. easyJet encountered notable challenges during its early stages because consumers were sceptical and faced regulatory difficulties. Each innovation by pioneers needs to be followed by a continuous process of innovation to guarantee competition leadership (Ogbonna and Wilkinson, 2019). The successful </w:t>
      </w:r>
      <w:r w:rsidRPr="00B03758">
        <w:rPr>
          <w:rFonts w:ascii="Arial" w:hAnsi="Arial" w:cs="Arial"/>
        </w:rPr>
        <w:lastRenderedPageBreak/>
        <w:t>betting company Betfair started strong but has experienced intensified competition from conventional bookmakers who introduced equivalent features to their products.</w:t>
      </w:r>
    </w:p>
    <w:p w14:paraId="44D966A6" w14:textId="77777777" w:rsidR="00DE4859" w:rsidRPr="00B03758" w:rsidRDefault="00DE4859" w:rsidP="00DE4859">
      <w:pPr>
        <w:pStyle w:val="Heading1"/>
        <w:rPr>
          <w:rFonts w:ascii="Arial" w:hAnsi="Arial" w:cs="Arial"/>
        </w:rPr>
      </w:pPr>
      <w:bookmarkStart w:id="2" w:name="_Toc192981660"/>
      <w:r w:rsidRPr="00B03758">
        <w:rPr>
          <w:rFonts w:ascii="Arial" w:hAnsi="Arial" w:cs="Arial"/>
        </w:rPr>
        <w:t>The Advantages of Being a Follower Company</w:t>
      </w:r>
      <w:bookmarkEnd w:id="2"/>
    </w:p>
    <w:p w14:paraId="6343C24C" w14:textId="446CE0FF" w:rsidR="00DE4859" w:rsidRPr="00B03758" w:rsidRDefault="00DE4859" w:rsidP="00B03758">
      <w:pPr>
        <w:rPr>
          <w:rFonts w:ascii="Arial" w:hAnsi="Arial" w:cs="Arial"/>
        </w:rPr>
      </w:pPr>
      <w:r w:rsidRPr="00B03758">
        <w:rPr>
          <w:rFonts w:ascii="Arial" w:hAnsi="Arial" w:cs="Arial"/>
        </w:rPr>
        <w:t xml:space="preserve">Followers in the market gain important strategic benefits which enable their lasting achievement even though pioneers typically get recognised for original innovation. The market performance observation capability of followers lets them enter without risks because they witness how products and services succeed first which minimises uncertainties. The primary strength of being a follower in the market involves minimising risks (Ogbonna and Wilkinson, 2019). The entry of followers into established markets relieves them from performing most testing and failure experiments that pioneering companies encounter. McKinsey &amp; Company (2019) research shows that about 47% of pioneering firms fail because of miscalculated market demand and timing mistakes that followers can deliberately circumvent (Habtay, 2020). British Gas brought smart metres to the market only after Ovo Energy and E.ON demonstrated through their customer base that residents wanted home energy observation equipment. The observations of pioneering companies by British Gas allowed them to develop enhanced technologies and user-friendly solutions that propelled rapid market acceptance throughout Great Britain. Follower companies gain cost efficiency as one of their main advantages. Pioneers spend prodigiously on market creation activities by delivering educational content to consumers conducting research and meeting regulatory standards (Naim and Rahman, 2022). Enterprising followers utilise resources from pioneering efforts so they can start their market ventures with reduced startup expenses. Follower companies need to spend only between 25% to 40% of what pioneers do for marketing and customer acquisition costs. The streaming service market witnessed Sky’s NOW TV launch after Netflix had already spent multiple years building customer knowledge and on-demand entertainment acceptance. Sky shifted its strategy to emphasise sports programming and live events while capturing a considerable UK streaming market share because it did not need to heavily promote user understanding (Teece, Pisano and Shuen, 2020). Organisations benefit from technological maturation because it becomes a major business strength for follower companies. Pioneers conduct business using early-stage technological frameworks that prove difficult with expense and technical </w:t>
      </w:r>
      <w:r w:rsidRPr="00B03758">
        <w:rPr>
          <w:rFonts w:ascii="Arial" w:hAnsi="Arial" w:cs="Arial"/>
        </w:rPr>
        <w:lastRenderedPageBreak/>
        <w:t>problems. Following firms can access advanced and better-performing technology which enables them to produce higher-quality items at lower prices. The PwC research (2021) shows that companies which delay their market entry utilise improved technologies that help them minimise their costs by 30% more than pioneer companies. The open banking market has seen Halifax enter after digital banks such as Monzo and Revolut built their user base. The advanced security features and artificial intelligence-based fraud detection of Halifax allowed users to trust the banking service especially those who were reluctant about using digital-only banking platforms. Strategic learning alongside adaptability represents two benefits that followers receive from their positions (Jackson, 2021). A review of pioneer achievements and shortcomings allows followers to develop improved business strategies specifically for underutilised customer groups. Spotify became a leading music streaming platform by addressing licensing problems that caused Napster and Pandora to stumble. Spotify emerged as the leader of the global streaming market when it attained more than 30% market share through its integration of fair licences and user-friendly platform design (Jackson, 2021). Following companies that maintain speed and commitment to customers have proven capable of surpassing first movers by remedying market gaps.</w:t>
      </w:r>
    </w:p>
    <w:p w14:paraId="3981CF34" w14:textId="7C840D71" w:rsidR="00DE4859" w:rsidRPr="00B03758" w:rsidRDefault="00DE4859" w:rsidP="00B03758">
      <w:pPr>
        <w:rPr>
          <w:rFonts w:ascii="Arial" w:hAnsi="Arial" w:cs="Arial"/>
        </w:rPr>
      </w:pPr>
      <w:r w:rsidRPr="00B03758">
        <w:rPr>
          <w:rFonts w:ascii="Arial" w:hAnsi="Arial" w:cs="Arial"/>
        </w:rPr>
        <w:t xml:space="preserve">Differentiation strategies coupled with market segmentation give followers the ability to concentrate on serving customer requirements which first movers often disregard. Followers choose to create distinctive value offerings because they avoid copying pioneer approaches exactly. Currys managed to capture market share within electronics e-commerce by giving customers personalised service and the ability to pick up purchases from local stores which addressed buying needs for individuals seeking technological guidance. Currys leveraged their specialised market approach to achieve major dominance in the British consumer electronics segment according to Mintel 2022 research thus proving how followers gain success through delivering exceptional customer service. The followers who understand essential product and market elements can benefit from structured organisation and regulatory standards that pioneers build from absolute beginnings. Companies which use existing supply networks for distribution can achieve a 40% reduction in time needed to market themselves compared to pioneer businesses. Disney+ launched as a streaming platform after Netflix but made use of its vast content library together with its well-known brand to amass over 164 million subscribers worldwide by 2023 (Linton, 2020). </w:t>
      </w:r>
      <w:r w:rsidRPr="00B03758">
        <w:rPr>
          <w:rFonts w:ascii="Arial" w:hAnsi="Arial" w:cs="Arial"/>
        </w:rPr>
        <w:lastRenderedPageBreak/>
        <w:t>Entrance into markets by followers during later stages becomes more advantageous when regulatory rules were previously established through pioneer companies' initial challenges because it minimises legal ambiguity and related costs.</w:t>
      </w:r>
    </w:p>
    <w:p w14:paraId="43F6BF74" w14:textId="77777777" w:rsidR="00DE4859" w:rsidRPr="00B03758" w:rsidRDefault="00DE4859" w:rsidP="00B03758">
      <w:pPr>
        <w:rPr>
          <w:rFonts w:ascii="Arial" w:hAnsi="Arial" w:cs="Arial"/>
        </w:rPr>
      </w:pPr>
      <w:r w:rsidRPr="00B03758">
        <w:rPr>
          <w:rFonts w:ascii="Arial" w:hAnsi="Arial" w:cs="Arial"/>
        </w:rPr>
        <w:t>The followers of a new market entry must handle two primary obstacles because of their late arrival: dismantling customer loyalty toward early entrants and vanquishing their established brand positions. The first mover advantage gives pioneers control over consumer minds thus followers need to launch major marketing campaigns combined with distinct characteristics to modify customer choices. Strategically implemented entry points by followers than pioneers can produce results of equal or greater sustainability (Linton, 2020). The achievements of Sky (NOW TV) British Gas, Halifax and Spotify prove that entering after a leader does not prevent dominance but creates prospects for enhanced products advanced technology and precise communication with customers.</w:t>
      </w:r>
    </w:p>
    <w:p w14:paraId="7A4FF91F" w14:textId="77777777" w:rsidR="00DE4859" w:rsidRPr="00B03758" w:rsidRDefault="00DE4859" w:rsidP="00DE4859">
      <w:pPr>
        <w:pStyle w:val="Heading1"/>
        <w:rPr>
          <w:rFonts w:ascii="Arial" w:hAnsi="Arial" w:cs="Arial"/>
        </w:rPr>
      </w:pPr>
      <w:bookmarkStart w:id="3" w:name="_Toc192981661"/>
      <w:r w:rsidRPr="00B03758">
        <w:rPr>
          <w:rFonts w:ascii="Arial" w:hAnsi="Arial" w:cs="Arial"/>
        </w:rPr>
        <w:t>PLC Strategies in the Growth and Maturity Stages</w:t>
      </w:r>
      <w:bookmarkEnd w:id="3"/>
    </w:p>
    <w:p w14:paraId="691508A1" w14:textId="7104B31D" w:rsidR="00DE4859" w:rsidRPr="00B03758" w:rsidRDefault="00DE4859" w:rsidP="00DE4859">
      <w:pPr>
        <w:rPr>
          <w:rFonts w:ascii="Arial" w:hAnsi="Arial" w:cs="Arial"/>
        </w:rPr>
      </w:pPr>
      <w:r w:rsidRPr="00B03758">
        <w:rPr>
          <w:rFonts w:ascii="Arial" w:hAnsi="Arial" w:cs="Arial"/>
          <w:color w:val="000000"/>
        </w:rPr>
        <w:t xml:space="preserve">Companies utilise the Product Life Cycle model as their essential strategic tool for market analysis and response to product status changes throughout its market duration. Both pioneer and follower companies must use different strategies during growth and maturity stages to maintain a competitive edge and maximise profits while controlling market activities. The stages represent a critical period which determines how businesses will achieve market leadership or create a solid position as competitive forces. The growth stage of customer demand intensifies because market acceptance climbs while customer understanding expands (Kotler, 2019). Pioneering companies use the growth period to develop their market lead through speedy growth combined with client retention measures. The essential strategy in this phase involves increasing operational scale to fulfil rising market demand while utilising benefits provided by being the first mover. ASOS which entered the market early invested its growth stage into vast product category expansions and worldwide marketplace advancement (Sharma, Kumar and Borah, 2019). The business expansion strategy of ASOS delivered 20% yearly revenue growth because it implemented aggressive market expansion alongside product variations. During this stage, pioneers devote their attention to enhancing their products and making them different from competitors to maintain market leadership. Betfair as the pioneer in online betting exchanges </w:t>
      </w:r>
      <w:r w:rsidRPr="00B03758">
        <w:rPr>
          <w:rFonts w:ascii="Arial" w:hAnsi="Arial" w:cs="Arial"/>
          <w:color w:val="000000"/>
        </w:rPr>
        <w:lastRenderedPageBreak/>
        <w:t>strengthened its technological base by releasing mobile applications during its growth stage to improve customer relations. Betfair protected its market dominance by putting resources into interface simplicity alongside security enhancements thus enabling the company to achieve a 44% share of the betting exchange industry in 2022. Innovation activities following the basic offering help pioneers both retain current early adopters and attract fresh customer segments that emerge from market expansion. The growth stage provides follower companies with the opportunity to increase their market presence through model optimization and serving customer needs that competitors did not address. Followers gain an advantage by carefully observing market developments which enables them to make resourceful decisions. Sky's NOW TV entered the streaming market at its growth phase when it delivered exclusive sports programming and special series feeds which differentiated it from general content providers like Netflix. NOW TV gained more than 2.2 million subscribers through its specific content plan during its UK expansion. During market expansion Followers introduce differentiated value through price competitiveness individualised customer services and upgraded service levels to establish themselves in markets that show quick growth but minimal saturation (Sharma, Kumar and Borah, 2019).</w:t>
      </w:r>
    </w:p>
    <w:p w14:paraId="66F8F7C1" w14:textId="77777777" w:rsidR="00DE4859" w:rsidRPr="00B03758" w:rsidRDefault="00DE4859" w:rsidP="00DE4859">
      <w:pPr>
        <w:rPr>
          <w:rFonts w:ascii="Arial" w:hAnsi="Arial" w:cs="Arial"/>
        </w:rPr>
      </w:pPr>
      <w:r w:rsidRPr="00B03758">
        <w:rPr>
          <w:rFonts w:ascii="Arial" w:hAnsi="Arial" w:cs="Arial"/>
          <w:color w:val="000000"/>
        </w:rPr>
        <w:t xml:space="preserve">The maturity stage market reduces growth rates because the market becomes saturated while competitors increase and customers showcase higher price sensitivity. The present business context requires established companies to establish efficient operations alongside innovative practices alongside continued customer support to maintain financial health. To combat advanced competitive challenges from followers during the maturity phase pioneers need to develop their products and services constantly for market share retention (Urban and Hauser, 2019). EasyJet retained a 10.9% market share in European short-haul flights during 2022 while competing against Ryanair and Wizz Air which demonstrates the strength of their maturity strategy through service uniqueness (Omoge, Gala and Horky, 2022). Pioneers who need to achieve profitability must combine their operations through efficiency improvements with reduced costs. The existing competition in online betting led Betfair to use artificial intelligence technology that improved personalization functions and fraud detection to develop more productive entertaining interfaces. AI-powered personalization proves essential for mature markets because it enables companies to </w:t>
      </w:r>
      <w:r w:rsidRPr="00B03758">
        <w:rPr>
          <w:rFonts w:ascii="Arial" w:hAnsi="Arial" w:cs="Arial"/>
          <w:color w:val="000000"/>
        </w:rPr>
        <w:lastRenderedPageBreak/>
        <w:t>retain their customers by 25% which generates vital business strength against customer churn (Omoge, Gala and Horky, 2022).</w:t>
      </w:r>
    </w:p>
    <w:p w14:paraId="78459D32" w14:textId="5C586488" w:rsidR="00DE4859" w:rsidRPr="00B03758" w:rsidRDefault="00DE4859" w:rsidP="00DE4859">
      <w:pPr>
        <w:rPr>
          <w:rFonts w:ascii="Arial" w:hAnsi="Arial" w:cs="Arial"/>
        </w:rPr>
      </w:pPr>
      <w:r w:rsidRPr="00B03758">
        <w:rPr>
          <w:rFonts w:ascii="Arial" w:hAnsi="Arial" w:cs="Arial"/>
          <w:color w:val="000000"/>
        </w:rPr>
        <w:t>During maturity follower firms should capitalise on opportunities which include exceptional customer service and loyalty programmes and specialised market segments. As an open banking follower Halifax Concentrates on developing product bundles which combine mortgages with insurance and savings offerings for existing customers to enhance customer retention. The delivery of customer-centred digital services by banks leads to an 18% increase in customer loyalty which confirms the long-term market stability achieved through follower-based strategies. Operational excellence becomes vital for followers to deliver competitive prices during the phase of maturing markets. Businesses focusing on partnerships along with corporate social responsibility initiatives serve as vital maturity stage strategies which help companies stay connected to the changing market values of consumers. Sky continues to keep its subscribers by forging partnerships with HBO and Warner Bros to secure unique content offerings as subscriber numbers come under intensified competition. The integration of sustainable practices takes precedence since customers now choose brands that show environmental responsibility by 62 per cent. Performing social and environmental responsibility demands innovation from pioneers and followers while developing their products and brand social alignment.</w:t>
      </w:r>
    </w:p>
    <w:p w14:paraId="7458E14E" w14:textId="78B942F4" w:rsidR="00DE4859" w:rsidRPr="00B03758" w:rsidRDefault="00DE4859" w:rsidP="00DE4859">
      <w:pPr>
        <w:pStyle w:val="Heading1"/>
        <w:rPr>
          <w:rFonts w:ascii="Arial" w:hAnsi="Arial" w:cs="Arial"/>
        </w:rPr>
      </w:pPr>
      <w:bookmarkStart w:id="4" w:name="_Toc192981662"/>
      <w:r w:rsidRPr="00B03758">
        <w:rPr>
          <w:rFonts w:ascii="Arial" w:hAnsi="Arial" w:cs="Arial"/>
        </w:rPr>
        <w:t>Conclusion</w:t>
      </w:r>
      <w:bookmarkEnd w:id="4"/>
    </w:p>
    <w:p w14:paraId="10C85CAF" w14:textId="47FD30EA" w:rsidR="00DE4859" w:rsidRPr="00B03758" w:rsidRDefault="00DE4859" w:rsidP="00DE4859">
      <w:pPr>
        <w:rPr>
          <w:rFonts w:ascii="Arial" w:hAnsi="Arial" w:cs="Arial"/>
        </w:rPr>
      </w:pPr>
      <w:r w:rsidRPr="00B03758">
        <w:rPr>
          <w:rFonts w:ascii="Arial" w:hAnsi="Arial" w:cs="Arial"/>
          <w:color w:val="000000"/>
        </w:rPr>
        <w:t>Organisations must decide between pioneering or following in the marketplace because this choice determines the strategy and long-term growth of their business to achieve success. The companies easyJet along with Betfair and ASOS achieved market success through pioneering new services that broke down traditional industry practices. The market leader position combined with industry-standard setting and successful customer retention played a critical role in their business success. The process of pioneering brings substantial dangers such as high financial costs and uncertain markets together with the necessity to continuously develop innovative approaches to maintain competitive positions</w:t>
      </w:r>
      <w:r w:rsidR="00B03758" w:rsidRPr="00B03758">
        <w:rPr>
          <w:rFonts w:ascii="Arial" w:hAnsi="Arial" w:cs="Arial"/>
          <w:color w:val="000000"/>
          <w:lang w:val="en-US"/>
        </w:rPr>
        <w:t xml:space="preserve"> </w:t>
      </w:r>
      <w:r w:rsidR="00B03758" w:rsidRPr="00B03758">
        <w:rPr>
          <w:rFonts w:ascii="Arial" w:hAnsi="Arial" w:cs="Arial"/>
          <w:color w:val="000000"/>
        </w:rPr>
        <w:t>(Lukas and Bell, 2019)</w:t>
      </w:r>
      <w:r w:rsidRPr="00B03758">
        <w:rPr>
          <w:rFonts w:ascii="Arial" w:hAnsi="Arial" w:cs="Arial"/>
          <w:color w:val="000000"/>
        </w:rPr>
        <w:t xml:space="preserve">. The followers such as British Gas and Sky with NOW TV and Halifax Open Banking achieved entry success into proven markets first developed by pioneers. Following successful companies allowed them to minimise market dangers along with enhancing their </w:t>
      </w:r>
      <w:r w:rsidRPr="00B03758">
        <w:rPr>
          <w:rFonts w:ascii="Arial" w:hAnsi="Arial" w:cs="Arial"/>
          <w:color w:val="000000"/>
        </w:rPr>
        <w:lastRenderedPageBreak/>
        <w:t>products while taking advantage of proven customer interests to obtain notable market penetration. In competitive markets followers need to come up with distinctive strategies along with constant product innovation to stay relevant. The Product Life Cycle (PLC) model delivers important knowledge about strategic changes pioneered by leaders and followers implemented on their way through growth and maturity stages. The combined strategies of operation growth combined with product differentiation and market-driven evolution enable both pioneer and follower businesses to preserve their market dominance while achieving profitable enduring performance in responsive consumer markets.</w:t>
      </w:r>
    </w:p>
    <w:p w14:paraId="7198560D" w14:textId="77777777" w:rsidR="00DE4859" w:rsidRPr="00B03758" w:rsidRDefault="00DE4859" w:rsidP="00DE4859">
      <w:pPr>
        <w:rPr>
          <w:rFonts w:ascii="Arial" w:hAnsi="Arial" w:cs="Arial"/>
        </w:rPr>
      </w:pPr>
    </w:p>
    <w:p w14:paraId="1021D8D3" w14:textId="77777777" w:rsidR="00DE4859" w:rsidRPr="00B03758" w:rsidRDefault="00DE4859">
      <w:pPr>
        <w:spacing w:after="160" w:line="259" w:lineRule="auto"/>
        <w:jc w:val="left"/>
        <w:rPr>
          <w:rFonts w:ascii="Arial" w:hAnsi="Arial" w:cs="Arial"/>
          <w:color w:val="000000"/>
        </w:rPr>
      </w:pPr>
      <w:r w:rsidRPr="00B03758">
        <w:rPr>
          <w:rFonts w:ascii="Arial" w:hAnsi="Arial" w:cs="Arial"/>
          <w:color w:val="000000"/>
        </w:rPr>
        <w:br w:type="page"/>
      </w:r>
    </w:p>
    <w:p w14:paraId="7C2A1E90" w14:textId="761B4B3A" w:rsidR="00DE4859" w:rsidRPr="00B03758" w:rsidRDefault="00DE4859" w:rsidP="00DE4859">
      <w:pPr>
        <w:pStyle w:val="Heading1"/>
        <w:rPr>
          <w:rFonts w:ascii="Arial" w:hAnsi="Arial" w:cs="Arial"/>
        </w:rPr>
      </w:pPr>
      <w:bookmarkStart w:id="5" w:name="_Toc192981663"/>
      <w:r w:rsidRPr="00B03758">
        <w:rPr>
          <w:rFonts w:ascii="Arial" w:hAnsi="Arial" w:cs="Arial"/>
        </w:rPr>
        <w:lastRenderedPageBreak/>
        <w:t>Reference</w:t>
      </w:r>
      <w:bookmarkEnd w:id="5"/>
    </w:p>
    <w:p w14:paraId="5D174A47" w14:textId="77777777" w:rsidR="00DE4859" w:rsidRDefault="00DE4859" w:rsidP="00B03758">
      <w:pPr>
        <w:rPr>
          <w:rFonts w:ascii="Arial" w:hAnsi="Arial" w:cs="Arial"/>
          <w:color w:val="000000"/>
        </w:rPr>
      </w:pPr>
      <w:r w:rsidRPr="00B03758">
        <w:rPr>
          <w:rFonts w:ascii="Arial" w:hAnsi="Arial" w:cs="Arial"/>
          <w:color w:val="000000"/>
        </w:rPr>
        <w:t xml:space="preserve">Dierickx, I. and Cool, K. (2021) 'Asset stock accumulation and sustainability of competitive advantage,' </w:t>
      </w:r>
      <w:r w:rsidRPr="00B03758">
        <w:rPr>
          <w:rFonts w:ascii="Arial" w:hAnsi="Arial" w:cs="Arial"/>
          <w:i/>
          <w:iCs/>
          <w:color w:val="000000"/>
        </w:rPr>
        <w:t>Management Science</w:t>
      </w:r>
      <w:r w:rsidRPr="00B03758">
        <w:rPr>
          <w:rFonts w:ascii="Arial" w:hAnsi="Arial" w:cs="Arial"/>
          <w:color w:val="000000"/>
        </w:rPr>
        <w:t xml:space="preserve">, 35(12), pp. 1504–1511. </w:t>
      </w:r>
      <w:hyperlink r:id="rId9" w:history="1">
        <w:r w:rsidRPr="00B03758">
          <w:rPr>
            <w:rStyle w:val="Hyperlink"/>
            <w:rFonts w:ascii="Arial" w:eastAsiaTheme="majorEastAsia" w:hAnsi="Arial" w:cs="Arial"/>
            <w:color w:val="000000"/>
          </w:rPr>
          <w:t>https</w:t>
        </w:r>
        <w:r w:rsidRPr="00B03758">
          <w:rPr>
            <w:rStyle w:val="Hyperlink"/>
            <w:rFonts w:ascii="Arial" w:eastAsiaTheme="majorEastAsia" w:hAnsi="Arial" w:cs="Arial"/>
            <w:color w:val="000000"/>
          </w:rPr>
          <w:t>:</w:t>
        </w:r>
        <w:r w:rsidRPr="00B03758">
          <w:rPr>
            <w:rStyle w:val="Hyperlink"/>
            <w:rFonts w:ascii="Arial" w:eastAsiaTheme="majorEastAsia" w:hAnsi="Arial" w:cs="Arial"/>
            <w:color w:val="000000"/>
          </w:rPr>
          <w:t>//doi.org/10.1287/mnsc.35.12.1504</w:t>
        </w:r>
      </w:hyperlink>
      <w:r w:rsidRPr="00B03758">
        <w:rPr>
          <w:rFonts w:ascii="Arial" w:hAnsi="Arial" w:cs="Arial"/>
          <w:color w:val="000000"/>
        </w:rPr>
        <w:t>.</w:t>
      </w:r>
    </w:p>
    <w:p w14:paraId="190901AB" w14:textId="77777777" w:rsidR="00706A17" w:rsidRPr="00B03758" w:rsidRDefault="00706A17" w:rsidP="00B03758">
      <w:pPr>
        <w:rPr>
          <w:rFonts w:ascii="Arial" w:hAnsi="Arial" w:cs="Arial"/>
        </w:rPr>
      </w:pPr>
    </w:p>
    <w:p w14:paraId="0991C249" w14:textId="37D710BC" w:rsidR="00706A17" w:rsidRDefault="00DE4859" w:rsidP="00B03758">
      <w:pPr>
        <w:rPr>
          <w:rFonts w:ascii="Arial" w:hAnsi="Arial" w:cs="Arial"/>
          <w:color w:val="000000"/>
        </w:rPr>
      </w:pPr>
      <w:r w:rsidRPr="00B03758">
        <w:rPr>
          <w:rFonts w:ascii="Arial" w:hAnsi="Arial" w:cs="Arial"/>
          <w:color w:val="000000"/>
        </w:rPr>
        <w:t>Habtay, S.R. (2020) 'A firm</w:t>
      </w:r>
      <w:r w:rsidRPr="00B03758">
        <w:rPr>
          <w:rFonts w:ascii="Cambria Math" w:hAnsi="Cambria Math" w:cs="Cambria Math"/>
          <w:color w:val="000000"/>
        </w:rPr>
        <w:t>‐</w:t>
      </w:r>
      <w:r w:rsidRPr="00B03758">
        <w:rPr>
          <w:rFonts w:ascii="Arial" w:hAnsi="Arial" w:cs="Arial"/>
          <w:color w:val="000000"/>
        </w:rPr>
        <w:t>level analysis on the relative difference between technology</w:t>
      </w:r>
      <w:r w:rsidRPr="00B03758">
        <w:rPr>
          <w:rFonts w:ascii="Cambria Math" w:hAnsi="Cambria Math" w:cs="Cambria Math"/>
          <w:color w:val="000000"/>
        </w:rPr>
        <w:t>‐</w:t>
      </w:r>
      <w:r w:rsidRPr="00B03758">
        <w:rPr>
          <w:rFonts w:ascii="Arial" w:hAnsi="Arial" w:cs="Arial"/>
          <w:color w:val="000000"/>
        </w:rPr>
        <w:t>driven and market</w:t>
      </w:r>
      <w:r w:rsidRPr="00B03758">
        <w:rPr>
          <w:rFonts w:ascii="Cambria Math" w:hAnsi="Cambria Math" w:cs="Cambria Math"/>
          <w:color w:val="000000"/>
        </w:rPr>
        <w:t>‐</w:t>
      </w:r>
      <w:r w:rsidRPr="00B03758">
        <w:rPr>
          <w:rFonts w:ascii="Arial" w:hAnsi="Arial" w:cs="Arial"/>
          <w:color w:val="000000"/>
        </w:rPr>
        <w:t xml:space="preserve">driven disruptive business model innovations,' </w:t>
      </w:r>
      <w:r w:rsidRPr="00B03758">
        <w:rPr>
          <w:rFonts w:ascii="Arial" w:hAnsi="Arial" w:cs="Arial"/>
          <w:i/>
          <w:iCs/>
          <w:color w:val="000000"/>
        </w:rPr>
        <w:t>Creativity and Innovation Management</w:t>
      </w:r>
      <w:r w:rsidRPr="00B03758">
        <w:rPr>
          <w:rFonts w:ascii="Arial" w:hAnsi="Arial" w:cs="Arial"/>
          <w:color w:val="000000"/>
        </w:rPr>
        <w:t xml:space="preserve">, 21(3), pp. 290–303. </w:t>
      </w:r>
      <w:hyperlink r:id="rId10" w:history="1">
        <w:r w:rsidRPr="00B03758">
          <w:rPr>
            <w:rStyle w:val="Hyperlink"/>
            <w:rFonts w:ascii="Arial" w:eastAsiaTheme="majorEastAsia" w:hAnsi="Arial" w:cs="Arial"/>
            <w:color w:val="000000"/>
          </w:rPr>
          <w:t>https://doi.or</w:t>
        </w:r>
        <w:r w:rsidRPr="00B03758">
          <w:rPr>
            <w:rStyle w:val="Hyperlink"/>
            <w:rFonts w:ascii="Arial" w:eastAsiaTheme="majorEastAsia" w:hAnsi="Arial" w:cs="Arial"/>
            <w:color w:val="000000"/>
          </w:rPr>
          <w:t>g</w:t>
        </w:r>
        <w:r w:rsidRPr="00B03758">
          <w:rPr>
            <w:rStyle w:val="Hyperlink"/>
            <w:rFonts w:ascii="Arial" w:eastAsiaTheme="majorEastAsia" w:hAnsi="Arial" w:cs="Arial"/>
            <w:color w:val="000000"/>
          </w:rPr>
          <w:t>/10.1111/j.1467-8691.2012.00628.x</w:t>
        </w:r>
      </w:hyperlink>
      <w:r w:rsidRPr="00B03758">
        <w:rPr>
          <w:rFonts w:ascii="Arial" w:hAnsi="Arial" w:cs="Arial"/>
          <w:color w:val="000000"/>
        </w:rPr>
        <w:t>.</w:t>
      </w:r>
    </w:p>
    <w:p w14:paraId="50A9C833" w14:textId="77777777" w:rsidR="00706A17" w:rsidRPr="00706A17" w:rsidRDefault="00706A17" w:rsidP="00B03758">
      <w:pPr>
        <w:rPr>
          <w:rFonts w:ascii="Arial" w:hAnsi="Arial" w:cs="Arial"/>
          <w:color w:val="000000"/>
        </w:rPr>
      </w:pPr>
    </w:p>
    <w:p w14:paraId="2AB126EF" w14:textId="77777777" w:rsidR="00DE4859" w:rsidRDefault="00DE4859" w:rsidP="00B03758">
      <w:pPr>
        <w:rPr>
          <w:rFonts w:ascii="Arial" w:hAnsi="Arial" w:cs="Arial"/>
          <w:color w:val="000000"/>
        </w:rPr>
      </w:pPr>
      <w:r w:rsidRPr="00B03758">
        <w:rPr>
          <w:rFonts w:ascii="Arial" w:hAnsi="Arial" w:cs="Arial"/>
          <w:color w:val="000000"/>
        </w:rPr>
        <w:t xml:space="preserve">Hongdao, Q. et al. (2022) 'Legal technologies in action: the future of the legal market in light of disruptive innovations,' </w:t>
      </w:r>
      <w:r w:rsidRPr="00B03758">
        <w:rPr>
          <w:rFonts w:ascii="Arial" w:hAnsi="Arial" w:cs="Arial"/>
          <w:i/>
          <w:iCs/>
          <w:color w:val="000000"/>
        </w:rPr>
        <w:t>Sustainability</w:t>
      </w:r>
      <w:r w:rsidRPr="00B03758">
        <w:rPr>
          <w:rFonts w:ascii="Arial" w:hAnsi="Arial" w:cs="Arial"/>
          <w:color w:val="000000"/>
        </w:rPr>
        <w:t xml:space="preserve">, 11(4), p. 1015. </w:t>
      </w:r>
      <w:hyperlink r:id="rId11" w:history="1">
        <w:r w:rsidRPr="00B03758">
          <w:rPr>
            <w:rStyle w:val="Hyperlink"/>
            <w:rFonts w:ascii="Arial" w:eastAsiaTheme="majorEastAsia" w:hAnsi="Arial" w:cs="Arial"/>
            <w:color w:val="000000"/>
          </w:rPr>
          <w:t>https://doi.org/1</w:t>
        </w:r>
        <w:r w:rsidRPr="00B03758">
          <w:rPr>
            <w:rStyle w:val="Hyperlink"/>
            <w:rFonts w:ascii="Arial" w:eastAsiaTheme="majorEastAsia" w:hAnsi="Arial" w:cs="Arial"/>
            <w:color w:val="000000"/>
          </w:rPr>
          <w:t>0</w:t>
        </w:r>
        <w:r w:rsidRPr="00B03758">
          <w:rPr>
            <w:rStyle w:val="Hyperlink"/>
            <w:rFonts w:ascii="Arial" w:eastAsiaTheme="majorEastAsia" w:hAnsi="Arial" w:cs="Arial"/>
            <w:color w:val="000000"/>
          </w:rPr>
          <w:t>.3390/su11041015</w:t>
        </w:r>
      </w:hyperlink>
      <w:r w:rsidRPr="00B03758">
        <w:rPr>
          <w:rFonts w:ascii="Arial" w:hAnsi="Arial" w:cs="Arial"/>
          <w:color w:val="000000"/>
        </w:rPr>
        <w:t>.</w:t>
      </w:r>
    </w:p>
    <w:p w14:paraId="1C722672" w14:textId="77777777" w:rsidR="00706A17" w:rsidRPr="00B03758" w:rsidRDefault="00706A17" w:rsidP="00B03758">
      <w:pPr>
        <w:rPr>
          <w:rFonts w:ascii="Arial" w:hAnsi="Arial" w:cs="Arial"/>
        </w:rPr>
      </w:pPr>
    </w:p>
    <w:p w14:paraId="692F7045" w14:textId="77777777" w:rsidR="00DE4859" w:rsidRDefault="00DE4859" w:rsidP="00B03758">
      <w:pPr>
        <w:rPr>
          <w:rFonts w:ascii="Arial" w:hAnsi="Arial" w:cs="Arial"/>
          <w:color w:val="000000"/>
        </w:rPr>
      </w:pPr>
      <w:r w:rsidRPr="00B03758">
        <w:rPr>
          <w:rFonts w:ascii="Arial" w:hAnsi="Arial" w:cs="Arial"/>
          <w:color w:val="000000"/>
        </w:rPr>
        <w:t xml:space="preserve">Jackson, S. (2021) 'Market share is not enough: why strategic market positioning works,' </w:t>
      </w:r>
      <w:r w:rsidRPr="00B03758">
        <w:rPr>
          <w:rFonts w:ascii="Arial" w:hAnsi="Arial" w:cs="Arial"/>
          <w:i/>
          <w:iCs/>
          <w:color w:val="000000"/>
        </w:rPr>
        <w:t>Journal of Business Strategy</w:t>
      </w:r>
      <w:r w:rsidRPr="00B03758">
        <w:rPr>
          <w:rFonts w:ascii="Arial" w:hAnsi="Arial" w:cs="Arial"/>
          <w:color w:val="000000"/>
        </w:rPr>
        <w:t xml:space="preserve">, 28(1), pp. 18–25. </w:t>
      </w:r>
      <w:hyperlink r:id="rId12" w:history="1">
        <w:r w:rsidRPr="00B03758">
          <w:rPr>
            <w:rStyle w:val="Hyperlink"/>
            <w:rFonts w:ascii="Arial" w:eastAsiaTheme="majorEastAsia" w:hAnsi="Arial" w:cs="Arial"/>
            <w:color w:val="000000"/>
          </w:rPr>
          <w:t>https://doi.o</w:t>
        </w:r>
        <w:r w:rsidRPr="00B03758">
          <w:rPr>
            <w:rStyle w:val="Hyperlink"/>
            <w:rFonts w:ascii="Arial" w:eastAsiaTheme="majorEastAsia" w:hAnsi="Arial" w:cs="Arial"/>
            <w:color w:val="000000"/>
          </w:rPr>
          <w:t>r</w:t>
        </w:r>
        <w:r w:rsidRPr="00B03758">
          <w:rPr>
            <w:rStyle w:val="Hyperlink"/>
            <w:rFonts w:ascii="Arial" w:eastAsiaTheme="majorEastAsia" w:hAnsi="Arial" w:cs="Arial"/>
            <w:color w:val="000000"/>
          </w:rPr>
          <w:t>g/10.1108/02756660710723170</w:t>
        </w:r>
      </w:hyperlink>
      <w:r w:rsidRPr="00B03758">
        <w:rPr>
          <w:rFonts w:ascii="Arial" w:hAnsi="Arial" w:cs="Arial"/>
          <w:color w:val="000000"/>
        </w:rPr>
        <w:t>.</w:t>
      </w:r>
    </w:p>
    <w:p w14:paraId="623995B0" w14:textId="77777777" w:rsidR="00706A17" w:rsidRPr="00B03758" w:rsidRDefault="00706A17" w:rsidP="00B03758">
      <w:pPr>
        <w:rPr>
          <w:rFonts w:ascii="Arial" w:hAnsi="Arial" w:cs="Arial"/>
        </w:rPr>
      </w:pPr>
    </w:p>
    <w:p w14:paraId="5BF2F1EA" w14:textId="77777777" w:rsidR="00DE4859" w:rsidRDefault="00DE4859" w:rsidP="00B03758">
      <w:pPr>
        <w:rPr>
          <w:rFonts w:ascii="Arial" w:hAnsi="Arial" w:cs="Arial"/>
          <w:color w:val="000000"/>
        </w:rPr>
      </w:pPr>
      <w:r w:rsidRPr="00B03758">
        <w:rPr>
          <w:rFonts w:ascii="Arial" w:hAnsi="Arial" w:cs="Arial"/>
          <w:color w:val="000000"/>
        </w:rPr>
        <w:t xml:space="preserve">Kotler, P. (2019) </w:t>
      </w:r>
      <w:r w:rsidRPr="00B03758">
        <w:rPr>
          <w:rFonts w:ascii="Arial" w:hAnsi="Arial" w:cs="Arial"/>
          <w:i/>
          <w:iCs/>
          <w:color w:val="000000"/>
        </w:rPr>
        <w:t>Marketing management: analysis, planning, implementation and control</w:t>
      </w:r>
      <w:r w:rsidRPr="00B03758">
        <w:rPr>
          <w:rFonts w:ascii="Arial" w:hAnsi="Arial" w:cs="Arial"/>
          <w:color w:val="000000"/>
        </w:rPr>
        <w:t xml:space="preserve">. </w:t>
      </w:r>
      <w:hyperlink r:id="rId13" w:history="1">
        <w:r w:rsidRPr="00B03758">
          <w:rPr>
            <w:rStyle w:val="Hyperlink"/>
            <w:rFonts w:ascii="Arial" w:eastAsiaTheme="majorEastAsia" w:hAnsi="Arial" w:cs="Arial"/>
            <w:color w:val="000000"/>
          </w:rPr>
          <w:t>http:/</w:t>
        </w:r>
        <w:r w:rsidRPr="00B03758">
          <w:rPr>
            <w:rStyle w:val="Hyperlink"/>
            <w:rFonts w:ascii="Arial" w:eastAsiaTheme="majorEastAsia" w:hAnsi="Arial" w:cs="Arial"/>
            <w:color w:val="000000"/>
          </w:rPr>
          <w:t>/</w:t>
        </w:r>
        <w:r w:rsidRPr="00B03758">
          <w:rPr>
            <w:rStyle w:val="Hyperlink"/>
            <w:rFonts w:ascii="Arial" w:eastAsiaTheme="majorEastAsia" w:hAnsi="Arial" w:cs="Arial"/>
            <w:color w:val="000000"/>
          </w:rPr>
          <w:t>uxybyc.fil</w:t>
        </w:r>
        <w:r w:rsidRPr="00B03758">
          <w:rPr>
            <w:rStyle w:val="Hyperlink"/>
            <w:rFonts w:ascii="Arial" w:eastAsiaTheme="majorEastAsia" w:hAnsi="Arial" w:cs="Arial"/>
            <w:color w:val="000000"/>
          </w:rPr>
          <w:t>e</w:t>
        </w:r>
        <w:r w:rsidRPr="00B03758">
          <w:rPr>
            <w:rStyle w:val="Hyperlink"/>
            <w:rFonts w:ascii="Arial" w:eastAsiaTheme="majorEastAsia" w:hAnsi="Arial" w:cs="Arial"/>
            <w:color w:val="000000"/>
          </w:rPr>
          <w:t>s.wordpress.com/2014/06/marketing-management-analysis-planning-implementation-and-control.pdf</w:t>
        </w:r>
      </w:hyperlink>
      <w:r w:rsidRPr="00B03758">
        <w:rPr>
          <w:rFonts w:ascii="Arial" w:hAnsi="Arial" w:cs="Arial"/>
          <w:color w:val="000000"/>
        </w:rPr>
        <w:t>.</w:t>
      </w:r>
    </w:p>
    <w:p w14:paraId="56307C91" w14:textId="77777777" w:rsidR="00706A17" w:rsidRPr="00B03758" w:rsidRDefault="00706A17" w:rsidP="00B03758">
      <w:pPr>
        <w:rPr>
          <w:rFonts w:ascii="Arial" w:hAnsi="Arial" w:cs="Arial"/>
        </w:rPr>
      </w:pPr>
    </w:p>
    <w:p w14:paraId="12377899" w14:textId="77777777" w:rsidR="00DE4859" w:rsidRDefault="00DE4859" w:rsidP="00B03758">
      <w:pPr>
        <w:rPr>
          <w:rFonts w:ascii="Arial" w:hAnsi="Arial" w:cs="Arial"/>
          <w:color w:val="000000"/>
        </w:rPr>
      </w:pPr>
      <w:r w:rsidRPr="00B03758">
        <w:rPr>
          <w:rFonts w:ascii="Arial" w:hAnsi="Arial" w:cs="Arial"/>
          <w:color w:val="000000"/>
        </w:rPr>
        <w:t xml:space="preserve">Linton, J.D. (2020) 'Determining demand, supply, and pricing for emerging markets based on disruptive process technologies,' </w:t>
      </w:r>
      <w:r w:rsidRPr="00B03758">
        <w:rPr>
          <w:rFonts w:ascii="Arial" w:hAnsi="Arial" w:cs="Arial"/>
          <w:i/>
          <w:iCs/>
          <w:color w:val="000000"/>
        </w:rPr>
        <w:t>Technological Forecasting and Social Change</w:t>
      </w:r>
      <w:r w:rsidRPr="00B03758">
        <w:rPr>
          <w:rFonts w:ascii="Arial" w:hAnsi="Arial" w:cs="Arial"/>
          <w:color w:val="000000"/>
        </w:rPr>
        <w:t xml:space="preserve">, 71(1–2), pp. 105–120. </w:t>
      </w:r>
      <w:hyperlink r:id="rId14" w:history="1">
        <w:r w:rsidRPr="00B03758">
          <w:rPr>
            <w:rStyle w:val="Hyperlink"/>
            <w:rFonts w:ascii="Arial" w:eastAsiaTheme="majorEastAsia" w:hAnsi="Arial" w:cs="Arial"/>
            <w:color w:val="000000"/>
          </w:rPr>
          <w:t>https://d</w:t>
        </w:r>
        <w:r w:rsidRPr="00B03758">
          <w:rPr>
            <w:rStyle w:val="Hyperlink"/>
            <w:rFonts w:ascii="Arial" w:eastAsiaTheme="majorEastAsia" w:hAnsi="Arial" w:cs="Arial"/>
            <w:color w:val="000000"/>
          </w:rPr>
          <w:t>o</w:t>
        </w:r>
        <w:r w:rsidRPr="00B03758">
          <w:rPr>
            <w:rStyle w:val="Hyperlink"/>
            <w:rFonts w:ascii="Arial" w:eastAsiaTheme="majorEastAsia" w:hAnsi="Arial" w:cs="Arial"/>
            <w:color w:val="000000"/>
          </w:rPr>
          <w:t>i.org/10.1016/s0040-1625(03)00065-9</w:t>
        </w:r>
      </w:hyperlink>
      <w:r w:rsidRPr="00B03758">
        <w:rPr>
          <w:rFonts w:ascii="Arial" w:hAnsi="Arial" w:cs="Arial"/>
          <w:color w:val="000000"/>
        </w:rPr>
        <w:t>.</w:t>
      </w:r>
    </w:p>
    <w:p w14:paraId="1D27BBA4" w14:textId="77777777" w:rsidR="00706A17" w:rsidRPr="00B03758" w:rsidRDefault="00706A17" w:rsidP="00B03758">
      <w:pPr>
        <w:rPr>
          <w:rFonts w:ascii="Arial" w:hAnsi="Arial" w:cs="Arial"/>
        </w:rPr>
      </w:pPr>
    </w:p>
    <w:p w14:paraId="751A5035" w14:textId="77777777" w:rsidR="00DE4859" w:rsidRDefault="00DE4859" w:rsidP="00B03758">
      <w:pPr>
        <w:rPr>
          <w:rFonts w:ascii="Arial" w:hAnsi="Arial" w:cs="Arial"/>
          <w:color w:val="000000"/>
        </w:rPr>
      </w:pPr>
      <w:r w:rsidRPr="00B03758">
        <w:rPr>
          <w:rFonts w:ascii="Arial" w:hAnsi="Arial" w:cs="Arial"/>
          <w:color w:val="000000"/>
        </w:rPr>
        <w:t xml:space="preserve">Lukas, B.A. and Bell, S.J. (2019) 'Strategic market position and R&amp;D capability in global manufacturing industries,' </w:t>
      </w:r>
      <w:r w:rsidRPr="00B03758">
        <w:rPr>
          <w:rFonts w:ascii="Arial" w:hAnsi="Arial" w:cs="Arial"/>
          <w:i/>
          <w:iCs/>
          <w:color w:val="000000"/>
        </w:rPr>
        <w:t>Industrial Marketing Management</w:t>
      </w:r>
      <w:r w:rsidRPr="00B03758">
        <w:rPr>
          <w:rFonts w:ascii="Arial" w:hAnsi="Arial" w:cs="Arial"/>
          <w:color w:val="000000"/>
        </w:rPr>
        <w:t xml:space="preserve">, 29(6), pp. 565–574. </w:t>
      </w:r>
      <w:hyperlink r:id="rId15" w:history="1">
        <w:r w:rsidRPr="00B03758">
          <w:rPr>
            <w:rStyle w:val="Hyperlink"/>
            <w:rFonts w:ascii="Arial" w:eastAsiaTheme="majorEastAsia" w:hAnsi="Arial" w:cs="Arial"/>
            <w:color w:val="000000"/>
          </w:rPr>
          <w:t>https://doi.org/10.1016/s0019-8</w:t>
        </w:r>
        <w:r w:rsidRPr="00B03758">
          <w:rPr>
            <w:rStyle w:val="Hyperlink"/>
            <w:rFonts w:ascii="Arial" w:eastAsiaTheme="majorEastAsia" w:hAnsi="Arial" w:cs="Arial"/>
            <w:color w:val="000000"/>
          </w:rPr>
          <w:t>5</w:t>
        </w:r>
        <w:r w:rsidRPr="00B03758">
          <w:rPr>
            <w:rStyle w:val="Hyperlink"/>
            <w:rFonts w:ascii="Arial" w:eastAsiaTheme="majorEastAsia" w:hAnsi="Arial" w:cs="Arial"/>
            <w:color w:val="000000"/>
          </w:rPr>
          <w:t>01(00)00129-2</w:t>
        </w:r>
      </w:hyperlink>
      <w:r w:rsidRPr="00B03758">
        <w:rPr>
          <w:rFonts w:ascii="Arial" w:hAnsi="Arial" w:cs="Arial"/>
          <w:color w:val="000000"/>
        </w:rPr>
        <w:t>.</w:t>
      </w:r>
    </w:p>
    <w:p w14:paraId="18564AD0" w14:textId="77777777" w:rsidR="00706A17" w:rsidRPr="00B03758" w:rsidRDefault="00706A17" w:rsidP="00B03758">
      <w:pPr>
        <w:rPr>
          <w:rFonts w:ascii="Arial" w:hAnsi="Arial" w:cs="Arial"/>
        </w:rPr>
      </w:pPr>
    </w:p>
    <w:p w14:paraId="0D83FE2A" w14:textId="77777777" w:rsidR="00DE4859" w:rsidRDefault="00DE4859" w:rsidP="00B03758">
      <w:pPr>
        <w:rPr>
          <w:rFonts w:ascii="Arial" w:hAnsi="Arial" w:cs="Arial"/>
          <w:color w:val="000000"/>
        </w:rPr>
      </w:pPr>
      <w:r w:rsidRPr="00B03758">
        <w:rPr>
          <w:rFonts w:ascii="Arial" w:hAnsi="Arial" w:cs="Arial"/>
          <w:color w:val="000000"/>
        </w:rPr>
        <w:t xml:space="preserve">Naim, N.Y.A. and Rahman, N.A.A. (2022) 'The role of the board of directors and Shariah supervisory board on the strategic market positioning of Islamic banks,' </w:t>
      </w:r>
      <w:r w:rsidRPr="00B03758">
        <w:rPr>
          <w:rFonts w:ascii="Arial" w:hAnsi="Arial" w:cs="Arial"/>
          <w:i/>
          <w:iCs/>
          <w:color w:val="000000"/>
        </w:rPr>
        <w:lastRenderedPageBreak/>
        <w:t>Journal of Strategic Marketing</w:t>
      </w:r>
      <w:r w:rsidRPr="00B03758">
        <w:rPr>
          <w:rFonts w:ascii="Arial" w:hAnsi="Arial" w:cs="Arial"/>
          <w:color w:val="000000"/>
        </w:rPr>
        <w:t xml:space="preserve">, pp. 1–18. </w:t>
      </w:r>
      <w:hyperlink r:id="rId16" w:history="1">
        <w:r w:rsidRPr="00B03758">
          <w:rPr>
            <w:rStyle w:val="Hyperlink"/>
            <w:rFonts w:ascii="Arial" w:eastAsiaTheme="majorEastAsia" w:hAnsi="Arial" w:cs="Arial"/>
            <w:color w:val="000000"/>
          </w:rPr>
          <w:t>https://doi.org/10</w:t>
        </w:r>
        <w:r w:rsidRPr="00B03758">
          <w:rPr>
            <w:rStyle w:val="Hyperlink"/>
            <w:rFonts w:ascii="Arial" w:eastAsiaTheme="majorEastAsia" w:hAnsi="Arial" w:cs="Arial"/>
            <w:color w:val="000000"/>
          </w:rPr>
          <w:t>.</w:t>
        </w:r>
        <w:r w:rsidRPr="00B03758">
          <w:rPr>
            <w:rStyle w:val="Hyperlink"/>
            <w:rFonts w:ascii="Arial" w:eastAsiaTheme="majorEastAsia" w:hAnsi="Arial" w:cs="Arial"/>
            <w:color w:val="000000"/>
          </w:rPr>
          <w:t>1080/0965254x.2022.2069591</w:t>
        </w:r>
      </w:hyperlink>
      <w:r w:rsidRPr="00B03758">
        <w:rPr>
          <w:rFonts w:ascii="Arial" w:hAnsi="Arial" w:cs="Arial"/>
          <w:color w:val="000000"/>
        </w:rPr>
        <w:t>.</w:t>
      </w:r>
    </w:p>
    <w:p w14:paraId="5A694C41" w14:textId="77777777" w:rsidR="00706A17" w:rsidRPr="00B03758" w:rsidRDefault="00706A17" w:rsidP="00B03758">
      <w:pPr>
        <w:rPr>
          <w:rFonts w:ascii="Arial" w:hAnsi="Arial" w:cs="Arial"/>
        </w:rPr>
      </w:pPr>
    </w:p>
    <w:p w14:paraId="1BBA3CF2" w14:textId="77777777" w:rsidR="00DE4859" w:rsidRDefault="00DE4859" w:rsidP="00B03758">
      <w:pPr>
        <w:rPr>
          <w:rFonts w:ascii="Arial" w:hAnsi="Arial" w:cs="Arial"/>
          <w:color w:val="000000"/>
        </w:rPr>
      </w:pPr>
      <w:r w:rsidRPr="00B03758">
        <w:rPr>
          <w:rFonts w:ascii="Arial" w:hAnsi="Arial" w:cs="Arial"/>
          <w:color w:val="000000"/>
        </w:rPr>
        <w:t xml:space="preserve">Ogbonna, E. and Wilkinson, B. (2019) 'Corporate strategy and corporate culture: the view from the checkout,' </w:t>
      </w:r>
      <w:r w:rsidRPr="00B03758">
        <w:rPr>
          <w:rFonts w:ascii="Arial" w:hAnsi="Arial" w:cs="Arial"/>
          <w:i/>
          <w:iCs/>
          <w:color w:val="000000"/>
        </w:rPr>
        <w:t>Personnel Review</w:t>
      </w:r>
      <w:r w:rsidRPr="00B03758">
        <w:rPr>
          <w:rFonts w:ascii="Arial" w:hAnsi="Arial" w:cs="Arial"/>
          <w:color w:val="000000"/>
        </w:rPr>
        <w:t xml:space="preserve">, 19(4), pp. 9–15. </w:t>
      </w:r>
      <w:hyperlink r:id="rId17" w:history="1">
        <w:r w:rsidRPr="00B03758">
          <w:rPr>
            <w:rStyle w:val="Hyperlink"/>
            <w:rFonts w:ascii="Arial" w:eastAsiaTheme="majorEastAsia" w:hAnsi="Arial" w:cs="Arial"/>
            <w:color w:val="000000"/>
          </w:rPr>
          <w:t>https://doi.org/10.1108/004834890</w:t>
        </w:r>
        <w:r w:rsidRPr="00B03758">
          <w:rPr>
            <w:rStyle w:val="Hyperlink"/>
            <w:rFonts w:ascii="Arial" w:eastAsiaTheme="majorEastAsia" w:hAnsi="Arial" w:cs="Arial"/>
            <w:color w:val="000000"/>
          </w:rPr>
          <w:t>1</w:t>
        </w:r>
        <w:r w:rsidRPr="00B03758">
          <w:rPr>
            <w:rStyle w:val="Hyperlink"/>
            <w:rFonts w:ascii="Arial" w:eastAsiaTheme="majorEastAsia" w:hAnsi="Arial" w:cs="Arial"/>
            <w:color w:val="000000"/>
          </w:rPr>
          <w:t>0141061</w:t>
        </w:r>
      </w:hyperlink>
      <w:r w:rsidRPr="00B03758">
        <w:rPr>
          <w:rFonts w:ascii="Arial" w:hAnsi="Arial" w:cs="Arial"/>
          <w:color w:val="000000"/>
        </w:rPr>
        <w:t>.</w:t>
      </w:r>
    </w:p>
    <w:p w14:paraId="1F8624F0" w14:textId="77777777" w:rsidR="00706A17" w:rsidRPr="00B03758" w:rsidRDefault="00706A17" w:rsidP="00B03758">
      <w:pPr>
        <w:rPr>
          <w:rFonts w:ascii="Arial" w:hAnsi="Arial" w:cs="Arial"/>
        </w:rPr>
      </w:pPr>
    </w:p>
    <w:p w14:paraId="52C0BF6B" w14:textId="77777777" w:rsidR="00DE4859" w:rsidRDefault="00DE4859" w:rsidP="00B03758">
      <w:pPr>
        <w:rPr>
          <w:rFonts w:ascii="Arial" w:hAnsi="Arial" w:cs="Arial"/>
          <w:color w:val="000000"/>
        </w:rPr>
      </w:pPr>
      <w:r w:rsidRPr="00B03758">
        <w:rPr>
          <w:rFonts w:ascii="Arial" w:hAnsi="Arial" w:cs="Arial"/>
          <w:color w:val="000000"/>
        </w:rPr>
        <w:t xml:space="preserve">Omoge, A.P., Gala, P. and Horky, A. (2022) 'Disruptive technology and AI in the banking industry of an emerging market,' </w:t>
      </w:r>
      <w:r w:rsidRPr="00B03758">
        <w:rPr>
          <w:rFonts w:ascii="Arial" w:hAnsi="Arial" w:cs="Arial"/>
          <w:i/>
          <w:iCs/>
          <w:color w:val="000000"/>
        </w:rPr>
        <w:t>International Journal of Bank Marketing</w:t>
      </w:r>
      <w:r w:rsidRPr="00B03758">
        <w:rPr>
          <w:rFonts w:ascii="Arial" w:hAnsi="Arial" w:cs="Arial"/>
          <w:color w:val="000000"/>
        </w:rPr>
        <w:t xml:space="preserve">, 40(6), pp. 1217–1247. </w:t>
      </w:r>
      <w:hyperlink r:id="rId18" w:history="1">
        <w:r w:rsidRPr="00B03758">
          <w:rPr>
            <w:rStyle w:val="Hyperlink"/>
            <w:rFonts w:ascii="Arial" w:eastAsiaTheme="majorEastAsia" w:hAnsi="Arial" w:cs="Arial"/>
            <w:color w:val="000000"/>
          </w:rPr>
          <w:t>https:/</w:t>
        </w:r>
        <w:r w:rsidRPr="00B03758">
          <w:rPr>
            <w:rStyle w:val="Hyperlink"/>
            <w:rFonts w:ascii="Arial" w:eastAsiaTheme="majorEastAsia" w:hAnsi="Arial" w:cs="Arial"/>
            <w:color w:val="000000"/>
          </w:rPr>
          <w:t>/</w:t>
        </w:r>
        <w:r w:rsidRPr="00B03758">
          <w:rPr>
            <w:rStyle w:val="Hyperlink"/>
            <w:rFonts w:ascii="Arial" w:eastAsiaTheme="majorEastAsia" w:hAnsi="Arial" w:cs="Arial"/>
            <w:color w:val="000000"/>
          </w:rPr>
          <w:t>doi.org/10.1108/ijbm-09-2021-0403</w:t>
        </w:r>
      </w:hyperlink>
      <w:r w:rsidRPr="00B03758">
        <w:rPr>
          <w:rFonts w:ascii="Arial" w:hAnsi="Arial" w:cs="Arial"/>
          <w:color w:val="000000"/>
        </w:rPr>
        <w:t>.</w:t>
      </w:r>
    </w:p>
    <w:p w14:paraId="6E13A14A" w14:textId="77777777" w:rsidR="00706A17" w:rsidRPr="00B03758" w:rsidRDefault="00706A17" w:rsidP="00B03758">
      <w:pPr>
        <w:rPr>
          <w:rFonts w:ascii="Arial" w:hAnsi="Arial" w:cs="Arial"/>
        </w:rPr>
      </w:pPr>
    </w:p>
    <w:p w14:paraId="102D8591" w14:textId="77777777" w:rsidR="00706A17" w:rsidRDefault="00DE4859" w:rsidP="00B03758">
      <w:pPr>
        <w:rPr>
          <w:rFonts w:ascii="Arial" w:hAnsi="Arial" w:cs="Arial"/>
          <w:color w:val="000000"/>
        </w:rPr>
      </w:pPr>
      <w:r w:rsidRPr="00B03758">
        <w:rPr>
          <w:rFonts w:ascii="Arial" w:hAnsi="Arial" w:cs="Arial"/>
          <w:color w:val="000000"/>
        </w:rPr>
        <w:t xml:space="preserve">Sharma, A., Kumar, V. and Borah, S.B. (2019) 'Ritualization: a strategic tool to position brands in international markets,' </w:t>
      </w:r>
      <w:r w:rsidRPr="00B03758">
        <w:rPr>
          <w:rFonts w:ascii="Arial" w:hAnsi="Arial" w:cs="Arial"/>
          <w:i/>
          <w:iCs/>
          <w:color w:val="000000"/>
        </w:rPr>
        <w:t>Journal of International Marketing</w:t>
      </w:r>
      <w:r w:rsidR="00706A17">
        <w:rPr>
          <w:rFonts w:ascii="Arial" w:hAnsi="Arial" w:cs="Arial"/>
          <w:color w:val="000000"/>
        </w:rPr>
        <w:t>, 25(2), pp. 1–24.</w:t>
      </w:r>
    </w:p>
    <w:p w14:paraId="193691CF" w14:textId="3D69D110" w:rsidR="00DE4859" w:rsidRDefault="00CD7A14" w:rsidP="00B03758">
      <w:pPr>
        <w:rPr>
          <w:rFonts w:ascii="Arial" w:hAnsi="Arial" w:cs="Arial"/>
          <w:color w:val="000000"/>
        </w:rPr>
      </w:pPr>
      <w:hyperlink r:id="rId19" w:history="1">
        <w:r w:rsidR="00DE4859" w:rsidRPr="00B03758">
          <w:rPr>
            <w:rStyle w:val="Hyperlink"/>
            <w:rFonts w:ascii="Arial" w:eastAsiaTheme="majorEastAsia" w:hAnsi="Arial" w:cs="Arial"/>
            <w:color w:val="000000"/>
          </w:rPr>
          <w:t>https://d</w:t>
        </w:r>
        <w:r w:rsidR="00DE4859" w:rsidRPr="00B03758">
          <w:rPr>
            <w:rStyle w:val="Hyperlink"/>
            <w:rFonts w:ascii="Arial" w:eastAsiaTheme="majorEastAsia" w:hAnsi="Arial" w:cs="Arial"/>
            <w:color w:val="000000"/>
          </w:rPr>
          <w:t>o</w:t>
        </w:r>
        <w:r w:rsidR="00DE4859" w:rsidRPr="00B03758">
          <w:rPr>
            <w:rStyle w:val="Hyperlink"/>
            <w:rFonts w:ascii="Arial" w:eastAsiaTheme="majorEastAsia" w:hAnsi="Arial" w:cs="Arial"/>
            <w:color w:val="000000"/>
          </w:rPr>
          <w:t>i.org/10.1509/jim.16.0104</w:t>
        </w:r>
      </w:hyperlink>
      <w:r w:rsidR="00DE4859" w:rsidRPr="00B03758">
        <w:rPr>
          <w:rFonts w:ascii="Arial" w:hAnsi="Arial" w:cs="Arial"/>
          <w:color w:val="000000"/>
        </w:rPr>
        <w:t>.</w:t>
      </w:r>
    </w:p>
    <w:p w14:paraId="7843C1A8" w14:textId="77777777" w:rsidR="00706A17" w:rsidRPr="00B03758" w:rsidRDefault="00706A17" w:rsidP="00B03758">
      <w:pPr>
        <w:rPr>
          <w:rFonts w:ascii="Arial" w:hAnsi="Arial" w:cs="Arial"/>
        </w:rPr>
      </w:pPr>
    </w:p>
    <w:p w14:paraId="5D8478C8" w14:textId="77777777" w:rsidR="00DE4859" w:rsidRDefault="00DE4859" w:rsidP="00B03758">
      <w:pPr>
        <w:rPr>
          <w:rFonts w:ascii="Arial" w:hAnsi="Arial" w:cs="Arial"/>
          <w:color w:val="000000"/>
        </w:rPr>
      </w:pPr>
      <w:r w:rsidRPr="00B03758">
        <w:rPr>
          <w:rFonts w:ascii="Arial" w:hAnsi="Arial" w:cs="Arial"/>
          <w:color w:val="000000"/>
        </w:rPr>
        <w:t xml:space="preserve">Teece, D.J., Pisano, G. and Shuen, A. (2020) 'Dynamic capabilities and strategic management,' </w:t>
      </w:r>
      <w:r w:rsidRPr="00B03758">
        <w:rPr>
          <w:rFonts w:ascii="Arial" w:hAnsi="Arial" w:cs="Arial"/>
          <w:i/>
          <w:iCs/>
          <w:color w:val="000000"/>
        </w:rPr>
        <w:t>Oxford University Press eBooks</w:t>
      </w:r>
      <w:r w:rsidRPr="00B03758">
        <w:rPr>
          <w:rFonts w:ascii="Arial" w:hAnsi="Arial" w:cs="Arial"/>
          <w:color w:val="000000"/>
        </w:rPr>
        <w:t xml:space="preserve">, pp. 268–285. </w:t>
      </w:r>
      <w:hyperlink r:id="rId20" w:history="1">
        <w:r w:rsidRPr="00B03758">
          <w:rPr>
            <w:rStyle w:val="Hyperlink"/>
            <w:rFonts w:ascii="Arial" w:eastAsiaTheme="majorEastAsia" w:hAnsi="Arial" w:cs="Arial"/>
            <w:color w:val="000000"/>
          </w:rPr>
          <w:t>https://doi.org/10.1093/oso/978019</w:t>
        </w:r>
        <w:r w:rsidRPr="00B03758">
          <w:rPr>
            <w:rStyle w:val="Hyperlink"/>
            <w:rFonts w:ascii="Arial" w:eastAsiaTheme="majorEastAsia" w:hAnsi="Arial" w:cs="Arial"/>
            <w:color w:val="000000"/>
          </w:rPr>
          <w:t>8</w:t>
        </w:r>
        <w:r w:rsidRPr="00B03758">
          <w:rPr>
            <w:rStyle w:val="Hyperlink"/>
            <w:rFonts w:ascii="Arial" w:eastAsiaTheme="majorEastAsia" w:hAnsi="Arial" w:cs="Arial"/>
            <w:color w:val="000000"/>
          </w:rPr>
          <w:t>781806.003.0019</w:t>
        </w:r>
      </w:hyperlink>
      <w:r w:rsidRPr="00B03758">
        <w:rPr>
          <w:rFonts w:ascii="Arial" w:hAnsi="Arial" w:cs="Arial"/>
          <w:color w:val="000000"/>
        </w:rPr>
        <w:t>.</w:t>
      </w:r>
    </w:p>
    <w:p w14:paraId="35BB50B3" w14:textId="77777777" w:rsidR="00706A17" w:rsidRPr="00B03758" w:rsidRDefault="00706A17" w:rsidP="00B03758">
      <w:pPr>
        <w:rPr>
          <w:rFonts w:ascii="Arial" w:hAnsi="Arial" w:cs="Arial"/>
        </w:rPr>
      </w:pPr>
    </w:p>
    <w:p w14:paraId="3C867FE2" w14:textId="77777777" w:rsidR="00706A17" w:rsidRDefault="00DE4859" w:rsidP="00B03758">
      <w:pPr>
        <w:rPr>
          <w:rFonts w:ascii="Arial" w:hAnsi="Arial" w:cs="Arial"/>
          <w:color w:val="000000"/>
        </w:rPr>
      </w:pPr>
      <w:r w:rsidRPr="00B03758">
        <w:rPr>
          <w:rFonts w:ascii="Arial" w:hAnsi="Arial" w:cs="Arial"/>
          <w:color w:val="000000"/>
        </w:rPr>
        <w:t xml:space="preserve">Urban, G.L. and Hauser, J.R. (2019) </w:t>
      </w:r>
      <w:r w:rsidRPr="00B03758">
        <w:rPr>
          <w:rFonts w:ascii="Arial" w:hAnsi="Arial" w:cs="Arial"/>
          <w:i/>
          <w:iCs/>
          <w:color w:val="000000"/>
        </w:rPr>
        <w:t>Design and marketing of new products</w:t>
      </w:r>
      <w:r w:rsidRPr="00B03758">
        <w:rPr>
          <w:rFonts w:ascii="Arial" w:hAnsi="Arial" w:cs="Arial"/>
          <w:color w:val="000000"/>
        </w:rPr>
        <w:t>.</w:t>
      </w:r>
    </w:p>
    <w:p w14:paraId="3E1A6E8B" w14:textId="0EE4C644" w:rsidR="00DE4859" w:rsidRDefault="00DE4859" w:rsidP="00B03758">
      <w:pPr>
        <w:rPr>
          <w:rFonts w:ascii="Arial" w:hAnsi="Arial" w:cs="Arial"/>
          <w:color w:val="000000"/>
        </w:rPr>
      </w:pPr>
      <w:r w:rsidRPr="00B03758">
        <w:rPr>
          <w:rFonts w:ascii="Arial" w:hAnsi="Arial" w:cs="Arial"/>
          <w:color w:val="000000"/>
        </w:rPr>
        <w:t xml:space="preserve"> </w:t>
      </w:r>
      <w:hyperlink r:id="rId21" w:history="1">
        <w:r w:rsidRPr="00B03758">
          <w:rPr>
            <w:rStyle w:val="Hyperlink"/>
            <w:rFonts w:ascii="Arial" w:eastAsiaTheme="majorEastAsia" w:hAnsi="Arial" w:cs="Arial"/>
            <w:color w:val="000000"/>
          </w:rPr>
          <w:t>http://ci.nii.ac.jp/</w:t>
        </w:r>
        <w:bookmarkStart w:id="6" w:name="_GoBack"/>
        <w:bookmarkEnd w:id="6"/>
        <w:r w:rsidRPr="00B03758">
          <w:rPr>
            <w:rStyle w:val="Hyperlink"/>
            <w:rFonts w:ascii="Arial" w:eastAsiaTheme="majorEastAsia" w:hAnsi="Arial" w:cs="Arial"/>
            <w:color w:val="000000"/>
          </w:rPr>
          <w:t>n</w:t>
        </w:r>
        <w:r w:rsidRPr="00B03758">
          <w:rPr>
            <w:rStyle w:val="Hyperlink"/>
            <w:rFonts w:ascii="Arial" w:eastAsiaTheme="majorEastAsia" w:hAnsi="Arial" w:cs="Arial"/>
            <w:color w:val="000000"/>
          </w:rPr>
          <w:t>cid/BA21196571</w:t>
        </w:r>
      </w:hyperlink>
      <w:r w:rsidRPr="00B03758">
        <w:rPr>
          <w:rFonts w:ascii="Arial" w:hAnsi="Arial" w:cs="Arial"/>
          <w:color w:val="000000"/>
        </w:rPr>
        <w:t>.</w:t>
      </w:r>
    </w:p>
    <w:p w14:paraId="4187A31F" w14:textId="77777777" w:rsidR="00706A17" w:rsidRDefault="00706A17" w:rsidP="00B03758">
      <w:pPr>
        <w:rPr>
          <w:rFonts w:ascii="Arial" w:hAnsi="Arial" w:cs="Arial"/>
          <w:color w:val="000000"/>
        </w:rPr>
      </w:pPr>
    </w:p>
    <w:p w14:paraId="0E30DA3B" w14:textId="77777777" w:rsidR="00171B3F" w:rsidRDefault="00171B3F" w:rsidP="00B03758">
      <w:pPr>
        <w:rPr>
          <w:rFonts w:ascii="Arial" w:hAnsi="Arial" w:cs="Arial"/>
          <w:color w:val="000000"/>
        </w:rPr>
      </w:pPr>
    </w:p>
    <w:p w14:paraId="70A9EA1F" w14:textId="77777777" w:rsidR="00706A17" w:rsidRDefault="00706A17" w:rsidP="00B03758">
      <w:pPr>
        <w:rPr>
          <w:rFonts w:ascii="Arial" w:hAnsi="Arial" w:cs="Arial"/>
          <w:color w:val="000000"/>
        </w:rPr>
      </w:pPr>
    </w:p>
    <w:p w14:paraId="4180C4EF" w14:textId="77777777" w:rsidR="00706A17" w:rsidRPr="00B03758" w:rsidRDefault="00706A17" w:rsidP="00B03758">
      <w:pPr>
        <w:rPr>
          <w:rFonts w:ascii="Arial" w:hAnsi="Arial" w:cs="Arial"/>
        </w:rPr>
      </w:pPr>
    </w:p>
    <w:p w14:paraId="4BCD43AF" w14:textId="77777777" w:rsidR="00DE4859" w:rsidRPr="00B03758" w:rsidRDefault="00DE4859" w:rsidP="00B03758">
      <w:pPr>
        <w:rPr>
          <w:rFonts w:ascii="Arial" w:hAnsi="Arial" w:cs="Arial"/>
        </w:rPr>
      </w:pPr>
    </w:p>
    <w:p w14:paraId="5BD40BB9" w14:textId="716FAB5C" w:rsidR="00562DF2" w:rsidRPr="00B03758" w:rsidRDefault="00562DF2" w:rsidP="00DE4859">
      <w:pPr>
        <w:rPr>
          <w:rFonts w:ascii="Arial" w:hAnsi="Arial" w:cs="Arial"/>
        </w:rPr>
      </w:pPr>
    </w:p>
    <w:p w14:paraId="17D55F27" w14:textId="77777777" w:rsidR="00CA0CC3" w:rsidRPr="00B03758" w:rsidRDefault="00CA0CC3" w:rsidP="00DE4859">
      <w:pPr>
        <w:rPr>
          <w:rFonts w:ascii="Arial" w:hAnsi="Arial" w:cs="Arial"/>
        </w:rPr>
      </w:pPr>
    </w:p>
    <w:sectPr w:rsidR="00CA0CC3" w:rsidRPr="00B03758" w:rsidSect="00562DF2">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04980F" w14:textId="77777777" w:rsidR="00CD7A14" w:rsidRDefault="00CD7A14" w:rsidP="00CD3D2B">
      <w:r>
        <w:separator/>
      </w:r>
    </w:p>
  </w:endnote>
  <w:endnote w:type="continuationSeparator" w:id="0">
    <w:p w14:paraId="29345486" w14:textId="77777777" w:rsidR="00CD7A14" w:rsidRDefault="00CD7A14"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171B3F">
          <w:rPr>
            <w:noProof/>
          </w:rPr>
          <w:t>12</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E9E6B7" w14:textId="77777777" w:rsidR="00CD7A14" w:rsidRDefault="00CD7A14" w:rsidP="00CD3D2B">
      <w:r>
        <w:separator/>
      </w:r>
    </w:p>
  </w:footnote>
  <w:footnote w:type="continuationSeparator" w:id="0">
    <w:p w14:paraId="5A2DAF7F" w14:textId="77777777" w:rsidR="00CD7A14" w:rsidRDefault="00CD7A14" w:rsidP="00CD3D2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E29E1"/>
    <w:multiLevelType w:val="hybridMultilevel"/>
    <w:tmpl w:val="9C9EF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0"/>
  </w:num>
  <w:num w:numId="4">
    <w:abstractNumId w:val="4"/>
  </w:num>
  <w:num w:numId="5">
    <w:abstractNumId w:val="12"/>
  </w:num>
  <w:num w:numId="6">
    <w:abstractNumId w:val="7"/>
  </w:num>
  <w:num w:numId="7">
    <w:abstractNumId w:val="8"/>
  </w:num>
  <w:num w:numId="8">
    <w:abstractNumId w:val="10"/>
  </w:num>
  <w:num w:numId="9">
    <w:abstractNumId w:val="11"/>
  </w:num>
  <w:num w:numId="10">
    <w:abstractNumId w:val="6"/>
  </w:num>
  <w:num w:numId="11">
    <w:abstractNumId w:val="1"/>
  </w:num>
  <w:num w:numId="12">
    <w:abstractNumId w:val="14"/>
  </w:num>
  <w:num w:numId="13">
    <w:abstractNumId w:val="13"/>
  </w:num>
  <w:num w:numId="14">
    <w:abstractNumId w:val="2"/>
  </w:num>
  <w:num w:numId="15">
    <w:abstractNumId w:val="5"/>
  </w:num>
  <w:num w:numId="16">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F46"/>
    <w:rsid w:val="001534BB"/>
    <w:rsid w:val="001547C8"/>
    <w:rsid w:val="0015619C"/>
    <w:rsid w:val="00171B3F"/>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2306"/>
    <w:rsid w:val="001C3732"/>
    <w:rsid w:val="001C7108"/>
    <w:rsid w:val="001D0284"/>
    <w:rsid w:val="001D2991"/>
    <w:rsid w:val="001D3FED"/>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9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DD"/>
    <w:rsid w:val="00314E36"/>
    <w:rsid w:val="0031529F"/>
    <w:rsid w:val="0031571E"/>
    <w:rsid w:val="00315A36"/>
    <w:rsid w:val="0032195E"/>
    <w:rsid w:val="00324CCB"/>
    <w:rsid w:val="003272FE"/>
    <w:rsid w:val="0032761B"/>
    <w:rsid w:val="003278B5"/>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D28"/>
    <w:rsid w:val="00394D70"/>
    <w:rsid w:val="00395796"/>
    <w:rsid w:val="003A1F52"/>
    <w:rsid w:val="003A3071"/>
    <w:rsid w:val="003A49BF"/>
    <w:rsid w:val="003A520E"/>
    <w:rsid w:val="003A54FF"/>
    <w:rsid w:val="003A65D7"/>
    <w:rsid w:val="003B03F0"/>
    <w:rsid w:val="003B1CFE"/>
    <w:rsid w:val="003B2DD5"/>
    <w:rsid w:val="003B3402"/>
    <w:rsid w:val="003B40F1"/>
    <w:rsid w:val="003B4D03"/>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06A17"/>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B0DD5"/>
    <w:rsid w:val="007B1F70"/>
    <w:rsid w:val="007B268F"/>
    <w:rsid w:val="007B3992"/>
    <w:rsid w:val="007B40E3"/>
    <w:rsid w:val="007B4FEC"/>
    <w:rsid w:val="007B5596"/>
    <w:rsid w:val="007B7C3C"/>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661CE"/>
    <w:rsid w:val="00871161"/>
    <w:rsid w:val="00873B26"/>
    <w:rsid w:val="00876F66"/>
    <w:rsid w:val="00877970"/>
    <w:rsid w:val="008808D5"/>
    <w:rsid w:val="00880EC7"/>
    <w:rsid w:val="008865B3"/>
    <w:rsid w:val="008865EF"/>
    <w:rsid w:val="00892242"/>
    <w:rsid w:val="008952ED"/>
    <w:rsid w:val="00896CEC"/>
    <w:rsid w:val="008A2DF7"/>
    <w:rsid w:val="008A4451"/>
    <w:rsid w:val="008A7DAE"/>
    <w:rsid w:val="008B177F"/>
    <w:rsid w:val="008B184E"/>
    <w:rsid w:val="008B1DB5"/>
    <w:rsid w:val="008B20B6"/>
    <w:rsid w:val="008B271A"/>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3758"/>
    <w:rsid w:val="00B0466E"/>
    <w:rsid w:val="00B05F1F"/>
    <w:rsid w:val="00B13DA3"/>
    <w:rsid w:val="00B175F4"/>
    <w:rsid w:val="00B25C5A"/>
    <w:rsid w:val="00B26738"/>
    <w:rsid w:val="00B31A73"/>
    <w:rsid w:val="00B31CFF"/>
    <w:rsid w:val="00B41166"/>
    <w:rsid w:val="00B4179B"/>
    <w:rsid w:val="00B435C3"/>
    <w:rsid w:val="00B46620"/>
    <w:rsid w:val="00B52E21"/>
    <w:rsid w:val="00B555C4"/>
    <w:rsid w:val="00B55873"/>
    <w:rsid w:val="00B57F1F"/>
    <w:rsid w:val="00B60C75"/>
    <w:rsid w:val="00B60E56"/>
    <w:rsid w:val="00B643CD"/>
    <w:rsid w:val="00B650C1"/>
    <w:rsid w:val="00B67033"/>
    <w:rsid w:val="00B7573B"/>
    <w:rsid w:val="00B764E7"/>
    <w:rsid w:val="00B77682"/>
    <w:rsid w:val="00B84D5D"/>
    <w:rsid w:val="00B85515"/>
    <w:rsid w:val="00B87777"/>
    <w:rsid w:val="00B926C4"/>
    <w:rsid w:val="00B93961"/>
    <w:rsid w:val="00B940C9"/>
    <w:rsid w:val="00BA08B9"/>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2943"/>
    <w:rsid w:val="00BE30F2"/>
    <w:rsid w:val="00BE3DA9"/>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56EF"/>
    <w:rsid w:val="00CC609F"/>
    <w:rsid w:val="00CC7D6A"/>
    <w:rsid w:val="00CD37C0"/>
    <w:rsid w:val="00CD3D2B"/>
    <w:rsid w:val="00CD44AD"/>
    <w:rsid w:val="00CD54B1"/>
    <w:rsid w:val="00CD6EC7"/>
    <w:rsid w:val="00CD7A14"/>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4096B"/>
    <w:rsid w:val="00D4243C"/>
    <w:rsid w:val="00D43D1E"/>
    <w:rsid w:val="00D441E5"/>
    <w:rsid w:val="00D44743"/>
    <w:rsid w:val="00D44AAD"/>
    <w:rsid w:val="00D44D25"/>
    <w:rsid w:val="00D50E86"/>
    <w:rsid w:val="00D53FC3"/>
    <w:rsid w:val="00D555EE"/>
    <w:rsid w:val="00D5585D"/>
    <w:rsid w:val="00D5678C"/>
    <w:rsid w:val="00D60014"/>
    <w:rsid w:val="00D61D58"/>
    <w:rsid w:val="00D656D2"/>
    <w:rsid w:val="00D7245B"/>
    <w:rsid w:val="00D72C06"/>
    <w:rsid w:val="00D735D9"/>
    <w:rsid w:val="00D74165"/>
    <w:rsid w:val="00D77858"/>
    <w:rsid w:val="00D84F3D"/>
    <w:rsid w:val="00D85FA7"/>
    <w:rsid w:val="00D86F52"/>
    <w:rsid w:val="00D877F2"/>
    <w:rsid w:val="00D9341C"/>
    <w:rsid w:val="00D97BFB"/>
    <w:rsid w:val="00DA1316"/>
    <w:rsid w:val="00DA13FF"/>
    <w:rsid w:val="00DA2A01"/>
    <w:rsid w:val="00DA2AFA"/>
    <w:rsid w:val="00DA3E17"/>
    <w:rsid w:val="00DA5C78"/>
    <w:rsid w:val="00DA6578"/>
    <w:rsid w:val="00DA6949"/>
    <w:rsid w:val="00DB0C9C"/>
    <w:rsid w:val="00DB0DB5"/>
    <w:rsid w:val="00DB267B"/>
    <w:rsid w:val="00DB3078"/>
    <w:rsid w:val="00DB39F4"/>
    <w:rsid w:val="00DB3DA6"/>
    <w:rsid w:val="00DB5695"/>
    <w:rsid w:val="00DC1557"/>
    <w:rsid w:val="00DC1948"/>
    <w:rsid w:val="00DD0ED6"/>
    <w:rsid w:val="00DD1F6B"/>
    <w:rsid w:val="00DD4713"/>
    <w:rsid w:val="00DD73F8"/>
    <w:rsid w:val="00DE4859"/>
    <w:rsid w:val="00DF11C2"/>
    <w:rsid w:val="00DF160C"/>
    <w:rsid w:val="00DF69A4"/>
    <w:rsid w:val="00DF7DB6"/>
    <w:rsid w:val="00E00AA0"/>
    <w:rsid w:val="00E01E4E"/>
    <w:rsid w:val="00E025AF"/>
    <w:rsid w:val="00E0357E"/>
    <w:rsid w:val="00E05A63"/>
    <w:rsid w:val="00E07946"/>
    <w:rsid w:val="00E13E31"/>
    <w:rsid w:val="00E14F7E"/>
    <w:rsid w:val="00E17279"/>
    <w:rsid w:val="00E2119E"/>
    <w:rsid w:val="00E2478C"/>
    <w:rsid w:val="00E3464D"/>
    <w:rsid w:val="00E34ECA"/>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601E6"/>
    <w:rsid w:val="00E60449"/>
    <w:rsid w:val="00E60832"/>
    <w:rsid w:val="00E6474C"/>
    <w:rsid w:val="00E66777"/>
    <w:rsid w:val="00E67525"/>
    <w:rsid w:val="00E70A93"/>
    <w:rsid w:val="00E717B3"/>
    <w:rsid w:val="00E72A13"/>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0B23"/>
    <w:rsid w:val="00EB4CB9"/>
    <w:rsid w:val="00EB5017"/>
    <w:rsid w:val="00EB5C2B"/>
    <w:rsid w:val="00EC04FD"/>
    <w:rsid w:val="00EC19BC"/>
    <w:rsid w:val="00EC3472"/>
    <w:rsid w:val="00EC3E5B"/>
    <w:rsid w:val="00EC5168"/>
    <w:rsid w:val="00EC5D4E"/>
    <w:rsid w:val="00EC64DD"/>
    <w:rsid w:val="00ED0988"/>
    <w:rsid w:val="00ED389A"/>
    <w:rsid w:val="00ED49D0"/>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72B1"/>
    <w:rsid w:val="00F210AA"/>
    <w:rsid w:val="00F25C06"/>
    <w:rsid w:val="00F30805"/>
    <w:rsid w:val="00F366C1"/>
    <w:rsid w:val="00F45052"/>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23B6"/>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765F3E"/>
    <w:pPr>
      <w:keepNext/>
      <w:keepLines/>
      <w:spacing w:before="240"/>
      <w:outlineLvl w:val="0"/>
    </w:pPr>
    <w:rPr>
      <w:rFonts w:cstheme="majorBidi"/>
      <w:b/>
      <w:sz w:val="32"/>
      <w:szCs w:val="40"/>
      <w:lang w:val="en-US"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5F3E"/>
    <w:rPr>
      <w:rFonts w:ascii="Times New Roman" w:eastAsia="Times New Roman" w:hAnsi="Times New Roman" w:cstheme="majorBidi"/>
      <w:b/>
      <w:sz w:val="32"/>
      <w:szCs w:val="40"/>
      <w:lang w:val="en-US"/>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jc w:val="left"/>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jc w:val="left"/>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jc w:val="left"/>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spacing w:line="240" w:lineRule="auto"/>
      <w:jc w:val="left"/>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line="240" w:lineRule="auto"/>
      <w:jc w:val="left"/>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38481981">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uxybyc.files.wordpress.com/2014/06/marketing-management-analysis-planning-implementation-and-control.pdf" TargetMode="External"/><Relationship Id="rId18" Type="http://schemas.openxmlformats.org/officeDocument/2006/relationships/hyperlink" Target="https://doi.org/10.1108/ijbm-09-2021-0403" TargetMode="External"/><Relationship Id="rId3" Type="http://schemas.openxmlformats.org/officeDocument/2006/relationships/styles" Target="styles.xml"/><Relationship Id="rId21" Type="http://schemas.openxmlformats.org/officeDocument/2006/relationships/hyperlink" Target="http://ci.nii.ac.jp/ncid/BA21196571" TargetMode="External"/><Relationship Id="rId7" Type="http://schemas.openxmlformats.org/officeDocument/2006/relationships/endnotes" Target="endnotes.xml"/><Relationship Id="rId12" Type="http://schemas.openxmlformats.org/officeDocument/2006/relationships/hyperlink" Target="https://doi.org/10.1108/02756660710723170" TargetMode="External"/><Relationship Id="rId17" Type="http://schemas.openxmlformats.org/officeDocument/2006/relationships/hyperlink" Target="https://doi.org/10.1108/00483489010141061" TargetMode="External"/><Relationship Id="rId2" Type="http://schemas.openxmlformats.org/officeDocument/2006/relationships/numbering" Target="numbering.xml"/><Relationship Id="rId16" Type="http://schemas.openxmlformats.org/officeDocument/2006/relationships/hyperlink" Target="https://doi.org/10.1080/0965254x.2022.2069591" TargetMode="External"/><Relationship Id="rId20" Type="http://schemas.openxmlformats.org/officeDocument/2006/relationships/hyperlink" Target="https://doi.org/10.1093/oso/9780198781806.003.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104101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s0019-8501(00)00129-2" TargetMode="External"/><Relationship Id="rId23" Type="http://schemas.openxmlformats.org/officeDocument/2006/relationships/fontTable" Target="fontTable.xml"/><Relationship Id="rId10" Type="http://schemas.openxmlformats.org/officeDocument/2006/relationships/hyperlink" Target="https://doi.org/10.1111/j.1467-8691.2012.00628.x" TargetMode="External"/><Relationship Id="rId19" Type="http://schemas.openxmlformats.org/officeDocument/2006/relationships/hyperlink" Target="https://doi.org/10.1509/jim.16.0104" TargetMode="External"/><Relationship Id="rId4" Type="http://schemas.openxmlformats.org/officeDocument/2006/relationships/settings" Target="settings.xml"/><Relationship Id="rId9" Type="http://schemas.openxmlformats.org/officeDocument/2006/relationships/hyperlink" Target="https://doi.org/10.1287/mnsc.35.12.1504" TargetMode="External"/><Relationship Id="rId14" Type="http://schemas.openxmlformats.org/officeDocument/2006/relationships/hyperlink" Target="https://doi.org/10.1016/s0040-1625(03)00065-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7CAE4-1317-4A06-99C0-1B4DAAAA2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3472</Words>
  <Characters>19792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2025-03-15T19:40:00Z</dcterms:created>
  <dcterms:modified xsi:type="dcterms:W3CDTF">2025-03-25T10:48:00Z</dcterms:modified>
</cp:coreProperties>
</file>