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DF482" w14:textId="77777777" w:rsidR="007435DB" w:rsidRPr="007435DB" w:rsidRDefault="007435DB" w:rsidP="007435DB">
      <w:pPr>
        <w:spacing w:line="360" w:lineRule="auto"/>
        <w:jc w:val="center"/>
        <w:rPr>
          <w:rFonts w:ascii="Arial" w:hAnsi="Arial" w:cs="Arial"/>
          <w:b/>
          <w:bCs/>
          <w:sz w:val="32"/>
          <w:szCs w:val="32"/>
        </w:rPr>
      </w:pPr>
      <w:r w:rsidRPr="007435DB">
        <w:rPr>
          <w:rFonts w:ascii="Arial" w:hAnsi="Arial" w:cs="Arial"/>
          <w:b/>
          <w:bCs/>
          <w:sz w:val="32"/>
          <w:szCs w:val="32"/>
        </w:rPr>
        <w:t>International Meetings Management for the Hotel Industry</w:t>
      </w:r>
    </w:p>
    <w:p w14:paraId="4BBA0594" w14:textId="77777777" w:rsidR="007435DB" w:rsidRDefault="007435DB" w:rsidP="007435DB">
      <w:pPr>
        <w:spacing w:line="360" w:lineRule="auto"/>
        <w:jc w:val="center"/>
        <w:rPr>
          <w:rFonts w:ascii="Arial" w:hAnsi="Arial" w:cs="Arial"/>
          <w:b/>
          <w:bCs/>
          <w:sz w:val="32"/>
          <w:szCs w:val="32"/>
        </w:rPr>
      </w:pPr>
      <w:r w:rsidRPr="007435DB">
        <w:rPr>
          <w:rFonts w:ascii="Arial" w:hAnsi="Arial" w:cs="Arial"/>
          <w:b/>
          <w:bCs/>
          <w:sz w:val="32"/>
          <w:szCs w:val="32"/>
        </w:rPr>
        <w:t>BMIH6007</w:t>
      </w:r>
    </w:p>
    <w:p w14:paraId="0B15E8D7" w14:textId="12BFE5E0" w:rsidR="0025460D" w:rsidRDefault="0025460D" w:rsidP="0025460D">
      <w:pPr>
        <w:spacing w:line="360" w:lineRule="auto"/>
        <w:rPr>
          <w:rFonts w:ascii="Arial" w:hAnsi="Arial" w:cs="Arial"/>
          <w:b/>
          <w:bCs/>
          <w:sz w:val="32"/>
          <w:szCs w:val="32"/>
        </w:rPr>
      </w:pPr>
      <w:r>
        <w:rPr>
          <w:rFonts w:ascii="Arial" w:hAnsi="Arial" w:cs="Arial"/>
          <w:b/>
          <w:bCs/>
          <w:sz w:val="32"/>
          <w:szCs w:val="32"/>
        </w:rPr>
        <w:t>Lecture: Kathryn Flynn</w:t>
      </w:r>
    </w:p>
    <w:p w14:paraId="414F79BA" w14:textId="715C30BB" w:rsidR="0025460D" w:rsidRDefault="0025460D" w:rsidP="0025460D">
      <w:pPr>
        <w:spacing w:line="360" w:lineRule="auto"/>
        <w:rPr>
          <w:rFonts w:ascii="Arial" w:hAnsi="Arial" w:cs="Arial"/>
          <w:b/>
          <w:bCs/>
          <w:sz w:val="32"/>
          <w:szCs w:val="32"/>
        </w:rPr>
      </w:pPr>
      <w:r>
        <w:rPr>
          <w:rFonts w:ascii="Arial" w:hAnsi="Arial" w:cs="Arial"/>
          <w:b/>
          <w:bCs/>
          <w:sz w:val="32"/>
          <w:szCs w:val="32"/>
        </w:rPr>
        <w:t>Student ID: 2126974</w:t>
      </w:r>
    </w:p>
    <w:p w14:paraId="6C56806F" w14:textId="4E5F94A4" w:rsidR="0025460D" w:rsidRPr="007435DB" w:rsidRDefault="0025460D" w:rsidP="0025460D">
      <w:pPr>
        <w:spacing w:line="360" w:lineRule="auto"/>
        <w:rPr>
          <w:rFonts w:ascii="Arial" w:hAnsi="Arial" w:cs="Arial"/>
          <w:b/>
          <w:bCs/>
          <w:sz w:val="32"/>
          <w:szCs w:val="32"/>
        </w:rPr>
      </w:pPr>
      <w:r>
        <w:rPr>
          <w:rFonts w:ascii="Arial" w:hAnsi="Arial" w:cs="Arial"/>
          <w:b/>
          <w:bCs/>
          <w:sz w:val="32"/>
          <w:szCs w:val="32"/>
        </w:rPr>
        <w:t>Name: Gabriela Iuliana Matei</w:t>
      </w:r>
    </w:p>
    <w:p w14:paraId="21B84CF5" w14:textId="77777777" w:rsidR="00B151A8" w:rsidRDefault="00B151A8"/>
    <w:p w14:paraId="382DC0A0" w14:textId="294FF255" w:rsidR="007435DB" w:rsidRDefault="007435DB"/>
    <w:p w14:paraId="1298B082" w14:textId="77777777" w:rsidR="007435DB" w:rsidRDefault="007435DB"/>
    <w:p w14:paraId="6119EA14" w14:textId="77777777" w:rsidR="007435DB" w:rsidRDefault="007435DB"/>
    <w:p w14:paraId="40376011" w14:textId="77777777" w:rsidR="007435DB" w:rsidRDefault="007435DB"/>
    <w:p w14:paraId="2446AE98" w14:textId="77777777" w:rsidR="007435DB" w:rsidRDefault="007435DB"/>
    <w:p w14:paraId="3BD2B805" w14:textId="77777777" w:rsidR="007435DB" w:rsidRDefault="007435DB"/>
    <w:p w14:paraId="4559543D" w14:textId="77777777" w:rsidR="007435DB" w:rsidRDefault="007435DB"/>
    <w:p w14:paraId="48580680" w14:textId="77777777" w:rsidR="007435DB" w:rsidRDefault="007435DB"/>
    <w:p w14:paraId="78B14DB5" w14:textId="77777777" w:rsidR="007435DB" w:rsidRDefault="007435DB"/>
    <w:p w14:paraId="0933C357" w14:textId="77777777" w:rsidR="007435DB" w:rsidRDefault="007435DB"/>
    <w:p w14:paraId="34E74639" w14:textId="77777777" w:rsidR="007435DB" w:rsidRDefault="007435DB"/>
    <w:p w14:paraId="1E039910" w14:textId="77777777" w:rsidR="007435DB" w:rsidRDefault="007435DB"/>
    <w:p w14:paraId="10EC1233" w14:textId="77777777" w:rsidR="007435DB" w:rsidRDefault="007435DB"/>
    <w:p w14:paraId="77F6E897" w14:textId="77777777" w:rsidR="007435DB" w:rsidRDefault="007435DB"/>
    <w:p w14:paraId="53E24C92" w14:textId="77777777" w:rsidR="007435DB" w:rsidRDefault="007435DB" w:rsidP="00BF3D76">
      <w:pPr>
        <w:spacing w:line="360" w:lineRule="auto"/>
        <w:jc w:val="both"/>
        <w:rPr>
          <w:rFonts w:ascii="Arial" w:hAnsi="Arial" w:cs="Arial"/>
          <w:sz w:val="24"/>
          <w:szCs w:val="24"/>
        </w:rPr>
      </w:pPr>
    </w:p>
    <w:p w14:paraId="572F2597" w14:textId="77777777" w:rsidR="00BF3D76" w:rsidRDefault="00BF3D76" w:rsidP="00BF3D76">
      <w:pPr>
        <w:spacing w:line="360" w:lineRule="auto"/>
        <w:jc w:val="both"/>
        <w:rPr>
          <w:rFonts w:ascii="Arial" w:hAnsi="Arial" w:cs="Arial"/>
          <w:sz w:val="24"/>
          <w:szCs w:val="24"/>
        </w:rPr>
      </w:pPr>
    </w:p>
    <w:p w14:paraId="19EBCCC9" w14:textId="77777777" w:rsidR="00BF3D76" w:rsidRPr="00BF3D76" w:rsidRDefault="00BF3D76" w:rsidP="00BF3D76">
      <w:pPr>
        <w:spacing w:line="360" w:lineRule="auto"/>
        <w:jc w:val="both"/>
        <w:rPr>
          <w:rFonts w:ascii="Arial" w:hAnsi="Arial" w:cs="Arial"/>
          <w:sz w:val="24"/>
          <w:szCs w:val="24"/>
        </w:rPr>
      </w:pPr>
    </w:p>
    <w:p w14:paraId="42E3D3E2" w14:textId="0F8FB305" w:rsidR="007435DB" w:rsidRPr="00BF3D76" w:rsidRDefault="00BF3D76" w:rsidP="00BF3D76">
      <w:pPr>
        <w:spacing w:line="360" w:lineRule="auto"/>
        <w:jc w:val="both"/>
        <w:rPr>
          <w:rFonts w:ascii="Arial" w:hAnsi="Arial" w:cs="Arial"/>
          <w:b/>
          <w:bCs/>
          <w:sz w:val="24"/>
          <w:szCs w:val="24"/>
        </w:rPr>
      </w:pPr>
      <w:r w:rsidRPr="00BF3D76">
        <w:rPr>
          <w:rFonts w:ascii="Arial" w:hAnsi="Arial" w:cs="Arial"/>
          <w:b/>
          <w:bCs/>
          <w:sz w:val="24"/>
          <w:szCs w:val="24"/>
        </w:rPr>
        <w:t>AI DECLARATION</w:t>
      </w:r>
    </w:p>
    <w:p w14:paraId="0DA5049E" w14:textId="6B52551F" w:rsidR="007435DB" w:rsidRPr="00BF3D76" w:rsidRDefault="00BF3D76" w:rsidP="00BF3D76">
      <w:pPr>
        <w:spacing w:line="360" w:lineRule="auto"/>
        <w:jc w:val="both"/>
        <w:rPr>
          <w:rFonts w:ascii="Arial" w:hAnsi="Arial" w:cs="Arial"/>
          <w:sz w:val="24"/>
          <w:szCs w:val="24"/>
        </w:rPr>
      </w:pPr>
      <w:r w:rsidRPr="00BF3D76">
        <w:rPr>
          <w:rFonts w:ascii="Arial" w:hAnsi="Arial" w:cs="Arial"/>
          <w:sz w:val="24"/>
          <w:szCs w:val="24"/>
        </w:rPr>
        <w:t xml:space="preserve">I confirm that I have not used any AI tools in the research and creation of this assignment. I confirm that I have not presented any AI generated materials as my own </w:t>
      </w:r>
      <w:r w:rsidRPr="00BF3D76">
        <w:rPr>
          <w:rFonts w:ascii="Arial" w:hAnsi="Arial" w:cs="Arial"/>
          <w:sz w:val="24"/>
          <w:szCs w:val="24"/>
        </w:rPr>
        <w:lastRenderedPageBreak/>
        <w:t>work. I confirm I have copies of my drafts, notes, and other resources I used, which I may be asked to provide in evidence.</w:t>
      </w:r>
    </w:p>
    <w:p w14:paraId="62D9162D" w14:textId="77777777" w:rsidR="007435DB" w:rsidRDefault="007435DB"/>
    <w:p w14:paraId="28A5BC41" w14:textId="77777777" w:rsidR="007435DB" w:rsidRDefault="007435DB"/>
    <w:p w14:paraId="530EF453" w14:textId="77777777" w:rsidR="007435DB" w:rsidRDefault="007435DB"/>
    <w:p w14:paraId="5C7A654A" w14:textId="77777777" w:rsidR="00F360B7" w:rsidRDefault="00F360B7"/>
    <w:sdt>
      <w:sdtPr>
        <w:rPr>
          <w:rFonts w:asciiTheme="minorHAnsi" w:eastAsiaTheme="minorHAnsi" w:hAnsiTheme="minorHAnsi" w:cstheme="minorBidi"/>
          <w:color w:val="auto"/>
          <w:kern w:val="2"/>
          <w:sz w:val="22"/>
          <w:szCs w:val="22"/>
          <w:lang w:val="en-GB"/>
          <w14:ligatures w14:val="standardContextual"/>
        </w:rPr>
        <w:id w:val="942652411"/>
        <w:docPartObj>
          <w:docPartGallery w:val="Table of Contents"/>
          <w:docPartUnique/>
        </w:docPartObj>
      </w:sdtPr>
      <w:sdtEndPr>
        <w:rPr>
          <w:rFonts w:ascii="Arial" w:hAnsi="Arial" w:cs="Arial"/>
          <w:b/>
          <w:bCs/>
          <w:noProof/>
        </w:rPr>
      </w:sdtEndPr>
      <w:sdtContent>
        <w:p w14:paraId="367E8F48" w14:textId="27FA3264" w:rsidR="00F360B7" w:rsidRPr="00371E00" w:rsidRDefault="00F360B7">
          <w:pPr>
            <w:pStyle w:val="TOCHeading"/>
            <w:rPr>
              <w:rFonts w:ascii="Arial" w:hAnsi="Arial" w:cs="Arial"/>
            </w:rPr>
          </w:pPr>
          <w:r w:rsidRPr="00371E00">
            <w:rPr>
              <w:rFonts w:ascii="Arial" w:hAnsi="Arial" w:cs="Arial"/>
            </w:rPr>
            <w:t>Table of Contents</w:t>
          </w:r>
        </w:p>
        <w:p w14:paraId="60334F4C" w14:textId="62854ECA" w:rsidR="00371E00" w:rsidRPr="00371E00" w:rsidRDefault="00F360B7">
          <w:pPr>
            <w:pStyle w:val="TOC1"/>
            <w:tabs>
              <w:tab w:val="left" w:pos="480"/>
              <w:tab w:val="right" w:leader="dot" w:pos="9016"/>
            </w:tabs>
            <w:rPr>
              <w:rFonts w:ascii="Arial" w:eastAsiaTheme="minorEastAsia" w:hAnsi="Arial" w:cs="Arial"/>
              <w:noProof/>
              <w:sz w:val="24"/>
              <w:szCs w:val="24"/>
              <w:lang w:eastAsia="en-GB"/>
            </w:rPr>
          </w:pPr>
          <w:r w:rsidRPr="00371E00">
            <w:rPr>
              <w:rFonts w:ascii="Arial" w:hAnsi="Arial" w:cs="Arial"/>
            </w:rPr>
            <w:fldChar w:fldCharType="begin"/>
          </w:r>
          <w:r w:rsidRPr="00371E00">
            <w:rPr>
              <w:rFonts w:ascii="Arial" w:hAnsi="Arial" w:cs="Arial"/>
            </w:rPr>
            <w:instrText xml:space="preserve"> TOC \o "1-3" \h \z \u </w:instrText>
          </w:r>
          <w:r w:rsidRPr="00371E00">
            <w:rPr>
              <w:rFonts w:ascii="Arial" w:hAnsi="Arial" w:cs="Arial"/>
            </w:rPr>
            <w:fldChar w:fldCharType="separate"/>
          </w:r>
          <w:hyperlink w:anchor="_Toc200731240" w:history="1">
            <w:r w:rsidR="00371E00" w:rsidRPr="00371E00">
              <w:rPr>
                <w:rStyle w:val="Hyperlink"/>
                <w:rFonts w:ascii="Arial" w:hAnsi="Arial" w:cs="Arial"/>
                <w:noProof/>
              </w:rPr>
              <w:t>1.</w:t>
            </w:r>
            <w:r w:rsidR="00371E00" w:rsidRPr="00371E00">
              <w:rPr>
                <w:rFonts w:ascii="Arial" w:eastAsiaTheme="minorEastAsia" w:hAnsi="Arial" w:cs="Arial"/>
                <w:noProof/>
                <w:sz w:val="24"/>
                <w:szCs w:val="24"/>
                <w:lang w:eastAsia="en-GB"/>
              </w:rPr>
              <w:tab/>
            </w:r>
            <w:r w:rsidR="00371E00" w:rsidRPr="00371E00">
              <w:rPr>
                <w:rStyle w:val="Hyperlink"/>
                <w:rFonts w:ascii="Arial" w:hAnsi="Arial" w:cs="Arial"/>
                <w:noProof/>
              </w:rPr>
              <w:t>Introduction</w:t>
            </w:r>
            <w:r w:rsidR="00371E00" w:rsidRPr="00371E00">
              <w:rPr>
                <w:rFonts w:ascii="Arial" w:hAnsi="Arial" w:cs="Arial"/>
                <w:noProof/>
                <w:webHidden/>
              </w:rPr>
              <w:tab/>
            </w:r>
            <w:r w:rsidR="00371E00" w:rsidRPr="00371E00">
              <w:rPr>
                <w:rFonts w:ascii="Arial" w:hAnsi="Arial" w:cs="Arial"/>
                <w:noProof/>
                <w:webHidden/>
              </w:rPr>
              <w:fldChar w:fldCharType="begin"/>
            </w:r>
            <w:r w:rsidR="00371E00" w:rsidRPr="00371E00">
              <w:rPr>
                <w:rFonts w:ascii="Arial" w:hAnsi="Arial" w:cs="Arial"/>
                <w:noProof/>
                <w:webHidden/>
              </w:rPr>
              <w:instrText xml:space="preserve"> PAGEREF _Toc200731240 \h </w:instrText>
            </w:r>
            <w:r w:rsidR="00371E00" w:rsidRPr="00371E00">
              <w:rPr>
                <w:rFonts w:ascii="Arial" w:hAnsi="Arial" w:cs="Arial"/>
                <w:noProof/>
                <w:webHidden/>
              </w:rPr>
            </w:r>
            <w:r w:rsidR="00371E00" w:rsidRPr="00371E00">
              <w:rPr>
                <w:rFonts w:ascii="Arial" w:hAnsi="Arial" w:cs="Arial"/>
                <w:noProof/>
                <w:webHidden/>
              </w:rPr>
              <w:fldChar w:fldCharType="separate"/>
            </w:r>
            <w:r w:rsidR="00371E00" w:rsidRPr="00371E00">
              <w:rPr>
                <w:rFonts w:ascii="Arial" w:hAnsi="Arial" w:cs="Arial"/>
                <w:noProof/>
                <w:webHidden/>
              </w:rPr>
              <w:t>3</w:t>
            </w:r>
            <w:r w:rsidR="00371E00" w:rsidRPr="00371E00">
              <w:rPr>
                <w:rFonts w:ascii="Arial" w:hAnsi="Arial" w:cs="Arial"/>
                <w:noProof/>
                <w:webHidden/>
              </w:rPr>
              <w:fldChar w:fldCharType="end"/>
            </w:r>
          </w:hyperlink>
        </w:p>
        <w:p w14:paraId="2B75FC10" w14:textId="7D4CC1A7"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41" w:history="1">
            <w:r w:rsidRPr="00371E00">
              <w:rPr>
                <w:rStyle w:val="Hyperlink"/>
                <w:rFonts w:ascii="Arial" w:hAnsi="Arial" w:cs="Arial"/>
                <w:noProof/>
              </w:rPr>
              <w:t>2.</w:t>
            </w:r>
            <w:r w:rsidRPr="00371E00">
              <w:rPr>
                <w:rFonts w:ascii="Arial" w:eastAsiaTheme="minorEastAsia" w:hAnsi="Arial" w:cs="Arial"/>
                <w:noProof/>
                <w:sz w:val="24"/>
                <w:szCs w:val="24"/>
                <w:lang w:eastAsia="en-GB"/>
              </w:rPr>
              <w:tab/>
            </w:r>
            <w:r w:rsidRPr="00371E00">
              <w:rPr>
                <w:rStyle w:val="Hyperlink"/>
                <w:rFonts w:ascii="Arial" w:hAnsi="Arial" w:cs="Arial"/>
                <w:noProof/>
              </w:rPr>
              <w:t>The Event Cycle</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_Toc200731241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3</w:t>
            </w:r>
            <w:r w:rsidRPr="00371E00">
              <w:rPr>
                <w:rFonts w:ascii="Arial" w:hAnsi="Arial" w:cs="Arial"/>
                <w:noProof/>
                <w:webHidden/>
              </w:rPr>
              <w:fldChar w:fldCharType="end"/>
            </w:r>
          </w:hyperlink>
        </w:p>
        <w:p w14:paraId="6853C967" w14:textId="60C732DD"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42" w:history="1">
            <w:r w:rsidRPr="00371E00">
              <w:rPr>
                <w:rStyle w:val="Hyperlink"/>
                <w:rFonts w:ascii="Arial" w:hAnsi="Arial" w:cs="Arial"/>
                <w:noProof/>
              </w:rPr>
              <w:t>3.</w:t>
            </w:r>
            <w:r w:rsidRPr="00371E00">
              <w:rPr>
                <w:rFonts w:ascii="Arial" w:eastAsiaTheme="minorEastAsia" w:hAnsi="Arial" w:cs="Arial"/>
                <w:noProof/>
                <w:sz w:val="24"/>
                <w:szCs w:val="24"/>
                <w:lang w:eastAsia="en-GB"/>
              </w:rPr>
              <w:tab/>
            </w:r>
            <w:r w:rsidRPr="00371E00">
              <w:rPr>
                <w:rStyle w:val="Hyperlink"/>
                <w:rFonts w:ascii="Arial" w:hAnsi="Arial" w:cs="Arial"/>
                <w:noProof/>
              </w:rPr>
              <w:t>Event Concept</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_Toc200731242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5</w:t>
            </w:r>
            <w:r w:rsidRPr="00371E00">
              <w:rPr>
                <w:rFonts w:ascii="Arial" w:hAnsi="Arial" w:cs="Arial"/>
                <w:noProof/>
                <w:webHidden/>
              </w:rPr>
              <w:fldChar w:fldCharType="end"/>
            </w:r>
          </w:hyperlink>
        </w:p>
        <w:p w14:paraId="71625B38" w14:textId="19BDC021"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43" w:history="1">
            <w:r w:rsidRPr="00371E00">
              <w:rPr>
                <w:rStyle w:val="Hyperlink"/>
                <w:rFonts w:ascii="Arial" w:hAnsi="Arial" w:cs="Arial"/>
                <w:noProof/>
              </w:rPr>
              <w:t>4.</w:t>
            </w:r>
            <w:r w:rsidRPr="00371E00">
              <w:rPr>
                <w:rFonts w:ascii="Arial" w:eastAsiaTheme="minorEastAsia" w:hAnsi="Arial" w:cs="Arial"/>
                <w:noProof/>
                <w:sz w:val="24"/>
                <w:szCs w:val="24"/>
                <w:lang w:eastAsia="en-GB"/>
              </w:rPr>
              <w:tab/>
            </w:r>
            <w:r w:rsidRPr="00371E00">
              <w:rPr>
                <w:rStyle w:val="Hyperlink"/>
                <w:rFonts w:ascii="Arial" w:hAnsi="Arial" w:cs="Arial"/>
                <w:noProof/>
              </w:rPr>
              <w:t>Aim and Objectives of the Meeting / Event</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_Toc200731243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6</w:t>
            </w:r>
            <w:r w:rsidRPr="00371E00">
              <w:rPr>
                <w:rFonts w:ascii="Arial" w:hAnsi="Arial" w:cs="Arial"/>
                <w:noProof/>
                <w:webHidden/>
              </w:rPr>
              <w:fldChar w:fldCharType="end"/>
            </w:r>
          </w:hyperlink>
        </w:p>
        <w:p w14:paraId="65525546" w14:textId="31B8DDE5" w:rsidR="00371E00" w:rsidRPr="00371E00" w:rsidRDefault="00371E00">
          <w:pPr>
            <w:pStyle w:val="TOC1"/>
            <w:tabs>
              <w:tab w:val="left" w:pos="720"/>
              <w:tab w:val="right" w:leader="dot" w:pos="9016"/>
            </w:tabs>
            <w:rPr>
              <w:rFonts w:ascii="Arial" w:eastAsiaTheme="minorEastAsia" w:hAnsi="Arial" w:cs="Arial"/>
              <w:noProof/>
              <w:sz w:val="24"/>
              <w:szCs w:val="24"/>
              <w:lang w:eastAsia="en-GB"/>
            </w:rPr>
          </w:pPr>
          <w:hyperlink w:anchor="_Toc200731244" w:history="1">
            <w:r w:rsidRPr="00371E00">
              <w:rPr>
                <w:rStyle w:val="Hyperlink"/>
                <w:rFonts w:ascii="Arial" w:hAnsi="Arial" w:cs="Arial"/>
                <w:noProof/>
              </w:rPr>
              <w:t>4.1.</w:t>
            </w:r>
            <w:r w:rsidRPr="00371E00">
              <w:rPr>
                <w:rFonts w:ascii="Arial" w:eastAsiaTheme="minorEastAsia" w:hAnsi="Arial" w:cs="Arial"/>
                <w:noProof/>
                <w:sz w:val="24"/>
                <w:szCs w:val="24"/>
                <w:lang w:eastAsia="en-GB"/>
              </w:rPr>
              <w:tab/>
            </w:r>
            <w:r w:rsidRPr="00371E00">
              <w:rPr>
                <w:rStyle w:val="Hyperlink"/>
                <w:rFonts w:ascii="Arial" w:hAnsi="Arial" w:cs="Arial"/>
                <w:noProof/>
              </w:rPr>
              <w:t>Aim</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_Toc200731244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7</w:t>
            </w:r>
            <w:r w:rsidRPr="00371E00">
              <w:rPr>
                <w:rFonts w:ascii="Arial" w:hAnsi="Arial" w:cs="Arial"/>
                <w:noProof/>
                <w:webHidden/>
              </w:rPr>
              <w:fldChar w:fldCharType="end"/>
            </w:r>
          </w:hyperlink>
        </w:p>
        <w:p w14:paraId="229E47DB" w14:textId="7982DBFD" w:rsidR="00371E00" w:rsidRPr="00371E00" w:rsidRDefault="00371E00">
          <w:pPr>
            <w:pStyle w:val="TOC1"/>
            <w:tabs>
              <w:tab w:val="left" w:pos="720"/>
              <w:tab w:val="right" w:leader="dot" w:pos="9016"/>
            </w:tabs>
            <w:rPr>
              <w:rFonts w:ascii="Arial" w:eastAsiaTheme="minorEastAsia" w:hAnsi="Arial" w:cs="Arial"/>
              <w:noProof/>
              <w:sz w:val="24"/>
              <w:szCs w:val="24"/>
              <w:lang w:eastAsia="en-GB"/>
            </w:rPr>
          </w:pPr>
          <w:hyperlink w:anchor="_Toc200731245" w:history="1">
            <w:r w:rsidRPr="00371E00">
              <w:rPr>
                <w:rStyle w:val="Hyperlink"/>
                <w:rFonts w:ascii="Arial" w:hAnsi="Arial" w:cs="Arial"/>
                <w:noProof/>
              </w:rPr>
              <w:t>4.2.</w:t>
            </w:r>
            <w:r w:rsidRPr="00371E00">
              <w:rPr>
                <w:rFonts w:ascii="Arial" w:eastAsiaTheme="minorEastAsia" w:hAnsi="Arial" w:cs="Arial"/>
                <w:noProof/>
                <w:sz w:val="24"/>
                <w:szCs w:val="24"/>
                <w:lang w:eastAsia="en-GB"/>
              </w:rPr>
              <w:tab/>
            </w:r>
            <w:r w:rsidRPr="00371E00">
              <w:rPr>
                <w:rStyle w:val="Hyperlink"/>
                <w:rFonts w:ascii="Arial" w:hAnsi="Arial" w:cs="Arial"/>
                <w:noProof/>
              </w:rPr>
              <w:t>Objectives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_Toc200731245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7</w:t>
            </w:r>
            <w:r w:rsidRPr="00371E00">
              <w:rPr>
                <w:rFonts w:ascii="Arial" w:hAnsi="Arial" w:cs="Arial"/>
                <w:noProof/>
                <w:webHidden/>
              </w:rPr>
              <w:fldChar w:fldCharType="end"/>
            </w:r>
          </w:hyperlink>
        </w:p>
        <w:p w14:paraId="2D3765D7" w14:textId="452FC08F"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46" w:history="1">
            <w:r w:rsidRPr="00371E00">
              <w:rPr>
                <w:rStyle w:val="Hyperlink"/>
                <w:rFonts w:ascii="Arial" w:hAnsi="Arial" w:cs="Arial"/>
                <w:noProof/>
              </w:rPr>
              <w:t>5.</w:t>
            </w:r>
            <w:r w:rsidRPr="00371E00">
              <w:rPr>
                <w:rFonts w:ascii="Arial" w:eastAsiaTheme="minorEastAsia" w:hAnsi="Arial" w:cs="Arial"/>
                <w:noProof/>
                <w:sz w:val="24"/>
                <w:szCs w:val="24"/>
                <w:lang w:eastAsia="en-GB"/>
              </w:rPr>
              <w:tab/>
            </w:r>
            <w:r w:rsidRPr="00371E00">
              <w:rPr>
                <w:rStyle w:val="Hyperlink"/>
                <w:rFonts w:ascii="Arial" w:hAnsi="Arial" w:cs="Arial"/>
                <w:noProof/>
              </w:rPr>
              <w:t>Event Management</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_Toc200731246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7</w:t>
            </w:r>
            <w:r w:rsidRPr="00371E00">
              <w:rPr>
                <w:rFonts w:ascii="Arial" w:hAnsi="Arial" w:cs="Arial"/>
                <w:noProof/>
                <w:webHidden/>
              </w:rPr>
              <w:fldChar w:fldCharType="end"/>
            </w:r>
          </w:hyperlink>
        </w:p>
        <w:p w14:paraId="414AB54F" w14:textId="4C33C31C" w:rsidR="00371E00" w:rsidRPr="00371E00" w:rsidRDefault="00371E00">
          <w:pPr>
            <w:pStyle w:val="TOC1"/>
            <w:tabs>
              <w:tab w:val="right" w:leader="dot" w:pos="9016"/>
            </w:tabs>
            <w:rPr>
              <w:rFonts w:ascii="Arial" w:eastAsiaTheme="minorEastAsia" w:hAnsi="Arial" w:cs="Arial"/>
              <w:noProof/>
              <w:sz w:val="24"/>
              <w:szCs w:val="24"/>
              <w:lang w:eastAsia="en-GB"/>
            </w:rPr>
          </w:pPr>
          <w:hyperlink w:anchor="_Toc200731247" w:history="1">
            <w:r w:rsidRPr="00371E00">
              <w:rPr>
                <w:rStyle w:val="Hyperlink"/>
                <w:rFonts w:ascii="Arial" w:hAnsi="Arial" w:cs="Arial"/>
                <w:noProof/>
              </w:rPr>
              <w:t>Operational Activities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_Toc200731247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7</w:t>
            </w:r>
            <w:r w:rsidRPr="00371E00">
              <w:rPr>
                <w:rFonts w:ascii="Arial" w:hAnsi="Arial" w:cs="Arial"/>
                <w:noProof/>
                <w:webHidden/>
              </w:rPr>
              <w:fldChar w:fldCharType="end"/>
            </w:r>
          </w:hyperlink>
        </w:p>
        <w:p w14:paraId="6A1A671F" w14:textId="28732562" w:rsidR="00371E00" w:rsidRPr="00371E00" w:rsidRDefault="00371E00">
          <w:pPr>
            <w:pStyle w:val="TOC1"/>
            <w:tabs>
              <w:tab w:val="right" w:leader="dot" w:pos="9016"/>
            </w:tabs>
            <w:rPr>
              <w:rFonts w:ascii="Arial" w:eastAsiaTheme="minorEastAsia" w:hAnsi="Arial" w:cs="Arial"/>
              <w:noProof/>
              <w:sz w:val="24"/>
              <w:szCs w:val="24"/>
              <w:lang w:eastAsia="en-GB"/>
            </w:rPr>
          </w:pPr>
          <w:hyperlink w:anchor="_Toc200731248" w:history="1">
            <w:r w:rsidRPr="00371E00">
              <w:rPr>
                <w:rStyle w:val="Hyperlink"/>
                <w:rFonts w:ascii="Arial" w:hAnsi="Arial" w:cs="Arial"/>
                <w:noProof/>
              </w:rPr>
              <w:t>Planning Activities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_Toc200731248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8</w:t>
            </w:r>
            <w:r w:rsidRPr="00371E00">
              <w:rPr>
                <w:rFonts w:ascii="Arial" w:hAnsi="Arial" w:cs="Arial"/>
                <w:noProof/>
                <w:webHidden/>
              </w:rPr>
              <w:fldChar w:fldCharType="end"/>
            </w:r>
          </w:hyperlink>
        </w:p>
        <w:p w14:paraId="11F2FEC9" w14:textId="51ECE7F3" w:rsidR="00371E00" w:rsidRPr="00371E00" w:rsidRDefault="00371E00">
          <w:pPr>
            <w:pStyle w:val="TOC1"/>
            <w:tabs>
              <w:tab w:val="right" w:leader="dot" w:pos="9016"/>
            </w:tabs>
            <w:rPr>
              <w:rFonts w:ascii="Arial" w:eastAsiaTheme="minorEastAsia" w:hAnsi="Arial" w:cs="Arial"/>
              <w:noProof/>
              <w:sz w:val="24"/>
              <w:szCs w:val="24"/>
              <w:lang w:eastAsia="en-GB"/>
            </w:rPr>
          </w:pPr>
          <w:hyperlink w:anchor="_Toc200731249" w:history="1">
            <w:r w:rsidRPr="00371E00">
              <w:rPr>
                <w:rStyle w:val="Hyperlink"/>
                <w:rFonts w:ascii="Arial" w:hAnsi="Arial" w:cs="Arial"/>
                <w:noProof/>
              </w:rPr>
              <w:t>Marketing Activities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_Toc200731249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8</w:t>
            </w:r>
            <w:r w:rsidRPr="00371E00">
              <w:rPr>
                <w:rFonts w:ascii="Arial" w:hAnsi="Arial" w:cs="Arial"/>
                <w:noProof/>
                <w:webHidden/>
              </w:rPr>
              <w:fldChar w:fldCharType="end"/>
            </w:r>
          </w:hyperlink>
        </w:p>
        <w:p w14:paraId="3225156D" w14:textId="59460E8C"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50" w:history="1">
            <w:r w:rsidRPr="00371E00">
              <w:rPr>
                <w:rStyle w:val="Hyperlink"/>
                <w:rFonts w:ascii="Arial" w:hAnsi="Arial" w:cs="Arial"/>
                <w:noProof/>
              </w:rPr>
              <w:t>6.</w:t>
            </w:r>
            <w:r w:rsidRPr="00371E00">
              <w:rPr>
                <w:rFonts w:ascii="Arial" w:eastAsiaTheme="minorEastAsia" w:hAnsi="Arial" w:cs="Arial"/>
                <w:noProof/>
                <w:sz w:val="24"/>
                <w:szCs w:val="24"/>
                <w:lang w:eastAsia="en-GB"/>
              </w:rPr>
              <w:tab/>
            </w:r>
            <w:r w:rsidRPr="00371E00">
              <w:rPr>
                <w:rStyle w:val="Hyperlink"/>
                <w:rFonts w:ascii="Arial" w:hAnsi="Arial" w:cs="Arial"/>
                <w:noProof/>
              </w:rPr>
              <w:t>Event Budget</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_Toc200731250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9</w:t>
            </w:r>
            <w:r w:rsidRPr="00371E00">
              <w:rPr>
                <w:rFonts w:ascii="Arial" w:hAnsi="Arial" w:cs="Arial"/>
                <w:noProof/>
                <w:webHidden/>
              </w:rPr>
              <w:fldChar w:fldCharType="end"/>
            </w:r>
          </w:hyperlink>
        </w:p>
        <w:p w14:paraId="53B3B71C" w14:textId="31453F15"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51" w:history="1">
            <w:r w:rsidRPr="00371E00">
              <w:rPr>
                <w:rStyle w:val="Hyperlink"/>
                <w:rFonts w:ascii="Arial" w:hAnsi="Arial" w:cs="Arial"/>
                <w:noProof/>
              </w:rPr>
              <w:t>7.</w:t>
            </w:r>
            <w:r w:rsidRPr="00371E00">
              <w:rPr>
                <w:rFonts w:ascii="Arial" w:eastAsiaTheme="minorEastAsia" w:hAnsi="Arial" w:cs="Arial"/>
                <w:noProof/>
                <w:sz w:val="24"/>
                <w:szCs w:val="24"/>
                <w:lang w:eastAsia="en-GB"/>
              </w:rPr>
              <w:tab/>
            </w:r>
            <w:r w:rsidRPr="00371E00">
              <w:rPr>
                <w:rStyle w:val="Hyperlink"/>
                <w:rFonts w:ascii="Arial" w:hAnsi="Arial" w:cs="Arial"/>
                <w:noProof/>
              </w:rPr>
              <w:t>Industry Trends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_Toc200731251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10</w:t>
            </w:r>
            <w:r w:rsidRPr="00371E00">
              <w:rPr>
                <w:rFonts w:ascii="Arial" w:hAnsi="Arial" w:cs="Arial"/>
                <w:noProof/>
                <w:webHidden/>
              </w:rPr>
              <w:fldChar w:fldCharType="end"/>
            </w:r>
          </w:hyperlink>
        </w:p>
        <w:p w14:paraId="30849613" w14:textId="58834EC1" w:rsidR="00371E00" w:rsidRPr="00371E00" w:rsidRDefault="00371E00">
          <w:pPr>
            <w:pStyle w:val="TOC1"/>
            <w:tabs>
              <w:tab w:val="left" w:pos="480"/>
              <w:tab w:val="right" w:leader="dot" w:pos="9016"/>
            </w:tabs>
            <w:rPr>
              <w:rFonts w:ascii="Arial" w:eastAsiaTheme="minorEastAsia" w:hAnsi="Arial" w:cs="Arial"/>
              <w:noProof/>
              <w:sz w:val="24"/>
              <w:szCs w:val="24"/>
              <w:lang w:eastAsia="en-GB"/>
            </w:rPr>
          </w:pPr>
          <w:hyperlink w:anchor="_Toc200731252" w:history="1">
            <w:r w:rsidRPr="00371E00">
              <w:rPr>
                <w:rStyle w:val="Hyperlink"/>
                <w:rFonts w:ascii="Arial" w:hAnsi="Arial" w:cs="Arial"/>
                <w:noProof/>
              </w:rPr>
              <w:t>8.</w:t>
            </w:r>
            <w:r w:rsidRPr="00371E00">
              <w:rPr>
                <w:rFonts w:ascii="Arial" w:eastAsiaTheme="minorEastAsia" w:hAnsi="Arial" w:cs="Arial"/>
                <w:noProof/>
                <w:sz w:val="24"/>
                <w:szCs w:val="24"/>
                <w:lang w:eastAsia="en-GB"/>
              </w:rPr>
              <w:tab/>
            </w:r>
            <w:r w:rsidRPr="00371E00">
              <w:rPr>
                <w:rStyle w:val="Hyperlink"/>
                <w:rFonts w:ascii="Arial" w:hAnsi="Arial" w:cs="Arial"/>
                <w:noProof/>
              </w:rPr>
              <w:t>Situational and Cultural Considerations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_Toc200731252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11</w:t>
            </w:r>
            <w:r w:rsidRPr="00371E00">
              <w:rPr>
                <w:rFonts w:ascii="Arial" w:hAnsi="Arial" w:cs="Arial"/>
                <w:noProof/>
                <w:webHidden/>
              </w:rPr>
              <w:fldChar w:fldCharType="end"/>
            </w:r>
          </w:hyperlink>
        </w:p>
        <w:p w14:paraId="697E15C4" w14:textId="073A9EC6" w:rsidR="00371E00" w:rsidRPr="00371E00" w:rsidRDefault="00371E00">
          <w:pPr>
            <w:pStyle w:val="TOC1"/>
            <w:tabs>
              <w:tab w:val="right" w:leader="dot" w:pos="9016"/>
            </w:tabs>
            <w:rPr>
              <w:rFonts w:ascii="Arial" w:eastAsiaTheme="minorEastAsia" w:hAnsi="Arial" w:cs="Arial"/>
              <w:noProof/>
              <w:sz w:val="24"/>
              <w:szCs w:val="24"/>
              <w:lang w:eastAsia="en-GB"/>
            </w:rPr>
          </w:pPr>
          <w:hyperlink w:anchor="_Toc200731253" w:history="1">
            <w:r w:rsidRPr="00371E00">
              <w:rPr>
                <w:rStyle w:val="Hyperlink"/>
                <w:rFonts w:ascii="Arial" w:hAnsi="Arial" w:cs="Arial"/>
                <w:noProof/>
              </w:rPr>
              <w:t>PESTEL Analysis</w:t>
            </w:r>
            <w:r w:rsidRPr="00371E00">
              <w:rPr>
                <w:rFonts w:ascii="Arial" w:hAnsi="Arial" w:cs="Arial"/>
                <w:noProof/>
                <w:webHidden/>
              </w:rPr>
              <w:tab/>
            </w:r>
            <w:r w:rsidRPr="00371E00">
              <w:rPr>
                <w:rFonts w:ascii="Arial" w:hAnsi="Arial" w:cs="Arial"/>
                <w:noProof/>
                <w:webHidden/>
              </w:rPr>
              <w:fldChar w:fldCharType="begin"/>
            </w:r>
            <w:r w:rsidRPr="00371E00">
              <w:rPr>
                <w:rFonts w:ascii="Arial" w:hAnsi="Arial" w:cs="Arial"/>
                <w:noProof/>
                <w:webHidden/>
              </w:rPr>
              <w:instrText xml:space="preserve"> PAGEREF _Toc200731253 \h </w:instrText>
            </w:r>
            <w:r w:rsidRPr="00371E00">
              <w:rPr>
                <w:rFonts w:ascii="Arial" w:hAnsi="Arial" w:cs="Arial"/>
                <w:noProof/>
                <w:webHidden/>
              </w:rPr>
            </w:r>
            <w:r w:rsidRPr="00371E00">
              <w:rPr>
                <w:rFonts w:ascii="Arial" w:hAnsi="Arial" w:cs="Arial"/>
                <w:noProof/>
                <w:webHidden/>
              </w:rPr>
              <w:fldChar w:fldCharType="separate"/>
            </w:r>
            <w:r w:rsidRPr="00371E00">
              <w:rPr>
                <w:rFonts w:ascii="Arial" w:hAnsi="Arial" w:cs="Arial"/>
                <w:noProof/>
                <w:webHidden/>
              </w:rPr>
              <w:t>11</w:t>
            </w:r>
            <w:r w:rsidRPr="00371E00">
              <w:rPr>
                <w:rFonts w:ascii="Arial" w:hAnsi="Arial" w:cs="Arial"/>
                <w:noProof/>
                <w:webHidden/>
              </w:rPr>
              <w:fldChar w:fldCharType="end"/>
            </w:r>
          </w:hyperlink>
        </w:p>
        <w:p w14:paraId="304B7FFE" w14:textId="2515E941" w:rsidR="00F360B7" w:rsidRPr="00371E00" w:rsidRDefault="00F360B7">
          <w:pPr>
            <w:rPr>
              <w:rFonts w:ascii="Arial" w:hAnsi="Arial" w:cs="Arial"/>
            </w:rPr>
          </w:pPr>
          <w:r w:rsidRPr="00371E00">
            <w:rPr>
              <w:rFonts w:ascii="Arial" w:hAnsi="Arial" w:cs="Arial"/>
              <w:b/>
              <w:bCs/>
              <w:noProof/>
            </w:rPr>
            <w:fldChar w:fldCharType="end"/>
          </w:r>
        </w:p>
      </w:sdtContent>
    </w:sdt>
    <w:p w14:paraId="57C874FB" w14:textId="77777777" w:rsidR="00F360B7" w:rsidRDefault="00F360B7"/>
    <w:p w14:paraId="6268E239" w14:textId="77777777" w:rsidR="007435DB" w:rsidRDefault="007435DB"/>
    <w:p w14:paraId="739308C2" w14:textId="77777777" w:rsidR="007435DB" w:rsidRDefault="007435DB" w:rsidP="00814961">
      <w:pPr>
        <w:spacing w:line="360" w:lineRule="auto"/>
        <w:jc w:val="both"/>
        <w:rPr>
          <w:rFonts w:ascii="Arial" w:hAnsi="Arial" w:cs="Arial"/>
          <w:color w:val="000000" w:themeColor="text1"/>
          <w:sz w:val="24"/>
          <w:szCs w:val="24"/>
        </w:rPr>
      </w:pPr>
    </w:p>
    <w:p w14:paraId="684C9A57" w14:textId="77777777" w:rsidR="00F360B7" w:rsidRDefault="00F360B7" w:rsidP="00814961">
      <w:pPr>
        <w:spacing w:line="360" w:lineRule="auto"/>
        <w:jc w:val="both"/>
        <w:rPr>
          <w:rFonts w:ascii="Arial" w:hAnsi="Arial" w:cs="Arial"/>
          <w:color w:val="000000" w:themeColor="text1"/>
          <w:sz w:val="24"/>
          <w:szCs w:val="24"/>
        </w:rPr>
      </w:pPr>
    </w:p>
    <w:p w14:paraId="279D5395" w14:textId="77777777" w:rsidR="00F360B7" w:rsidRDefault="00F360B7" w:rsidP="00814961">
      <w:pPr>
        <w:spacing w:line="360" w:lineRule="auto"/>
        <w:jc w:val="both"/>
        <w:rPr>
          <w:rFonts w:ascii="Arial" w:hAnsi="Arial" w:cs="Arial"/>
          <w:color w:val="000000" w:themeColor="text1"/>
          <w:sz w:val="24"/>
          <w:szCs w:val="24"/>
        </w:rPr>
      </w:pPr>
    </w:p>
    <w:p w14:paraId="41183F17" w14:textId="77777777" w:rsidR="00F360B7" w:rsidRDefault="00F360B7" w:rsidP="00814961">
      <w:pPr>
        <w:spacing w:line="360" w:lineRule="auto"/>
        <w:jc w:val="both"/>
        <w:rPr>
          <w:rFonts w:ascii="Arial" w:hAnsi="Arial" w:cs="Arial"/>
          <w:color w:val="000000" w:themeColor="text1"/>
          <w:sz w:val="24"/>
          <w:szCs w:val="24"/>
        </w:rPr>
      </w:pPr>
    </w:p>
    <w:p w14:paraId="7DF03117" w14:textId="77777777" w:rsidR="00F360B7" w:rsidRDefault="00F360B7" w:rsidP="00814961">
      <w:pPr>
        <w:spacing w:line="360" w:lineRule="auto"/>
        <w:jc w:val="both"/>
        <w:rPr>
          <w:rFonts w:ascii="Arial" w:hAnsi="Arial" w:cs="Arial"/>
          <w:color w:val="000000" w:themeColor="text1"/>
          <w:sz w:val="24"/>
          <w:szCs w:val="24"/>
        </w:rPr>
      </w:pPr>
    </w:p>
    <w:p w14:paraId="56547B27" w14:textId="77777777" w:rsidR="00F360B7" w:rsidRDefault="00F360B7" w:rsidP="00814961">
      <w:pPr>
        <w:spacing w:line="360" w:lineRule="auto"/>
        <w:jc w:val="both"/>
        <w:rPr>
          <w:rFonts w:ascii="Arial" w:hAnsi="Arial" w:cs="Arial"/>
          <w:color w:val="000000" w:themeColor="text1"/>
          <w:sz w:val="24"/>
          <w:szCs w:val="24"/>
        </w:rPr>
      </w:pPr>
    </w:p>
    <w:p w14:paraId="51153DC7" w14:textId="77777777" w:rsidR="00F360B7" w:rsidRDefault="00F360B7" w:rsidP="00814961">
      <w:pPr>
        <w:spacing w:line="360" w:lineRule="auto"/>
        <w:jc w:val="both"/>
        <w:rPr>
          <w:rFonts w:ascii="Arial" w:hAnsi="Arial" w:cs="Arial"/>
          <w:color w:val="000000" w:themeColor="text1"/>
          <w:sz w:val="24"/>
          <w:szCs w:val="24"/>
        </w:rPr>
      </w:pPr>
    </w:p>
    <w:p w14:paraId="65A46BA0" w14:textId="77777777" w:rsidR="00F360B7" w:rsidRDefault="00F360B7" w:rsidP="00814961">
      <w:pPr>
        <w:spacing w:line="360" w:lineRule="auto"/>
        <w:jc w:val="both"/>
        <w:rPr>
          <w:rFonts w:ascii="Arial" w:hAnsi="Arial" w:cs="Arial"/>
          <w:color w:val="000000" w:themeColor="text1"/>
          <w:sz w:val="24"/>
          <w:szCs w:val="24"/>
        </w:rPr>
      </w:pPr>
    </w:p>
    <w:p w14:paraId="3BBFBD8E" w14:textId="77777777" w:rsidR="00F360B7" w:rsidRDefault="00F360B7" w:rsidP="00814961">
      <w:pPr>
        <w:spacing w:line="360" w:lineRule="auto"/>
        <w:jc w:val="both"/>
        <w:rPr>
          <w:rFonts w:ascii="Arial" w:hAnsi="Arial" w:cs="Arial"/>
          <w:color w:val="000000" w:themeColor="text1"/>
          <w:sz w:val="24"/>
          <w:szCs w:val="24"/>
        </w:rPr>
      </w:pPr>
    </w:p>
    <w:p w14:paraId="62573B1E" w14:textId="77777777" w:rsidR="00F360B7" w:rsidRDefault="00F360B7" w:rsidP="00814961">
      <w:pPr>
        <w:spacing w:line="360" w:lineRule="auto"/>
        <w:jc w:val="both"/>
        <w:rPr>
          <w:rFonts w:ascii="Arial" w:hAnsi="Arial" w:cs="Arial"/>
          <w:color w:val="000000" w:themeColor="text1"/>
          <w:sz w:val="24"/>
          <w:szCs w:val="24"/>
        </w:rPr>
      </w:pPr>
    </w:p>
    <w:p w14:paraId="5FE56C7A" w14:textId="77777777" w:rsidR="00F360B7" w:rsidRDefault="00F360B7" w:rsidP="00814961">
      <w:pPr>
        <w:spacing w:line="360" w:lineRule="auto"/>
        <w:jc w:val="both"/>
        <w:rPr>
          <w:rFonts w:ascii="Arial" w:hAnsi="Arial" w:cs="Arial"/>
          <w:color w:val="000000" w:themeColor="text1"/>
          <w:sz w:val="24"/>
          <w:szCs w:val="24"/>
        </w:rPr>
      </w:pPr>
    </w:p>
    <w:p w14:paraId="3357CDE4" w14:textId="77777777" w:rsidR="00F360B7" w:rsidRPr="00814961" w:rsidRDefault="00F360B7" w:rsidP="00814961">
      <w:pPr>
        <w:spacing w:line="360" w:lineRule="auto"/>
        <w:jc w:val="both"/>
        <w:rPr>
          <w:rFonts w:ascii="Arial" w:hAnsi="Arial" w:cs="Arial"/>
          <w:color w:val="000000" w:themeColor="text1"/>
          <w:sz w:val="24"/>
          <w:szCs w:val="24"/>
        </w:rPr>
      </w:pPr>
    </w:p>
    <w:p w14:paraId="776425C5" w14:textId="0BC0C15E" w:rsidR="007435DB" w:rsidRPr="00371E00" w:rsidRDefault="007435DB" w:rsidP="00371E00">
      <w:pPr>
        <w:pStyle w:val="EU"/>
        <w:numPr>
          <w:ilvl w:val="0"/>
          <w:numId w:val="2"/>
        </w:numPr>
        <w:spacing w:line="360" w:lineRule="auto"/>
        <w:rPr>
          <w:color w:val="auto"/>
        </w:rPr>
      </w:pPr>
      <w:bookmarkStart w:id="0" w:name="_Toc200731240"/>
      <w:r w:rsidRPr="00371E00">
        <w:rPr>
          <w:color w:val="auto"/>
        </w:rPr>
        <w:t>Introduction</w:t>
      </w:r>
      <w:bookmarkEnd w:id="0"/>
      <w:r w:rsidRPr="00371E00">
        <w:rPr>
          <w:color w:val="auto"/>
        </w:rPr>
        <w:t xml:space="preserve"> </w:t>
      </w:r>
    </w:p>
    <w:p w14:paraId="2E6371AC" w14:textId="5A7E98A3" w:rsidR="007435DB" w:rsidRPr="00371E00" w:rsidRDefault="007435DB"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Set in </w:t>
      </w:r>
      <w:proofErr w:type="spellStart"/>
      <w:r w:rsidRPr="00371E00">
        <w:rPr>
          <w:rFonts w:ascii="Arial" w:hAnsi="Arial" w:cs="Arial"/>
          <w:sz w:val="24"/>
          <w:szCs w:val="24"/>
          <w:lang w:eastAsia="en-GB"/>
        </w:rPr>
        <w:t>Llanerch</w:t>
      </w:r>
      <w:proofErr w:type="spellEnd"/>
      <w:r w:rsidRPr="00371E00">
        <w:rPr>
          <w:rFonts w:ascii="Arial" w:hAnsi="Arial" w:cs="Arial"/>
          <w:sz w:val="24"/>
          <w:szCs w:val="24"/>
          <w:lang w:eastAsia="en-GB"/>
        </w:rPr>
        <w:t xml:space="preserve"> Vineyard, Vale of Glamorgan,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is a boutique, one-day multilingual symposium. Designed for thirty guests, this conference blends professional presentations with engaging cultural events like storytelling dinners, bilingual sensory seminars, and Welsh wine tasting. The event fits Visit Wales's "Year of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2025 campaign, which invites businesses to highlight Welsh hospitality, culture, and multilingual identity (Visit Wales, 2025). Using the MICE (Meetings, Incentives, Conferences, and Exhibits) paradigm, the symposium framework offers a targeted knowledge-sharing structure improved by local immersion (Getz and Page, 2019). </w:t>
      </w:r>
      <w:proofErr w:type="spellStart"/>
      <w:r w:rsidRPr="00371E00">
        <w:rPr>
          <w:rFonts w:ascii="Arial" w:hAnsi="Arial" w:cs="Arial"/>
          <w:sz w:val="24"/>
          <w:szCs w:val="24"/>
          <w:lang w:eastAsia="en-GB"/>
        </w:rPr>
        <w:t>Llanerch</w:t>
      </w:r>
      <w:proofErr w:type="spellEnd"/>
      <w:r w:rsidRPr="00371E00">
        <w:rPr>
          <w:rFonts w:ascii="Arial" w:hAnsi="Arial" w:cs="Arial"/>
          <w:sz w:val="24"/>
          <w:szCs w:val="24"/>
          <w:lang w:eastAsia="en-GB"/>
        </w:rPr>
        <w:t xml:space="preserve"> Vineyard was selected for its mix of rustic authenticity and practical ease. Just twenty minutes from Cardiff Airport, it has award-winning Cariad wines</w:t>
      </w:r>
      <w:r w:rsidR="00814961" w:rsidRPr="00371E00">
        <w:rPr>
          <w:rFonts w:ascii="Arial" w:hAnsi="Arial" w:cs="Arial"/>
          <w:sz w:val="24"/>
          <w:szCs w:val="24"/>
          <w:lang w:eastAsia="en-GB"/>
        </w:rPr>
        <w:t xml:space="preserve">, </w:t>
      </w:r>
      <w:r w:rsidRPr="00371E00">
        <w:rPr>
          <w:rFonts w:ascii="Arial" w:hAnsi="Arial" w:cs="Arial"/>
          <w:sz w:val="24"/>
          <w:szCs w:val="24"/>
          <w:lang w:eastAsia="en-GB"/>
        </w:rPr>
        <w:t>modern conference facilities, and 37 on-site hotel rooms. This makes it perfect for an event meant to support sustainable rural business while nevertheless being accessible for both local and international participants. The choice of this event has strategic as well as cultural justification. Studies reveal MICE sector delegates spend up to three times more than leisure tourist</w:t>
      </w:r>
      <w:r w:rsidR="00814961" w:rsidRPr="00371E00">
        <w:rPr>
          <w:rFonts w:ascii="Arial" w:hAnsi="Arial" w:cs="Arial"/>
          <w:sz w:val="24"/>
          <w:szCs w:val="24"/>
          <w:lang w:eastAsia="en-GB"/>
        </w:rPr>
        <w:t>s</w:t>
      </w:r>
      <w:r w:rsidRPr="00371E00">
        <w:rPr>
          <w:rFonts w:ascii="Arial" w:hAnsi="Arial" w:cs="Arial"/>
          <w:sz w:val="24"/>
          <w:szCs w:val="24"/>
          <w:lang w:eastAsia="en-GB"/>
        </w:rPr>
        <w:t xml:space="preserve">, and hybrid, localised events are increasingly sought for in the post-pandemic environment (Yuan et al., 2025).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offers a unique, policy-aligned experience by integrating professional discourse with Welsh language and culture. It satisfies the increasing desire for small-scale, place-specific gatherings providing real cultural interaction and promotes rural economic diversification</w:t>
      </w:r>
      <w:r w:rsidR="00814961" w:rsidRPr="00371E00">
        <w:rPr>
          <w:rFonts w:ascii="Arial" w:hAnsi="Arial" w:cs="Arial"/>
          <w:sz w:val="24"/>
          <w:szCs w:val="24"/>
          <w:lang w:eastAsia="en-GB"/>
        </w:rPr>
        <w:t>(</w:t>
      </w:r>
      <w:proofErr w:type="spellStart"/>
      <w:r w:rsidR="00814961" w:rsidRPr="00371E00">
        <w:rPr>
          <w:rFonts w:ascii="Arial" w:hAnsi="Arial" w:cs="Arial"/>
          <w:sz w:val="24"/>
          <w:szCs w:val="24"/>
          <w:lang w:eastAsia="en-GB"/>
        </w:rPr>
        <w:t>Trišić</w:t>
      </w:r>
      <w:proofErr w:type="spellEnd"/>
      <w:r w:rsidR="00814961" w:rsidRPr="00371E00">
        <w:rPr>
          <w:rFonts w:ascii="Arial" w:hAnsi="Arial" w:cs="Arial"/>
          <w:sz w:val="24"/>
          <w:szCs w:val="24"/>
          <w:lang w:eastAsia="en-GB"/>
        </w:rPr>
        <w:t xml:space="preserve"> and Arsenov-</w:t>
      </w:r>
      <w:proofErr w:type="spellStart"/>
      <w:r w:rsidR="00814961" w:rsidRPr="00371E00">
        <w:rPr>
          <w:rFonts w:ascii="Arial" w:hAnsi="Arial" w:cs="Arial"/>
          <w:sz w:val="24"/>
          <w:szCs w:val="24"/>
          <w:lang w:eastAsia="en-GB"/>
        </w:rPr>
        <w:t>Bojovič</w:t>
      </w:r>
      <w:proofErr w:type="spellEnd"/>
      <w:r w:rsidR="00814961" w:rsidRPr="00371E00">
        <w:rPr>
          <w:rFonts w:ascii="Arial" w:hAnsi="Arial" w:cs="Arial"/>
          <w:sz w:val="24"/>
          <w:szCs w:val="24"/>
          <w:lang w:eastAsia="en-GB"/>
        </w:rPr>
        <w:t>, 2018)</w:t>
      </w:r>
      <w:r w:rsidRPr="00371E00">
        <w:rPr>
          <w:rFonts w:ascii="Arial" w:hAnsi="Arial" w:cs="Arial"/>
          <w:sz w:val="24"/>
          <w:szCs w:val="24"/>
          <w:lang w:eastAsia="en-GB"/>
        </w:rPr>
        <w:t>.</w:t>
      </w:r>
    </w:p>
    <w:p w14:paraId="58524006" w14:textId="4359806F" w:rsidR="007435DB" w:rsidRPr="00371E00" w:rsidRDefault="007435DB" w:rsidP="00371E00">
      <w:pPr>
        <w:pStyle w:val="EU"/>
        <w:numPr>
          <w:ilvl w:val="0"/>
          <w:numId w:val="2"/>
        </w:numPr>
        <w:spacing w:line="360" w:lineRule="auto"/>
        <w:rPr>
          <w:color w:val="auto"/>
        </w:rPr>
      </w:pPr>
      <w:bookmarkStart w:id="1" w:name="_Toc200731241"/>
      <w:r w:rsidRPr="00371E00">
        <w:rPr>
          <w:color w:val="auto"/>
        </w:rPr>
        <w:t>The Event Cycle</w:t>
      </w:r>
      <w:bookmarkEnd w:id="1"/>
    </w:p>
    <w:p w14:paraId="68BA5EDC" w14:textId="041D80FB" w:rsidR="007435DB" w:rsidRPr="00371E00" w:rsidRDefault="007435DB"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An organised framework for the phases of preparation, execution, and evaluation of an event is the event cycle. The five-phase cycle put out by Goldblatt (2011) is a widely utilised model: research, design, planning, coordination, and assessment. This method lets planners view events as dynamic systems, each step building on the last </w:t>
      </w:r>
      <w:r w:rsidRPr="00371E00">
        <w:rPr>
          <w:rFonts w:ascii="Arial" w:hAnsi="Arial" w:cs="Arial"/>
          <w:sz w:val="24"/>
          <w:szCs w:val="24"/>
          <w:lang w:eastAsia="en-GB"/>
        </w:rPr>
        <w:lastRenderedPageBreak/>
        <w:t xml:space="preserve">to guarantee strategy alignment and excellent delivery. Using this cycle on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a multilingual boutique symposium in line with Visit Wales's 2025 'Year of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shows how methodical event planning can turn policy objectives into useful, place-specific results. The event's basis is research. In this stage, the team found a market need in Wales for small-scale, culturally immersing business events. Studies revealed that MICE sector delegates spend much more than leisure visitors (</w:t>
      </w:r>
      <w:proofErr w:type="spellStart"/>
      <w:r w:rsidRPr="00371E00">
        <w:rPr>
          <w:rFonts w:ascii="Arial" w:hAnsi="Arial" w:cs="Arial"/>
          <w:sz w:val="24"/>
          <w:szCs w:val="24"/>
          <w:lang w:eastAsia="en-GB"/>
        </w:rPr>
        <w:t>Trišić</w:t>
      </w:r>
      <w:proofErr w:type="spellEnd"/>
      <w:r w:rsidRPr="00371E00">
        <w:rPr>
          <w:rFonts w:ascii="Arial" w:hAnsi="Arial" w:cs="Arial"/>
          <w:sz w:val="24"/>
          <w:szCs w:val="24"/>
          <w:lang w:eastAsia="en-GB"/>
        </w:rPr>
        <w:t xml:space="preserve"> </w:t>
      </w:r>
      <w:r w:rsidR="00814961" w:rsidRPr="00371E00">
        <w:rPr>
          <w:rFonts w:ascii="Arial" w:hAnsi="Arial" w:cs="Arial"/>
          <w:sz w:val="24"/>
          <w:szCs w:val="24"/>
          <w:lang w:eastAsia="en-GB"/>
        </w:rPr>
        <w:t>and</w:t>
      </w:r>
      <w:r w:rsidRPr="00371E00">
        <w:rPr>
          <w:rFonts w:ascii="Arial" w:hAnsi="Arial" w:cs="Arial"/>
          <w:sz w:val="24"/>
          <w:szCs w:val="24"/>
          <w:lang w:eastAsia="en-GB"/>
        </w:rPr>
        <w:t xml:space="preserve"> Arsenov-</w:t>
      </w:r>
      <w:proofErr w:type="spellStart"/>
      <w:r w:rsidRPr="00371E00">
        <w:rPr>
          <w:rFonts w:ascii="Arial" w:hAnsi="Arial" w:cs="Arial"/>
          <w:sz w:val="24"/>
          <w:szCs w:val="24"/>
          <w:lang w:eastAsia="en-GB"/>
        </w:rPr>
        <w:t>Bojovič</w:t>
      </w:r>
      <w:proofErr w:type="spellEnd"/>
      <w:r w:rsidRPr="00371E00">
        <w:rPr>
          <w:rFonts w:ascii="Arial" w:hAnsi="Arial" w:cs="Arial"/>
          <w:sz w:val="24"/>
          <w:szCs w:val="24"/>
          <w:lang w:eastAsia="en-GB"/>
        </w:rPr>
        <w:t xml:space="preserve">, 2018), and that demand for real, locally based meetings has been created by the post-pandemic environment (Yuan, Lin </w:t>
      </w:r>
      <w:r w:rsidR="00814961" w:rsidRPr="00371E00">
        <w:rPr>
          <w:rFonts w:ascii="Arial" w:hAnsi="Arial" w:cs="Arial"/>
          <w:sz w:val="24"/>
          <w:szCs w:val="24"/>
          <w:lang w:eastAsia="en-GB"/>
        </w:rPr>
        <w:t>and</w:t>
      </w:r>
      <w:r w:rsidRPr="00371E00">
        <w:rPr>
          <w:rFonts w:ascii="Arial" w:hAnsi="Arial" w:cs="Arial"/>
          <w:sz w:val="24"/>
          <w:szCs w:val="24"/>
          <w:lang w:eastAsia="en-GB"/>
        </w:rPr>
        <w:t xml:space="preserve"> Wang, 2025). The team also looked at Welsh Government policy, noting that the "Year of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supports activities stressing Welsh language, culture, and a kind welcome (Visit Wales, 2024). These results supported the choice to organise a hybrid event combining professional communication with cultural encounters. Design included forming the event idea to represent policy goals and market expectations simultaneously. The choice to hold the event in </w:t>
      </w:r>
      <w:proofErr w:type="spellStart"/>
      <w:r w:rsidRPr="00371E00">
        <w:rPr>
          <w:rFonts w:ascii="Arial" w:hAnsi="Arial" w:cs="Arial"/>
          <w:sz w:val="24"/>
          <w:szCs w:val="24"/>
          <w:lang w:eastAsia="en-GB"/>
        </w:rPr>
        <w:t>Llanerch</w:t>
      </w:r>
      <w:proofErr w:type="spellEnd"/>
      <w:r w:rsidRPr="00371E00">
        <w:rPr>
          <w:rFonts w:ascii="Arial" w:hAnsi="Arial" w:cs="Arial"/>
          <w:sz w:val="24"/>
          <w:szCs w:val="24"/>
          <w:lang w:eastAsia="en-GB"/>
        </w:rPr>
        <w:t xml:space="preserve"> Vineyard was based on the need for a site with professional amenities, logistical ease, and rural charm. The award-winning wines of the vineyard, on-site guest accommodations, and AV-equipped conference space let knowledge exchange mix with multilingual tasting seminars, dinner stories, and music. Through experiential learning, this immersive design complements government direction supporting activities that generate a "sense of place" therefore improving cognitive engagement</w:t>
      </w:r>
      <w:r w:rsidR="00814961" w:rsidRPr="00371E00">
        <w:rPr>
          <w:rFonts w:ascii="Arial" w:hAnsi="Arial" w:cs="Arial"/>
          <w:sz w:val="24"/>
          <w:szCs w:val="24"/>
          <w:lang w:eastAsia="en-GB"/>
        </w:rPr>
        <w:t>(Welsh Government, 2024)</w:t>
      </w:r>
      <w:r w:rsidRPr="00371E00">
        <w:rPr>
          <w:rFonts w:ascii="Arial" w:hAnsi="Arial" w:cs="Arial"/>
          <w:sz w:val="24"/>
          <w:szCs w:val="24"/>
          <w:lang w:eastAsia="en-GB"/>
        </w:rPr>
        <w:t xml:space="preserve">. Planning turned the ideas for the event into doable chores and deadlines. To handle delivery, a small team of five—including a student organiser, volunteers, and a freelancing AV technician—was put together. A half-day rental of Calon Lodge, a Welsh buffet, and in-house wine tasting produced a luxury experience on a little budget, with operational choices focused on maintaining the event cost-effective without sacrificing quality. First-aid supplies, bilingual signs, and indoor backup choices included part of risk preparation. While marketing strategies drew on Visit Wales's free campaign materials to appeal to domestic and foreign delegates, sponsorship from a nearby food producer and a micro-grant application guaranteed financial sustainability. Coordination in the context of events is their live delivery. The crew would control delegate arrival, handle timekeeping, assist speakers, monitor food and sampling events on that day. At this level, success depends on communication and adaptability. The event combines official presentations with casual cultural components, hence seamless transitions rely on </w:t>
      </w:r>
      <w:proofErr w:type="spellStart"/>
      <w:r w:rsidRPr="00371E00">
        <w:rPr>
          <w:rFonts w:ascii="Arial" w:hAnsi="Arial" w:cs="Arial"/>
          <w:sz w:val="24"/>
          <w:szCs w:val="24"/>
          <w:lang w:eastAsia="en-GB"/>
        </w:rPr>
        <w:t>well defined</w:t>
      </w:r>
      <w:proofErr w:type="spellEnd"/>
      <w:r w:rsidRPr="00371E00">
        <w:rPr>
          <w:rFonts w:ascii="Arial" w:hAnsi="Arial" w:cs="Arial"/>
          <w:sz w:val="24"/>
          <w:szCs w:val="24"/>
          <w:lang w:eastAsia="en-GB"/>
        </w:rPr>
        <w:t xml:space="preserve"> roles and practice. Real-time problem-solving—that is, modifying </w:t>
      </w:r>
      <w:r w:rsidRPr="00371E00">
        <w:rPr>
          <w:rFonts w:ascii="Arial" w:hAnsi="Arial" w:cs="Arial"/>
          <w:sz w:val="24"/>
          <w:szCs w:val="24"/>
          <w:lang w:eastAsia="en-GB"/>
        </w:rPr>
        <w:lastRenderedPageBreak/>
        <w:t xml:space="preserve">breakout group size or AV if a technical difficulty develops—is another aspect of coordination. The last step, evaluation guarantees that learning is recorded. Short bilingual questionnaires sent after the event will help to compile comments. Among the metrics are logistically performance, cultural involvement, and delegate satisfaction. This information will guide further event iterations and could also be shared with Visit Wales and local businesses, therefore aligning with the goals of the "Year of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All taken together, the event cycle provides a disciplined road from concept to effect, transforming national strategy into a physical, unforgettable experience.</w:t>
      </w:r>
    </w:p>
    <w:p w14:paraId="7C490C6E" w14:textId="11B56695" w:rsidR="007435DB" w:rsidRPr="00371E00" w:rsidRDefault="00CD7ED3" w:rsidP="00371E00">
      <w:pPr>
        <w:pStyle w:val="EU"/>
        <w:numPr>
          <w:ilvl w:val="0"/>
          <w:numId w:val="2"/>
        </w:numPr>
        <w:spacing w:line="360" w:lineRule="auto"/>
        <w:rPr>
          <w:color w:val="auto"/>
        </w:rPr>
      </w:pPr>
      <w:bookmarkStart w:id="2" w:name="_Toc200731242"/>
      <w:r w:rsidRPr="00371E00">
        <w:rPr>
          <w:color w:val="auto"/>
        </w:rPr>
        <w:t>Event Concept</w:t>
      </w:r>
      <w:bookmarkEnd w:id="2"/>
    </w:p>
    <w:p w14:paraId="4CB81162" w14:textId="60246884" w:rsidR="007435DB"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The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delegates start their day by attending a reception held amongst the vines while enjoying local sparkling wine to encourage informal networking and peer interaction (McDermott </w:t>
      </w:r>
      <w:r w:rsidR="00F360B7" w:rsidRPr="00371E00">
        <w:rPr>
          <w:rFonts w:ascii="Arial" w:hAnsi="Arial" w:cs="Arial"/>
          <w:sz w:val="24"/>
          <w:szCs w:val="24"/>
          <w:lang w:eastAsia="en-GB"/>
        </w:rPr>
        <w:t>and</w:t>
      </w:r>
      <w:r w:rsidRPr="00371E00">
        <w:rPr>
          <w:rFonts w:ascii="Arial" w:hAnsi="Arial" w:cs="Arial"/>
          <w:sz w:val="24"/>
          <w:szCs w:val="24"/>
          <w:lang w:eastAsia="en-GB"/>
        </w:rPr>
        <w:t xml:space="preserve"> Archibald, 2010). Unstructured settings provide opportunities for social bonding and knowledge sharing because spontaneous interactions serve to reinforce existing relationships while establishing new partnerships (Smiljanić </w:t>
      </w:r>
      <w:r w:rsidR="00F360B7" w:rsidRPr="00371E00">
        <w:rPr>
          <w:rFonts w:ascii="Arial" w:hAnsi="Arial" w:cs="Arial"/>
          <w:sz w:val="24"/>
          <w:szCs w:val="24"/>
          <w:lang w:eastAsia="en-GB"/>
        </w:rPr>
        <w:t>et al.</w:t>
      </w:r>
      <w:r w:rsidRPr="00371E00">
        <w:rPr>
          <w:rFonts w:ascii="Arial" w:hAnsi="Arial" w:cs="Arial"/>
          <w:sz w:val="24"/>
          <w:szCs w:val="24"/>
          <w:lang w:eastAsia="en-GB"/>
        </w:rPr>
        <w:t xml:space="preserve">, 2016). The 60-minute keynote presentation investigates sustainable event design through ISO 20121 standards and shows that leadership along with supply-chain management and stakeholder engagement produces quantifiable social and environmental advantages (ISO, 2012). Guests experience Welsh viticulture hands-on during a mid-morning guided vineyard tour. Delegates gain place-based learning knowledge and strengthened cultural authenticity through interactive demonstrations of terroir analysis, grape selection methods and winemaking techniques (Thanh </w:t>
      </w:r>
      <w:r w:rsidR="00F360B7" w:rsidRPr="00371E00">
        <w:rPr>
          <w:rFonts w:ascii="Arial" w:hAnsi="Arial" w:cs="Arial"/>
          <w:sz w:val="24"/>
          <w:szCs w:val="24"/>
          <w:lang w:eastAsia="en-GB"/>
        </w:rPr>
        <w:t>and</w:t>
      </w:r>
      <w:r w:rsidRPr="00371E00">
        <w:rPr>
          <w:rFonts w:ascii="Arial" w:hAnsi="Arial" w:cs="Arial"/>
          <w:sz w:val="24"/>
          <w:szCs w:val="24"/>
          <w:lang w:eastAsia="en-GB"/>
        </w:rPr>
        <w:t xml:space="preserve"> Kirova, 2018). The relationship between sensory engagement and research findings demonstrates that experiential learning both increases destination value and establishes enduring place attachments. The gourmet lunch demonstrates the benefits of local sourcing for both rural economic growth and carbon emission reduction through the use of seasonal Welsh produce alongside estate wines (</w:t>
      </w:r>
      <w:proofErr w:type="spellStart"/>
      <w:r w:rsidRPr="00371E00">
        <w:rPr>
          <w:rFonts w:ascii="Arial" w:hAnsi="Arial" w:cs="Arial"/>
          <w:sz w:val="24"/>
          <w:szCs w:val="24"/>
          <w:lang w:eastAsia="en-GB"/>
        </w:rPr>
        <w:t>Mulyani</w:t>
      </w:r>
      <w:proofErr w:type="spellEnd"/>
      <w:r w:rsidRPr="00371E00">
        <w:rPr>
          <w:rFonts w:ascii="Arial" w:hAnsi="Arial" w:cs="Arial"/>
          <w:sz w:val="24"/>
          <w:szCs w:val="24"/>
          <w:lang w:eastAsia="en-GB"/>
        </w:rPr>
        <w:t>, 2024). Afterward, delegates choose between two interactive workshops: Delegates select between two interactive workshops: one about digital storytelling for destination marketing which teaches narrative techniques to create visitor loyalty through emotionally engaging content and another that focuses on carbon-footprint measurement tools which use the New Zealand Carbon Emissions (NZCE) methodology to help participants calculate and reduce event emissions</w:t>
      </w:r>
      <w:r w:rsidR="00F360B7" w:rsidRPr="00371E00">
        <w:rPr>
          <w:rFonts w:ascii="Arial" w:hAnsi="Arial" w:cs="Arial"/>
          <w:sz w:val="24"/>
          <w:szCs w:val="24"/>
          <w:lang w:eastAsia="en-GB"/>
        </w:rPr>
        <w:t xml:space="preserve">. </w:t>
      </w:r>
      <w:r w:rsidRPr="00371E00">
        <w:rPr>
          <w:rFonts w:ascii="Arial" w:hAnsi="Arial" w:cs="Arial"/>
          <w:sz w:val="24"/>
          <w:szCs w:val="24"/>
          <w:lang w:eastAsia="en-GB"/>
        </w:rPr>
        <w:t xml:space="preserve">A panel discussion in the late afternoon unites cultural guardians with tourism specialists </w:t>
      </w:r>
      <w:r w:rsidRPr="00371E00">
        <w:rPr>
          <w:rFonts w:ascii="Arial" w:hAnsi="Arial" w:cs="Arial"/>
          <w:sz w:val="24"/>
          <w:szCs w:val="24"/>
          <w:lang w:eastAsia="en-GB"/>
        </w:rPr>
        <w:lastRenderedPageBreak/>
        <w:t xml:space="preserve">and community figureheads to discuss visitor expansion alongside heritage protection by applying frameworks of place-branding which transmit local values through genuine experiences (Lund, Cohen </w:t>
      </w:r>
      <w:r w:rsidR="00F360B7" w:rsidRPr="00371E00">
        <w:rPr>
          <w:rFonts w:ascii="Arial" w:hAnsi="Arial" w:cs="Arial"/>
          <w:sz w:val="24"/>
          <w:szCs w:val="24"/>
          <w:lang w:eastAsia="en-GB"/>
        </w:rPr>
        <w:t>and</w:t>
      </w:r>
      <w:r w:rsidRPr="00371E00">
        <w:rPr>
          <w:rFonts w:ascii="Arial" w:hAnsi="Arial" w:cs="Arial"/>
          <w:sz w:val="24"/>
          <w:szCs w:val="24"/>
          <w:lang w:eastAsia="en-GB"/>
        </w:rPr>
        <w:t xml:space="preserve"> Scarles, 2018). A networking reception takes place in the barrel room to end the day while wine flights and canapés create an enjoyable environment that supports reflection and relationship building essential for ongoing engagement after the event</w:t>
      </w:r>
      <w:r w:rsidR="00F360B7" w:rsidRPr="00371E00">
        <w:rPr>
          <w:rFonts w:ascii="Arial" w:hAnsi="Arial" w:cs="Arial"/>
          <w:sz w:val="24"/>
          <w:szCs w:val="24"/>
          <w:lang w:eastAsia="en-GB"/>
        </w:rPr>
        <w:t>.</w:t>
      </w:r>
    </w:p>
    <w:tbl>
      <w:tblPr>
        <w:tblStyle w:val="TableGrid"/>
        <w:tblW w:w="0" w:type="auto"/>
        <w:tblLook w:val="04A0" w:firstRow="1" w:lastRow="0" w:firstColumn="1" w:lastColumn="0" w:noHBand="0" w:noVBand="1"/>
      </w:tblPr>
      <w:tblGrid>
        <w:gridCol w:w="3005"/>
        <w:gridCol w:w="3005"/>
        <w:gridCol w:w="3006"/>
      </w:tblGrid>
      <w:tr w:rsidR="00371E00" w:rsidRPr="00371E00" w14:paraId="67840127" w14:textId="77777777" w:rsidTr="00CD7ED3">
        <w:tc>
          <w:tcPr>
            <w:tcW w:w="3005" w:type="dxa"/>
          </w:tcPr>
          <w:p w14:paraId="2D2C7488" w14:textId="449E03C0" w:rsidR="00CD7ED3" w:rsidRPr="00371E00" w:rsidRDefault="00CD7ED3" w:rsidP="00371E00">
            <w:pPr>
              <w:spacing w:line="360" w:lineRule="auto"/>
              <w:jc w:val="both"/>
              <w:rPr>
                <w:rFonts w:ascii="Arial" w:hAnsi="Arial" w:cs="Arial"/>
                <w:b/>
                <w:bCs/>
                <w:sz w:val="24"/>
                <w:szCs w:val="24"/>
                <w:lang w:eastAsia="en-GB"/>
              </w:rPr>
            </w:pPr>
            <w:r w:rsidRPr="00371E00">
              <w:rPr>
                <w:rFonts w:ascii="Arial" w:hAnsi="Arial" w:cs="Arial"/>
                <w:b/>
                <w:bCs/>
                <w:sz w:val="24"/>
                <w:szCs w:val="24"/>
              </w:rPr>
              <w:t>Time</w:t>
            </w:r>
          </w:p>
        </w:tc>
        <w:tc>
          <w:tcPr>
            <w:tcW w:w="3005" w:type="dxa"/>
          </w:tcPr>
          <w:p w14:paraId="1D7F44A6" w14:textId="09490216" w:rsidR="00CD7ED3" w:rsidRPr="00371E00" w:rsidRDefault="00CD7ED3" w:rsidP="00371E00">
            <w:pPr>
              <w:spacing w:line="360" w:lineRule="auto"/>
              <w:jc w:val="both"/>
              <w:rPr>
                <w:rFonts w:ascii="Arial" w:hAnsi="Arial" w:cs="Arial"/>
                <w:b/>
                <w:bCs/>
                <w:sz w:val="24"/>
                <w:szCs w:val="24"/>
                <w:lang w:eastAsia="en-GB"/>
              </w:rPr>
            </w:pPr>
            <w:r w:rsidRPr="00371E00">
              <w:rPr>
                <w:rFonts w:ascii="Arial" w:hAnsi="Arial" w:cs="Arial"/>
                <w:b/>
                <w:bCs/>
                <w:sz w:val="24"/>
                <w:szCs w:val="24"/>
              </w:rPr>
              <w:t>Activity</w:t>
            </w:r>
          </w:p>
        </w:tc>
        <w:tc>
          <w:tcPr>
            <w:tcW w:w="3006" w:type="dxa"/>
          </w:tcPr>
          <w:p w14:paraId="36795378" w14:textId="50E1A8D5" w:rsidR="00CD7ED3" w:rsidRPr="00371E00" w:rsidRDefault="00CD7ED3" w:rsidP="00371E00">
            <w:pPr>
              <w:spacing w:line="360" w:lineRule="auto"/>
              <w:jc w:val="both"/>
              <w:rPr>
                <w:rFonts w:ascii="Arial" w:hAnsi="Arial" w:cs="Arial"/>
                <w:b/>
                <w:bCs/>
                <w:sz w:val="24"/>
                <w:szCs w:val="24"/>
                <w:lang w:eastAsia="en-GB"/>
              </w:rPr>
            </w:pPr>
            <w:r w:rsidRPr="00371E00">
              <w:rPr>
                <w:rFonts w:ascii="Arial" w:hAnsi="Arial" w:cs="Arial"/>
                <w:b/>
                <w:bCs/>
                <w:sz w:val="24"/>
                <w:szCs w:val="24"/>
              </w:rPr>
              <w:t>Description</w:t>
            </w:r>
          </w:p>
        </w:tc>
      </w:tr>
      <w:tr w:rsidR="00371E00" w:rsidRPr="00371E00" w14:paraId="0C9B0E92" w14:textId="77777777" w:rsidTr="00CD7ED3">
        <w:tc>
          <w:tcPr>
            <w:tcW w:w="3005" w:type="dxa"/>
          </w:tcPr>
          <w:p w14:paraId="4E2D17D9" w14:textId="7C16DEF9"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09:00–09:30</w:t>
            </w:r>
          </w:p>
        </w:tc>
        <w:tc>
          <w:tcPr>
            <w:tcW w:w="3005" w:type="dxa"/>
          </w:tcPr>
          <w:p w14:paraId="32F8C224" w14:textId="1474F05E"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Welcome Reception</w:t>
            </w:r>
          </w:p>
        </w:tc>
        <w:tc>
          <w:tcPr>
            <w:tcW w:w="3006" w:type="dxa"/>
          </w:tcPr>
          <w:p w14:paraId="0C3C9E8C" w14:textId="65360E01"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Registration, name badges, local sparkling wine; informal networking among the vines</w:t>
            </w:r>
          </w:p>
        </w:tc>
      </w:tr>
      <w:tr w:rsidR="00371E00" w:rsidRPr="00371E00" w14:paraId="177DBB80" w14:textId="77777777" w:rsidTr="00CD7ED3">
        <w:tc>
          <w:tcPr>
            <w:tcW w:w="3005" w:type="dxa"/>
          </w:tcPr>
          <w:p w14:paraId="338AA2E0" w14:textId="65C41D9E"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09:30–10:30</w:t>
            </w:r>
          </w:p>
        </w:tc>
        <w:tc>
          <w:tcPr>
            <w:tcW w:w="3005" w:type="dxa"/>
          </w:tcPr>
          <w:p w14:paraId="689728D0" w14:textId="2FB12DC3"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Keynote Address</w:t>
            </w:r>
          </w:p>
        </w:tc>
        <w:tc>
          <w:tcPr>
            <w:tcW w:w="3006" w:type="dxa"/>
          </w:tcPr>
          <w:p w14:paraId="0A05B1AC" w14:textId="3B3552E1"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Sustainable event design via ISO 20121 framework</w:t>
            </w:r>
          </w:p>
        </w:tc>
      </w:tr>
      <w:tr w:rsidR="00371E00" w:rsidRPr="00371E00" w14:paraId="5CB00027" w14:textId="77777777" w:rsidTr="00CD7ED3">
        <w:tc>
          <w:tcPr>
            <w:tcW w:w="3005" w:type="dxa"/>
          </w:tcPr>
          <w:p w14:paraId="4D8ED0D3" w14:textId="07B94EB2"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10:30–11:30</w:t>
            </w:r>
          </w:p>
        </w:tc>
        <w:tc>
          <w:tcPr>
            <w:tcW w:w="3005" w:type="dxa"/>
          </w:tcPr>
          <w:p w14:paraId="7AEE18BF" w14:textId="6B0CA4AE"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Vineyard Tour</w:t>
            </w:r>
          </w:p>
        </w:tc>
        <w:tc>
          <w:tcPr>
            <w:tcW w:w="3006" w:type="dxa"/>
          </w:tcPr>
          <w:p w14:paraId="1B385F62" w14:textId="5F1692E2"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Hands-on viticulture demonstrations and terroir exploration</w:t>
            </w:r>
          </w:p>
        </w:tc>
      </w:tr>
      <w:tr w:rsidR="00371E00" w:rsidRPr="00371E00" w14:paraId="40A5F570" w14:textId="77777777" w:rsidTr="00CD7ED3">
        <w:tc>
          <w:tcPr>
            <w:tcW w:w="3005" w:type="dxa"/>
          </w:tcPr>
          <w:p w14:paraId="6702B1EE" w14:textId="000DC2B2"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11:30–12:30</w:t>
            </w:r>
          </w:p>
        </w:tc>
        <w:tc>
          <w:tcPr>
            <w:tcW w:w="3005" w:type="dxa"/>
          </w:tcPr>
          <w:p w14:paraId="6D70E886" w14:textId="2AF2CAEE"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Gourmet Lunch</w:t>
            </w:r>
          </w:p>
        </w:tc>
        <w:tc>
          <w:tcPr>
            <w:tcW w:w="3006" w:type="dxa"/>
          </w:tcPr>
          <w:p w14:paraId="1F95608E" w14:textId="3F5FE301"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Seasonal Welsh menu paired with estate wines; example of local supply-chain integration</w:t>
            </w:r>
          </w:p>
        </w:tc>
      </w:tr>
      <w:tr w:rsidR="00371E00" w:rsidRPr="00371E00" w14:paraId="2A07B8A6" w14:textId="77777777" w:rsidTr="00CD7ED3">
        <w:tc>
          <w:tcPr>
            <w:tcW w:w="3005" w:type="dxa"/>
          </w:tcPr>
          <w:p w14:paraId="39C598F6" w14:textId="5C947CF8"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12:30–14:00</w:t>
            </w:r>
          </w:p>
        </w:tc>
        <w:tc>
          <w:tcPr>
            <w:tcW w:w="3005" w:type="dxa"/>
          </w:tcPr>
          <w:p w14:paraId="6C89F5F3" w14:textId="478B2D9B"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Workshops</w:t>
            </w:r>
          </w:p>
        </w:tc>
        <w:tc>
          <w:tcPr>
            <w:tcW w:w="3006" w:type="dxa"/>
          </w:tcPr>
          <w:p w14:paraId="03AD4A4A" w14:textId="41616249"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(A) Digital storytelling for destinations</w:t>
            </w:r>
          </w:p>
        </w:tc>
      </w:tr>
      <w:tr w:rsidR="00371E00" w:rsidRPr="00371E00" w14:paraId="1F7B0253" w14:textId="77777777" w:rsidTr="00CD7ED3">
        <w:tc>
          <w:tcPr>
            <w:tcW w:w="3005" w:type="dxa"/>
          </w:tcPr>
          <w:p w14:paraId="054381E3" w14:textId="50044F3A"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(B) Carbon-footprint measurement tools</w:t>
            </w:r>
          </w:p>
        </w:tc>
        <w:tc>
          <w:tcPr>
            <w:tcW w:w="3005" w:type="dxa"/>
          </w:tcPr>
          <w:p w14:paraId="09DAA32E" w14:textId="77777777" w:rsidR="00CD7ED3" w:rsidRPr="00371E00" w:rsidRDefault="00CD7ED3" w:rsidP="00371E00">
            <w:pPr>
              <w:spacing w:line="360" w:lineRule="auto"/>
              <w:jc w:val="both"/>
              <w:rPr>
                <w:rFonts w:ascii="Arial" w:hAnsi="Arial" w:cs="Arial"/>
                <w:sz w:val="24"/>
                <w:szCs w:val="24"/>
                <w:lang w:eastAsia="en-GB"/>
              </w:rPr>
            </w:pPr>
          </w:p>
        </w:tc>
        <w:tc>
          <w:tcPr>
            <w:tcW w:w="3006" w:type="dxa"/>
          </w:tcPr>
          <w:p w14:paraId="23B2DAA7" w14:textId="77777777" w:rsidR="00CD7ED3" w:rsidRPr="00371E00" w:rsidRDefault="00CD7ED3" w:rsidP="00371E00">
            <w:pPr>
              <w:spacing w:line="360" w:lineRule="auto"/>
              <w:jc w:val="both"/>
              <w:rPr>
                <w:rFonts w:ascii="Arial" w:hAnsi="Arial" w:cs="Arial"/>
                <w:sz w:val="24"/>
                <w:szCs w:val="24"/>
                <w:lang w:eastAsia="en-GB"/>
              </w:rPr>
            </w:pPr>
          </w:p>
        </w:tc>
      </w:tr>
      <w:tr w:rsidR="00BA1D2A" w:rsidRPr="00371E00" w14:paraId="01CB0122" w14:textId="77777777" w:rsidTr="00CD7ED3">
        <w:tc>
          <w:tcPr>
            <w:tcW w:w="3005" w:type="dxa"/>
          </w:tcPr>
          <w:p w14:paraId="4D14F2D5" w14:textId="50605390"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14:00–15:00</w:t>
            </w:r>
          </w:p>
        </w:tc>
        <w:tc>
          <w:tcPr>
            <w:tcW w:w="3005" w:type="dxa"/>
          </w:tcPr>
          <w:p w14:paraId="37B4B690" w14:textId="1A729FF2"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Panel Discussion</w:t>
            </w:r>
          </w:p>
        </w:tc>
        <w:tc>
          <w:tcPr>
            <w:tcW w:w="3006" w:type="dxa"/>
          </w:tcPr>
          <w:p w14:paraId="2ACC7C58" w14:textId="3A6EB838" w:rsidR="00CD7ED3" w:rsidRPr="00371E00" w:rsidRDefault="00CD7ED3" w:rsidP="00371E00">
            <w:pPr>
              <w:spacing w:line="360" w:lineRule="auto"/>
              <w:jc w:val="both"/>
              <w:rPr>
                <w:rFonts w:ascii="Arial" w:hAnsi="Arial" w:cs="Arial"/>
                <w:sz w:val="24"/>
                <w:szCs w:val="24"/>
                <w:lang w:eastAsia="en-GB"/>
              </w:rPr>
            </w:pPr>
            <w:r w:rsidRPr="00371E00">
              <w:rPr>
                <w:rFonts w:ascii="Arial" w:hAnsi="Arial" w:cs="Arial"/>
                <w:sz w:val="24"/>
                <w:szCs w:val="24"/>
              </w:rPr>
              <w:t>Heritage preservation vs. tourism growth, using place-branding frameworks</w:t>
            </w:r>
          </w:p>
        </w:tc>
      </w:tr>
    </w:tbl>
    <w:p w14:paraId="0B48B7C8" w14:textId="77777777" w:rsidR="00CD7ED3" w:rsidRPr="00371E00" w:rsidRDefault="00CD7ED3" w:rsidP="00371E00">
      <w:pPr>
        <w:spacing w:line="360" w:lineRule="auto"/>
        <w:jc w:val="both"/>
        <w:rPr>
          <w:rFonts w:ascii="Arial" w:hAnsi="Arial" w:cs="Arial"/>
          <w:sz w:val="24"/>
          <w:szCs w:val="24"/>
          <w:lang w:eastAsia="en-GB"/>
        </w:rPr>
      </w:pPr>
    </w:p>
    <w:p w14:paraId="5B7573FD" w14:textId="0D98215D" w:rsidR="007435DB" w:rsidRPr="00371E00" w:rsidRDefault="00E3340B" w:rsidP="00371E00">
      <w:pPr>
        <w:pStyle w:val="EU"/>
        <w:numPr>
          <w:ilvl w:val="0"/>
          <w:numId w:val="2"/>
        </w:numPr>
        <w:spacing w:line="360" w:lineRule="auto"/>
        <w:rPr>
          <w:color w:val="auto"/>
        </w:rPr>
      </w:pPr>
      <w:bookmarkStart w:id="3" w:name="_Toc200731243"/>
      <w:r w:rsidRPr="00371E00">
        <w:rPr>
          <w:color w:val="auto"/>
        </w:rPr>
        <w:t>Aim and Objectives of the Meeting / Event</w:t>
      </w:r>
      <w:bookmarkEnd w:id="3"/>
    </w:p>
    <w:p w14:paraId="581514A3" w14:textId="2F5BB9DD" w:rsidR="007435DB" w:rsidRPr="00371E00" w:rsidRDefault="00E3340B" w:rsidP="00371E00">
      <w:pPr>
        <w:spacing w:line="360" w:lineRule="auto"/>
        <w:jc w:val="both"/>
        <w:rPr>
          <w:rFonts w:ascii="Arial" w:hAnsi="Arial" w:cs="Arial"/>
          <w:sz w:val="24"/>
          <w:szCs w:val="24"/>
          <w:lang w:eastAsia="en-GB"/>
        </w:rPr>
      </w:pP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strives to establish Wales as a top international MICE destination through the delivery of a culturally authentic symposium that demonstrates sustainable </w:t>
      </w:r>
      <w:r w:rsidRPr="00371E00">
        <w:rPr>
          <w:rFonts w:ascii="Arial" w:hAnsi="Arial" w:cs="Arial"/>
          <w:sz w:val="24"/>
          <w:szCs w:val="24"/>
          <w:lang w:eastAsia="en-GB"/>
        </w:rPr>
        <w:lastRenderedPageBreak/>
        <w:t>event practices while offering an immersive experience. To achieve this, three SMART objectives have been set: The event aims to increase participation from international delegates while generating targeted sponsorship income and achieving high satisfaction levels among attendees. The SMART objectives possess specificity and measurability while remaining attainable and relevant which provides them with a defined timeline for structured planning and assessment.</w:t>
      </w:r>
    </w:p>
    <w:p w14:paraId="37AFFE85" w14:textId="23EC0CD9" w:rsidR="00E3340B" w:rsidRPr="00371E00" w:rsidRDefault="00E3340B" w:rsidP="00371E00">
      <w:pPr>
        <w:pStyle w:val="EU"/>
        <w:numPr>
          <w:ilvl w:val="1"/>
          <w:numId w:val="2"/>
        </w:numPr>
        <w:spacing w:line="360" w:lineRule="auto"/>
        <w:rPr>
          <w:color w:val="auto"/>
        </w:rPr>
      </w:pPr>
      <w:bookmarkStart w:id="4" w:name="_Toc200731244"/>
      <w:r w:rsidRPr="00371E00">
        <w:rPr>
          <w:color w:val="auto"/>
        </w:rPr>
        <w:t>Aim</w:t>
      </w:r>
      <w:bookmarkEnd w:id="4"/>
    </w:p>
    <w:p w14:paraId="2DD7B985" w14:textId="77C2FFB6" w:rsidR="00E3340B" w:rsidRPr="00371E00" w:rsidRDefault="00E3340B"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The goal for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was to become a standard for sustainable international meetings in Wales by demonstrating local heritage and hospitality alongside environmental care at a boutique vineyard (Getz </w:t>
      </w:r>
      <w:r w:rsidR="00F360B7" w:rsidRPr="00371E00">
        <w:rPr>
          <w:rFonts w:ascii="Arial" w:hAnsi="Arial" w:cs="Arial"/>
          <w:sz w:val="24"/>
          <w:szCs w:val="24"/>
          <w:lang w:eastAsia="en-GB"/>
        </w:rPr>
        <w:t>and</w:t>
      </w:r>
      <w:r w:rsidRPr="00371E00">
        <w:rPr>
          <w:rFonts w:ascii="Arial" w:hAnsi="Arial" w:cs="Arial"/>
          <w:sz w:val="24"/>
          <w:szCs w:val="24"/>
          <w:lang w:eastAsia="en-GB"/>
        </w:rPr>
        <w:t xml:space="preserve"> Page, 2019</w:t>
      </w:r>
      <w:r w:rsidR="00F360B7" w:rsidRPr="00371E00">
        <w:rPr>
          <w:rFonts w:ascii="Arial" w:hAnsi="Arial" w:cs="Arial"/>
          <w:sz w:val="24"/>
          <w:szCs w:val="24"/>
          <w:lang w:eastAsia="en-GB"/>
        </w:rPr>
        <w:t>).</w:t>
      </w:r>
    </w:p>
    <w:p w14:paraId="3A973871" w14:textId="60C50CD3" w:rsidR="00E3340B" w:rsidRPr="00371E00" w:rsidRDefault="00E3340B" w:rsidP="00371E00">
      <w:pPr>
        <w:pStyle w:val="EU"/>
        <w:numPr>
          <w:ilvl w:val="1"/>
          <w:numId w:val="2"/>
        </w:numPr>
        <w:spacing w:line="360" w:lineRule="auto"/>
        <w:rPr>
          <w:color w:val="auto"/>
        </w:rPr>
      </w:pPr>
      <w:bookmarkStart w:id="5" w:name="_Toc200731245"/>
      <w:r w:rsidRPr="00371E00">
        <w:rPr>
          <w:color w:val="auto"/>
        </w:rPr>
        <w:t>Objectives</w:t>
      </w:r>
      <w:bookmarkEnd w:id="5"/>
    </w:p>
    <w:p w14:paraId="68947F93" w14:textId="2F7C1D15" w:rsidR="00E3340B" w:rsidRPr="00371E00" w:rsidRDefault="00E3340B" w:rsidP="00371E00">
      <w:pPr>
        <w:pStyle w:val="ListParagraph"/>
        <w:numPr>
          <w:ilvl w:val="0"/>
          <w:numId w:val="1"/>
        </w:numPr>
        <w:spacing w:line="360" w:lineRule="auto"/>
        <w:jc w:val="both"/>
        <w:rPr>
          <w:rFonts w:ascii="Arial" w:hAnsi="Arial" w:cs="Arial"/>
          <w:sz w:val="24"/>
          <w:szCs w:val="24"/>
          <w:lang w:eastAsia="en-GB"/>
        </w:rPr>
      </w:pPr>
      <w:r w:rsidRPr="00371E00">
        <w:rPr>
          <w:rFonts w:ascii="Arial" w:hAnsi="Arial" w:cs="Arial"/>
          <w:sz w:val="24"/>
          <w:szCs w:val="24"/>
          <w:lang w:eastAsia="en-GB"/>
        </w:rPr>
        <w:t>A 20 % increase in international delegate attendance will raise the proportion of participants from outside the UK from 30 % to 36 % by 15 June 2026</w:t>
      </w:r>
      <w:r w:rsidR="00F360B7" w:rsidRPr="00371E00">
        <w:rPr>
          <w:rFonts w:ascii="Arial" w:hAnsi="Arial" w:cs="Arial"/>
          <w:sz w:val="24"/>
          <w:szCs w:val="24"/>
          <w:lang w:eastAsia="en-GB"/>
        </w:rPr>
        <w:t>.</w:t>
      </w:r>
    </w:p>
    <w:p w14:paraId="25D5956D" w14:textId="40BAFC6E" w:rsidR="00E3340B" w:rsidRPr="00371E00" w:rsidRDefault="00E3340B" w:rsidP="00371E00">
      <w:pPr>
        <w:pStyle w:val="ListParagraph"/>
        <w:numPr>
          <w:ilvl w:val="0"/>
          <w:numId w:val="1"/>
        </w:numPr>
        <w:spacing w:line="360" w:lineRule="auto"/>
        <w:jc w:val="both"/>
        <w:rPr>
          <w:rFonts w:ascii="Arial" w:hAnsi="Arial" w:cs="Arial"/>
          <w:sz w:val="24"/>
          <w:szCs w:val="24"/>
          <w:lang w:eastAsia="en-GB"/>
        </w:rPr>
      </w:pPr>
      <w:r w:rsidRPr="00371E00">
        <w:rPr>
          <w:rFonts w:ascii="Arial" w:hAnsi="Arial" w:cs="Arial"/>
          <w:sz w:val="24"/>
          <w:szCs w:val="24"/>
          <w:lang w:eastAsia="en-GB"/>
        </w:rPr>
        <w:t>The organization must obtain £350,000 sponsorship revenue from five gold-level and ten silver-level partnerships before 31 December 2025</w:t>
      </w:r>
      <w:r w:rsidR="00F360B7" w:rsidRPr="00371E00">
        <w:rPr>
          <w:rFonts w:ascii="Arial" w:hAnsi="Arial" w:cs="Arial"/>
          <w:sz w:val="24"/>
          <w:szCs w:val="24"/>
          <w:lang w:eastAsia="en-GB"/>
        </w:rPr>
        <w:t>.</w:t>
      </w:r>
    </w:p>
    <w:p w14:paraId="51E7D2FA" w14:textId="39EAAEA2" w:rsidR="00E3340B" w:rsidRPr="00371E00" w:rsidRDefault="00E3340B" w:rsidP="00371E00">
      <w:pPr>
        <w:pStyle w:val="ListParagraph"/>
        <w:numPr>
          <w:ilvl w:val="0"/>
          <w:numId w:val="1"/>
        </w:numPr>
        <w:spacing w:line="360" w:lineRule="auto"/>
        <w:jc w:val="both"/>
        <w:rPr>
          <w:rFonts w:ascii="Arial" w:hAnsi="Arial" w:cs="Arial"/>
          <w:sz w:val="24"/>
          <w:szCs w:val="24"/>
          <w:lang w:eastAsia="en-GB"/>
        </w:rPr>
      </w:pPr>
      <w:r w:rsidRPr="00371E00">
        <w:rPr>
          <w:rFonts w:ascii="Arial" w:hAnsi="Arial" w:cs="Arial"/>
          <w:sz w:val="24"/>
          <w:szCs w:val="24"/>
          <w:lang w:eastAsia="en-GB"/>
        </w:rPr>
        <w:t>The target is to reach a delegate satisfaction rating of 90 % or higher through post-event evaluations before 30 June 2026</w:t>
      </w:r>
      <w:r w:rsidR="00F360B7" w:rsidRPr="00371E00">
        <w:rPr>
          <w:rFonts w:ascii="Arial" w:hAnsi="Arial" w:cs="Arial"/>
          <w:sz w:val="24"/>
          <w:szCs w:val="24"/>
          <w:lang w:eastAsia="en-GB"/>
        </w:rPr>
        <w:t>.</w:t>
      </w:r>
    </w:p>
    <w:p w14:paraId="086489B4" w14:textId="4B270BFC" w:rsidR="00E3340B" w:rsidRPr="00371E00" w:rsidRDefault="00E3340B" w:rsidP="00371E00">
      <w:pPr>
        <w:pStyle w:val="EU"/>
        <w:numPr>
          <w:ilvl w:val="0"/>
          <w:numId w:val="2"/>
        </w:numPr>
        <w:spacing w:line="360" w:lineRule="auto"/>
        <w:rPr>
          <w:color w:val="auto"/>
        </w:rPr>
      </w:pPr>
      <w:bookmarkStart w:id="6" w:name="_Toc200731246"/>
      <w:r w:rsidRPr="00371E00">
        <w:rPr>
          <w:color w:val="auto"/>
        </w:rPr>
        <w:t>Event Management</w:t>
      </w:r>
      <w:bookmarkEnd w:id="6"/>
    </w:p>
    <w:p w14:paraId="2B46375A" w14:textId="49720504"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A successful boutique MICE symposium demands a combination of technical skills together with strategic management abilities and promotional creativity. Staff need to operate on-site risk management procedures and maintain health and safety standards while handling hybrid delivery technology during </w:t>
      </w:r>
      <w:r w:rsidR="00CD5FA8" w:rsidRPr="00371E00">
        <w:rPr>
          <w:rFonts w:ascii="Arial" w:hAnsi="Arial" w:cs="Arial"/>
          <w:sz w:val="24"/>
          <w:szCs w:val="24"/>
          <w:lang w:eastAsia="en-GB"/>
        </w:rPr>
        <w:t>operations (Yeoman et al., 2015)</w:t>
      </w:r>
      <w:r w:rsidRPr="00371E00">
        <w:rPr>
          <w:rFonts w:ascii="Arial" w:hAnsi="Arial" w:cs="Arial"/>
          <w:sz w:val="24"/>
          <w:szCs w:val="24"/>
          <w:lang w:eastAsia="en-GB"/>
        </w:rPr>
        <w:t>. Planners require strong project-management software that includes critical-path analysis to manage intricate schedules and meet stakeholder expectations. Successful marketing depends on the application of digital storytelling techniques combined with analytics and destination branding expertise to captivate and involve a global audience</w:t>
      </w:r>
      <w:r w:rsidR="00CD5FA8" w:rsidRPr="00371E00">
        <w:rPr>
          <w:rFonts w:ascii="Arial" w:hAnsi="Arial" w:cs="Arial"/>
          <w:sz w:val="24"/>
          <w:szCs w:val="24"/>
          <w:lang w:eastAsia="en-GB"/>
        </w:rPr>
        <w:t xml:space="preserve"> (Bowdin et al., 2023)</w:t>
      </w:r>
      <w:r w:rsidRPr="00371E00">
        <w:rPr>
          <w:rFonts w:ascii="Arial" w:hAnsi="Arial" w:cs="Arial"/>
          <w:sz w:val="24"/>
          <w:szCs w:val="24"/>
          <w:lang w:eastAsia="en-GB"/>
        </w:rPr>
        <w:t>. The sustainability, cultural authenticity, and business objectives of an event require skilled personnel together with specialised tools in their respective domains.</w:t>
      </w:r>
    </w:p>
    <w:p w14:paraId="3FC64BFD" w14:textId="77777777" w:rsidR="00BA1D2A" w:rsidRPr="00371E00" w:rsidRDefault="00BA1D2A" w:rsidP="00371E00">
      <w:pPr>
        <w:pStyle w:val="EU"/>
        <w:spacing w:line="360" w:lineRule="auto"/>
        <w:rPr>
          <w:color w:val="auto"/>
        </w:rPr>
      </w:pPr>
      <w:bookmarkStart w:id="7" w:name="_Toc200731247"/>
      <w:r w:rsidRPr="00371E00">
        <w:rPr>
          <w:color w:val="auto"/>
        </w:rPr>
        <w:lastRenderedPageBreak/>
        <w:t>Operational Activities</w:t>
      </w:r>
      <w:bookmarkEnd w:id="7"/>
      <w:r w:rsidRPr="00371E00">
        <w:rPr>
          <w:color w:val="auto"/>
        </w:rPr>
        <w:t xml:space="preserve"> </w:t>
      </w:r>
    </w:p>
    <w:p w14:paraId="74991A87" w14:textId="65A906D3"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ISO 20121 risk-management frameworks require on-site teams to both predict potential hazards and integrate sustainability practices (ISO, 2024). Event teams need AV and IT skills to manage livestreamed content and hybrid networking activities because of the sector’s move toward digital integration (Werner, Junek </w:t>
      </w:r>
      <w:r w:rsidR="00CD5FA8" w:rsidRPr="00371E00">
        <w:rPr>
          <w:rFonts w:ascii="Arial" w:hAnsi="Arial" w:cs="Arial"/>
          <w:sz w:val="24"/>
          <w:szCs w:val="24"/>
          <w:lang w:eastAsia="en-GB"/>
        </w:rPr>
        <w:t>and</w:t>
      </w:r>
      <w:r w:rsidRPr="00371E00">
        <w:rPr>
          <w:rFonts w:ascii="Arial" w:hAnsi="Arial" w:cs="Arial"/>
          <w:sz w:val="24"/>
          <w:szCs w:val="24"/>
          <w:lang w:eastAsia="en-GB"/>
        </w:rPr>
        <w:t xml:space="preserve"> Wang, 202</w:t>
      </w:r>
      <w:r w:rsidR="00CD5FA8" w:rsidRPr="00371E00">
        <w:rPr>
          <w:rFonts w:ascii="Arial" w:hAnsi="Arial" w:cs="Arial"/>
          <w:sz w:val="24"/>
          <w:szCs w:val="24"/>
          <w:lang w:eastAsia="en-GB"/>
        </w:rPr>
        <w:t>2</w:t>
      </w:r>
      <w:r w:rsidRPr="00371E00">
        <w:rPr>
          <w:rFonts w:ascii="Arial" w:hAnsi="Arial" w:cs="Arial"/>
          <w:sz w:val="24"/>
          <w:szCs w:val="24"/>
          <w:lang w:eastAsia="en-GB"/>
        </w:rPr>
        <w:t>). Successful coordination with suppliers and venue staff requires strong communication abilities and prompt problem-solving skills during time-sensitive operations (</w:t>
      </w:r>
      <w:r w:rsidR="00CD5FA8" w:rsidRPr="00371E00">
        <w:rPr>
          <w:rFonts w:ascii="Arial" w:hAnsi="Arial" w:cs="Arial"/>
          <w:sz w:val="24"/>
          <w:szCs w:val="24"/>
          <w:lang w:eastAsia="en-GB"/>
        </w:rPr>
        <w:t>Bladen et al., 2022</w:t>
      </w:r>
      <w:r w:rsidRPr="00371E00">
        <w:rPr>
          <w:rFonts w:ascii="Arial" w:hAnsi="Arial" w:cs="Arial"/>
          <w:sz w:val="24"/>
          <w:szCs w:val="24"/>
          <w:lang w:eastAsia="en-GB"/>
        </w:rPr>
        <w:t>).</w:t>
      </w:r>
    </w:p>
    <w:p w14:paraId="309BAC46" w14:textId="77777777" w:rsidR="00BA1D2A" w:rsidRPr="00371E00" w:rsidRDefault="00BA1D2A" w:rsidP="00371E00">
      <w:pPr>
        <w:pStyle w:val="EU"/>
        <w:spacing w:line="360" w:lineRule="auto"/>
        <w:rPr>
          <w:color w:val="auto"/>
        </w:rPr>
      </w:pPr>
      <w:bookmarkStart w:id="8" w:name="_Toc200731248"/>
      <w:r w:rsidRPr="00371E00">
        <w:rPr>
          <w:color w:val="auto"/>
        </w:rPr>
        <w:t>Planning Activities</w:t>
      </w:r>
      <w:bookmarkEnd w:id="8"/>
      <w:r w:rsidRPr="00371E00">
        <w:rPr>
          <w:color w:val="auto"/>
        </w:rPr>
        <w:t xml:space="preserve"> </w:t>
      </w:r>
    </w:p>
    <w:p w14:paraId="526A7580" w14:textId="1DA8516C"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Project-management methodologies such as the Critical Path Method (CPM) provide the basis for effective planning by clarifying task dependencies and optimizing schedules</w:t>
      </w:r>
      <w:r w:rsidR="00CD5FA8" w:rsidRPr="00371E00">
        <w:rPr>
          <w:rFonts w:ascii="Arial" w:hAnsi="Arial" w:cs="Arial"/>
          <w:sz w:val="24"/>
          <w:szCs w:val="24"/>
          <w:lang w:eastAsia="en-GB"/>
        </w:rPr>
        <w:t xml:space="preserve">. </w:t>
      </w:r>
      <w:r w:rsidRPr="00371E00">
        <w:rPr>
          <w:rFonts w:ascii="Arial" w:hAnsi="Arial" w:cs="Arial"/>
          <w:sz w:val="24"/>
          <w:szCs w:val="24"/>
          <w:lang w:eastAsia="en-GB"/>
        </w:rPr>
        <w:t>Stakeholder mapping techniques enable organizations to synchronize partner goals while establishing clear expectations</w:t>
      </w:r>
      <w:r w:rsidR="0070239F" w:rsidRPr="00371E00">
        <w:rPr>
          <w:rFonts w:ascii="Arial" w:hAnsi="Arial" w:cs="Arial"/>
          <w:sz w:val="24"/>
          <w:szCs w:val="24"/>
          <w:lang w:eastAsia="en-GB"/>
        </w:rPr>
        <w:t xml:space="preserve">. </w:t>
      </w:r>
      <w:r w:rsidRPr="00371E00">
        <w:rPr>
          <w:rFonts w:ascii="Arial" w:hAnsi="Arial" w:cs="Arial"/>
          <w:sz w:val="24"/>
          <w:szCs w:val="24"/>
          <w:lang w:eastAsia="en-GB"/>
        </w:rPr>
        <w:t>Budget-tracking abilities combined with financial modelling skills maintain stable funding and back sustainability practices required by ISO 20121</w:t>
      </w:r>
      <w:r w:rsidR="00CD5FA8" w:rsidRPr="00371E00">
        <w:rPr>
          <w:rFonts w:ascii="Arial" w:hAnsi="Arial" w:cs="Arial"/>
          <w:sz w:val="24"/>
          <w:szCs w:val="24"/>
          <w:lang w:eastAsia="en-GB"/>
        </w:rPr>
        <w:t>.</w:t>
      </w:r>
    </w:p>
    <w:p w14:paraId="592A96FA" w14:textId="77777777" w:rsidR="00BA1D2A" w:rsidRPr="00371E00" w:rsidRDefault="00BA1D2A" w:rsidP="00371E00">
      <w:pPr>
        <w:pStyle w:val="EU"/>
        <w:spacing w:line="360" w:lineRule="auto"/>
        <w:rPr>
          <w:color w:val="auto"/>
        </w:rPr>
      </w:pPr>
      <w:bookmarkStart w:id="9" w:name="_Toc200731249"/>
      <w:r w:rsidRPr="00371E00">
        <w:rPr>
          <w:color w:val="auto"/>
        </w:rPr>
        <w:t>Marketing Activities</w:t>
      </w:r>
      <w:bookmarkEnd w:id="9"/>
      <w:r w:rsidRPr="00371E00">
        <w:rPr>
          <w:color w:val="auto"/>
        </w:rPr>
        <w:t xml:space="preserve"> </w:t>
      </w:r>
    </w:p>
    <w:p w14:paraId="248888DB" w14:textId="3EFFFE06" w:rsidR="007435DB"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Event tourism marketing specialists require social-media integration skills to generate registrations and expand audience reach (</w:t>
      </w:r>
      <w:r w:rsidR="0070239F" w:rsidRPr="00371E00">
        <w:rPr>
          <w:rFonts w:ascii="Arial" w:hAnsi="Arial" w:cs="Arial"/>
          <w:sz w:val="24"/>
          <w:szCs w:val="24"/>
          <w:lang w:eastAsia="en-GB"/>
        </w:rPr>
        <w:t>Rahman et al., 2022</w:t>
      </w:r>
      <w:r w:rsidRPr="00371E00">
        <w:rPr>
          <w:rFonts w:ascii="Arial" w:hAnsi="Arial" w:cs="Arial"/>
          <w:sz w:val="24"/>
          <w:szCs w:val="24"/>
          <w:lang w:eastAsia="en-GB"/>
        </w:rPr>
        <w:t>). Proficiency in web analytics facilitates both optimization of campaigns through data analysis and accurate measurement of ROI</w:t>
      </w:r>
      <w:r w:rsidR="0070239F" w:rsidRPr="00371E00">
        <w:rPr>
          <w:rFonts w:ascii="Arial" w:hAnsi="Arial" w:cs="Arial"/>
          <w:sz w:val="24"/>
          <w:szCs w:val="24"/>
          <w:lang w:eastAsia="en-GB"/>
        </w:rPr>
        <w:t xml:space="preserve">. </w:t>
      </w:r>
      <w:r w:rsidRPr="00371E00">
        <w:rPr>
          <w:rFonts w:ascii="Arial" w:hAnsi="Arial" w:cs="Arial"/>
          <w:sz w:val="24"/>
          <w:szCs w:val="24"/>
          <w:lang w:eastAsia="en-GB"/>
        </w:rPr>
        <w:t xml:space="preserve">The combination of content creation and place-branding techniques strengthens emotional bonds with Welsh heritage while increasing the experiential value of events according to </w:t>
      </w:r>
      <w:r w:rsidR="0070239F" w:rsidRPr="00371E00">
        <w:rPr>
          <w:rFonts w:ascii="Arial" w:hAnsi="Arial" w:cs="Arial"/>
          <w:sz w:val="24"/>
          <w:szCs w:val="24"/>
          <w:lang w:eastAsia="en-GB"/>
        </w:rPr>
        <w:t xml:space="preserve">Richards </w:t>
      </w:r>
      <w:r w:rsidRPr="00371E00">
        <w:rPr>
          <w:rFonts w:ascii="Arial" w:hAnsi="Arial" w:cs="Arial"/>
          <w:sz w:val="24"/>
          <w:szCs w:val="24"/>
          <w:lang w:eastAsia="en-GB"/>
        </w:rPr>
        <w:t>(20</w:t>
      </w:r>
      <w:r w:rsidR="0070239F" w:rsidRPr="00371E00">
        <w:rPr>
          <w:rFonts w:ascii="Arial" w:hAnsi="Arial" w:cs="Arial"/>
          <w:sz w:val="24"/>
          <w:szCs w:val="24"/>
          <w:lang w:eastAsia="en-GB"/>
        </w:rPr>
        <w:t>17</w:t>
      </w:r>
      <w:r w:rsidRPr="00371E00">
        <w:rPr>
          <w:rFonts w:ascii="Arial" w:hAnsi="Arial" w:cs="Arial"/>
          <w:sz w:val="24"/>
          <w:szCs w:val="24"/>
          <w:lang w:eastAsia="en-GB"/>
        </w:rPr>
        <w:t>).</w:t>
      </w:r>
    </w:p>
    <w:tbl>
      <w:tblPr>
        <w:tblStyle w:val="TableGrid"/>
        <w:tblW w:w="0" w:type="auto"/>
        <w:tblLook w:val="04A0" w:firstRow="1" w:lastRow="0" w:firstColumn="1" w:lastColumn="0" w:noHBand="0" w:noVBand="1"/>
      </w:tblPr>
      <w:tblGrid>
        <w:gridCol w:w="2254"/>
        <w:gridCol w:w="2254"/>
        <w:gridCol w:w="2254"/>
      </w:tblGrid>
      <w:tr w:rsidR="00371E00" w:rsidRPr="00371E00" w14:paraId="5576DF95" w14:textId="77777777" w:rsidTr="00BA1D2A">
        <w:tc>
          <w:tcPr>
            <w:tcW w:w="2254" w:type="dxa"/>
          </w:tcPr>
          <w:p w14:paraId="323AC7B6" w14:textId="55C82C62" w:rsidR="00BA1D2A" w:rsidRPr="00371E00" w:rsidRDefault="00BA1D2A" w:rsidP="00371E00">
            <w:pPr>
              <w:spacing w:line="360" w:lineRule="auto"/>
              <w:jc w:val="both"/>
              <w:rPr>
                <w:rFonts w:ascii="Arial" w:hAnsi="Arial" w:cs="Arial"/>
                <w:b/>
                <w:bCs/>
                <w:sz w:val="24"/>
                <w:szCs w:val="24"/>
                <w:lang w:eastAsia="en-GB"/>
              </w:rPr>
            </w:pPr>
            <w:r w:rsidRPr="00371E00">
              <w:rPr>
                <w:rFonts w:ascii="Arial" w:hAnsi="Arial" w:cs="Arial"/>
                <w:b/>
                <w:bCs/>
                <w:sz w:val="24"/>
                <w:szCs w:val="24"/>
              </w:rPr>
              <w:t>Domain</w:t>
            </w:r>
          </w:p>
        </w:tc>
        <w:tc>
          <w:tcPr>
            <w:tcW w:w="2254" w:type="dxa"/>
          </w:tcPr>
          <w:p w14:paraId="140C553B" w14:textId="7B5B8BBB" w:rsidR="00BA1D2A" w:rsidRPr="00371E00" w:rsidRDefault="00BA1D2A" w:rsidP="00371E00">
            <w:pPr>
              <w:spacing w:line="360" w:lineRule="auto"/>
              <w:jc w:val="both"/>
              <w:rPr>
                <w:rFonts w:ascii="Arial" w:hAnsi="Arial" w:cs="Arial"/>
                <w:b/>
                <w:bCs/>
                <w:sz w:val="24"/>
                <w:szCs w:val="24"/>
                <w:lang w:eastAsia="en-GB"/>
              </w:rPr>
            </w:pPr>
            <w:r w:rsidRPr="00371E00">
              <w:rPr>
                <w:rFonts w:ascii="Arial" w:hAnsi="Arial" w:cs="Arial"/>
                <w:b/>
                <w:bCs/>
                <w:sz w:val="24"/>
                <w:szCs w:val="24"/>
              </w:rPr>
              <w:t>Key Skills</w:t>
            </w:r>
          </w:p>
        </w:tc>
        <w:tc>
          <w:tcPr>
            <w:tcW w:w="2254" w:type="dxa"/>
          </w:tcPr>
          <w:p w14:paraId="382E702E" w14:textId="020C86DD" w:rsidR="00BA1D2A" w:rsidRPr="00371E00" w:rsidRDefault="00BA1D2A" w:rsidP="00371E00">
            <w:pPr>
              <w:spacing w:line="360" w:lineRule="auto"/>
              <w:jc w:val="both"/>
              <w:rPr>
                <w:rFonts w:ascii="Arial" w:hAnsi="Arial" w:cs="Arial"/>
                <w:b/>
                <w:bCs/>
                <w:sz w:val="24"/>
                <w:szCs w:val="24"/>
                <w:lang w:eastAsia="en-GB"/>
              </w:rPr>
            </w:pPr>
            <w:r w:rsidRPr="00371E00">
              <w:rPr>
                <w:rFonts w:ascii="Arial" w:hAnsi="Arial" w:cs="Arial"/>
                <w:b/>
                <w:bCs/>
                <w:sz w:val="24"/>
                <w:szCs w:val="24"/>
              </w:rPr>
              <w:t>Resources</w:t>
            </w:r>
          </w:p>
        </w:tc>
      </w:tr>
      <w:tr w:rsidR="00371E00" w:rsidRPr="00371E00" w14:paraId="450C4F02" w14:textId="77777777" w:rsidTr="00BA1D2A">
        <w:tc>
          <w:tcPr>
            <w:tcW w:w="2254" w:type="dxa"/>
          </w:tcPr>
          <w:p w14:paraId="4C6C3AB5" w14:textId="359E7E90"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Operational</w:t>
            </w:r>
          </w:p>
        </w:tc>
        <w:tc>
          <w:tcPr>
            <w:tcW w:w="2254" w:type="dxa"/>
          </w:tcPr>
          <w:p w14:paraId="37CA0645" w14:textId="77777777" w:rsidR="0070239F" w:rsidRPr="00371E00" w:rsidRDefault="00BA1D2A" w:rsidP="00371E00">
            <w:pPr>
              <w:spacing w:line="360" w:lineRule="auto"/>
              <w:jc w:val="both"/>
              <w:rPr>
                <w:rFonts w:ascii="Arial" w:hAnsi="Arial" w:cs="Arial"/>
                <w:sz w:val="24"/>
                <w:szCs w:val="24"/>
              </w:rPr>
            </w:pPr>
            <w:r w:rsidRPr="00371E00">
              <w:rPr>
                <w:rFonts w:ascii="Arial" w:hAnsi="Arial" w:cs="Arial"/>
                <w:sz w:val="24"/>
                <w:szCs w:val="24"/>
              </w:rPr>
              <w:t>ISO 20121 risk management</w:t>
            </w:r>
            <w:r w:rsidR="0070239F" w:rsidRPr="00371E00">
              <w:rPr>
                <w:rFonts w:ascii="Arial" w:hAnsi="Arial" w:cs="Arial"/>
                <w:sz w:val="24"/>
                <w:szCs w:val="24"/>
              </w:rPr>
              <w:t>.</w:t>
            </w:r>
            <w:r w:rsidRPr="00371E00">
              <w:rPr>
                <w:rFonts w:ascii="Arial" w:hAnsi="Arial" w:cs="Arial"/>
                <w:sz w:val="24"/>
                <w:szCs w:val="24"/>
              </w:rPr>
              <w:t xml:space="preserve"> AV/IT for hybrid delivery</w:t>
            </w:r>
            <w:r w:rsidR="0070239F" w:rsidRPr="00371E00">
              <w:rPr>
                <w:rFonts w:ascii="Arial" w:hAnsi="Arial" w:cs="Arial"/>
                <w:sz w:val="24"/>
                <w:szCs w:val="24"/>
              </w:rPr>
              <w:t>.</w:t>
            </w:r>
          </w:p>
          <w:p w14:paraId="6F151AF3" w14:textId="1EC2F1FC"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Crisis communication</w:t>
            </w:r>
            <w:r w:rsidR="0070239F" w:rsidRPr="00371E00">
              <w:rPr>
                <w:rFonts w:ascii="Arial" w:hAnsi="Arial" w:cs="Arial"/>
                <w:sz w:val="24"/>
                <w:szCs w:val="24"/>
              </w:rPr>
              <w:t>.</w:t>
            </w:r>
          </w:p>
        </w:tc>
        <w:tc>
          <w:tcPr>
            <w:tcW w:w="2254" w:type="dxa"/>
          </w:tcPr>
          <w:p w14:paraId="17B7DD62" w14:textId="30B04CBC"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Risk-register software; AV/IT crew; volunteer-management platform</w:t>
            </w:r>
          </w:p>
        </w:tc>
      </w:tr>
      <w:tr w:rsidR="00371E00" w:rsidRPr="00371E00" w14:paraId="796013B9" w14:textId="77777777" w:rsidTr="00BA1D2A">
        <w:tc>
          <w:tcPr>
            <w:tcW w:w="2254" w:type="dxa"/>
          </w:tcPr>
          <w:p w14:paraId="043FCE55" w14:textId="767C8775"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Planning</w:t>
            </w:r>
          </w:p>
        </w:tc>
        <w:tc>
          <w:tcPr>
            <w:tcW w:w="2254" w:type="dxa"/>
          </w:tcPr>
          <w:p w14:paraId="1C65EDC1" w14:textId="77777777" w:rsidR="0070239F" w:rsidRPr="00371E00" w:rsidRDefault="00BA1D2A" w:rsidP="00371E00">
            <w:pPr>
              <w:spacing w:line="360" w:lineRule="auto"/>
              <w:jc w:val="both"/>
              <w:rPr>
                <w:rFonts w:ascii="Arial" w:hAnsi="Arial" w:cs="Arial"/>
                <w:sz w:val="24"/>
                <w:szCs w:val="24"/>
              </w:rPr>
            </w:pPr>
            <w:r w:rsidRPr="00371E00">
              <w:rPr>
                <w:rFonts w:ascii="Arial" w:hAnsi="Arial" w:cs="Arial"/>
                <w:sz w:val="24"/>
                <w:szCs w:val="24"/>
              </w:rPr>
              <w:t>Critical Path Method</w:t>
            </w:r>
            <w:r w:rsidR="0070239F" w:rsidRPr="00371E00">
              <w:rPr>
                <w:rFonts w:ascii="Arial" w:hAnsi="Arial" w:cs="Arial"/>
                <w:sz w:val="24"/>
                <w:szCs w:val="24"/>
              </w:rPr>
              <w:t>.</w:t>
            </w:r>
          </w:p>
          <w:p w14:paraId="45E5117B" w14:textId="77777777" w:rsidR="0070239F" w:rsidRPr="00371E00" w:rsidRDefault="00BA1D2A" w:rsidP="00371E00">
            <w:pPr>
              <w:spacing w:line="360" w:lineRule="auto"/>
              <w:jc w:val="both"/>
              <w:rPr>
                <w:rFonts w:ascii="Arial" w:hAnsi="Arial" w:cs="Arial"/>
                <w:sz w:val="24"/>
                <w:szCs w:val="24"/>
              </w:rPr>
            </w:pPr>
            <w:r w:rsidRPr="00371E00">
              <w:rPr>
                <w:rFonts w:ascii="Arial" w:hAnsi="Arial" w:cs="Arial"/>
                <w:sz w:val="24"/>
                <w:szCs w:val="24"/>
              </w:rPr>
              <w:lastRenderedPageBreak/>
              <w:t>Stakeholder mapping</w:t>
            </w:r>
            <w:r w:rsidR="0070239F" w:rsidRPr="00371E00">
              <w:rPr>
                <w:rFonts w:ascii="Arial" w:hAnsi="Arial" w:cs="Arial"/>
                <w:sz w:val="24"/>
                <w:szCs w:val="24"/>
              </w:rPr>
              <w:t>.</w:t>
            </w:r>
          </w:p>
          <w:p w14:paraId="1EDB34C0" w14:textId="00802D58"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Financial modelling</w:t>
            </w:r>
            <w:r w:rsidR="0070239F" w:rsidRPr="00371E00">
              <w:rPr>
                <w:rFonts w:ascii="Arial" w:hAnsi="Arial" w:cs="Arial"/>
                <w:sz w:val="24"/>
                <w:szCs w:val="24"/>
              </w:rPr>
              <w:t>.</w:t>
            </w:r>
          </w:p>
        </w:tc>
        <w:tc>
          <w:tcPr>
            <w:tcW w:w="2254" w:type="dxa"/>
          </w:tcPr>
          <w:p w14:paraId="5A83611F" w14:textId="2E95706E"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lastRenderedPageBreak/>
              <w:t xml:space="preserve">Gantt-chart software; budget dashboards; </w:t>
            </w:r>
            <w:r w:rsidRPr="00371E00">
              <w:rPr>
                <w:rFonts w:ascii="Arial" w:hAnsi="Arial" w:cs="Arial"/>
                <w:sz w:val="24"/>
                <w:szCs w:val="24"/>
              </w:rPr>
              <w:lastRenderedPageBreak/>
              <w:t>stakeholder-analysis tools</w:t>
            </w:r>
          </w:p>
        </w:tc>
      </w:tr>
      <w:tr w:rsidR="00BA1D2A" w:rsidRPr="00371E00" w14:paraId="60A87AEA" w14:textId="77777777" w:rsidTr="00BA1D2A">
        <w:tc>
          <w:tcPr>
            <w:tcW w:w="2254" w:type="dxa"/>
          </w:tcPr>
          <w:p w14:paraId="7F127EE7" w14:textId="3606F5D7"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lastRenderedPageBreak/>
              <w:t>Marketing</w:t>
            </w:r>
          </w:p>
        </w:tc>
        <w:tc>
          <w:tcPr>
            <w:tcW w:w="2254" w:type="dxa"/>
          </w:tcPr>
          <w:p w14:paraId="13C0D20B" w14:textId="77777777" w:rsidR="0070239F" w:rsidRPr="00371E00" w:rsidRDefault="00BA1D2A" w:rsidP="00371E00">
            <w:pPr>
              <w:spacing w:line="360" w:lineRule="auto"/>
              <w:jc w:val="both"/>
              <w:rPr>
                <w:rFonts w:ascii="Arial" w:hAnsi="Arial" w:cs="Arial"/>
                <w:sz w:val="24"/>
                <w:szCs w:val="24"/>
              </w:rPr>
            </w:pPr>
            <w:r w:rsidRPr="00371E00">
              <w:rPr>
                <w:rFonts w:ascii="Arial" w:hAnsi="Arial" w:cs="Arial"/>
                <w:sz w:val="24"/>
                <w:szCs w:val="24"/>
              </w:rPr>
              <w:t>Social-media integration</w:t>
            </w:r>
            <w:r w:rsidR="0070239F" w:rsidRPr="00371E00">
              <w:rPr>
                <w:rFonts w:ascii="Arial" w:hAnsi="Arial" w:cs="Arial"/>
                <w:sz w:val="24"/>
                <w:szCs w:val="24"/>
              </w:rPr>
              <w:t>.</w:t>
            </w:r>
          </w:p>
          <w:p w14:paraId="042E6CD1" w14:textId="77777777" w:rsidR="0070239F" w:rsidRPr="00371E00" w:rsidRDefault="00BA1D2A" w:rsidP="00371E00">
            <w:pPr>
              <w:spacing w:line="360" w:lineRule="auto"/>
              <w:jc w:val="both"/>
              <w:rPr>
                <w:rFonts w:ascii="Arial" w:hAnsi="Arial" w:cs="Arial"/>
                <w:sz w:val="24"/>
                <w:szCs w:val="24"/>
              </w:rPr>
            </w:pPr>
            <w:r w:rsidRPr="00371E00">
              <w:rPr>
                <w:rFonts w:ascii="Arial" w:hAnsi="Arial" w:cs="Arial"/>
                <w:sz w:val="24"/>
                <w:szCs w:val="24"/>
              </w:rPr>
              <w:t>Web analytics</w:t>
            </w:r>
            <w:r w:rsidR="0070239F" w:rsidRPr="00371E00">
              <w:rPr>
                <w:rFonts w:ascii="Arial" w:hAnsi="Arial" w:cs="Arial"/>
                <w:sz w:val="24"/>
                <w:szCs w:val="24"/>
              </w:rPr>
              <w:t>.</w:t>
            </w:r>
          </w:p>
          <w:p w14:paraId="039B4D6C" w14:textId="2EDE1948"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Place-branding content</w:t>
            </w:r>
            <w:r w:rsidR="0070239F" w:rsidRPr="00371E00">
              <w:rPr>
                <w:rFonts w:ascii="Arial" w:hAnsi="Arial" w:cs="Arial"/>
                <w:sz w:val="24"/>
                <w:szCs w:val="24"/>
              </w:rPr>
              <w:t>.</w:t>
            </w:r>
          </w:p>
        </w:tc>
        <w:tc>
          <w:tcPr>
            <w:tcW w:w="2254" w:type="dxa"/>
          </w:tcPr>
          <w:p w14:paraId="77F5D21E" w14:textId="04FD5920"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Digital-marketing suite (e.g., Google Analytics); CMS; CRM system</w:t>
            </w:r>
          </w:p>
        </w:tc>
      </w:tr>
    </w:tbl>
    <w:p w14:paraId="4746BF4D" w14:textId="77777777" w:rsidR="00BA1D2A" w:rsidRPr="00371E00" w:rsidRDefault="00BA1D2A" w:rsidP="00371E00">
      <w:pPr>
        <w:spacing w:line="360" w:lineRule="auto"/>
        <w:jc w:val="both"/>
        <w:rPr>
          <w:rFonts w:ascii="Arial" w:hAnsi="Arial" w:cs="Arial"/>
          <w:sz w:val="24"/>
          <w:szCs w:val="24"/>
          <w:lang w:eastAsia="en-GB"/>
        </w:rPr>
      </w:pPr>
    </w:p>
    <w:p w14:paraId="314C144B" w14:textId="0D8B899B" w:rsidR="007435DB" w:rsidRPr="00371E00" w:rsidRDefault="00BA1D2A" w:rsidP="00371E00">
      <w:pPr>
        <w:pStyle w:val="EU"/>
        <w:numPr>
          <w:ilvl w:val="0"/>
          <w:numId w:val="2"/>
        </w:numPr>
        <w:spacing w:line="360" w:lineRule="auto"/>
        <w:rPr>
          <w:color w:val="auto"/>
        </w:rPr>
      </w:pPr>
      <w:bookmarkStart w:id="10" w:name="_Toc200731250"/>
      <w:r w:rsidRPr="00371E00">
        <w:rPr>
          <w:color w:val="auto"/>
        </w:rPr>
        <w:t>Event Budget</w:t>
      </w:r>
      <w:bookmarkEnd w:id="10"/>
    </w:p>
    <w:tbl>
      <w:tblPr>
        <w:tblStyle w:val="TableGrid"/>
        <w:tblW w:w="0" w:type="auto"/>
        <w:tblLook w:val="04A0" w:firstRow="1" w:lastRow="0" w:firstColumn="1" w:lastColumn="0" w:noHBand="0" w:noVBand="1"/>
      </w:tblPr>
      <w:tblGrid>
        <w:gridCol w:w="3005"/>
        <w:gridCol w:w="3005"/>
        <w:gridCol w:w="3006"/>
      </w:tblGrid>
      <w:tr w:rsidR="00371E00" w:rsidRPr="00371E00" w14:paraId="5AD11E28" w14:textId="77777777" w:rsidTr="00BA1D2A">
        <w:tc>
          <w:tcPr>
            <w:tcW w:w="3005" w:type="dxa"/>
          </w:tcPr>
          <w:p w14:paraId="008A0510" w14:textId="26DC1358" w:rsidR="00BA1D2A" w:rsidRPr="00371E00" w:rsidRDefault="00BA1D2A" w:rsidP="00371E00">
            <w:pPr>
              <w:spacing w:line="360" w:lineRule="auto"/>
              <w:jc w:val="both"/>
              <w:rPr>
                <w:rFonts w:ascii="Arial" w:hAnsi="Arial" w:cs="Arial"/>
                <w:b/>
                <w:bCs/>
                <w:sz w:val="24"/>
                <w:szCs w:val="24"/>
                <w:lang w:eastAsia="en-GB"/>
              </w:rPr>
            </w:pPr>
            <w:r w:rsidRPr="00371E00">
              <w:rPr>
                <w:rFonts w:ascii="Arial" w:hAnsi="Arial" w:cs="Arial"/>
                <w:b/>
                <w:bCs/>
                <w:sz w:val="24"/>
                <w:szCs w:val="24"/>
              </w:rPr>
              <w:t>Category</w:t>
            </w:r>
          </w:p>
        </w:tc>
        <w:tc>
          <w:tcPr>
            <w:tcW w:w="3005" w:type="dxa"/>
          </w:tcPr>
          <w:p w14:paraId="49F0E7BE" w14:textId="63DEDBE7" w:rsidR="00BA1D2A" w:rsidRPr="00371E00" w:rsidRDefault="00BA1D2A" w:rsidP="00371E00">
            <w:pPr>
              <w:spacing w:line="360" w:lineRule="auto"/>
              <w:jc w:val="both"/>
              <w:rPr>
                <w:rFonts w:ascii="Arial" w:hAnsi="Arial" w:cs="Arial"/>
                <w:b/>
                <w:bCs/>
                <w:sz w:val="24"/>
                <w:szCs w:val="24"/>
                <w:lang w:eastAsia="en-GB"/>
              </w:rPr>
            </w:pPr>
            <w:r w:rsidRPr="00371E00">
              <w:rPr>
                <w:rFonts w:ascii="Arial" w:hAnsi="Arial" w:cs="Arial"/>
                <w:b/>
                <w:bCs/>
                <w:sz w:val="24"/>
                <w:szCs w:val="24"/>
              </w:rPr>
              <w:t>Amount (£)</w:t>
            </w:r>
          </w:p>
        </w:tc>
        <w:tc>
          <w:tcPr>
            <w:tcW w:w="3006" w:type="dxa"/>
          </w:tcPr>
          <w:p w14:paraId="39F72EF4" w14:textId="77A70AF3" w:rsidR="00BA1D2A" w:rsidRPr="00371E00" w:rsidRDefault="00BA1D2A" w:rsidP="00371E00">
            <w:pPr>
              <w:spacing w:line="360" w:lineRule="auto"/>
              <w:jc w:val="both"/>
              <w:rPr>
                <w:rFonts w:ascii="Arial" w:hAnsi="Arial" w:cs="Arial"/>
                <w:b/>
                <w:bCs/>
                <w:sz w:val="24"/>
                <w:szCs w:val="24"/>
                <w:lang w:eastAsia="en-GB"/>
              </w:rPr>
            </w:pPr>
            <w:r w:rsidRPr="00371E00">
              <w:rPr>
                <w:rFonts w:ascii="Arial" w:hAnsi="Arial" w:cs="Arial"/>
                <w:b/>
                <w:bCs/>
                <w:sz w:val="24"/>
                <w:szCs w:val="24"/>
              </w:rPr>
              <w:t>% of Total Expenditure</w:t>
            </w:r>
          </w:p>
        </w:tc>
      </w:tr>
      <w:tr w:rsidR="00371E00" w:rsidRPr="00371E00" w14:paraId="70873BAD" w14:textId="77777777" w:rsidTr="00BA1D2A">
        <w:tc>
          <w:tcPr>
            <w:tcW w:w="3005" w:type="dxa"/>
          </w:tcPr>
          <w:p w14:paraId="237EC45E" w14:textId="5E5C0AE8"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Venue hire</w:t>
            </w:r>
          </w:p>
        </w:tc>
        <w:tc>
          <w:tcPr>
            <w:tcW w:w="3005" w:type="dxa"/>
          </w:tcPr>
          <w:p w14:paraId="514009D6" w14:textId="0C1B3F3A"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200,000</w:t>
            </w:r>
          </w:p>
        </w:tc>
        <w:tc>
          <w:tcPr>
            <w:tcW w:w="3006" w:type="dxa"/>
          </w:tcPr>
          <w:p w14:paraId="20C63FB8" w14:textId="0C55387D"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25%</w:t>
            </w:r>
          </w:p>
        </w:tc>
      </w:tr>
      <w:tr w:rsidR="00371E00" w:rsidRPr="00371E00" w14:paraId="29C19017" w14:textId="77777777" w:rsidTr="00BA1D2A">
        <w:tc>
          <w:tcPr>
            <w:tcW w:w="3005" w:type="dxa"/>
          </w:tcPr>
          <w:p w14:paraId="0F0940C8" w14:textId="3C64D187"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Catering</w:t>
            </w:r>
          </w:p>
        </w:tc>
        <w:tc>
          <w:tcPr>
            <w:tcW w:w="3005" w:type="dxa"/>
          </w:tcPr>
          <w:p w14:paraId="7106DF8B" w14:textId="02C6F1C7"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120,000</w:t>
            </w:r>
          </w:p>
        </w:tc>
        <w:tc>
          <w:tcPr>
            <w:tcW w:w="3006" w:type="dxa"/>
          </w:tcPr>
          <w:p w14:paraId="2FBABBC0" w14:textId="25360895"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15%</w:t>
            </w:r>
          </w:p>
        </w:tc>
      </w:tr>
      <w:tr w:rsidR="00371E00" w:rsidRPr="00371E00" w14:paraId="62A9636E" w14:textId="77777777" w:rsidTr="00BA1D2A">
        <w:tc>
          <w:tcPr>
            <w:tcW w:w="3005" w:type="dxa"/>
          </w:tcPr>
          <w:p w14:paraId="01C185F2" w14:textId="24F3F2D5"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Marketing &amp; PR</w:t>
            </w:r>
          </w:p>
        </w:tc>
        <w:tc>
          <w:tcPr>
            <w:tcW w:w="3005" w:type="dxa"/>
          </w:tcPr>
          <w:p w14:paraId="783C423E" w14:textId="3DB7906C"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150,000</w:t>
            </w:r>
          </w:p>
        </w:tc>
        <w:tc>
          <w:tcPr>
            <w:tcW w:w="3006" w:type="dxa"/>
          </w:tcPr>
          <w:p w14:paraId="3AC6409C" w14:textId="462C5E2B"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19%</w:t>
            </w:r>
          </w:p>
        </w:tc>
      </w:tr>
      <w:tr w:rsidR="00371E00" w:rsidRPr="00371E00" w14:paraId="3D58EAFF" w14:textId="77777777" w:rsidTr="00BA1D2A">
        <w:tc>
          <w:tcPr>
            <w:tcW w:w="3005" w:type="dxa"/>
          </w:tcPr>
          <w:p w14:paraId="17586D19" w14:textId="2F2576C8"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AV &amp; Staging</w:t>
            </w:r>
          </w:p>
        </w:tc>
        <w:tc>
          <w:tcPr>
            <w:tcW w:w="3005" w:type="dxa"/>
          </w:tcPr>
          <w:p w14:paraId="365E0E68" w14:textId="4B4AA45B"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100,000</w:t>
            </w:r>
          </w:p>
        </w:tc>
        <w:tc>
          <w:tcPr>
            <w:tcW w:w="3006" w:type="dxa"/>
          </w:tcPr>
          <w:p w14:paraId="515B79B5" w14:textId="09901EC3"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12%</w:t>
            </w:r>
          </w:p>
        </w:tc>
      </w:tr>
      <w:tr w:rsidR="00371E00" w:rsidRPr="00371E00" w14:paraId="1EC5DF15" w14:textId="77777777" w:rsidTr="00BA1D2A">
        <w:tc>
          <w:tcPr>
            <w:tcW w:w="3005" w:type="dxa"/>
          </w:tcPr>
          <w:p w14:paraId="173C151A" w14:textId="78F8E14C"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Staffing &amp; Volunteers</w:t>
            </w:r>
          </w:p>
        </w:tc>
        <w:tc>
          <w:tcPr>
            <w:tcW w:w="3005" w:type="dxa"/>
          </w:tcPr>
          <w:p w14:paraId="77023F76" w14:textId="7EE8253B"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80,000</w:t>
            </w:r>
          </w:p>
        </w:tc>
        <w:tc>
          <w:tcPr>
            <w:tcW w:w="3006" w:type="dxa"/>
          </w:tcPr>
          <w:p w14:paraId="2C499AD6" w14:textId="2AE935C1"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10%</w:t>
            </w:r>
          </w:p>
        </w:tc>
      </w:tr>
      <w:tr w:rsidR="00371E00" w:rsidRPr="00371E00" w14:paraId="55B5FBB9" w14:textId="77777777" w:rsidTr="00BA1D2A">
        <w:tc>
          <w:tcPr>
            <w:tcW w:w="3005" w:type="dxa"/>
          </w:tcPr>
          <w:p w14:paraId="280BEC37" w14:textId="4FC0078D"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Travel &amp; Accommodation</w:t>
            </w:r>
          </w:p>
        </w:tc>
        <w:tc>
          <w:tcPr>
            <w:tcW w:w="3005" w:type="dxa"/>
          </w:tcPr>
          <w:p w14:paraId="6C71CDAC" w14:textId="14EE8F48"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50,000</w:t>
            </w:r>
          </w:p>
        </w:tc>
        <w:tc>
          <w:tcPr>
            <w:tcW w:w="3006" w:type="dxa"/>
          </w:tcPr>
          <w:p w14:paraId="64EC3B90" w14:textId="1EFB7594"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6%</w:t>
            </w:r>
          </w:p>
        </w:tc>
      </w:tr>
      <w:tr w:rsidR="00371E00" w:rsidRPr="00371E00" w14:paraId="367FCB17" w14:textId="77777777" w:rsidTr="00BA1D2A">
        <w:tc>
          <w:tcPr>
            <w:tcW w:w="3005" w:type="dxa"/>
          </w:tcPr>
          <w:p w14:paraId="4186BE13" w14:textId="2FDA7FFD"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Sustainability Initiatives</w:t>
            </w:r>
          </w:p>
        </w:tc>
        <w:tc>
          <w:tcPr>
            <w:tcW w:w="3005" w:type="dxa"/>
          </w:tcPr>
          <w:p w14:paraId="6936BEE2" w14:textId="6C6CE2DA"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30,000</w:t>
            </w:r>
          </w:p>
        </w:tc>
        <w:tc>
          <w:tcPr>
            <w:tcW w:w="3006" w:type="dxa"/>
          </w:tcPr>
          <w:p w14:paraId="7445D816" w14:textId="2847AC26"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4%</w:t>
            </w:r>
          </w:p>
        </w:tc>
      </w:tr>
      <w:tr w:rsidR="00371E00" w:rsidRPr="00371E00" w14:paraId="0C7C3760" w14:textId="77777777" w:rsidTr="00BA1D2A">
        <w:tc>
          <w:tcPr>
            <w:tcW w:w="3005" w:type="dxa"/>
          </w:tcPr>
          <w:p w14:paraId="509313E0" w14:textId="60A3F775"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Contingency</w:t>
            </w:r>
          </w:p>
        </w:tc>
        <w:tc>
          <w:tcPr>
            <w:tcW w:w="3005" w:type="dxa"/>
          </w:tcPr>
          <w:p w14:paraId="356E561C" w14:textId="0D59328D"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73,000</w:t>
            </w:r>
          </w:p>
        </w:tc>
        <w:tc>
          <w:tcPr>
            <w:tcW w:w="3006" w:type="dxa"/>
          </w:tcPr>
          <w:p w14:paraId="64EA52ED" w14:textId="31F5060B"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9%</w:t>
            </w:r>
          </w:p>
        </w:tc>
      </w:tr>
      <w:tr w:rsidR="00BA1D2A" w:rsidRPr="00371E00" w14:paraId="07E603B3" w14:textId="77777777" w:rsidTr="00BA1D2A">
        <w:tc>
          <w:tcPr>
            <w:tcW w:w="3005" w:type="dxa"/>
          </w:tcPr>
          <w:p w14:paraId="58647190" w14:textId="1FF59E07"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Total Expenditure</w:t>
            </w:r>
          </w:p>
        </w:tc>
        <w:tc>
          <w:tcPr>
            <w:tcW w:w="3005" w:type="dxa"/>
          </w:tcPr>
          <w:p w14:paraId="20657589" w14:textId="2CBC37B4"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803,000</w:t>
            </w:r>
          </w:p>
        </w:tc>
        <w:tc>
          <w:tcPr>
            <w:tcW w:w="3006" w:type="dxa"/>
          </w:tcPr>
          <w:p w14:paraId="6F5AC289" w14:textId="4BB1C0F8" w:rsidR="00BA1D2A" w:rsidRPr="00371E00" w:rsidRDefault="00BA1D2A" w:rsidP="00371E00">
            <w:pPr>
              <w:spacing w:line="360" w:lineRule="auto"/>
              <w:jc w:val="both"/>
              <w:rPr>
                <w:rFonts w:ascii="Arial" w:hAnsi="Arial" w:cs="Arial"/>
                <w:sz w:val="24"/>
                <w:szCs w:val="24"/>
                <w:lang w:eastAsia="en-GB"/>
              </w:rPr>
            </w:pPr>
            <w:r w:rsidRPr="00371E00">
              <w:rPr>
                <w:rFonts w:ascii="Arial" w:hAnsi="Arial" w:cs="Arial"/>
                <w:sz w:val="24"/>
                <w:szCs w:val="24"/>
              </w:rPr>
              <w:t>100%</w:t>
            </w:r>
          </w:p>
        </w:tc>
      </w:tr>
    </w:tbl>
    <w:p w14:paraId="51ABCD4F" w14:textId="77777777" w:rsidR="007435DB" w:rsidRPr="00371E00" w:rsidRDefault="007435DB" w:rsidP="00371E00">
      <w:pPr>
        <w:spacing w:line="360" w:lineRule="auto"/>
        <w:jc w:val="both"/>
        <w:rPr>
          <w:rFonts w:ascii="Arial" w:hAnsi="Arial" w:cs="Arial"/>
          <w:sz w:val="24"/>
          <w:szCs w:val="24"/>
          <w:lang w:eastAsia="en-GB"/>
        </w:rPr>
      </w:pPr>
    </w:p>
    <w:p w14:paraId="0ABF9F84" w14:textId="14E47693" w:rsidR="00BA1D2A" w:rsidRPr="00371E00" w:rsidRDefault="00BA1D2A" w:rsidP="00371E00">
      <w:pPr>
        <w:spacing w:line="360" w:lineRule="auto"/>
        <w:jc w:val="both"/>
        <w:rPr>
          <w:rFonts w:ascii="Arial" w:hAnsi="Arial" w:cs="Arial"/>
          <w:sz w:val="24"/>
          <w:szCs w:val="24"/>
          <w:lang w:eastAsia="en-GB"/>
        </w:rPr>
      </w:pPr>
      <w:proofErr w:type="spellStart"/>
      <w:r w:rsidRPr="00371E00">
        <w:rPr>
          <w:rFonts w:ascii="Arial" w:hAnsi="Arial" w:cs="Arial"/>
          <w:sz w:val="24"/>
          <w:szCs w:val="24"/>
          <w:lang w:eastAsia="en-GB"/>
        </w:rPr>
        <w:t>Llanerch</w:t>
      </w:r>
      <w:proofErr w:type="spellEnd"/>
      <w:r w:rsidRPr="00371E00">
        <w:rPr>
          <w:rFonts w:ascii="Arial" w:hAnsi="Arial" w:cs="Arial"/>
          <w:sz w:val="24"/>
          <w:szCs w:val="24"/>
          <w:lang w:eastAsia="en-GB"/>
        </w:rPr>
        <w:t xml:space="preserve"> Vineyard's venue hire costs £200,000 which represents 25% of the total budget due to its prestige and the specialized setup needed for MICE events; high-end rural venues usually take up 20–30% of event budgets (Getz and Page, 2019). The £120,000 catering cost represents 15% of the budget which falls below the academic conference industry standard of 33% because of partnerships with local producers who provide services at no charge. The promotional budget for experiential events usually runs between 15% and 20% to attract attendees and sponsors  while marketing and PR expenses reach £150,000 (19%)</w:t>
      </w:r>
      <w:r w:rsidR="0070239F" w:rsidRPr="00371E00">
        <w:rPr>
          <w:rFonts w:ascii="Arial" w:hAnsi="Arial" w:cs="Arial"/>
          <w:sz w:val="24"/>
          <w:szCs w:val="24"/>
          <w:lang w:eastAsia="en-GB"/>
        </w:rPr>
        <w:t xml:space="preserve"> (Mair and Whitford, 2013)</w:t>
      </w:r>
      <w:r w:rsidRPr="00371E00">
        <w:rPr>
          <w:rFonts w:ascii="Arial" w:hAnsi="Arial" w:cs="Arial"/>
          <w:sz w:val="24"/>
          <w:szCs w:val="24"/>
          <w:lang w:eastAsia="en-GB"/>
        </w:rPr>
        <w:t xml:space="preserve">. The audiovisual and staging budget of £100,000 (12%) creates a high-quality hybrid experience while comparable events allocate approximately 10% for AV to enable </w:t>
      </w:r>
      <w:r w:rsidRPr="00371E00">
        <w:rPr>
          <w:rFonts w:ascii="Arial" w:hAnsi="Arial" w:cs="Arial"/>
          <w:sz w:val="24"/>
          <w:szCs w:val="24"/>
          <w:lang w:eastAsia="en-GB"/>
        </w:rPr>
        <w:lastRenderedPageBreak/>
        <w:t>recording and livestreaming (Goldblatt, 201</w:t>
      </w:r>
      <w:r w:rsidR="0070239F" w:rsidRPr="00371E00">
        <w:rPr>
          <w:rFonts w:ascii="Arial" w:hAnsi="Arial" w:cs="Arial"/>
          <w:sz w:val="24"/>
          <w:szCs w:val="24"/>
          <w:lang w:eastAsia="en-GB"/>
        </w:rPr>
        <w:t>4</w:t>
      </w:r>
      <w:r w:rsidRPr="00371E00">
        <w:rPr>
          <w:rFonts w:ascii="Arial" w:hAnsi="Arial" w:cs="Arial"/>
          <w:sz w:val="24"/>
          <w:szCs w:val="24"/>
          <w:lang w:eastAsia="en-GB"/>
        </w:rPr>
        <w:t>). The £80,000 human resource budget accommodates staffing and volunteer management expenses including professional fees and training while event risk frameworks propose allocating 8–12% of total expenditure for human resources to ensure successful onsite activities (Silvers, 20</w:t>
      </w:r>
      <w:r w:rsidR="0070239F" w:rsidRPr="00371E00">
        <w:rPr>
          <w:rFonts w:ascii="Arial" w:hAnsi="Arial" w:cs="Arial"/>
          <w:sz w:val="24"/>
          <w:szCs w:val="24"/>
          <w:lang w:eastAsia="en-GB"/>
        </w:rPr>
        <w:t>09</w:t>
      </w:r>
      <w:r w:rsidRPr="00371E00">
        <w:rPr>
          <w:rFonts w:ascii="Arial" w:hAnsi="Arial" w:cs="Arial"/>
          <w:sz w:val="24"/>
          <w:szCs w:val="24"/>
          <w:lang w:eastAsia="en-GB"/>
        </w:rPr>
        <w:t>). The £50,000 budget for keynote speaker travel and site logistics represents 6% of total costs and follows Bowdin et al.’s (20</w:t>
      </w:r>
      <w:r w:rsidR="0070239F" w:rsidRPr="00371E00">
        <w:rPr>
          <w:rFonts w:ascii="Arial" w:hAnsi="Arial" w:cs="Arial"/>
          <w:sz w:val="24"/>
          <w:szCs w:val="24"/>
          <w:lang w:eastAsia="en-GB"/>
        </w:rPr>
        <w:t>23</w:t>
      </w:r>
      <w:r w:rsidRPr="00371E00">
        <w:rPr>
          <w:rFonts w:ascii="Arial" w:hAnsi="Arial" w:cs="Arial"/>
          <w:sz w:val="24"/>
          <w:szCs w:val="24"/>
          <w:lang w:eastAsia="en-GB"/>
        </w:rPr>
        <w:t>) recommendation to allocate 5–10% for delegate travel in rural events. The budget for sustainability initiatives including compostable materials and carbon-offset contributions along with ISO 20121 consultancy totals £30,000 which represents 4% of spending in line with best practices that normally require 3–5% of budget allocation (ISO, 2015). £73,000 (9%) contingency reserve facilitates financial flexibility throughout exchange-rate changes, vendor cost overruns, and weather disruptions with contingency buffers of 5–10% being typical in event management practices (Silvers, 20</w:t>
      </w:r>
      <w:r w:rsidR="0070239F" w:rsidRPr="00371E00">
        <w:rPr>
          <w:rFonts w:ascii="Arial" w:hAnsi="Arial" w:cs="Arial"/>
          <w:sz w:val="24"/>
          <w:szCs w:val="24"/>
          <w:lang w:eastAsia="en-GB"/>
        </w:rPr>
        <w:t>09</w:t>
      </w:r>
      <w:r w:rsidRPr="00371E00">
        <w:rPr>
          <w:rFonts w:ascii="Arial" w:hAnsi="Arial" w:cs="Arial"/>
          <w:sz w:val="24"/>
          <w:szCs w:val="24"/>
          <w:lang w:eastAsia="en-GB"/>
        </w:rPr>
        <w:t>). Visit Wales provides £400,000 for funding together with £300,000 from sponsorship packages and £150,000 from delegate registration fees as well as £100,000 from exhibitor fees with additional £20,000 from merchandise sales. The combination of public funding with commercial sponsorship and earned income reflects sector advice for building financial stability while ensuring stakeholder alignment (Bowdin et al., 20</w:t>
      </w:r>
      <w:r w:rsidR="0070239F" w:rsidRPr="00371E00">
        <w:rPr>
          <w:rFonts w:ascii="Arial" w:hAnsi="Arial" w:cs="Arial"/>
          <w:sz w:val="24"/>
          <w:szCs w:val="24"/>
          <w:lang w:eastAsia="en-GB"/>
        </w:rPr>
        <w:t>23</w:t>
      </w:r>
      <w:r w:rsidRPr="00371E00">
        <w:rPr>
          <w:rFonts w:ascii="Arial" w:hAnsi="Arial" w:cs="Arial"/>
          <w:sz w:val="24"/>
          <w:szCs w:val="24"/>
          <w:lang w:eastAsia="en-GB"/>
        </w:rPr>
        <w:t>).</w:t>
      </w:r>
    </w:p>
    <w:p w14:paraId="74574A57" w14:textId="3B0CE1F8" w:rsidR="00BA1D2A" w:rsidRPr="00371E00" w:rsidRDefault="007061CD" w:rsidP="00371E00">
      <w:pPr>
        <w:pStyle w:val="EU"/>
        <w:numPr>
          <w:ilvl w:val="0"/>
          <w:numId w:val="2"/>
        </w:numPr>
        <w:spacing w:line="360" w:lineRule="auto"/>
        <w:rPr>
          <w:color w:val="auto"/>
        </w:rPr>
      </w:pPr>
      <w:bookmarkStart w:id="11" w:name="_Toc200731251"/>
      <w:r w:rsidRPr="00371E00">
        <w:rPr>
          <w:color w:val="auto"/>
        </w:rPr>
        <w:t>Industry Trends</w:t>
      </w:r>
      <w:bookmarkEnd w:id="11"/>
    </w:p>
    <w:p w14:paraId="2DCFDE2F" w14:textId="305266E2"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The latest academic studies spotlight various strategic developments in the meetings and events sector. The combination of AI-driven personalization with virtual reality demonstrations and advanced digital engagement platforms enriches attendee experience while streamlining operational processes according to </w:t>
      </w:r>
      <w:proofErr w:type="spellStart"/>
      <w:r w:rsidRPr="00371E00">
        <w:rPr>
          <w:rFonts w:ascii="Arial" w:hAnsi="Arial" w:cs="Arial"/>
          <w:sz w:val="24"/>
          <w:szCs w:val="24"/>
          <w:lang w:eastAsia="en-GB"/>
        </w:rPr>
        <w:t>Sjukriana</w:t>
      </w:r>
      <w:proofErr w:type="spellEnd"/>
      <w:r w:rsidRPr="00371E00">
        <w:rPr>
          <w:rFonts w:ascii="Arial" w:hAnsi="Arial" w:cs="Arial"/>
          <w:sz w:val="24"/>
          <w:szCs w:val="24"/>
          <w:lang w:eastAsia="en-GB"/>
        </w:rPr>
        <w:t xml:space="preserve">, </w:t>
      </w:r>
      <w:r w:rsidR="0070239F" w:rsidRPr="00371E00">
        <w:rPr>
          <w:rFonts w:ascii="Arial" w:hAnsi="Arial" w:cs="Arial"/>
          <w:sz w:val="24"/>
          <w:szCs w:val="24"/>
          <w:lang w:eastAsia="en-GB"/>
        </w:rPr>
        <w:t>et al.,</w:t>
      </w:r>
      <w:r w:rsidRPr="00371E00">
        <w:rPr>
          <w:rFonts w:ascii="Arial" w:hAnsi="Arial" w:cs="Arial"/>
          <w:sz w:val="24"/>
          <w:szCs w:val="24"/>
          <w:lang w:eastAsia="en-GB"/>
        </w:rPr>
        <w:t xml:space="preserve"> (202</w:t>
      </w:r>
      <w:r w:rsidR="0070239F" w:rsidRPr="00371E00">
        <w:rPr>
          <w:rFonts w:ascii="Arial" w:hAnsi="Arial" w:cs="Arial"/>
          <w:sz w:val="24"/>
          <w:szCs w:val="24"/>
          <w:lang w:eastAsia="en-GB"/>
        </w:rPr>
        <w:t>5</w:t>
      </w:r>
      <w:r w:rsidRPr="00371E00">
        <w:rPr>
          <w:rFonts w:ascii="Arial" w:hAnsi="Arial" w:cs="Arial"/>
          <w:sz w:val="24"/>
          <w:szCs w:val="24"/>
          <w:lang w:eastAsia="en-GB"/>
        </w:rPr>
        <w:t>). The event planning industry now prioritizes environmental sustainability as a key strategic goal by following ISO 20121 standards and UN Sustainable Development Goals to create carbon-neutral events while optimizing waste management and local sourcing (</w:t>
      </w:r>
      <w:r w:rsidR="00773F1A" w:rsidRPr="00371E00">
        <w:rPr>
          <w:rFonts w:ascii="Arial" w:hAnsi="Arial" w:cs="Arial"/>
          <w:sz w:val="24"/>
          <w:szCs w:val="24"/>
          <w:lang w:eastAsia="en-GB"/>
        </w:rPr>
        <w:t>Holmes et al., 2015</w:t>
      </w:r>
      <w:r w:rsidRPr="00371E00">
        <w:rPr>
          <w:rFonts w:ascii="Arial" w:hAnsi="Arial" w:cs="Arial"/>
          <w:sz w:val="24"/>
          <w:szCs w:val="24"/>
          <w:lang w:eastAsia="en-GB"/>
        </w:rPr>
        <w:t>). According to systematic reviews waste recycling along with energy efficiency and multi-stakeholder collaboration stand out as the leading sustainable practices implemented across various event scales</w:t>
      </w:r>
      <w:r w:rsidR="00773F1A" w:rsidRPr="00371E00">
        <w:rPr>
          <w:rFonts w:ascii="Arial" w:hAnsi="Arial" w:cs="Arial"/>
          <w:sz w:val="24"/>
          <w:szCs w:val="24"/>
          <w:lang w:eastAsia="en-GB"/>
        </w:rPr>
        <w:t xml:space="preserve">. </w:t>
      </w:r>
      <w:r w:rsidRPr="00371E00">
        <w:rPr>
          <w:rFonts w:ascii="Arial" w:hAnsi="Arial" w:cs="Arial"/>
          <w:sz w:val="24"/>
          <w:szCs w:val="24"/>
          <w:lang w:eastAsia="en-GB"/>
        </w:rPr>
        <w:t>Experiential authenticity through sensory engagement and cultural immersion creates stronger place attachments which drive satisfaction and loyalty</w:t>
      </w:r>
      <w:r w:rsidR="00773F1A" w:rsidRPr="00371E00">
        <w:rPr>
          <w:rFonts w:ascii="Arial" w:hAnsi="Arial" w:cs="Arial"/>
          <w:sz w:val="24"/>
          <w:szCs w:val="24"/>
          <w:lang w:eastAsia="en-GB"/>
        </w:rPr>
        <w:t xml:space="preserve">. </w:t>
      </w:r>
      <w:r w:rsidRPr="00371E00">
        <w:rPr>
          <w:rFonts w:ascii="Arial" w:hAnsi="Arial" w:cs="Arial"/>
          <w:sz w:val="24"/>
          <w:szCs w:val="24"/>
          <w:lang w:eastAsia="en-GB"/>
        </w:rPr>
        <w:t>Social responsibility in design emerges from enhanced stakeholder and community involvement which supports local legacies and fair benefit sharing (</w:t>
      </w:r>
      <w:r w:rsidR="00773F1A" w:rsidRPr="00371E00">
        <w:rPr>
          <w:rFonts w:ascii="Arial" w:hAnsi="Arial" w:cs="Arial"/>
          <w:sz w:val="24"/>
          <w:szCs w:val="24"/>
          <w:lang w:eastAsia="en-GB"/>
        </w:rPr>
        <w:t>Ross et al.,</w:t>
      </w:r>
      <w:r w:rsidRPr="00371E00">
        <w:rPr>
          <w:rFonts w:ascii="Arial" w:hAnsi="Arial" w:cs="Arial"/>
          <w:sz w:val="24"/>
          <w:szCs w:val="24"/>
          <w:lang w:eastAsia="en-GB"/>
        </w:rPr>
        <w:t xml:space="preserve">, 2024). The pandemic expedited </w:t>
      </w:r>
      <w:r w:rsidRPr="00371E00">
        <w:rPr>
          <w:rFonts w:ascii="Arial" w:hAnsi="Arial" w:cs="Arial"/>
          <w:sz w:val="24"/>
          <w:szCs w:val="24"/>
          <w:lang w:eastAsia="en-GB"/>
        </w:rPr>
        <w:lastRenderedPageBreak/>
        <w:t>the adoption of hybrid and virtual-hybrid formats which continue to thrive through their combination of face-to-face and online methods to widen accessibility and strengthen resilience</w:t>
      </w:r>
      <w:r w:rsidR="00773F1A" w:rsidRPr="00371E00">
        <w:rPr>
          <w:rFonts w:ascii="Arial" w:hAnsi="Arial" w:cs="Arial"/>
          <w:sz w:val="24"/>
          <w:szCs w:val="24"/>
          <w:lang w:eastAsia="en-GB"/>
        </w:rPr>
        <w:t xml:space="preserve">. </w:t>
      </w:r>
      <w:r w:rsidRPr="00371E00">
        <w:rPr>
          <w:rFonts w:ascii="Arial" w:hAnsi="Arial" w:cs="Arial"/>
          <w:sz w:val="24"/>
          <w:szCs w:val="24"/>
          <w:lang w:eastAsia="en-GB"/>
        </w:rPr>
        <w:t xml:space="preserve">Economic instability demands the adoption of dynamic pricing systems and multiple revenue sources including sponsorships and digital products to safeguard investment returns in unpredictable markets (Ibrahim, </w:t>
      </w:r>
      <w:proofErr w:type="spellStart"/>
      <w:r w:rsidRPr="00371E00">
        <w:rPr>
          <w:rFonts w:ascii="Arial" w:hAnsi="Arial" w:cs="Arial"/>
          <w:sz w:val="24"/>
          <w:szCs w:val="24"/>
          <w:lang w:eastAsia="en-GB"/>
        </w:rPr>
        <w:t>Sa’aid</w:t>
      </w:r>
      <w:proofErr w:type="spellEnd"/>
      <w:r w:rsidRPr="00371E00">
        <w:rPr>
          <w:rFonts w:ascii="Arial" w:hAnsi="Arial" w:cs="Arial"/>
          <w:sz w:val="24"/>
          <w:szCs w:val="24"/>
          <w:lang w:eastAsia="en-GB"/>
        </w:rPr>
        <w:t xml:space="preserve"> </w:t>
      </w:r>
      <w:r w:rsidR="00773F1A" w:rsidRPr="00371E00">
        <w:rPr>
          <w:rFonts w:ascii="Arial" w:hAnsi="Arial" w:cs="Arial"/>
          <w:sz w:val="24"/>
          <w:szCs w:val="24"/>
          <w:lang w:eastAsia="en-GB"/>
        </w:rPr>
        <w:t>and</w:t>
      </w:r>
      <w:r w:rsidRPr="00371E00">
        <w:rPr>
          <w:rFonts w:ascii="Arial" w:hAnsi="Arial" w:cs="Arial"/>
          <w:sz w:val="24"/>
          <w:szCs w:val="24"/>
          <w:lang w:eastAsia="en-GB"/>
        </w:rPr>
        <w:t xml:space="preserve"> </w:t>
      </w:r>
      <w:proofErr w:type="spellStart"/>
      <w:r w:rsidRPr="00371E00">
        <w:rPr>
          <w:rFonts w:ascii="Arial" w:hAnsi="Arial" w:cs="Arial"/>
          <w:sz w:val="24"/>
          <w:szCs w:val="24"/>
          <w:lang w:eastAsia="en-GB"/>
        </w:rPr>
        <w:t>Yuliawan</w:t>
      </w:r>
      <w:proofErr w:type="spellEnd"/>
      <w:r w:rsidRPr="00371E00">
        <w:rPr>
          <w:rFonts w:ascii="Arial" w:hAnsi="Arial" w:cs="Arial"/>
          <w:sz w:val="24"/>
          <w:szCs w:val="24"/>
          <w:lang w:eastAsia="en-GB"/>
        </w:rPr>
        <w:t xml:space="preserve">, 2023).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by the Vines plans to merge these insights through technological advancements and strict sustainability measures while providing genuine experiences that are focused on community engagement.</w:t>
      </w:r>
    </w:p>
    <w:p w14:paraId="626A44C5" w14:textId="0AEEB256" w:rsidR="007061CD" w:rsidRPr="00371E00" w:rsidRDefault="007061CD" w:rsidP="00371E00">
      <w:pPr>
        <w:pStyle w:val="EU"/>
        <w:numPr>
          <w:ilvl w:val="0"/>
          <w:numId w:val="2"/>
        </w:numPr>
        <w:spacing w:line="360" w:lineRule="auto"/>
        <w:rPr>
          <w:color w:val="auto"/>
        </w:rPr>
      </w:pPr>
      <w:bookmarkStart w:id="12" w:name="_Toc200731252"/>
      <w:r w:rsidRPr="00371E00">
        <w:rPr>
          <w:color w:val="auto"/>
        </w:rPr>
        <w:t>Situational and Cultural Considerations</w:t>
      </w:r>
      <w:bookmarkEnd w:id="12"/>
    </w:p>
    <w:p w14:paraId="44E18466" w14:textId="54480DE6" w:rsidR="007061CD" w:rsidRPr="00371E00" w:rsidRDefault="007061CD" w:rsidP="00371E00">
      <w:pPr>
        <w:pStyle w:val="EU"/>
        <w:spacing w:line="360" w:lineRule="auto"/>
        <w:rPr>
          <w:color w:val="auto"/>
        </w:rPr>
      </w:pPr>
      <w:bookmarkStart w:id="13" w:name="_Toc200731253"/>
      <w:r w:rsidRPr="00371E00">
        <w:rPr>
          <w:color w:val="auto"/>
        </w:rPr>
        <w:t>PESTEL Analysis</w:t>
      </w:r>
      <w:bookmarkEnd w:id="13"/>
    </w:p>
    <w:tbl>
      <w:tblPr>
        <w:tblStyle w:val="TableGrid"/>
        <w:tblW w:w="0" w:type="auto"/>
        <w:tblLook w:val="04A0" w:firstRow="1" w:lastRow="0" w:firstColumn="1" w:lastColumn="0" w:noHBand="0" w:noVBand="1"/>
      </w:tblPr>
      <w:tblGrid>
        <w:gridCol w:w="3005"/>
        <w:gridCol w:w="3005"/>
        <w:gridCol w:w="3006"/>
      </w:tblGrid>
      <w:tr w:rsidR="00371E00" w:rsidRPr="00371E00" w14:paraId="0A492778" w14:textId="77777777" w:rsidTr="007061CD">
        <w:tc>
          <w:tcPr>
            <w:tcW w:w="3005" w:type="dxa"/>
          </w:tcPr>
          <w:p w14:paraId="628851F3" w14:textId="0D667DC2" w:rsidR="007061CD" w:rsidRPr="00371E00" w:rsidRDefault="007061CD" w:rsidP="00371E00">
            <w:pPr>
              <w:spacing w:line="360" w:lineRule="auto"/>
              <w:jc w:val="both"/>
              <w:rPr>
                <w:rFonts w:ascii="Arial" w:hAnsi="Arial" w:cs="Arial"/>
                <w:b/>
                <w:bCs/>
                <w:sz w:val="24"/>
                <w:szCs w:val="24"/>
                <w:lang w:eastAsia="en-GB"/>
              </w:rPr>
            </w:pPr>
            <w:r w:rsidRPr="00371E00">
              <w:rPr>
                <w:rFonts w:ascii="Arial" w:hAnsi="Arial" w:cs="Arial"/>
                <w:b/>
                <w:bCs/>
                <w:sz w:val="24"/>
                <w:szCs w:val="24"/>
              </w:rPr>
              <w:t>Dimension</w:t>
            </w:r>
          </w:p>
        </w:tc>
        <w:tc>
          <w:tcPr>
            <w:tcW w:w="3005" w:type="dxa"/>
          </w:tcPr>
          <w:p w14:paraId="22BCBC0F" w14:textId="2FF33A1E" w:rsidR="007061CD" w:rsidRPr="00371E00" w:rsidRDefault="007061CD" w:rsidP="00371E00">
            <w:pPr>
              <w:spacing w:line="360" w:lineRule="auto"/>
              <w:jc w:val="both"/>
              <w:rPr>
                <w:rFonts w:ascii="Arial" w:hAnsi="Arial" w:cs="Arial"/>
                <w:b/>
                <w:bCs/>
                <w:sz w:val="24"/>
                <w:szCs w:val="24"/>
                <w:lang w:eastAsia="en-GB"/>
              </w:rPr>
            </w:pPr>
            <w:r w:rsidRPr="00371E00">
              <w:rPr>
                <w:rFonts w:ascii="Arial" w:hAnsi="Arial" w:cs="Arial"/>
                <w:b/>
                <w:bCs/>
                <w:sz w:val="24"/>
                <w:szCs w:val="24"/>
              </w:rPr>
              <w:t>Key Consideration</w:t>
            </w:r>
          </w:p>
        </w:tc>
        <w:tc>
          <w:tcPr>
            <w:tcW w:w="3006" w:type="dxa"/>
          </w:tcPr>
          <w:p w14:paraId="3D874AB0" w14:textId="2109650C" w:rsidR="007061CD" w:rsidRPr="00371E00" w:rsidRDefault="007061CD" w:rsidP="00371E00">
            <w:pPr>
              <w:spacing w:line="360" w:lineRule="auto"/>
              <w:jc w:val="both"/>
              <w:rPr>
                <w:rFonts w:ascii="Arial" w:hAnsi="Arial" w:cs="Arial"/>
                <w:b/>
                <w:bCs/>
                <w:sz w:val="24"/>
                <w:szCs w:val="24"/>
                <w:lang w:eastAsia="en-GB"/>
              </w:rPr>
            </w:pPr>
            <w:r w:rsidRPr="00371E00">
              <w:rPr>
                <w:rFonts w:ascii="Arial" w:hAnsi="Arial" w:cs="Arial"/>
                <w:b/>
                <w:bCs/>
                <w:sz w:val="24"/>
                <w:szCs w:val="24"/>
              </w:rPr>
              <w:t xml:space="preserve">Relevance to </w:t>
            </w:r>
            <w:proofErr w:type="spellStart"/>
            <w:r w:rsidRPr="00371E00">
              <w:rPr>
                <w:rFonts w:ascii="Arial" w:hAnsi="Arial" w:cs="Arial"/>
                <w:b/>
                <w:bCs/>
                <w:sz w:val="24"/>
                <w:szCs w:val="24"/>
              </w:rPr>
              <w:t>Croeso</w:t>
            </w:r>
            <w:proofErr w:type="spellEnd"/>
            <w:r w:rsidRPr="00371E00">
              <w:rPr>
                <w:rFonts w:ascii="Arial" w:hAnsi="Arial" w:cs="Arial"/>
                <w:b/>
                <w:bCs/>
                <w:sz w:val="24"/>
                <w:szCs w:val="24"/>
              </w:rPr>
              <w:t xml:space="preserve"> by the Vines</w:t>
            </w:r>
          </w:p>
        </w:tc>
      </w:tr>
      <w:tr w:rsidR="00371E00" w:rsidRPr="00371E00" w14:paraId="7E944AB9" w14:textId="77777777" w:rsidTr="007061CD">
        <w:tc>
          <w:tcPr>
            <w:tcW w:w="3005" w:type="dxa"/>
          </w:tcPr>
          <w:p w14:paraId="337BDECB" w14:textId="0076302A"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Political</w:t>
            </w:r>
          </w:p>
        </w:tc>
        <w:tc>
          <w:tcPr>
            <w:tcW w:w="3005" w:type="dxa"/>
          </w:tcPr>
          <w:p w14:paraId="321ECE11" w14:textId="34296C62"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National Events Strategy 2022–2030 supports a unified, government–industry approach</w:t>
            </w:r>
            <w:r w:rsidR="00773F1A" w:rsidRPr="00371E00">
              <w:rPr>
                <w:rFonts w:ascii="Arial" w:hAnsi="Arial" w:cs="Arial"/>
                <w:sz w:val="24"/>
                <w:szCs w:val="24"/>
              </w:rPr>
              <w:t>.</w:t>
            </w:r>
          </w:p>
        </w:tc>
        <w:tc>
          <w:tcPr>
            <w:tcW w:w="3006" w:type="dxa"/>
          </w:tcPr>
          <w:p w14:paraId="62D41E1E" w14:textId="31DF29E2"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Leverage public funding, stakeholder alignment, and policy guidance</w:t>
            </w:r>
          </w:p>
        </w:tc>
      </w:tr>
      <w:tr w:rsidR="00371E00" w:rsidRPr="00371E00" w14:paraId="0BCD00D3" w14:textId="77777777" w:rsidTr="007061CD">
        <w:tc>
          <w:tcPr>
            <w:tcW w:w="3005" w:type="dxa"/>
          </w:tcPr>
          <w:p w14:paraId="1A0395A4" w14:textId="5956996B"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Economic</w:t>
            </w:r>
          </w:p>
        </w:tc>
        <w:tc>
          <w:tcPr>
            <w:tcW w:w="3005" w:type="dxa"/>
          </w:tcPr>
          <w:p w14:paraId="169086ED" w14:textId="38142405"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Tourism delivers £2.3 bn revenue and 6 % of GVA; post-Brexit volatility persists</w:t>
            </w:r>
            <w:r w:rsidR="00773F1A" w:rsidRPr="00371E00">
              <w:rPr>
                <w:rFonts w:ascii="Arial" w:hAnsi="Arial" w:cs="Arial"/>
                <w:sz w:val="24"/>
                <w:szCs w:val="24"/>
              </w:rPr>
              <w:t>.</w:t>
            </w:r>
          </w:p>
        </w:tc>
        <w:tc>
          <w:tcPr>
            <w:tcW w:w="3006" w:type="dxa"/>
          </w:tcPr>
          <w:p w14:paraId="4194FD7A" w14:textId="7A95423B"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Budget for economic shifts, leverage tourism growth, and diversify income</w:t>
            </w:r>
          </w:p>
        </w:tc>
      </w:tr>
      <w:tr w:rsidR="00371E00" w:rsidRPr="00371E00" w14:paraId="0123D141" w14:textId="77777777" w:rsidTr="007061CD">
        <w:tc>
          <w:tcPr>
            <w:tcW w:w="3005" w:type="dxa"/>
          </w:tcPr>
          <w:p w14:paraId="52A5476A" w14:textId="4B1ADAC7"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Social</w:t>
            </w:r>
          </w:p>
        </w:tc>
        <w:tc>
          <w:tcPr>
            <w:tcW w:w="3005" w:type="dxa"/>
          </w:tcPr>
          <w:p w14:paraId="29B18028" w14:textId="438BAD48"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Strategy emphasises Welsh language, cultural authenticity, and inclusion under Well-being Act criteria</w:t>
            </w:r>
            <w:r w:rsidR="00773F1A" w:rsidRPr="00371E00">
              <w:rPr>
                <w:rFonts w:ascii="Arial" w:hAnsi="Arial" w:cs="Arial"/>
                <w:sz w:val="24"/>
                <w:szCs w:val="24"/>
              </w:rPr>
              <w:t>.</w:t>
            </w:r>
          </w:p>
        </w:tc>
        <w:tc>
          <w:tcPr>
            <w:tcW w:w="3006" w:type="dxa"/>
          </w:tcPr>
          <w:p w14:paraId="198E3F6C" w14:textId="3FD6D363"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Incorporate bilingual programming, local culture, and community engagement</w:t>
            </w:r>
          </w:p>
        </w:tc>
      </w:tr>
      <w:tr w:rsidR="00371E00" w:rsidRPr="00371E00" w14:paraId="134E4D53" w14:textId="77777777" w:rsidTr="007061CD">
        <w:tc>
          <w:tcPr>
            <w:tcW w:w="3005" w:type="dxa"/>
          </w:tcPr>
          <w:p w14:paraId="561F54DF" w14:textId="2F784E6A"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Technological</w:t>
            </w:r>
          </w:p>
        </w:tc>
        <w:tc>
          <w:tcPr>
            <w:tcW w:w="3005" w:type="dxa"/>
          </w:tcPr>
          <w:p w14:paraId="0B07D9F0" w14:textId="7FE3E134"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New venues (ICCW, arenas) boost digital infrastructure for hybrid events</w:t>
            </w:r>
            <w:r w:rsidR="00773F1A" w:rsidRPr="00371E00">
              <w:rPr>
                <w:rFonts w:ascii="Arial" w:hAnsi="Arial" w:cs="Arial"/>
                <w:sz w:val="24"/>
                <w:szCs w:val="24"/>
              </w:rPr>
              <w:t>.</w:t>
            </w:r>
          </w:p>
        </w:tc>
        <w:tc>
          <w:tcPr>
            <w:tcW w:w="3006" w:type="dxa"/>
          </w:tcPr>
          <w:p w14:paraId="474092D8" w14:textId="7E4A76DC"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Ensure robust livestreaming, virtual participation, and contingency planning</w:t>
            </w:r>
          </w:p>
        </w:tc>
      </w:tr>
      <w:tr w:rsidR="00371E00" w:rsidRPr="00371E00" w14:paraId="07A1E571" w14:textId="77777777" w:rsidTr="007061CD">
        <w:tc>
          <w:tcPr>
            <w:tcW w:w="3005" w:type="dxa"/>
          </w:tcPr>
          <w:p w14:paraId="3DF92F5C" w14:textId="09BEC6EB"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Environmental</w:t>
            </w:r>
          </w:p>
        </w:tc>
        <w:tc>
          <w:tcPr>
            <w:tcW w:w="3005" w:type="dxa"/>
          </w:tcPr>
          <w:p w14:paraId="1B9ABDD5" w14:textId="37F05221"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 xml:space="preserve">Net-zero targets, single-use plastics ban, local </w:t>
            </w:r>
            <w:r w:rsidRPr="00371E00">
              <w:rPr>
                <w:rFonts w:ascii="Arial" w:hAnsi="Arial" w:cs="Arial"/>
                <w:sz w:val="24"/>
                <w:szCs w:val="24"/>
              </w:rPr>
              <w:lastRenderedPageBreak/>
              <w:t>sourcing mandate</w:t>
            </w:r>
            <w:r w:rsidR="00773F1A" w:rsidRPr="00371E00">
              <w:rPr>
                <w:rFonts w:ascii="Arial" w:hAnsi="Arial" w:cs="Arial"/>
                <w:sz w:val="24"/>
                <w:szCs w:val="24"/>
              </w:rPr>
              <w:t xml:space="preserve"> (Nicholls et al., 2021)</w:t>
            </w:r>
          </w:p>
        </w:tc>
        <w:tc>
          <w:tcPr>
            <w:tcW w:w="3006" w:type="dxa"/>
          </w:tcPr>
          <w:p w14:paraId="1A714CF4" w14:textId="50CA5432"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lastRenderedPageBreak/>
              <w:t xml:space="preserve">Integrate carbon-offsetting, waste </w:t>
            </w:r>
            <w:r w:rsidRPr="00371E00">
              <w:rPr>
                <w:rFonts w:ascii="Arial" w:hAnsi="Arial" w:cs="Arial"/>
                <w:sz w:val="24"/>
                <w:szCs w:val="24"/>
              </w:rPr>
              <w:lastRenderedPageBreak/>
              <w:t>reduction, and sustainable procurement</w:t>
            </w:r>
          </w:p>
        </w:tc>
      </w:tr>
      <w:tr w:rsidR="007061CD" w:rsidRPr="00371E00" w14:paraId="36041464" w14:textId="77777777" w:rsidTr="007061CD">
        <w:tc>
          <w:tcPr>
            <w:tcW w:w="3005" w:type="dxa"/>
          </w:tcPr>
          <w:p w14:paraId="68EBC763" w14:textId="7D0CD136"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lastRenderedPageBreak/>
              <w:t>Legal</w:t>
            </w:r>
          </w:p>
        </w:tc>
        <w:tc>
          <w:tcPr>
            <w:tcW w:w="3005" w:type="dxa"/>
          </w:tcPr>
          <w:p w14:paraId="384D08AB" w14:textId="0F298707"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Well-being Act compliance; health, safety, GDPR; visitor levy proposals</w:t>
            </w:r>
            <w:r w:rsidR="00773F1A" w:rsidRPr="00371E00">
              <w:rPr>
                <w:rFonts w:ascii="Arial" w:hAnsi="Arial" w:cs="Arial"/>
                <w:sz w:val="24"/>
                <w:szCs w:val="24"/>
              </w:rPr>
              <w:t>.</w:t>
            </w:r>
          </w:p>
        </w:tc>
        <w:tc>
          <w:tcPr>
            <w:tcW w:w="3006" w:type="dxa"/>
          </w:tcPr>
          <w:p w14:paraId="7E524A94" w14:textId="257D768E" w:rsidR="007061CD" w:rsidRPr="00371E00" w:rsidRDefault="007061CD" w:rsidP="00371E00">
            <w:pPr>
              <w:spacing w:line="360" w:lineRule="auto"/>
              <w:jc w:val="both"/>
              <w:rPr>
                <w:rFonts w:ascii="Arial" w:hAnsi="Arial" w:cs="Arial"/>
                <w:sz w:val="24"/>
                <w:szCs w:val="24"/>
                <w:lang w:eastAsia="en-GB"/>
              </w:rPr>
            </w:pPr>
            <w:r w:rsidRPr="00371E00">
              <w:rPr>
                <w:rFonts w:ascii="Arial" w:hAnsi="Arial" w:cs="Arial"/>
                <w:sz w:val="24"/>
                <w:szCs w:val="24"/>
              </w:rPr>
              <w:t>Embed legal reviews in contracts, data handling, and pricing strategies</w:t>
            </w:r>
          </w:p>
        </w:tc>
      </w:tr>
    </w:tbl>
    <w:p w14:paraId="1A8B6CA5" w14:textId="77777777" w:rsidR="007061CD" w:rsidRPr="00371E00" w:rsidRDefault="007061CD" w:rsidP="00371E00">
      <w:pPr>
        <w:spacing w:line="360" w:lineRule="auto"/>
        <w:jc w:val="both"/>
        <w:rPr>
          <w:rFonts w:ascii="Arial" w:hAnsi="Arial" w:cs="Arial"/>
          <w:sz w:val="24"/>
          <w:szCs w:val="24"/>
          <w:lang w:eastAsia="en-GB"/>
        </w:rPr>
      </w:pPr>
    </w:p>
    <w:p w14:paraId="097BA205" w14:textId="0EDB814A" w:rsidR="007435DB" w:rsidRPr="00371E00" w:rsidRDefault="007435DB" w:rsidP="00371E00">
      <w:pPr>
        <w:spacing w:line="360" w:lineRule="auto"/>
        <w:jc w:val="both"/>
        <w:rPr>
          <w:rFonts w:ascii="Arial" w:hAnsi="Arial" w:cs="Arial"/>
          <w:sz w:val="24"/>
          <w:szCs w:val="24"/>
          <w:lang w:eastAsia="en-GB"/>
        </w:rPr>
      </w:pPr>
    </w:p>
    <w:p w14:paraId="3B97A5D9" w14:textId="77777777" w:rsidR="007435DB" w:rsidRPr="00371E00" w:rsidRDefault="007435DB" w:rsidP="00371E00">
      <w:pPr>
        <w:spacing w:line="360" w:lineRule="auto"/>
        <w:jc w:val="both"/>
        <w:rPr>
          <w:rFonts w:ascii="Arial" w:hAnsi="Arial" w:cs="Arial"/>
          <w:sz w:val="24"/>
          <w:szCs w:val="24"/>
          <w:lang w:eastAsia="en-GB"/>
        </w:rPr>
      </w:pPr>
    </w:p>
    <w:p w14:paraId="71F6FF84" w14:textId="060EE408" w:rsidR="007435DB" w:rsidRPr="00371E00" w:rsidRDefault="007435DB" w:rsidP="00371E00">
      <w:pPr>
        <w:spacing w:line="360" w:lineRule="auto"/>
        <w:jc w:val="both"/>
        <w:rPr>
          <w:rFonts w:ascii="Arial" w:hAnsi="Arial" w:cs="Arial"/>
          <w:b/>
          <w:bCs/>
          <w:sz w:val="24"/>
          <w:szCs w:val="24"/>
          <w:lang w:eastAsia="en-GB"/>
        </w:rPr>
      </w:pPr>
      <w:r w:rsidRPr="00371E00">
        <w:rPr>
          <w:rFonts w:ascii="Arial" w:hAnsi="Arial" w:cs="Arial"/>
          <w:b/>
          <w:bCs/>
          <w:sz w:val="24"/>
          <w:szCs w:val="24"/>
          <w:lang w:eastAsia="en-GB"/>
        </w:rPr>
        <w:t>References</w:t>
      </w:r>
    </w:p>
    <w:p w14:paraId="650D5E97" w14:textId="77777777" w:rsidR="00CD5FA8" w:rsidRPr="00371E00" w:rsidRDefault="00CD5FA8"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Bladen, C., Kennell, J., Abson, E. and Wilde, N., 2022. Events management: An introduction. Routledge.</w:t>
      </w:r>
    </w:p>
    <w:p w14:paraId="341C3A2F" w14:textId="54769A61" w:rsidR="00CD5FA8" w:rsidRPr="00371E00" w:rsidRDefault="00CD5FA8"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Bowdin, G.A., Allen, J., Harris, R., Jago, L., </w:t>
      </w:r>
      <w:proofErr w:type="spellStart"/>
      <w:r w:rsidRPr="00371E00">
        <w:rPr>
          <w:rFonts w:ascii="Arial" w:hAnsi="Arial" w:cs="Arial"/>
          <w:sz w:val="24"/>
          <w:szCs w:val="24"/>
          <w:lang w:eastAsia="en-GB"/>
        </w:rPr>
        <w:t>O'toole</w:t>
      </w:r>
      <w:proofErr w:type="spellEnd"/>
      <w:r w:rsidRPr="00371E00">
        <w:rPr>
          <w:rFonts w:ascii="Arial" w:hAnsi="Arial" w:cs="Arial"/>
          <w:sz w:val="24"/>
          <w:szCs w:val="24"/>
          <w:lang w:eastAsia="en-GB"/>
        </w:rPr>
        <w:t>, W. and McDonnell, I., 2023. Events management. Routledge.</w:t>
      </w:r>
    </w:p>
    <w:p w14:paraId="17301281" w14:textId="3102B8B7" w:rsidR="00CD5FA8" w:rsidRPr="00371E00" w:rsidRDefault="00CD5FA8"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Drakeley, C. (2022). Managing Event Stakeholders Expect the unexpected. Goodfellow Publishers eBooks. </w:t>
      </w:r>
      <w:proofErr w:type="spellStart"/>
      <w:r w:rsidRPr="00371E00">
        <w:rPr>
          <w:rFonts w:ascii="Arial" w:hAnsi="Arial" w:cs="Arial"/>
          <w:sz w:val="24"/>
          <w:szCs w:val="24"/>
          <w:lang w:eastAsia="en-GB"/>
        </w:rPr>
        <w:t>doi:https</w:t>
      </w:r>
      <w:proofErr w:type="spellEnd"/>
      <w:r w:rsidRPr="00371E00">
        <w:rPr>
          <w:rFonts w:ascii="Arial" w:hAnsi="Arial" w:cs="Arial"/>
          <w:sz w:val="24"/>
          <w:szCs w:val="24"/>
          <w:lang w:eastAsia="en-GB"/>
        </w:rPr>
        <w:t>://doi.org/10.23912/9781915097101-5228.</w:t>
      </w:r>
    </w:p>
    <w:p w14:paraId="6630B97E" w14:textId="75E02C9B" w:rsidR="007435DB" w:rsidRPr="00371E00" w:rsidRDefault="007435DB"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Getz, D. and Page, S.J., 2019. Event studies: Theory, research and policy for planned events. Routledge.</w:t>
      </w:r>
    </w:p>
    <w:p w14:paraId="64D11470" w14:textId="65EB2046" w:rsidR="0070239F" w:rsidRPr="00371E00" w:rsidRDefault="0070239F"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Goldblatt, J.J., 2014. Special events: creating and sustaining a new world for celebration. (No Title).</w:t>
      </w:r>
    </w:p>
    <w:p w14:paraId="17BC44CE" w14:textId="494DD712" w:rsidR="00773F1A" w:rsidRPr="00371E00" w:rsidRDefault="00773F1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Holmes, K., Hughes, M., Mair, J. and Carlsen, J., 2015. Events and sustainability (pp. 1-206). Abingdon: Routledge.</w:t>
      </w:r>
    </w:p>
    <w:p w14:paraId="473FE3A8" w14:textId="39CD7A76" w:rsidR="00773F1A" w:rsidRPr="00371E00" w:rsidRDefault="00773F1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Ibrahim, I., </w:t>
      </w:r>
      <w:proofErr w:type="spellStart"/>
      <w:r w:rsidRPr="00371E00">
        <w:rPr>
          <w:rFonts w:ascii="Arial" w:hAnsi="Arial" w:cs="Arial"/>
          <w:sz w:val="24"/>
          <w:szCs w:val="24"/>
          <w:lang w:eastAsia="en-GB"/>
        </w:rPr>
        <w:t>Sa’aid</w:t>
      </w:r>
      <w:proofErr w:type="spellEnd"/>
      <w:r w:rsidRPr="00371E00">
        <w:rPr>
          <w:rFonts w:ascii="Arial" w:hAnsi="Arial" w:cs="Arial"/>
          <w:sz w:val="24"/>
          <w:szCs w:val="24"/>
          <w:lang w:eastAsia="en-GB"/>
        </w:rPr>
        <w:t xml:space="preserve">, H.B. and </w:t>
      </w:r>
      <w:proofErr w:type="spellStart"/>
      <w:r w:rsidRPr="00371E00">
        <w:rPr>
          <w:rFonts w:ascii="Arial" w:hAnsi="Arial" w:cs="Arial"/>
          <w:sz w:val="24"/>
          <w:szCs w:val="24"/>
          <w:lang w:eastAsia="en-GB"/>
        </w:rPr>
        <w:t>Yuliawan</w:t>
      </w:r>
      <w:proofErr w:type="spellEnd"/>
      <w:r w:rsidRPr="00371E00">
        <w:rPr>
          <w:rFonts w:ascii="Arial" w:hAnsi="Arial" w:cs="Arial"/>
          <w:sz w:val="24"/>
          <w:szCs w:val="24"/>
          <w:lang w:eastAsia="en-GB"/>
        </w:rPr>
        <w:t>, R., 2023. Major trends in festivals events research: a bibliometric study. International Journal of Academic Research in Business and Social Sciences, 13(5), pp.1726-1743.</w:t>
      </w:r>
    </w:p>
    <w:p w14:paraId="15A7AE81" w14:textId="4BFEE644" w:rsidR="00F360B7" w:rsidRPr="00371E00" w:rsidRDefault="00F360B7"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ISO (2012) ISO 20121: Event sustainability management systems. ISO.</w:t>
      </w:r>
    </w:p>
    <w:p w14:paraId="70CF7B61" w14:textId="27842F69" w:rsidR="00CD5FA8" w:rsidRPr="00371E00" w:rsidRDefault="00CD5FA8"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ISO, 2024. ISO 20121: Event sustainability management systems. Geneva: International Organization for Standardization.</w:t>
      </w:r>
    </w:p>
    <w:p w14:paraId="5553DE66" w14:textId="5C206CDB" w:rsidR="00F360B7" w:rsidRPr="00371E00" w:rsidRDefault="00F360B7"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lastRenderedPageBreak/>
        <w:t>Lund, N.F., Cohen, S.A. and Scarles, C., 2018. The power of social media storytelling in destination branding. Journal of destination marketing &amp; management, 8, pp.271-280.</w:t>
      </w:r>
    </w:p>
    <w:p w14:paraId="22045517" w14:textId="44A5E38E" w:rsidR="0070239F" w:rsidRPr="00371E00" w:rsidRDefault="0070239F"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Mair, J. and Whitford, M., 2013. An exploration of events research: event topics, themes and emerging trends. International Journal of Event and Festival Management, 4(1), pp.6-30.</w:t>
      </w:r>
    </w:p>
    <w:p w14:paraId="005C8450" w14:textId="14E23A52" w:rsidR="00F360B7" w:rsidRPr="00371E00" w:rsidRDefault="00F360B7"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McDermott, R. and Archibald, D., 2010. Harnessing your staff's informal networks. Harvard business review, 88(3), pp.82-89.</w:t>
      </w:r>
    </w:p>
    <w:p w14:paraId="1D795522" w14:textId="033EAAC3" w:rsidR="00F360B7" w:rsidRPr="00371E00" w:rsidRDefault="00F360B7" w:rsidP="00371E00">
      <w:pPr>
        <w:spacing w:line="360" w:lineRule="auto"/>
        <w:jc w:val="both"/>
        <w:rPr>
          <w:rFonts w:ascii="Arial" w:hAnsi="Arial" w:cs="Arial"/>
          <w:sz w:val="24"/>
          <w:szCs w:val="24"/>
          <w:lang w:eastAsia="en-GB"/>
        </w:rPr>
      </w:pPr>
      <w:proofErr w:type="spellStart"/>
      <w:r w:rsidRPr="00371E00">
        <w:rPr>
          <w:rFonts w:ascii="Arial" w:hAnsi="Arial" w:cs="Arial"/>
          <w:sz w:val="24"/>
          <w:szCs w:val="24"/>
          <w:lang w:eastAsia="en-GB"/>
        </w:rPr>
        <w:t>Mulyani</w:t>
      </w:r>
      <w:proofErr w:type="spellEnd"/>
      <w:r w:rsidRPr="00371E00">
        <w:rPr>
          <w:rFonts w:ascii="Arial" w:hAnsi="Arial" w:cs="Arial"/>
          <w:sz w:val="24"/>
          <w:szCs w:val="24"/>
          <w:lang w:eastAsia="en-GB"/>
        </w:rPr>
        <w:t xml:space="preserve">, S., 2024. The Influence of Tourism Industry and Tourism Supply Chain on Tourism Performance. </w:t>
      </w:r>
      <w:proofErr w:type="spellStart"/>
      <w:r w:rsidRPr="00371E00">
        <w:rPr>
          <w:rFonts w:ascii="Arial" w:hAnsi="Arial" w:cs="Arial"/>
          <w:sz w:val="24"/>
          <w:szCs w:val="24"/>
          <w:lang w:eastAsia="en-GB"/>
        </w:rPr>
        <w:t>Shirkah</w:t>
      </w:r>
      <w:proofErr w:type="spellEnd"/>
      <w:r w:rsidRPr="00371E00">
        <w:rPr>
          <w:rFonts w:ascii="Arial" w:hAnsi="Arial" w:cs="Arial"/>
          <w:sz w:val="24"/>
          <w:szCs w:val="24"/>
          <w:lang w:eastAsia="en-GB"/>
        </w:rPr>
        <w:t>: Journal of Economics and Business, 9(1), pp.74-89.</w:t>
      </w:r>
    </w:p>
    <w:p w14:paraId="1A6FFE28" w14:textId="2FF4987C" w:rsidR="00773F1A" w:rsidRPr="00371E00" w:rsidRDefault="00773F1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Nicholls, S., Organ, K. &amp; Cummings, B., 2021. Planning for sustainable tourism development in Wales: An analysis of destination management plans. Welsh Economic Review, 28, pp.23–32. doi:10.18573/wer.257</w:t>
      </w:r>
    </w:p>
    <w:p w14:paraId="1CB90B3D" w14:textId="1232FE1D" w:rsidR="0070239F" w:rsidRPr="00371E00" w:rsidRDefault="0070239F"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Rahman, M.K., Rana, M.S., Akter, S. and Hassan, A., 2022. Technology innovation as a destination branding tool for festivals and events tourism. In Technology application in tourism fairs, festivals and events in Asia (pp. 135-147). Singapore: Springer Singapore.</w:t>
      </w:r>
    </w:p>
    <w:p w14:paraId="6874957C" w14:textId="792AEF49" w:rsidR="00773F1A" w:rsidRPr="00371E00" w:rsidRDefault="00773F1A"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Ross, W.J., Murfree, J.R. and Wang, Z., 2024. Who champions environmental sustainability? A stakeholder’s analysis of public assembly venues. International Journal of Event and Festival Management, 15(4), pp.538-552.</w:t>
      </w:r>
    </w:p>
    <w:p w14:paraId="50735333" w14:textId="616DDCD5" w:rsidR="0070239F" w:rsidRPr="00371E00" w:rsidRDefault="0070239F"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Silvers, J.R., 2009. Risk management for meetings and events. Routledge.</w:t>
      </w:r>
    </w:p>
    <w:p w14:paraId="0ACCAD44" w14:textId="1989D4EB" w:rsidR="00F360B7" w:rsidRPr="00371E00" w:rsidRDefault="00F360B7"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Smiljanić, J., Chatterjee, A., Kauppinen, T. and Mitrović Dankulov, M., 2016. A theoretical model for the associative nature of conference participation. </w:t>
      </w:r>
      <w:proofErr w:type="spellStart"/>
      <w:r w:rsidRPr="00371E00">
        <w:rPr>
          <w:rFonts w:ascii="Arial" w:hAnsi="Arial" w:cs="Arial"/>
          <w:sz w:val="24"/>
          <w:szCs w:val="24"/>
          <w:lang w:eastAsia="en-GB"/>
        </w:rPr>
        <w:t>PloS</w:t>
      </w:r>
      <w:proofErr w:type="spellEnd"/>
      <w:r w:rsidRPr="00371E00">
        <w:rPr>
          <w:rFonts w:ascii="Arial" w:hAnsi="Arial" w:cs="Arial"/>
          <w:sz w:val="24"/>
          <w:szCs w:val="24"/>
          <w:lang w:eastAsia="en-GB"/>
        </w:rPr>
        <w:t xml:space="preserve"> one, 11(2), p.e0148528.</w:t>
      </w:r>
    </w:p>
    <w:p w14:paraId="730AFA5E" w14:textId="12538DCD" w:rsidR="0070239F" w:rsidRPr="00371E00" w:rsidRDefault="0070239F" w:rsidP="00371E00">
      <w:pPr>
        <w:spacing w:line="360" w:lineRule="auto"/>
        <w:jc w:val="both"/>
        <w:rPr>
          <w:rFonts w:ascii="Arial" w:hAnsi="Arial" w:cs="Arial"/>
          <w:sz w:val="24"/>
          <w:szCs w:val="24"/>
          <w:lang w:eastAsia="en-GB"/>
        </w:rPr>
      </w:pPr>
      <w:proofErr w:type="spellStart"/>
      <w:r w:rsidRPr="00371E00">
        <w:rPr>
          <w:rFonts w:ascii="Arial" w:hAnsi="Arial" w:cs="Arial"/>
          <w:sz w:val="24"/>
          <w:szCs w:val="24"/>
          <w:lang w:eastAsia="en-GB"/>
        </w:rPr>
        <w:t>Sjukriana</w:t>
      </w:r>
      <w:proofErr w:type="spellEnd"/>
      <w:r w:rsidRPr="00371E00">
        <w:rPr>
          <w:rFonts w:ascii="Arial" w:hAnsi="Arial" w:cs="Arial"/>
          <w:sz w:val="24"/>
          <w:szCs w:val="24"/>
          <w:lang w:eastAsia="en-GB"/>
        </w:rPr>
        <w:t xml:space="preserve">, J., </w:t>
      </w:r>
      <w:proofErr w:type="spellStart"/>
      <w:r w:rsidRPr="00371E00">
        <w:rPr>
          <w:rFonts w:ascii="Arial" w:hAnsi="Arial" w:cs="Arial"/>
          <w:sz w:val="24"/>
          <w:szCs w:val="24"/>
          <w:lang w:eastAsia="en-GB"/>
        </w:rPr>
        <w:t>Hanafiah</w:t>
      </w:r>
      <w:proofErr w:type="spellEnd"/>
      <w:r w:rsidRPr="00371E00">
        <w:rPr>
          <w:rFonts w:ascii="Arial" w:hAnsi="Arial" w:cs="Arial"/>
          <w:sz w:val="24"/>
          <w:szCs w:val="24"/>
          <w:lang w:eastAsia="en-GB"/>
        </w:rPr>
        <w:t xml:space="preserve">, M.H., </w:t>
      </w:r>
      <w:proofErr w:type="spellStart"/>
      <w:r w:rsidRPr="00371E00">
        <w:rPr>
          <w:rFonts w:ascii="Arial" w:hAnsi="Arial" w:cs="Arial"/>
          <w:sz w:val="24"/>
          <w:szCs w:val="24"/>
          <w:lang w:eastAsia="en-GB"/>
        </w:rPr>
        <w:t>Asyraff</w:t>
      </w:r>
      <w:proofErr w:type="spellEnd"/>
      <w:r w:rsidRPr="00371E00">
        <w:rPr>
          <w:rFonts w:ascii="Arial" w:hAnsi="Arial" w:cs="Arial"/>
          <w:sz w:val="24"/>
          <w:szCs w:val="24"/>
          <w:lang w:eastAsia="en-GB"/>
        </w:rPr>
        <w:t xml:space="preserve">, M.A. and </w:t>
      </w:r>
      <w:proofErr w:type="spellStart"/>
      <w:r w:rsidRPr="00371E00">
        <w:rPr>
          <w:rFonts w:ascii="Arial" w:hAnsi="Arial" w:cs="Arial"/>
          <w:sz w:val="24"/>
          <w:szCs w:val="24"/>
          <w:lang w:eastAsia="en-GB"/>
        </w:rPr>
        <w:t>Kusumah</w:t>
      </w:r>
      <w:proofErr w:type="spellEnd"/>
      <w:r w:rsidRPr="00371E00">
        <w:rPr>
          <w:rFonts w:ascii="Arial" w:hAnsi="Arial" w:cs="Arial"/>
          <w:sz w:val="24"/>
          <w:szCs w:val="24"/>
          <w:lang w:eastAsia="en-GB"/>
        </w:rPr>
        <w:t>, G., 2025. Unveiling the landscape of event technology adoption in hospitality and tourism industry: insights from a systematic literature review. International Journal of Event and Festival Management, 16(2), pp.207-228.</w:t>
      </w:r>
    </w:p>
    <w:p w14:paraId="48B1C0C1" w14:textId="5B49E976" w:rsidR="00F360B7" w:rsidRPr="00371E00" w:rsidRDefault="00F360B7"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Thanh, T.V. and Kirova, V., 2018. Wine tourism experience: A </w:t>
      </w:r>
      <w:proofErr w:type="spellStart"/>
      <w:r w:rsidRPr="00371E00">
        <w:rPr>
          <w:rFonts w:ascii="Arial" w:hAnsi="Arial" w:cs="Arial"/>
          <w:sz w:val="24"/>
          <w:szCs w:val="24"/>
          <w:lang w:eastAsia="en-GB"/>
        </w:rPr>
        <w:t>netnography</w:t>
      </w:r>
      <w:proofErr w:type="spellEnd"/>
      <w:r w:rsidRPr="00371E00">
        <w:rPr>
          <w:rFonts w:ascii="Arial" w:hAnsi="Arial" w:cs="Arial"/>
          <w:sz w:val="24"/>
          <w:szCs w:val="24"/>
          <w:lang w:eastAsia="en-GB"/>
        </w:rPr>
        <w:t xml:space="preserve"> study. Journal of Business Research, 83, pp.30-37.</w:t>
      </w:r>
    </w:p>
    <w:p w14:paraId="5A06AE89" w14:textId="278F1E96" w:rsidR="00814961" w:rsidRPr="00371E00" w:rsidRDefault="00814961" w:rsidP="00371E00">
      <w:pPr>
        <w:spacing w:line="360" w:lineRule="auto"/>
        <w:jc w:val="both"/>
        <w:rPr>
          <w:rFonts w:ascii="Arial" w:hAnsi="Arial" w:cs="Arial"/>
          <w:sz w:val="24"/>
          <w:szCs w:val="24"/>
          <w:lang w:eastAsia="en-GB"/>
        </w:rPr>
      </w:pPr>
      <w:proofErr w:type="spellStart"/>
      <w:r w:rsidRPr="00371E00">
        <w:rPr>
          <w:rFonts w:ascii="Arial" w:hAnsi="Arial" w:cs="Arial"/>
          <w:sz w:val="24"/>
          <w:szCs w:val="24"/>
          <w:lang w:eastAsia="en-GB"/>
        </w:rPr>
        <w:lastRenderedPageBreak/>
        <w:t>Trišić</w:t>
      </w:r>
      <w:proofErr w:type="spellEnd"/>
      <w:r w:rsidRPr="00371E00">
        <w:rPr>
          <w:rFonts w:ascii="Arial" w:hAnsi="Arial" w:cs="Arial"/>
          <w:sz w:val="24"/>
          <w:szCs w:val="24"/>
          <w:lang w:eastAsia="en-GB"/>
        </w:rPr>
        <w:t xml:space="preserve">, I. and Arsenov-Bojović, V., 2018, June. The role of MICE industry in tourism development. In Tourism International Scientific Conference </w:t>
      </w:r>
      <w:proofErr w:type="spellStart"/>
      <w:r w:rsidRPr="00371E00">
        <w:rPr>
          <w:rFonts w:ascii="Arial" w:hAnsi="Arial" w:cs="Arial"/>
          <w:sz w:val="24"/>
          <w:szCs w:val="24"/>
          <w:lang w:eastAsia="en-GB"/>
        </w:rPr>
        <w:t>Vrnjačka</w:t>
      </w:r>
      <w:proofErr w:type="spellEnd"/>
      <w:r w:rsidRPr="00371E00">
        <w:rPr>
          <w:rFonts w:ascii="Arial" w:hAnsi="Arial" w:cs="Arial"/>
          <w:sz w:val="24"/>
          <w:szCs w:val="24"/>
          <w:lang w:eastAsia="en-GB"/>
        </w:rPr>
        <w:t xml:space="preserve"> Banja-TISC (Vol. 3, No. 2, pp. 275-293).</w:t>
      </w:r>
    </w:p>
    <w:p w14:paraId="7EFD9A8E" w14:textId="3D4DC022" w:rsidR="007435DB" w:rsidRPr="00371E00" w:rsidRDefault="007435DB"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Visit Wales (2024). Year of </w:t>
      </w:r>
      <w:proofErr w:type="spellStart"/>
      <w:r w:rsidRPr="00371E00">
        <w:rPr>
          <w:rFonts w:ascii="Arial" w:hAnsi="Arial" w:cs="Arial"/>
          <w:sz w:val="24"/>
          <w:szCs w:val="24"/>
          <w:lang w:eastAsia="en-GB"/>
        </w:rPr>
        <w:t>Croeso</w:t>
      </w:r>
      <w:proofErr w:type="spellEnd"/>
      <w:r w:rsidRPr="00371E00">
        <w:rPr>
          <w:rFonts w:ascii="Arial" w:hAnsi="Arial" w:cs="Arial"/>
          <w:sz w:val="24"/>
          <w:szCs w:val="24"/>
          <w:lang w:eastAsia="en-GB"/>
        </w:rPr>
        <w:t xml:space="preserve">. [online] Available at: </w:t>
      </w:r>
      <w:hyperlink r:id="rId7" w:history="1">
        <w:r w:rsidR="00814961" w:rsidRPr="00371E00">
          <w:rPr>
            <w:rStyle w:val="Hyperlink"/>
            <w:rFonts w:ascii="Arial" w:hAnsi="Arial" w:cs="Arial"/>
            <w:color w:val="auto"/>
            <w:sz w:val="24"/>
            <w:szCs w:val="24"/>
            <w:lang w:eastAsia="en-GB"/>
          </w:rPr>
          <w:t>https://industry.visitwales.com/get-involved/visit-wales-themed-year-campaigns/year-croeso</w:t>
        </w:r>
      </w:hyperlink>
      <w:r w:rsidRPr="00371E00">
        <w:rPr>
          <w:rFonts w:ascii="Arial" w:hAnsi="Arial" w:cs="Arial"/>
          <w:sz w:val="24"/>
          <w:szCs w:val="24"/>
          <w:lang w:eastAsia="en-GB"/>
        </w:rPr>
        <w:t>.</w:t>
      </w:r>
    </w:p>
    <w:p w14:paraId="6A0DFA4F" w14:textId="268A9ED6" w:rsidR="00814961" w:rsidRPr="00371E00" w:rsidRDefault="00814961"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 xml:space="preserve">Welsh Government (2024). Welsh Government tourism industry strategies. [online] Available at: </w:t>
      </w:r>
      <w:hyperlink r:id="rId8" w:history="1">
        <w:r w:rsidR="00CD5FA8" w:rsidRPr="00371E00">
          <w:rPr>
            <w:rStyle w:val="Hyperlink"/>
            <w:rFonts w:ascii="Arial" w:hAnsi="Arial" w:cs="Arial"/>
            <w:color w:val="auto"/>
            <w:sz w:val="24"/>
            <w:szCs w:val="24"/>
            <w:lang w:eastAsia="en-GB"/>
          </w:rPr>
          <w:t>https://industry.visitwales.com/about-us/welsh-government-tourism-strategy-links</w:t>
        </w:r>
      </w:hyperlink>
      <w:r w:rsidRPr="00371E00">
        <w:rPr>
          <w:rFonts w:ascii="Arial" w:hAnsi="Arial" w:cs="Arial"/>
          <w:sz w:val="24"/>
          <w:szCs w:val="24"/>
          <w:lang w:eastAsia="en-GB"/>
        </w:rPr>
        <w:t>.</w:t>
      </w:r>
    </w:p>
    <w:p w14:paraId="1A04C401" w14:textId="3C72602A" w:rsidR="00CD5FA8" w:rsidRPr="00371E00" w:rsidRDefault="00CD5FA8"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Werner, K., Junek, O. and Wang, C., 2022. Event management skills in the post-covid-19 world: insights from China, Germany, and Australia. Event Management, 26(4), pp.867-882.</w:t>
      </w:r>
    </w:p>
    <w:p w14:paraId="0166415F" w14:textId="62763C02" w:rsidR="00CD5FA8" w:rsidRPr="00371E00" w:rsidRDefault="00CD5FA8"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Yeoman, I., Robertson, M., McMahon-Beattie, U., Smith, K.A. and Backer, E. eds., 2015. The future of events &amp; festivals. Abingdon: Routledge.</w:t>
      </w:r>
    </w:p>
    <w:p w14:paraId="621F24CE" w14:textId="5C5A6F2B" w:rsidR="007435DB" w:rsidRPr="00371E00" w:rsidRDefault="00814961"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Yuan, C., Lin, B. and Wang, Q., 2025. Post-Pandemic Resilience of MICE Enterprises: An Exploratory Mixed Method Study from a Chinese Organizational Perspective. Journal of Quality Assurance in Hospitality &amp; Tourism, pp.1-27.</w:t>
      </w:r>
    </w:p>
    <w:p w14:paraId="3334D9D2" w14:textId="5FD3F057" w:rsidR="007435DB" w:rsidRPr="00371E00" w:rsidRDefault="007435DB" w:rsidP="00371E00">
      <w:pPr>
        <w:spacing w:line="360" w:lineRule="auto"/>
        <w:jc w:val="both"/>
        <w:rPr>
          <w:rFonts w:ascii="Arial" w:hAnsi="Arial" w:cs="Arial"/>
          <w:sz w:val="24"/>
          <w:szCs w:val="24"/>
          <w:lang w:eastAsia="en-GB"/>
        </w:rPr>
      </w:pPr>
      <w:r w:rsidRPr="00371E00">
        <w:rPr>
          <w:rFonts w:ascii="Arial" w:hAnsi="Arial" w:cs="Arial"/>
          <w:sz w:val="24"/>
          <w:szCs w:val="24"/>
          <w:lang w:eastAsia="en-GB"/>
        </w:rPr>
        <w:t>‌</w:t>
      </w:r>
    </w:p>
    <w:sectPr w:rsidR="007435DB" w:rsidRPr="00371E0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C2024" w14:textId="77777777" w:rsidR="006F6561" w:rsidRDefault="006F6561" w:rsidP="007435DB">
      <w:pPr>
        <w:spacing w:after="0" w:line="240" w:lineRule="auto"/>
      </w:pPr>
      <w:r>
        <w:separator/>
      </w:r>
    </w:p>
  </w:endnote>
  <w:endnote w:type="continuationSeparator" w:id="0">
    <w:p w14:paraId="175FC5CF" w14:textId="77777777" w:rsidR="006F6561" w:rsidRDefault="006F6561" w:rsidP="00743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871996"/>
      <w:docPartObj>
        <w:docPartGallery w:val="Page Numbers (Bottom of Page)"/>
        <w:docPartUnique/>
      </w:docPartObj>
    </w:sdtPr>
    <w:sdtEndPr>
      <w:rPr>
        <w:noProof/>
      </w:rPr>
    </w:sdtEndPr>
    <w:sdtContent>
      <w:p w14:paraId="22D90C49" w14:textId="07DF1629" w:rsidR="007435DB" w:rsidRDefault="00743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8F7390" w14:textId="77777777" w:rsidR="007435DB" w:rsidRDefault="00743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AE4E6" w14:textId="77777777" w:rsidR="006F6561" w:rsidRDefault="006F6561" w:rsidP="007435DB">
      <w:pPr>
        <w:spacing w:after="0" w:line="240" w:lineRule="auto"/>
      </w:pPr>
      <w:r>
        <w:separator/>
      </w:r>
    </w:p>
  </w:footnote>
  <w:footnote w:type="continuationSeparator" w:id="0">
    <w:p w14:paraId="579122FA" w14:textId="77777777" w:rsidR="006F6561" w:rsidRDefault="006F6561" w:rsidP="007435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880AA8"/>
    <w:multiLevelType w:val="hybridMultilevel"/>
    <w:tmpl w:val="097A0AB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7CBE5D05"/>
    <w:multiLevelType w:val="multilevel"/>
    <w:tmpl w:val="302EA32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300844514">
    <w:abstractNumId w:val="0"/>
  </w:num>
  <w:num w:numId="2" w16cid:durableId="5347799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5DB"/>
    <w:rsid w:val="001E4948"/>
    <w:rsid w:val="0025460D"/>
    <w:rsid w:val="003304DC"/>
    <w:rsid w:val="00371E00"/>
    <w:rsid w:val="00554E1D"/>
    <w:rsid w:val="005B1CFC"/>
    <w:rsid w:val="00671F62"/>
    <w:rsid w:val="006F6561"/>
    <w:rsid w:val="0070239F"/>
    <w:rsid w:val="007061CD"/>
    <w:rsid w:val="007435DB"/>
    <w:rsid w:val="00773F1A"/>
    <w:rsid w:val="007B0CC3"/>
    <w:rsid w:val="00814961"/>
    <w:rsid w:val="0084330C"/>
    <w:rsid w:val="008B614A"/>
    <w:rsid w:val="00B151A8"/>
    <w:rsid w:val="00BA1D2A"/>
    <w:rsid w:val="00BF3D76"/>
    <w:rsid w:val="00C82D1F"/>
    <w:rsid w:val="00CD5FA8"/>
    <w:rsid w:val="00CD7ED3"/>
    <w:rsid w:val="00D73CFE"/>
    <w:rsid w:val="00E3340B"/>
    <w:rsid w:val="00F360B7"/>
    <w:rsid w:val="00FB1ADD"/>
    <w:rsid w:val="00FF1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E91C"/>
  <w15:chartTrackingRefBased/>
  <w15:docId w15:val="{F1A87004-895C-4CC0-808C-A9BCF76DB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35D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35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35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35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3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435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35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35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35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3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5DB"/>
    <w:rPr>
      <w:rFonts w:eastAsiaTheme="majorEastAsia" w:cstheme="majorBidi"/>
      <w:color w:val="272727" w:themeColor="text1" w:themeTint="D8"/>
    </w:rPr>
  </w:style>
  <w:style w:type="paragraph" w:styleId="Title">
    <w:name w:val="Title"/>
    <w:basedOn w:val="Normal"/>
    <w:next w:val="Normal"/>
    <w:link w:val="TitleChar"/>
    <w:uiPriority w:val="10"/>
    <w:qFormat/>
    <w:rsid w:val="00743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5DB"/>
    <w:pPr>
      <w:spacing w:before="160"/>
      <w:jc w:val="center"/>
    </w:pPr>
    <w:rPr>
      <w:i/>
      <w:iCs/>
      <w:color w:val="404040" w:themeColor="text1" w:themeTint="BF"/>
    </w:rPr>
  </w:style>
  <w:style w:type="character" w:customStyle="1" w:styleId="QuoteChar">
    <w:name w:val="Quote Char"/>
    <w:basedOn w:val="DefaultParagraphFont"/>
    <w:link w:val="Quote"/>
    <w:uiPriority w:val="29"/>
    <w:rsid w:val="007435DB"/>
    <w:rPr>
      <w:i/>
      <w:iCs/>
      <w:color w:val="404040" w:themeColor="text1" w:themeTint="BF"/>
    </w:rPr>
  </w:style>
  <w:style w:type="paragraph" w:styleId="ListParagraph">
    <w:name w:val="List Paragraph"/>
    <w:basedOn w:val="Normal"/>
    <w:uiPriority w:val="34"/>
    <w:qFormat/>
    <w:rsid w:val="007435DB"/>
    <w:pPr>
      <w:ind w:left="720"/>
      <w:contextualSpacing/>
    </w:pPr>
  </w:style>
  <w:style w:type="character" w:styleId="IntenseEmphasis">
    <w:name w:val="Intense Emphasis"/>
    <w:basedOn w:val="DefaultParagraphFont"/>
    <w:uiPriority w:val="21"/>
    <w:qFormat/>
    <w:rsid w:val="007435DB"/>
    <w:rPr>
      <w:i/>
      <w:iCs/>
      <w:color w:val="2F5496" w:themeColor="accent1" w:themeShade="BF"/>
    </w:rPr>
  </w:style>
  <w:style w:type="paragraph" w:styleId="IntenseQuote">
    <w:name w:val="Intense Quote"/>
    <w:basedOn w:val="Normal"/>
    <w:next w:val="Normal"/>
    <w:link w:val="IntenseQuoteChar"/>
    <w:uiPriority w:val="30"/>
    <w:qFormat/>
    <w:rsid w:val="007435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35DB"/>
    <w:rPr>
      <w:i/>
      <w:iCs/>
      <w:color w:val="2F5496" w:themeColor="accent1" w:themeShade="BF"/>
    </w:rPr>
  </w:style>
  <w:style w:type="character" w:styleId="IntenseReference">
    <w:name w:val="Intense Reference"/>
    <w:basedOn w:val="DefaultParagraphFont"/>
    <w:uiPriority w:val="32"/>
    <w:qFormat/>
    <w:rsid w:val="007435DB"/>
    <w:rPr>
      <w:b/>
      <w:bCs/>
      <w:smallCaps/>
      <w:color w:val="2F5496" w:themeColor="accent1" w:themeShade="BF"/>
      <w:spacing w:val="5"/>
    </w:rPr>
  </w:style>
  <w:style w:type="paragraph" w:styleId="Header">
    <w:name w:val="header"/>
    <w:basedOn w:val="Normal"/>
    <w:link w:val="HeaderChar"/>
    <w:uiPriority w:val="99"/>
    <w:unhideWhenUsed/>
    <w:rsid w:val="00743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5DB"/>
  </w:style>
  <w:style w:type="paragraph" w:styleId="Footer">
    <w:name w:val="footer"/>
    <w:basedOn w:val="Normal"/>
    <w:link w:val="FooterChar"/>
    <w:uiPriority w:val="99"/>
    <w:unhideWhenUsed/>
    <w:rsid w:val="00743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5DB"/>
  </w:style>
  <w:style w:type="character" w:styleId="Hyperlink">
    <w:name w:val="Hyperlink"/>
    <w:basedOn w:val="DefaultParagraphFont"/>
    <w:uiPriority w:val="99"/>
    <w:unhideWhenUsed/>
    <w:rsid w:val="00814961"/>
    <w:rPr>
      <w:color w:val="0563C1" w:themeColor="hyperlink"/>
      <w:u w:val="single"/>
    </w:rPr>
  </w:style>
  <w:style w:type="character" w:styleId="UnresolvedMention">
    <w:name w:val="Unresolved Mention"/>
    <w:basedOn w:val="DefaultParagraphFont"/>
    <w:uiPriority w:val="99"/>
    <w:semiHidden/>
    <w:unhideWhenUsed/>
    <w:rsid w:val="00814961"/>
    <w:rPr>
      <w:color w:val="605E5C"/>
      <w:shd w:val="clear" w:color="auto" w:fill="E1DFDD"/>
    </w:rPr>
  </w:style>
  <w:style w:type="table" w:styleId="TableGrid">
    <w:name w:val="Table Grid"/>
    <w:basedOn w:val="TableNormal"/>
    <w:uiPriority w:val="39"/>
    <w:rsid w:val="00CD7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360B7"/>
    <w:pPr>
      <w:outlineLvl w:val="9"/>
    </w:pPr>
    <w:rPr>
      <w:kern w:val="0"/>
      <w:lang w:val="en-US"/>
      <w14:ligatures w14:val="none"/>
    </w:rPr>
  </w:style>
  <w:style w:type="paragraph" w:styleId="TOC1">
    <w:name w:val="toc 1"/>
    <w:basedOn w:val="Normal"/>
    <w:next w:val="Normal"/>
    <w:autoRedefine/>
    <w:uiPriority w:val="39"/>
    <w:unhideWhenUsed/>
    <w:rsid w:val="00F360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dustry.visitwales.com/about-us/welsh-government-tourism-strategy-links" TargetMode="External"/><Relationship Id="rId3" Type="http://schemas.openxmlformats.org/officeDocument/2006/relationships/settings" Target="settings.xml"/><Relationship Id="rId7" Type="http://schemas.openxmlformats.org/officeDocument/2006/relationships/hyperlink" Target="https://industry.visitwales.com/get-involved/visit-wales-themed-year-campaigns/year-croes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5cf7040-9d40-4890-8ad4-f6b696598cbf}" enabled="1" method="Privileged" siteId="{11dc3b97-4e61-4275-af15-34d7903a29e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14</Pages>
  <Words>3504</Words>
  <Characters>20818</Characters>
  <Application>Microsoft Office Word</Application>
  <DocSecurity>0</DocSecurity>
  <Lines>946</Lines>
  <Paragraphs>267</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 </vt:lpstr>
      <vt:lpstr>The Event Cycle</vt:lpstr>
      <vt:lpstr>Event Concept</vt:lpstr>
      <vt:lpstr>Aim and Objectives of the Meeting / Event</vt:lpstr>
      <vt:lpstr>Aim</vt:lpstr>
      <vt:lpstr>Objectives</vt:lpstr>
      <vt:lpstr>Event Management</vt:lpstr>
      <vt:lpstr>Operational Activities </vt:lpstr>
      <vt:lpstr>Planning Activities </vt:lpstr>
      <vt:lpstr>Marketing Activities </vt:lpstr>
      <vt:lpstr>Event Budget</vt:lpstr>
      <vt:lpstr>Industry Trends</vt:lpstr>
      <vt:lpstr>Situational and Cultural Considerations</vt:lpstr>
      <vt:lpstr>PESTEL Analysis</vt:lpstr>
    </vt:vector>
  </TitlesOfParts>
  <Company/>
  <LinksUpToDate>false</LinksUpToDate>
  <CharactersWithSpaces>24055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Antohe</dc:creator>
  <cp:keywords/>
  <dc:description/>
  <cp:lastModifiedBy>Alexandru Antohe</cp:lastModifiedBy>
  <cp:revision>2</cp:revision>
  <dcterms:created xsi:type="dcterms:W3CDTF">2025-06-13T18:23:00Z</dcterms:created>
  <dcterms:modified xsi:type="dcterms:W3CDTF">2025-06-13T18:23:00Z</dcterms:modified>
</cp:coreProperties>
</file>