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8E297F" w14:textId="77777777" w:rsidR="00251163" w:rsidRDefault="00251163" w:rsidP="0C1DF6D2">
      <w:pPr>
        <w:jc w:val="center"/>
        <w:rPr>
          <w:rFonts w:ascii="Arial" w:eastAsia="Arial" w:hAnsi="Arial" w:cs="Arial"/>
          <w:b/>
          <w:bCs/>
          <w:sz w:val="36"/>
          <w:szCs w:val="36"/>
          <w:u w:val="single"/>
        </w:rPr>
      </w:pPr>
    </w:p>
    <w:p w14:paraId="00F040E6" w14:textId="77777777" w:rsidR="00251163" w:rsidRDefault="00251163" w:rsidP="0C1DF6D2">
      <w:pPr>
        <w:jc w:val="center"/>
        <w:rPr>
          <w:rFonts w:ascii="Arial" w:eastAsia="Arial" w:hAnsi="Arial" w:cs="Arial"/>
          <w:b/>
          <w:bCs/>
          <w:sz w:val="36"/>
          <w:szCs w:val="36"/>
          <w:u w:val="single"/>
        </w:rPr>
      </w:pPr>
    </w:p>
    <w:p w14:paraId="57BCC058" w14:textId="77777777" w:rsidR="00251163" w:rsidRDefault="00251163" w:rsidP="0C1DF6D2">
      <w:pPr>
        <w:jc w:val="center"/>
        <w:rPr>
          <w:rFonts w:ascii="Arial" w:eastAsia="Arial" w:hAnsi="Arial" w:cs="Arial"/>
          <w:b/>
          <w:bCs/>
          <w:sz w:val="36"/>
          <w:szCs w:val="36"/>
          <w:u w:val="single"/>
        </w:rPr>
      </w:pPr>
    </w:p>
    <w:p w14:paraId="5160A3F0" w14:textId="77777777" w:rsidR="00251163" w:rsidRDefault="00251163" w:rsidP="0C1DF6D2">
      <w:pPr>
        <w:jc w:val="center"/>
        <w:rPr>
          <w:rFonts w:ascii="Arial" w:eastAsia="Arial" w:hAnsi="Arial" w:cs="Arial"/>
          <w:b/>
          <w:bCs/>
          <w:sz w:val="36"/>
          <w:szCs w:val="36"/>
          <w:u w:val="single"/>
        </w:rPr>
      </w:pPr>
    </w:p>
    <w:p w14:paraId="2C078E63" w14:textId="7F2BE0EB" w:rsidR="009B7EAA" w:rsidRDefault="0C1DF6D2" w:rsidP="0C1DF6D2">
      <w:pPr>
        <w:jc w:val="center"/>
        <w:rPr>
          <w:rFonts w:ascii="Arial" w:eastAsia="Arial" w:hAnsi="Arial" w:cs="Arial"/>
          <w:b/>
          <w:bCs/>
          <w:sz w:val="36"/>
          <w:szCs w:val="36"/>
          <w:u w:val="single"/>
        </w:rPr>
      </w:pPr>
      <w:bookmarkStart w:id="0" w:name="_GoBack"/>
      <w:bookmarkEnd w:id="0"/>
      <w:r w:rsidRPr="0C1DF6D2">
        <w:rPr>
          <w:rFonts w:ascii="Arial" w:eastAsia="Arial" w:hAnsi="Arial" w:cs="Arial"/>
          <w:b/>
          <w:bCs/>
          <w:sz w:val="36"/>
          <w:szCs w:val="36"/>
          <w:u w:val="single"/>
        </w:rPr>
        <w:t>Reflective essay</w:t>
      </w:r>
      <w:r w:rsidRPr="0C1DF6D2">
        <w:rPr>
          <w:rFonts w:ascii="Arial" w:eastAsia="Arial" w:hAnsi="Arial" w:cs="Arial"/>
          <w:b/>
          <w:bCs/>
          <w:sz w:val="36"/>
          <w:szCs w:val="36"/>
        </w:rPr>
        <w:t xml:space="preserve"> </w:t>
      </w:r>
    </w:p>
    <w:p w14:paraId="525A932D" w14:textId="7BC58E64" w:rsidR="0C1DF6D2" w:rsidRDefault="0C1DF6D2" w:rsidP="0C1DF6D2">
      <w:pPr>
        <w:jc w:val="center"/>
        <w:rPr>
          <w:rFonts w:ascii="Arial" w:eastAsia="Arial" w:hAnsi="Arial" w:cs="Arial"/>
          <w:sz w:val="28"/>
          <w:szCs w:val="28"/>
        </w:rPr>
      </w:pPr>
      <w:r w:rsidRPr="0C1DF6D2">
        <w:rPr>
          <w:rFonts w:ascii="Arial" w:eastAsia="Arial" w:hAnsi="Arial" w:cs="Arial"/>
          <w:sz w:val="28"/>
          <w:szCs w:val="28"/>
        </w:rPr>
        <w:t>Pollution and waste management in Bowden House Community, UK</w:t>
      </w:r>
    </w:p>
    <w:p w14:paraId="4E666BFF" w14:textId="0A51B1DD" w:rsidR="0C1DF6D2" w:rsidRDefault="0C1DF6D2">
      <w:r>
        <w:br w:type="page"/>
      </w:r>
    </w:p>
    <w:p w14:paraId="3A6C30CB" w14:textId="39DDD872" w:rsidR="0C1DF6D2" w:rsidRDefault="0C1DF6D2" w:rsidP="0C1DF6D2">
      <w:pPr>
        <w:jc w:val="both"/>
        <w:rPr>
          <w:rFonts w:ascii="Arial" w:eastAsia="Arial" w:hAnsi="Arial" w:cs="Arial"/>
          <w:sz w:val="24"/>
          <w:szCs w:val="24"/>
        </w:rPr>
      </w:pPr>
      <w:r w:rsidRPr="0C1DF6D2">
        <w:rPr>
          <w:rFonts w:ascii="Arial" w:eastAsia="Arial" w:hAnsi="Arial" w:cs="Arial"/>
          <w:sz w:val="24"/>
          <w:szCs w:val="24"/>
        </w:rPr>
        <w:lastRenderedPageBreak/>
        <w:t>Bowden house community, UK is confronting severe difficulties in waste management as comparing to any other regions of UK, the waste generation rate is comparatively high in the community. Due to these reasons, the government interventions are proving insufficient to tackle the waste management process. A community engagement project was initiated to improve the existed management system and reduce pollution of the chosen community. The project was designed by following the principals and standards of community engagement programs where special focus were given to engaging stakeholders. A list of potential stakeholders was prepared and among many other engaging method, social media were given preferences due to its low cost and efficacy. Several steps of engaging stakeholders through social media platforms were proposed which would be effective in identifying and influencing interested stakeholders. The following reflective essay is going to compare the proposed community engagement project with the project initiated by EXNORA, a waste management organization in India. The differences of both projects will be analyzed and evaluated, their practices to communicate stakeholders, the reason to choose the particular method. Furthermore, the way in which the organization has conducted research, its community mapping process, social media engagement criteria will be explored and analyzed.</w:t>
      </w:r>
    </w:p>
    <w:p w14:paraId="4EF2D5F5" w14:textId="4315F912" w:rsidR="0C1DF6D2" w:rsidRDefault="0C1DF6D2" w:rsidP="0C1DF6D2">
      <w:pPr>
        <w:jc w:val="both"/>
        <w:rPr>
          <w:rFonts w:ascii="Arial" w:eastAsia="Arial" w:hAnsi="Arial" w:cs="Arial"/>
          <w:sz w:val="24"/>
          <w:szCs w:val="24"/>
        </w:rPr>
      </w:pPr>
      <w:r w:rsidRPr="0C1DF6D2">
        <w:rPr>
          <w:rFonts w:ascii="Arial" w:eastAsia="Arial" w:hAnsi="Arial" w:cs="Arial"/>
          <w:sz w:val="24"/>
          <w:szCs w:val="24"/>
        </w:rPr>
        <w:t xml:space="preserve">In Chennai, India, municipal solid waste was simply collected and transported without providing any necessary treatment or processing. Due to this reason, substantial amount of waste was remaining unattended at the collection center, riverbanks and roadsides. Most often cows and other street animals were feeding on these unprocessed garbage's which were facilitating the breeding of germs, diseases and contamination of ground water (Kumar, Venkata and Rao, 2013). 75% of municipal waste budget were spending only on road sweeping while 20% were spending in transport and remaining 5% on waste disposal (Hanrahan, Srivastava and Ramakrishna, 2006). In spite of spending significant amount of budget on road sweeping, the roads remined dirty, spoiling and destroying the aesthetic beauty and environment of nearby communities. The government of Chennai decided to privatized the waste management program due to the inefficacy of government agencies and handed over the waste management service to a non-government organization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which has expertise in promoting sustainable environment and also working as a conservancy agency in the field of waste management. In India, the organization first introduced the participation of general people in waste management by developing a community-based organization named Civic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which aimed to independently manage waste in local communities of Chennai (</w:t>
      </w:r>
      <w:proofErr w:type="spellStart"/>
      <w:r w:rsidRPr="0C1DF6D2">
        <w:rPr>
          <w:rFonts w:ascii="Arial" w:eastAsia="Arial" w:hAnsi="Arial" w:cs="Arial"/>
          <w:sz w:val="24"/>
          <w:szCs w:val="24"/>
        </w:rPr>
        <w:t>Dhamija</w:t>
      </w:r>
      <w:proofErr w:type="spellEnd"/>
      <w:r w:rsidRPr="0C1DF6D2">
        <w:rPr>
          <w:rFonts w:ascii="Arial" w:eastAsia="Arial" w:hAnsi="Arial" w:cs="Arial"/>
          <w:sz w:val="24"/>
          <w:szCs w:val="24"/>
        </w:rPr>
        <w:t xml:space="preserve">, 2006). </w:t>
      </w:r>
    </w:p>
    <w:p w14:paraId="68A17E75" w14:textId="1FB7E373" w:rsidR="0C1DF6D2" w:rsidRDefault="0C1DF6D2" w:rsidP="0C1DF6D2">
      <w:pPr>
        <w:jc w:val="both"/>
        <w:rPr>
          <w:rFonts w:ascii="Arial" w:eastAsia="Arial" w:hAnsi="Arial" w:cs="Arial"/>
          <w:sz w:val="24"/>
          <w:szCs w:val="24"/>
        </w:rPr>
      </w:pPr>
      <w:r w:rsidRPr="0C1DF6D2">
        <w:rPr>
          <w:rFonts w:ascii="Arial" w:eastAsia="Arial" w:hAnsi="Arial" w:cs="Arial"/>
          <w:sz w:val="24"/>
          <w:szCs w:val="24"/>
        </w:rPr>
        <w:t xml:space="preserve">The Civic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innovation demonstrated that active participation of general population can bring dramatic change in environmental sustainability of local communities.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was unique in its two-layered structure (Mahajan, 2016). On the first level,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International conducted overall planning from the top level, and on the second level, the citizen </w:t>
      </w:r>
      <w:proofErr w:type="spellStart"/>
      <w:r w:rsidRPr="0C1DF6D2">
        <w:rPr>
          <w:rFonts w:ascii="Arial" w:eastAsia="Arial" w:hAnsi="Arial" w:cs="Arial"/>
          <w:sz w:val="24"/>
          <w:szCs w:val="24"/>
        </w:rPr>
        <w:t>exnoras</w:t>
      </w:r>
      <w:proofErr w:type="spellEnd"/>
      <w:r w:rsidRPr="0C1DF6D2">
        <w:rPr>
          <w:rFonts w:ascii="Arial" w:eastAsia="Arial" w:hAnsi="Arial" w:cs="Arial"/>
          <w:sz w:val="24"/>
          <w:szCs w:val="24"/>
        </w:rPr>
        <w:t xml:space="preserve"> executed operations locally. The non-governmental organization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International had three main functions: determining the purpose and rules of the organization, providing technical and administrative assistance, and motivating and guiding state and local agencies. At the local level,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provided services to its </w:t>
      </w:r>
      <w:r w:rsidRPr="0C1DF6D2">
        <w:rPr>
          <w:rFonts w:ascii="Arial" w:eastAsia="Arial" w:hAnsi="Arial" w:cs="Arial"/>
          <w:sz w:val="24"/>
          <w:szCs w:val="24"/>
        </w:rPr>
        <w:lastRenderedPageBreak/>
        <w:t xml:space="preserve">neighborhood members and was receiving funding through subscriptions.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used private streets or blocks of approximately 75 to 100 households, and assigned street beautifiers to them. Citizens of any particular regions were responsible to keep their streets clean, were being paid monthly salary, were directed to organize meetings, and were being assigned with a prominent person as a leader or president of local clubs (Ramkumar, 1996). The street beautifiers were responsible for collecting waste from each household in their assigned areas, separation of useful components to a distinct container, and for recycling and placing the residues in the municipal bins. </w:t>
      </w:r>
    </w:p>
    <w:p w14:paraId="593D6123" w14:textId="557B2662" w:rsidR="0C1DF6D2" w:rsidRDefault="0C1DF6D2" w:rsidP="0C1DF6D2">
      <w:pPr>
        <w:jc w:val="both"/>
        <w:rPr>
          <w:rFonts w:ascii="Arial" w:eastAsia="Arial" w:hAnsi="Arial" w:cs="Arial"/>
          <w:sz w:val="24"/>
          <w:szCs w:val="24"/>
        </w:rPr>
      </w:pP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created widespread environmental and civil awareness by promoting community well-being and encouraging people to directly involved in a voluntary activity of waste collection, removal, reducing pollution and recycling of waste. Campaigns, formal and informal training programs, seminar was some of the community engagement method adopted by the organization and through which awareness were created (Ghosh, 2003). They colored the dustbin carts in front of households in purpose of separating disposable and non-disposable waste. The organization also provided training programs to separate garbage at homes. All the collected waste </w:t>
      </w:r>
      <w:proofErr w:type="gramStart"/>
      <w:r w:rsidRPr="0C1DF6D2">
        <w:rPr>
          <w:rFonts w:ascii="Arial" w:eastAsia="Arial" w:hAnsi="Arial" w:cs="Arial"/>
          <w:sz w:val="24"/>
          <w:szCs w:val="24"/>
        </w:rPr>
        <w:t>were</w:t>
      </w:r>
      <w:proofErr w:type="gramEnd"/>
      <w:r w:rsidRPr="0C1DF6D2">
        <w:rPr>
          <w:rFonts w:ascii="Arial" w:eastAsia="Arial" w:hAnsi="Arial" w:cs="Arial"/>
          <w:sz w:val="24"/>
          <w:szCs w:val="24"/>
        </w:rPr>
        <w:t xml:space="preserve"> taken to a Zero waste center where the organic waste was processed to convert into compost. Every household in the community required to pay £0.33 for a whole month for subscription. Due to the initiative taken by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people tend to be more aware about the cleanliness of their community and environment. They started to maintain a systemic method for garbage removal from their households as well as started to participate in the initiate actively. A research survey demonstrated that 75% residents has found the initiated of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effective in improving waste management system and 50% reported that they had taken active participation in the activity (Mahajan,2016).         </w:t>
      </w:r>
    </w:p>
    <w:p w14:paraId="5F11B408" w14:textId="40E3F18A" w:rsidR="0C1DF6D2" w:rsidRDefault="0C1DF6D2" w:rsidP="0C1DF6D2">
      <w:pPr>
        <w:jc w:val="both"/>
        <w:rPr>
          <w:rFonts w:ascii="Arial" w:eastAsia="Arial" w:hAnsi="Arial" w:cs="Arial"/>
          <w:sz w:val="24"/>
          <w:szCs w:val="24"/>
        </w:rPr>
      </w:pP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emphasized that local governments are better aware of people's concerns and that citizens needed to be more involved in communal issues. The results of this initiative showed limited success of the plan in saving a significant portion of generated waste and rehabilitating the poor in the selected regions. However, individuals who have been granted synchronization had shown that they have successfully set up and managed a waste collection system that can improve the overall environment. The system supported by EXNORA required considerable local resources and political and technical assistance that was difficult to find and maintain without strong local leaders. It was based on a triangular contract between local governments, residents and small businesses and could provide a good solution for the community to tackle the difficult technical and commercial aspects (TERI, 2013). Instead of these terms, there were some common difficulties in the innovation of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The sustainability of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project were highly dependent on the mass subscription and fees of community people. Because of this reason large number of non-participating households could considerably disrupt the waste management system. The system could perform effectively only when households kept up their payments timely otherwise the street units would have collapsed. Due to this most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projects demonstrated success in middle to higher income areas (Dahiya, 2003).  </w:t>
      </w:r>
    </w:p>
    <w:p w14:paraId="642E160F" w14:textId="41C079D0" w:rsidR="0C1DF6D2" w:rsidRDefault="0C1DF6D2" w:rsidP="0C1DF6D2">
      <w:pPr>
        <w:jc w:val="both"/>
        <w:rPr>
          <w:rFonts w:ascii="Arial" w:eastAsia="Arial" w:hAnsi="Arial" w:cs="Arial"/>
          <w:sz w:val="24"/>
          <w:szCs w:val="24"/>
        </w:rPr>
      </w:pPr>
      <w:r w:rsidRPr="0C1DF6D2">
        <w:rPr>
          <w:rFonts w:ascii="Arial" w:eastAsia="Arial" w:hAnsi="Arial" w:cs="Arial"/>
          <w:sz w:val="24"/>
          <w:szCs w:val="24"/>
        </w:rPr>
        <w:lastRenderedPageBreak/>
        <w:t xml:space="preserve">The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innovation also involved technical, political, leadership and partnership aspects which can influence the community engagement project significantly. In terms of technological innovation, non-government organizations and associations always lack the scientific knowledge and support complex industrial projects. For these new technologies were absent in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such as vermicomposting which made the project success difficult. The success of the initiative was depended largely on the participatory community. A research survey conducted by Anand (1999) demonstrated that 47% residents were not cooperating or showing very little interest to the project which resulted in mixing of waste, dumping of waste in water bodies and road tracks. Another notable issue confronted the initiative was the support of local leaders. Without the cooperation and effort of local leaders, the project had little to no chance of success. It was also difficult to assure constant support of local leaders to promote the campaign. For proper functioning of the waste management project, it was required to have strong relationship between municipal authorities and the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officials as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were only performing the primary function of dumping waste into municipal bins where the final disposal and waste processing were solely depended on the municipal authority actions (</w:t>
      </w:r>
      <w:proofErr w:type="spellStart"/>
      <w:r w:rsidRPr="0C1DF6D2">
        <w:rPr>
          <w:rFonts w:ascii="Arial" w:eastAsia="Arial" w:hAnsi="Arial" w:cs="Arial"/>
          <w:sz w:val="24"/>
          <w:szCs w:val="24"/>
        </w:rPr>
        <w:t>Tropp</w:t>
      </w:r>
      <w:proofErr w:type="spellEnd"/>
      <w:r w:rsidRPr="0C1DF6D2">
        <w:rPr>
          <w:rFonts w:ascii="Arial" w:eastAsia="Arial" w:hAnsi="Arial" w:cs="Arial"/>
          <w:sz w:val="24"/>
          <w:szCs w:val="24"/>
        </w:rPr>
        <w:t xml:space="preserve">, 2013). </w:t>
      </w:r>
    </w:p>
    <w:p w14:paraId="39AEE529" w14:textId="4F7F9AE9" w:rsidR="0C1DF6D2" w:rsidRDefault="0C1DF6D2" w:rsidP="0C1DF6D2">
      <w:pPr>
        <w:jc w:val="both"/>
        <w:rPr>
          <w:rFonts w:ascii="Arial" w:eastAsia="Arial" w:hAnsi="Arial" w:cs="Arial"/>
          <w:sz w:val="24"/>
          <w:szCs w:val="24"/>
        </w:rPr>
      </w:pPr>
      <w:r w:rsidRPr="0C1DF6D2">
        <w:rPr>
          <w:rFonts w:ascii="Arial" w:eastAsia="Arial" w:hAnsi="Arial" w:cs="Arial"/>
          <w:sz w:val="24"/>
          <w:szCs w:val="24"/>
        </w:rPr>
        <w:t xml:space="preserve">By analyzing both the projects approach for community engagement, research process, communication criteria, stakeholder’s participation, significant changes have been found in terms of stakeholders attracting and communication process. In the community engagement project of Bowden House Community, social media platforms have been used for targeting and communicating with potential stakeholders. On the other hand, the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project had initiated campaigns, meetings and seminars to motivate and attract stakeholders. Considering the contemporary demographical situation and availability of technology, it can be said that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was adopted the most efficient method to attract stakeholders. The Bowden House Community engagement project has chosen social media platforms as it is time consuming, easy access, low cost and thus will be able to attract more potential stakeholders in a limited period of time. Due to the Covid-19 situation there will be also restriction on mass public gathering and organizing public events which makes the online campaign process a suitable and timely approach. Furthermore, the Bowden House Community project has prepared a list of potential stakeholders who will contribute to make the project success in every aspect. In the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project there were no definite list of stakeholders and mainly the residents and neighbors of community was the key participants. The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project didn’t encouraged the local organizations such as community hospitals, voluntary associations, schools and colleges in the innovation. The project solely depended on the support and finance of local community people and municipal authorities. Lack of contribution of supportive stakeholders made the project vulnerable or functionable in some chosen context (Dahiya, 2003). The Bowden House Community project has prepared a detailed list of stakeholders whose contributions will assure the success of the project as well as it will provide financial, political and local leadership support. Moreover, the Bowden House Community project will directly interact with the stakeholders after convincing them in social medias. By doing so it will record the suggestions and recommendation of individual stakeholders to overcome the issues of Bowden House Community. Designing </w:t>
      </w:r>
      <w:r w:rsidRPr="0C1DF6D2">
        <w:rPr>
          <w:rFonts w:ascii="Arial" w:eastAsia="Arial" w:hAnsi="Arial" w:cs="Arial"/>
          <w:sz w:val="24"/>
          <w:szCs w:val="24"/>
        </w:rPr>
        <w:lastRenderedPageBreak/>
        <w:t xml:space="preserve">intervention by considering the opinions of local stakeholders will enhance the possibility of success of the project as well as it will motivate them to actively participate in the initiative which was absent in the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community engagement project. The lack of success of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project was due to the lower participation of the local community people which could partly because the interventions were not designed by considering or taking their valuable suggestions.    </w:t>
      </w:r>
    </w:p>
    <w:p w14:paraId="54F8FE95" w14:textId="7AE1C8F1" w:rsidR="0C1DF6D2" w:rsidRDefault="0C1DF6D2" w:rsidP="0C1DF6D2">
      <w:pPr>
        <w:jc w:val="both"/>
        <w:rPr>
          <w:rFonts w:ascii="Arial" w:eastAsia="Arial" w:hAnsi="Arial" w:cs="Arial"/>
          <w:sz w:val="24"/>
          <w:szCs w:val="24"/>
        </w:rPr>
      </w:pPr>
      <w:r w:rsidRPr="0C1DF6D2">
        <w:rPr>
          <w:rFonts w:ascii="Arial" w:eastAsia="Arial" w:hAnsi="Arial" w:cs="Arial"/>
          <w:sz w:val="24"/>
          <w:szCs w:val="24"/>
        </w:rPr>
        <w:t xml:space="preserve">In conclusion the reflective report has evaluated and analyzed various aspects of two distinct community engagement project of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and Bowden House Community. The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waste management project introduced a waste management system which will involve the participation of community people of Chennai, India. The project provided training program on waste separation and motivated people through seminars, campaigns and meetings. To ease the waste management system of municipal authority, the project started to refine waste into categories and initiated a scheme of earning money by recycling and converting waste into compost. Partially the project was successful in its goal of managing waste and promoting cleaner and greener environment. The project largely depended on the financial support of the local communities and constant local leadership support to promote the program. Due to these reasons the project failed in some context as it didn’t consider to attract potential stakeholders and communicate them in an effective way. On the other hand, the Bowden House Community engagement project has prepared a list of potential stakeholders who can actively participate to assure the success of the initiative. The stakeholders will be identified and communicated in social media platforms and their opinions and suggestions will be recorded to design waste management interventions. The process will enhance the participation of community people and to have local leaders to direct the project activities. Furthermore, the project has been designed by considering the standards and principals of community engagement programs which will contribute to the project success. For financial support, the Bowden House Community project has considered external support and stakeholders which will help to run and sustain the project activities in the future. It has also suggested to educate community members to adopt changes in the project activities and assure its sustainability in adverse circumstances.    </w:t>
      </w:r>
    </w:p>
    <w:p w14:paraId="337AC4EC" w14:textId="1C579D46" w:rsidR="0C1DF6D2" w:rsidRDefault="0C1DF6D2">
      <w:r>
        <w:br w:type="page"/>
      </w:r>
    </w:p>
    <w:p w14:paraId="695489D2" w14:textId="67143EE7" w:rsidR="0C1DF6D2" w:rsidRDefault="0C1DF6D2" w:rsidP="0C1DF6D2">
      <w:pPr>
        <w:jc w:val="both"/>
        <w:rPr>
          <w:rFonts w:ascii="Arial" w:eastAsia="Arial" w:hAnsi="Arial" w:cs="Arial"/>
          <w:b/>
          <w:bCs/>
          <w:sz w:val="24"/>
          <w:szCs w:val="24"/>
        </w:rPr>
      </w:pPr>
      <w:r w:rsidRPr="0C1DF6D2">
        <w:rPr>
          <w:rFonts w:ascii="Arial" w:eastAsia="Arial" w:hAnsi="Arial" w:cs="Arial"/>
          <w:b/>
          <w:bCs/>
          <w:sz w:val="24"/>
          <w:szCs w:val="24"/>
        </w:rPr>
        <w:lastRenderedPageBreak/>
        <w:t xml:space="preserve">References  </w:t>
      </w:r>
    </w:p>
    <w:p w14:paraId="3D846067" w14:textId="5B3B59B1" w:rsidR="0C1DF6D2" w:rsidRDefault="0C1DF6D2" w:rsidP="0C1DF6D2">
      <w:pPr>
        <w:rPr>
          <w:rFonts w:ascii="Arial" w:eastAsia="Arial" w:hAnsi="Arial" w:cs="Arial"/>
          <w:sz w:val="24"/>
          <w:szCs w:val="24"/>
        </w:rPr>
      </w:pPr>
      <w:r w:rsidRPr="0C1DF6D2">
        <w:rPr>
          <w:rFonts w:ascii="Arial" w:eastAsia="Arial" w:hAnsi="Arial" w:cs="Arial"/>
          <w:sz w:val="24"/>
          <w:szCs w:val="24"/>
        </w:rPr>
        <w:t>Anand, P.B. 1999. Waste management in Madras revisited. Environment and Urbanization, 11(2): 161-176.</w:t>
      </w:r>
    </w:p>
    <w:p w14:paraId="06B0820C" w14:textId="550F21BC" w:rsidR="0C1DF6D2" w:rsidRDefault="0C1DF6D2" w:rsidP="0C1DF6D2">
      <w:pPr>
        <w:rPr>
          <w:rFonts w:ascii="Arial" w:eastAsia="Arial" w:hAnsi="Arial" w:cs="Arial"/>
          <w:sz w:val="24"/>
          <w:szCs w:val="24"/>
        </w:rPr>
      </w:pPr>
      <w:r w:rsidRPr="0C1DF6D2">
        <w:rPr>
          <w:rFonts w:ascii="Arial" w:eastAsia="Arial" w:hAnsi="Arial" w:cs="Arial"/>
          <w:sz w:val="24"/>
          <w:szCs w:val="24"/>
        </w:rPr>
        <w:t>Dahiya, B. 2003. Peri-urban environments and community driven development: Chennai, India. Cities, 20(5): 341-352.</w:t>
      </w:r>
    </w:p>
    <w:p w14:paraId="61F800E9" w14:textId="4009E784" w:rsidR="0C1DF6D2" w:rsidRDefault="0C1DF6D2" w:rsidP="0C1DF6D2">
      <w:pPr>
        <w:rPr>
          <w:rFonts w:ascii="Arial" w:eastAsia="Arial" w:hAnsi="Arial" w:cs="Arial"/>
          <w:sz w:val="24"/>
          <w:szCs w:val="24"/>
        </w:rPr>
      </w:pPr>
      <w:proofErr w:type="spellStart"/>
      <w:r w:rsidRPr="0C1DF6D2">
        <w:rPr>
          <w:rFonts w:ascii="Arial" w:eastAsia="Arial" w:hAnsi="Arial" w:cs="Arial"/>
          <w:sz w:val="24"/>
          <w:szCs w:val="24"/>
        </w:rPr>
        <w:t>Dhamija</w:t>
      </w:r>
      <w:proofErr w:type="spellEnd"/>
      <w:r w:rsidRPr="0C1DF6D2">
        <w:rPr>
          <w:rFonts w:ascii="Arial" w:eastAsia="Arial" w:hAnsi="Arial" w:cs="Arial"/>
          <w:sz w:val="24"/>
          <w:szCs w:val="24"/>
        </w:rPr>
        <w:t>, U. 2006. Sustainable solid waste management: Issues, policies, and structures. New Delhi, India: Academic Foundation. Dump yards turn death traps for rag pickers in Hyderabad. 2011. Deccan Herald.</w:t>
      </w:r>
    </w:p>
    <w:p w14:paraId="39FB3668" w14:textId="28A0E0C9" w:rsidR="0C1DF6D2" w:rsidRDefault="0C1DF6D2" w:rsidP="0C1DF6D2">
      <w:pPr>
        <w:rPr>
          <w:rFonts w:ascii="Arial" w:eastAsia="Arial" w:hAnsi="Arial" w:cs="Arial"/>
          <w:sz w:val="24"/>
          <w:szCs w:val="24"/>
        </w:rPr>
      </w:pPr>
      <w:r w:rsidRPr="0C1DF6D2">
        <w:rPr>
          <w:rFonts w:ascii="Arial" w:eastAsia="Arial" w:hAnsi="Arial" w:cs="Arial"/>
          <w:sz w:val="24"/>
          <w:szCs w:val="24"/>
        </w:rPr>
        <w:t>Ghosh, A. 2003. Urban environment management: Local government and community action. New Delhi, India: Concept.</w:t>
      </w:r>
    </w:p>
    <w:p w14:paraId="36118829" w14:textId="55305DEF" w:rsidR="0C1DF6D2" w:rsidRDefault="0C1DF6D2" w:rsidP="0C1DF6D2">
      <w:pPr>
        <w:rPr>
          <w:rFonts w:ascii="Arial" w:eastAsia="Arial" w:hAnsi="Arial" w:cs="Arial"/>
          <w:sz w:val="24"/>
          <w:szCs w:val="24"/>
        </w:rPr>
      </w:pPr>
      <w:r w:rsidRPr="0C1DF6D2">
        <w:rPr>
          <w:rFonts w:ascii="Arial" w:eastAsia="Arial" w:hAnsi="Arial" w:cs="Arial"/>
          <w:sz w:val="24"/>
          <w:szCs w:val="24"/>
        </w:rPr>
        <w:t>Hanrahan, D., S. Srivastava and A. S. Ramakrishna. 2006. Improving the management of municipal solid waste in India: Overview and challenges. New Delhi, India: World Bank.</w:t>
      </w:r>
    </w:p>
    <w:p w14:paraId="5FCB1898" w14:textId="24CF811D" w:rsidR="0C1DF6D2" w:rsidRDefault="0C1DF6D2" w:rsidP="0C1DF6D2">
      <w:pPr>
        <w:rPr>
          <w:rFonts w:ascii="Arial" w:eastAsia="Arial" w:hAnsi="Arial" w:cs="Arial"/>
          <w:sz w:val="24"/>
          <w:szCs w:val="24"/>
        </w:rPr>
      </w:pPr>
      <w:r w:rsidRPr="0C1DF6D2">
        <w:rPr>
          <w:rFonts w:ascii="Arial" w:eastAsia="Arial" w:hAnsi="Arial" w:cs="Arial"/>
          <w:sz w:val="24"/>
          <w:szCs w:val="24"/>
        </w:rPr>
        <w:t xml:space="preserve">Kumar, J.S., S.K. Venkata &amp; P.V.V.P. Rao. 2013. Management of municipal solid waste by vermicompost-A case study of </w:t>
      </w:r>
      <w:proofErr w:type="spellStart"/>
      <w:r w:rsidRPr="0C1DF6D2">
        <w:rPr>
          <w:rFonts w:ascii="Arial" w:eastAsia="Arial" w:hAnsi="Arial" w:cs="Arial"/>
          <w:sz w:val="24"/>
          <w:szCs w:val="24"/>
        </w:rPr>
        <w:t>Eluru</w:t>
      </w:r>
      <w:proofErr w:type="spellEnd"/>
      <w:r w:rsidRPr="0C1DF6D2">
        <w:rPr>
          <w:rFonts w:ascii="Arial" w:eastAsia="Arial" w:hAnsi="Arial" w:cs="Arial"/>
          <w:sz w:val="24"/>
          <w:szCs w:val="24"/>
        </w:rPr>
        <w:t xml:space="preserve">. Pp. 47-56 in S. A. </w:t>
      </w:r>
      <w:proofErr w:type="spellStart"/>
      <w:r w:rsidRPr="0C1DF6D2">
        <w:rPr>
          <w:rFonts w:ascii="Arial" w:eastAsia="Arial" w:hAnsi="Arial" w:cs="Arial"/>
          <w:sz w:val="24"/>
          <w:szCs w:val="24"/>
        </w:rPr>
        <w:t>Uneesa</w:t>
      </w:r>
      <w:proofErr w:type="spellEnd"/>
      <w:r w:rsidRPr="0C1DF6D2">
        <w:rPr>
          <w:rFonts w:ascii="Arial" w:eastAsia="Arial" w:hAnsi="Arial" w:cs="Arial"/>
          <w:sz w:val="24"/>
          <w:szCs w:val="24"/>
        </w:rPr>
        <w:t xml:space="preserve"> &amp; S. B. </w:t>
      </w:r>
      <w:proofErr w:type="spellStart"/>
      <w:r w:rsidRPr="0C1DF6D2">
        <w:rPr>
          <w:rFonts w:ascii="Arial" w:eastAsia="Arial" w:hAnsi="Arial" w:cs="Arial"/>
          <w:sz w:val="24"/>
          <w:szCs w:val="24"/>
        </w:rPr>
        <w:t>Rav</w:t>
      </w:r>
      <w:proofErr w:type="spellEnd"/>
      <w:r w:rsidRPr="0C1DF6D2">
        <w:rPr>
          <w:rFonts w:ascii="Arial" w:eastAsia="Arial" w:hAnsi="Arial" w:cs="Arial"/>
          <w:sz w:val="24"/>
          <w:szCs w:val="24"/>
        </w:rPr>
        <w:t xml:space="preserve"> (Eds.), Sustainable solid waste management. Toronto, Canada: Apple Academic.</w:t>
      </w:r>
    </w:p>
    <w:p w14:paraId="5256462D" w14:textId="60B57F58" w:rsidR="0C1DF6D2" w:rsidRDefault="0C1DF6D2" w:rsidP="0C1DF6D2">
      <w:pPr>
        <w:rPr>
          <w:rFonts w:ascii="Arial" w:eastAsia="Arial" w:hAnsi="Arial" w:cs="Arial"/>
          <w:sz w:val="24"/>
          <w:szCs w:val="24"/>
        </w:rPr>
      </w:pPr>
      <w:r w:rsidRPr="0C1DF6D2">
        <w:rPr>
          <w:rFonts w:ascii="Arial" w:eastAsia="Arial" w:hAnsi="Arial" w:cs="Arial"/>
          <w:sz w:val="24"/>
          <w:szCs w:val="24"/>
        </w:rPr>
        <w:t xml:space="preserve">Mahajan, N., 2016. Solid Waste Management in Chennai: Lessons from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The Innovation Journal: The Public Sector Innovation Journal, 21(2), pp.1-26.</w:t>
      </w:r>
    </w:p>
    <w:p w14:paraId="4E778F6F" w14:textId="5009660A" w:rsidR="0C1DF6D2" w:rsidRDefault="0C1DF6D2" w:rsidP="0C1DF6D2">
      <w:pPr>
        <w:rPr>
          <w:rFonts w:ascii="Arial" w:eastAsia="Arial" w:hAnsi="Arial" w:cs="Arial"/>
          <w:sz w:val="24"/>
          <w:szCs w:val="24"/>
        </w:rPr>
      </w:pPr>
      <w:r w:rsidRPr="0C1DF6D2">
        <w:rPr>
          <w:rFonts w:ascii="Arial" w:eastAsia="Arial" w:hAnsi="Arial" w:cs="Arial"/>
          <w:sz w:val="24"/>
          <w:szCs w:val="24"/>
        </w:rPr>
        <w:t xml:space="preserve">Ramkumar, T. K. 1996. </w:t>
      </w:r>
      <w:proofErr w:type="spellStart"/>
      <w:r w:rsidRPr="0C1DF6D2">
        <w:rPr>
          <w:rFonts w:ascii="Arial" w:eastAsia="Arial" w:hAnsi="Arial" w:cs="Arial"/>
          <w:sz w:val="24"/>
          <w:szCs w:val="24"/>
        </w:rPr>
        <w:t>Exnora</w:t>
      </w:r>
      <w:proofErr w:type="spellEnd"/>
      <w:r w:rsidRPr="0C1DF6D2">
        <w:rPr>
          <w:rFonts w:ascii="Arial" w:eastAsia="Arial" w:hAnsi="Arial" w:cs="Arial"/>
          <w:sz w:val="24"/>
          <w:szCs w:val="24"/>
        </w:rPr>
        <w:t xml:space="preserve"> case study on community initiative in municipal solid waste management. Paper presented in workshop on micro and small enterprises involvement in municipal solid waste management in developing countries, UMP/SDC collaborative program on MSWM in low-income countries, Cairo, Egypt.</w:t>
      </w:r>
    </w:p>
    <w:p w14:paraId="1F4CE8E1" w14:textId="29123E47" w:rsidR="0C1DF6D2" w:rsidRDefault="0C1DF6D2" w:rsidP="0C1DF6D2">
      <w:pPr>
        <w:rPr>
          <w:rFonts w:ascii="Arial" w:eastAsia="Arial" w:hAnsi="Arial" w:cs="Arial"/>
          <w:sz w:val="24"/>
          <w:szCs w:val="24"/>
        </w:rPr>
      </w:pPr>
      <w:r w:rsidRPr="0C1DF6D2">
        <w:rPr>
          <w:rFonts w:ascii="Arial" w:eastAsia="Arial" w:hAnsi="Arial" w:cs="Arial"/>
          <w:sz w:val="24"/>
          <w:szCs w:val="24"/>
        </w:rPr>
        <w:t>TERI (The Energy and Resource Institute). 2013. TERI environmental survey. Available at: http://www.teriin.org/pdf/Environmental-Survey.pdf</w:t>
      </w:r>
    </w:p>
    <w:p w14:paraId="769B3702" w14:textId="06598F10" w:rsidR="0C1DF6D2" w:rsidRDefault="0C1DF6D2" w:rsidP="0C1DF6D2">
      <w:pPr>
        <w:rPr>
          <w:rFonts w:ascii="Arial" w:eastAsia="Arial" w:hAnsi="Arial" w:cs="Arial"/>
          <w:sz w:val="24"/>
          <w:szCs w:val="24"/>
        </w:rPr>
      </w:pPr>
      <w:proofErr w:type="spellStart"/>
      <w:r w:rsidRPr="0C1DF6D2">
        <w:rPr>
          <w:rFonts w:ascii="Arial" w:eastAsia="Arial" w:hAnsi="Arial" w:cs="Arial"/>
          <w:sz w:val="24"/>
          <w:szCs w:val="24"/>
        </w:rPr>
        <w:t>Tropp</w:t>
      </w:r>
      <w:proofErr w:type="spellEnd"/>
      <w:r w:rsidRPr="0C1DF6D2">
        <w:rPr>
          <w:rFonts w:ascii="Arial" w:eastAsia="Arial" w:hAnsi="Arial" w:cs="Arial"/>
          <w:sz w:val="24"/>
          <w:szCs w:val="24"/>
        </w:rPr>
        <w:t>, H. 2013. The role of voluntary organizations in environmental service provision. Pp. 113-145 in S. T. Madsen (Ed.), State society and the environment in South Asia. New York, NY: Routledge.</w:t>
      </w:r>
    </w:p>
    <w:p w14:paraId="42C9628E" w14:textId="69DBE905" w:rsidR="0C1DF6D2" w:rsidRDefault="0C1DF6D2" w:rsidP="0C1DF6D2">
      <w:pPr>
        <w:jc w:val="both"/>
        <w:rPr>
          <w:rFonts w:ascii="Arial" w:eastAsia="Arial" w:hAnsi="Arial" w:cs="Arial"/>
          <w:b/>
          <w:bCs/>
          <w:sz w:val="24"/>
          <w:szCs w:val="24"/>
        </w:rPr>
      </w:pPr>
    </w:p>
    <w:p w14:paraId="134DBAF0" w14:textId="74D24926" w:rsidR="0C1DF6D2" w:rsidRDefault="0C1DF6D2" w:rsidP="0C1DF6D2">
      <w:pPr>
        <w:jc w:val="both"/>
        <w:rPr>
          <w:rFonts w:ascii="Arial" w:eastAsia="Arial" w:hAnsi="Arial" w:cs="Arial"/>
          <w:sz w:val="24"/>
          <w:szCs w:val="24"/>
        </w:rPr>
      </w:pPr>
      <w:r w:rsidRPr="0C1DF6D2">
        <w:rPr>
          <w:rFonts w:ascii="Arial" w:eastAsia="Arial" w:hAnsi="Arial" w:cs="Arial"/>
          <w:sz w:val="24"/>
          <w:szCs w:val="24"/>
        </w:rPr>
        <w:t xml:space="preserve">  </w:t>
      </w:r>
    </w:p>
    <w:sectPr w:rsidR="0C1DF6D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1DF6D2"/>
    <w:rsid w:val="00251163"/>
    <w:rsid w:val="009B7EAA"/>
    <w:rsid w:val="0C1DF6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BBD07B18-CAE9-47D6-AA11-0723A39E5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2239</Words>
  <Characters>12765</Characters>
  <Application>Microsoft Office Word</Application>
  <DocSecurity>0</DocSecurity>
  <Lines>106</Lines>
  <Paragraphs>29</Paragraphs>
  <ScaleCrop>false</ScaleCrop>
  <Company/>
  <LinksUpToDate>false</LinksUpToDate>
  <CharactersWithSpaces>14975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2</cp:revision>
  <dcterms:created xsi:type="dcterms:W3CDTF">2012-08-07T16:44:00Z</dcterms:created>
  <dcterms:modified xsi:type="dcterms:W3CDTF">2021-08-03T15:04:00Z</dcterms:modified>
</cp:coreProperties>
</file>