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B743C" w14:textId="77777777" w:rsidR="00196B06" w:rsidRDefault="00196B06"/>
    <w:p w14:paraId="61C78DF5" w14:textId="77777777" w:rsidR="00196B06" w:rsidRDefault="00196B06"/>
    <w:p w14:paraId="26F2CB80" w14:textId="77777777" w:rsidR="00196B06" w:rsidRDefault="00196B06"/>
    <w:p w14:paraId="7CF7CE1B" w14:textId="77777777" w:rsidR="00196B06" w:rsidRDefault="00196B06"/>
    <w:p w14:paraId="3C1A99EC" w14:textId="77777777" w:rsidR="00196B06" w:rsidRDefault="00196B06"/>
    <w:p w14:paraId="1F294F42" w14:textId="77777777" w:rsidR="00196B06" w:rsidRDefault="00196B06"/>
    <w:p w14:paraId="35622B99" w14:textId="77777777" w:rsidR="00196B06" w:rsidRDefault="00196B06"/>
    <w:p w14:paraId="3C9C0FE3" w14:textId="77777777" w:rsidR="00196B06" w:rsidRDefault="00196B06"/>
    <w:p w14:paraId="6B1EB800" w14:textId="77777777" w:rsidR="00196B06" w:rsidRDefault="00196B06"/>
    <w:p w14:paraId="6E0071D8" w14:textId="77777777" w:rsidR="00196B06" w:rsidRDefault="00196B06"/>
    <w:p w14:paraId="58D21D1E" w14:textId="388A7D70" w:rsidR="00A929BF" w:rsidRPr="00B845E5" w:rsidRDefault="00196B06">
      <w:pPr>
        <w:rPr>
          <w:rStyle w:val="Strong"/>
        </w:rPr>
      </w:pPr>
      <w:r w:rsidRPr="00B845E5">
        <w:rPr>
          <w:rStyle w:val="Strong"/>
        </w:rPr>
        <w:drawing>
          <wp:anchor distT="0" distB="0" distL="114300" distR="114300" simplePos="0" relativeHeight="251658240" behindDoc="0" locked="0" layoutInCell="1" allowOverlap="1" wp14:anchorId="3C3BA8EF" wp14:editId="4716BDFE">
            <wp:simplePos x="0" y="0"/>
            <wp:positionH relativeFrom="margin">
              <wp:posOffset>897890</wp:posOffset>
            </wp:positionH>
            <wp:positionV relativeFrom="page">
              <wp:align>top</wp:align>
            </wp:positionV>
            <wp:extent cx="3369310" cy="2277065"/>
            <wp:effectExtent l="0" t="0" r="2540" b="9525"/>
            <wp:wrapSquare wrapText="bothSides"/>
            <wp:docPr id="931494437"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494437" name="Picture 1" descr="A logo of a university of wa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69310" cy="2277065"/>
                    </a:xfrm>
                    <a:prstGeom prst="rect">
                      <a:avLst/>
                    </a:prstGeom>
                  </pic:spPr>
                </pic:pic>
              </a:graphicData>
            </a:graphic>
          </wp:anchor>
        </w:drawing>
      </w:r>
      <w:r w:rsidRPr="00B845E5">
        <w:rPr>
          <w:rStyle w:val="Strong"/>
        </w:rPr>
        <w:t xml:space="preserve">STUDENT NAME: IONELA SORINA OCNEANU </w:t>
      </w:r>
    </w:p>
    <w:p w14:paraId="4748FC51" w14:textId="704CF4BD" w:rsidR="00196B06" w:rsidRPr="00B845E5" w:rsidRDefault="00196B06">
      <w:pPr>
        <w:rPr>
          <w:rStyle w:val="Strong"/>
        </w:rPr>
      </w:pPr>
      <w:r w:rsidRPr="00B845E5">
        <w:rPr>
          <w:rStyle w:val="Strong"/>
        </w:rPr>
        <w:t>MODULE CODE: LCBB6023</w:t>
      </w:r>
    </w:p>
    <w:p w14:paraId="17E2B284" w14:textId="62FE2AA4" w:rsidR="00196B06" w:rsidRPr="00B845E5" w:rsidRDefault="00196B06">
      <w:pPr>
        <w:rPr>
          <w:rStyle w:val="Strong"/>
        </w:rPr>
      </w:pPr>
      <w:r w:rsidRPr="00B845E5">
        <w:rPr>
          <w:rStyle w:val="Strong"/>
        </w:rPr>
        <w:t xml:space="preserve">LECTURE NAME: LIYANAGE RODRIGO </w:t>
      </w:r>
    </w:p>
    <w:p w14:paraId="009CC92A" w14:textId="6E546503" w:rsidR="00196B06" w:rsidRPr="00B845E5" w:rsidRDefault="00196B06">
      <w:pPr>
        <w:rPr>
          <w:rStyle w:val="Strong"/>
        </w:rPr>
      </w:pPr>
      <w:r w:rsidRPr="00B845E5">
        <w:rPr>
          <w:rStyle w:val="Strong"/>
        </w:rPr>
        <w:t xml:space="preserve">STUENT ID: 2234046 </w:t>
      </w:r>
    </w:p>
    <w:p w14:paraId="6A0C4818" w14:textId="130FEE89" w:rsidR="00196B06" w:rsidRPr="00B845E5" w:rsidRDefault="00196B06">
      <w:pPr>
        <w:rPr>
          <w:rStyle w:val="Strong"/>
        </w:rPr>
      </w:pPr>
      <w:r w:rsidRPr="00B845E5">
        <w:rPr>
          <w:rStyle w:val="Strong"/>
        </w:rPr>
        <w:t xml:space="preserve">WORDS:2,500 </w:t>
      </w:r>
    </w:p>
    <w:p w14:paraId="05BB6D5C" w14:textId="26E4407C" w:rsidR="00196B06" w:rsidRPr="00B845E5" w:rsidRDefault="00196B06">
      <w:pPr>
        <w:rPr>
          <w:rStyle w:val="Strong"/>
        </w:rPr>
      </w:pPr>
      <w:r w:rsidRPr="00B845E5">
        <w:rPr>
          <w:rStyle w:val="Strong"/>
        </w:rPr>
        <w:t>COMPONENT 1</w:t>
      </w:r>
    </w:p>
    <w:p w14:paraId="3BFB5BF5" w14:textId="77777777" w:rsidR="00196B06" w:rsidRDefault="00196B06"/>
    <w:p w14:paraId="06B13CC3" w14:textId="77777777" w:rsidR="00196B06" w:rsidRDefault="00196B06"/>
    <w:p w14:paraId="10CA0D5C" w14:textId="77777777" w:rsidR="00196B06" w:rsidRDefault="00196B06"/>
    <w:p w14:paraId="709E7CC6" w14:textId="77777777" w:rsidR="00196B06" w:rsidRDefault="00196B06"/>
    <w:p w14:paraId="40078E41" w14:textId="77777777" w:rsidR="00196B06" w:rsidRDefault="00196B06"/>
    <w:p w14:paraId="1A0B5B19" w14:textId="77777777" w:rsidR="00196B06" w:rsidRDefault="00196B06"/>
    <w:p w14:paraId="1CB38A85" w14:textId="77777777" w:rsidR="00196B06" w:rsidRDefault="00196B06"/>
    <w:p w14:paraId="597A57C7" w14:textId="77777777" w:rsidR="00196B06" w:rsidRDefault="00196B06"/>
    <w:p w14:paraId="4FE1814B" w14:textId="77777777" w:rsidR="00196B06" w:rsidRDefault="00196B06"/>
    <w:p w14:paraId="79A2805E" w14:textId="77777777" w:rsidR="00196B06" w:rsidRDefault="00196B06"/>
    <w:p w14:paraId="71CD5221" w14:textId="77777777" w:rsidR="00196B06" w:rsidRDefault="00196B06"/>
    <w:p w14:paraId="37AC1C7A" w14:textId="77777777" w:rsidR="00196B06" w:rsidRDefault="00196B06"/>
    <w:p w14:paraId="3F814977" w14:textId="77777777" w:rsidR="00196B06" w:rsidRDefault="00196B06"/>
    <w:p w14:paraId="0F982EE0" w14:textId="29471765" w:rsidR="00B04BB6" w:rsidRPr="00FA0AF3" w:rsidRDefault="00B04BB6" w:rsidP="00FA0AF3">
      <w:pPr>
        <w:pStyle w:val="Title"/>
        <w:rPr>
          <w:rFonts w:ascii="Times New Roman" w:hAnsi="Times New Roman" w:cs="Times New Roman"/>
          <w:sz w:val="40"/>
          <w:szCs w:val="40"/>
        </w:rPr>
      </w:pPr>
      <w:r w:rsidRPr="00B04BB6">
        <w:t xml:space="preserve"> </w:t>
      </w:r>
      <w:r w:rsidRPr="00FA0AF3">
        <w:rPr>
          <w:rFonts w:ascii="Times New Roman" w:hAnsi="Times New Roman" w:cs="Times New Roman"/>
          <w:sz w:val="40"/>
          <w:szCs w:val="40"/>
        </w:rPr>
        <w:t>Applying Cultural Theories to Tesco’s Expansion from the UK to Japan</w:t>
      </w:r>
      <w:r w:rsidR="00B845E5" w:rsidRPr="00FA0AF3">
        <w:rPr>
          <w:rFonts w:ascii="Times New Roman" w:hAnsi="Times New Roman" w:cs="Times New Roman"/>
          <w:sz w:val="40"/>
          <w:szCs w:val="40"/>
        </w:rPr>
        <w:t xml:space="preserve"> (INTERNATIONAL MANAGEMENT AND COMUNICATION)</w:t>
      </w:r>
    </w:p>
    <w:p w14:paraId="294370CC" w14:textId="77777777" w:rsidR="00B845E5" w:rsidRPr="00B04BB6" w:rsidRDefault="00B845E5" w:rsidP="00B01F32">
      <w:pPr>
        <w:spacing w:line="360" w:lineRule="auto"/>
        <w:jc w:val="both"/>
        <w:rPr>
          <w:rFonts w:ascii="Times New Roman" w:hAnsi="Times New Roman" w:cs="Times New Roman"/>
          <w:b/>
          <w:bCs/>
        </w:rPr>
      </w:pPr>
    </w:p>
    <w:p w14:paraId="13F52CAA" w14:textId="3DFA91B0" w:rsidR="00B04BB6" w:rsidRPr="00B04BB6" w:rsidRDefault="00B845E5" w:rsidP="00B01F32">
      <w:pPr>
        <w:spacing w:line="360" w:lineRule="auto"/>
        <w:jc w:val="both"/>
        <w:rPr>
          <w:rFonts w:ascii="Times New Roman" w:hAnsi="Times New Roman" w:cs="Times New Roman"/>
        </w:rPr>
      </w:pPr>
      <w:r w:rsidRPr="00B01F32">
        <w:rPr>
          <w:rFonts w:ascii="Times New Roman" w:hAnsi="Times New Roman" w:cs="Times New Roman"/>
        </w:rPr>
        <w:t xml:space="preserve">Multinational corporations need far more than funds or effective operational efficiency to penetrate foreign markets, but rather, deep cultural understandings and good intercultural communication. With increasing global retail competition, the management of intercultural differences constitutes a strategic capability. This essay focuses upon </w:t>
      </w:r>
      <w:r w:rsidRPr="00B01F32">
        <w:rPr>
          <w:rFonts w:ascii="Times New Roman" w:hAnsi="Times New Roman" w:cs="Times New Roman"/>
        </w:rPr>
        <w:t>analysing</w:t>
      </w:r>
      <w:r w:rsidRPr="00B01F32">
        <w:rPr>
          <w:rFonts w:ascii="Times New Roman" w:hAnsi="Times New Roman" w:cs="Times New Roman"/>
        </w:rPr>
        <w:t xml:space="preserve"> communication difficulties faced by Tesco when operating between the United Kingdom and Japan. It applies major cross-cultural theories and research methodologies to understand the process of cross-cultural operations, specifically to find out how cultures contribute to international business: Hall’s High-Context and Low-Context Communication Theory (Hall, 1976), Hofstede’s Cultural Dimensions Theory (Hofstede, 1980; Hofstede et al., 2010), and more general global management perspectives such as the Global Integration–Local Responsiveness (I-R) framework (Bartlett &amp; Ghoshal, 1989). The essay investigates how cross-cultural differences impact communication styles, decision-making, leadership, and organisational practices. It furthermore investigates challenges arising through operating across national cultures. Offering theoretically sound preventive measures it seeks both organisational effectiveness and cultural integration.</w:t>
      </w:r>
    </w:p>
    <w:p w14:paraId="2AA3B084" w14:textId="77777777" w:rsidR="00B04BB6" w:rsidRPr="00B04BB6" w:rsidRDefault="00B04BB6" w:rsidP="00B01F32">
      <w:pPr>
        <w:spacing w:line="360" w:lineRule="auto"/>
        <w:jc w:val="both"/>
        <w:rPr>
          <w:rFonts w:ascii="Times New Roman" w:hAnsi="Times New Roman" w:cs="Times New Roman"/>
        </w:rPr>
      </w:pPr>
      <w:r w:rsidRPr="00B04BB6">
        <w:rPr>
          <w:rFonts w:ascii="Times New Roman" w:hAnsi="Times New Roman" w:cs="Times New Roman"/>
        </w:rPr>
        <w:t>Organisational Context: Tesco as a UK Multinational</w:t>
      </w:r>
    </w:p>
    <w:p w14:paraId="64B78B7F" w14:textId="1D07E0C6" w:rsidR="00B04BB6" w:rsidRPr="00B04BB6" w:rsidRDefault="00B04BB6" w:rsidP="00B01F32">
      <w:pPr>
        <w:spacing w:line="360" w:lineRule="auto"/>
        <w:jc w:val="both"/>
        <w:rPr>
          <w:rFonts w:ascii="Times New Roman" w:hAnsi="Times New Roman" w:cs="Times New Roman"/>
        </w:rPr>
      </w:pPr>
      <w:r w:rsidRPr="00B01F32">
        <w:rPr>
          <w:rFonts w:ascii="Times New Roman" w:hAnsi="Times New Roman" w:cs="Times New Roman"/>
        </w:rPr>
        <w:drawing>
          <wp:inline distT="0" distB="0" distL="0" distR="0" wp14:anchorId="7C7022D0" wp14:editId="5C9A712C">
            <wp:extent cx="3511748" cy="2326640"/>
            <wp:effectExtent l="0" t="0" r="0" b="0"/>
            <wp:docPr id="945217080" name="Picture 7" descr="A car driving past a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17080" name="Picture 7" descr="A car driving past a sto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8340" cy="2331008"/>
                    </a:xfrm>
                    <a:prstGeom prst="rect">
                      <a:avLst/>
                    </a:prstGeom>
                    <a:noFill/>
                    <a:ln>
                      <a:noFill/>
                    </a:ln>
                  </pic:spPr>
                </pic:pic>
              </a:graphicData>
            </a:graphic>
          </wp:inline>
        </w:drawing>
      </w:r>
    </w:p>
    <w:p w14:paraId="706F7547" w14:textId="778A3E1C" w:rsidR="00B04BB6" w:rsidRPr="00B04BB6" w:rsidRDefault="00B04BB6" w:rsidP="00B01F32">
      <w:pPr>
        <w:spacing w:line="360" w:lineRule="auto"/>
        <w:jc w:val="both"/>
        <w:rPr>
          <w:rFonts w:ascii="Times New Roman" w:hAnsi="Times New Roman" w:cs="Times New Roman"/>
        </w:rPr>
      </w:pPr>
      <w:r w:rsidRPr="00B01F32">
        <w:rPr>
          <w:rFonts w:ascii="Times New Roman" w:hAnsi="Times New Roman" w:cs="Times New Roman"/>
        </w:rPr>
        <w:lastRenderedPageBreak/>
        <w:drawing>
          <wp:anchor distT="0" distB="0" distL="114300" distR="114300" simplePos="0" relativeHeight="251660288" behindDoc="0" locked="0" layoutInCell="1" allowOverlap="1" wp14:anchorId="74F48F0E" wp14:editId="78D9F50A">
            <wp:simplePos x="0" y="0"/>
            <wp:positionH relativeFrom="margin">
              <wp:posOffset>-243840</wp:posOffset>
            </wp:positionH>
            <wp:positionV relativeFrom="margin">
              <wp:posOffset>-501015</wp:posOffset>
            </wp:positionV>
            <wp:extent cx="2820670" cy="1880235"/>
            <wp:effectExtent l="0" t="0" r="0" b="5715"/>
            <wp:wrapSquare wrapText="bothSides"/>
            <wp:docPr id="1835336172" name="Picture 6" descr="A building with glass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36172" name="Picture 6" descr="A building with glass windo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20670" cy="1880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1F32">
        <w:rPr>
          <w:rFonts w:ascii="Times New Roman" w:hAnsi="Times New Roman" w:cs="Times New Roman"/>
        </w:rPr>
        <w:drawing>
          <wp:anchor distT="0" distB="0" distL="114300" distR="114300" simplePos="0" relativeHeight="251659264" behindDoc="0" locked="0" layoutInCell="1" allowOverlap="1" wp14:anchorId="6520F1E9" wp14:editId="5E18CF6A">
            <wp:simplePos x="0" y="0"/>
            <wp:positionH relativeFrom="margin">
              <wp:posOffset>2819400</wp:posOffset>
            </wp:positionH>
            <wp:positionV relativeFrom="margin">
              <wp:posOffset>-457200</wp:posOffset>
            </wp:positionV>
            <wp:extent cx="3186430" cy="1668057"/>
            <wp:effectExtent l="0" t="0" r="0" b="8890"/>
            <wp:wrapSquare wrapText="bothSides"/>
            <wp:docPr id="1804680554" name="Picture 5" descr="A store with shelves of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80554" name="Picture 5" descr="A store with shelves of foo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6430" cy="1668057"/>
                    </a:xfrm>
                    <a:prstGeom prst="rect">
                      <a:avLst/>
                    </a:prstGeom>
                    <a:noFill/>
                    <a:ln>
                      <a:noFill/>
                    </a:ln>
                  </pic:spPr>
                </pic:pic>
              </a:graphicData>
            </a:graphic>
          </wp:anchor>
        </w:drawing>
      </w:r>
    </w:p>
    <w:p w14:paraId="50F05B9B" w14:textId="63924854" w:rsidR="00B04BB6" w:rsidRPr="00B04BB6" w:rsidRDefault="00B04BB6" w:rsidP="00B01F32">
      <w:pPr>
        <w:spacing w:line="360" w:lineRule="auto"/>
        <w:jc w:val="both"/>
        <w:rPr>
          <w:rFonts w:ascii="Times New Roman" w:hAnsi="Times New Roman" w:cs="Times New Roman"/>
        </w:rPr>
      </w:pPr>
    </w:p>
    <w:p w14:paraId="3A14578F" w14:textId="32A07385" w:rsidR="00B04BB6" w:rsidRPr="00B04BB6" w:rsidRDefault="00B845E5" w:rsidP="00B01F32">
      <w:pPr>
        <w:spacing w:line="360" w:lineRule="auto"/>
        <w:jc w:val="both"/>
        <w:rPr>
          <w:rFonts w:ascii="Times New Roman" w:hAnsi="Times New Roman" w:cs="Times New Roman"/>
        </w:rPr>
      </w:pPr>
      <w:r w:rsidRPr="00B01F32">
        <w:rPr>
          <w:rFonts w:ascii="Times New Roman" w:hAnsi="Times New Roman" w:cs="Times New Roman"/>
        </w:rPr>
        <w:t xml:space="preserve">Founded in 1919, Tesco is one of the largest retailers in the United Kingdom and has followed international expansion strategies across Europe and Asia. Tesco’s key strengths include operational efficiency, strong supply chain management, customer data analytics, and private-label product development. Tesco originated in a liberal market with individualism, moderate power distance, and direct communication in the UK business environment. In the context of expanding in Japan, Tesco needs to deal with an entirely different socio-cultural and organisational setting as communication norms, hierarchy, and decision-making practices differ drastically from </w:t>
      </w:r>
      <w:r w:rsidR="00FA0AF3" w:rsidRPr="00B01F32">
        <w:rPr>
          <w:rFonts w:ascii="Times New Roman" w:hAnsi="Times New Roman" w:cs="Times New Roman"/>
        </w:rPr>
        <w:t>Tho</w:t>
      </w:r>
      <w:r w:rsidR="00FA0AF3">
        <w:rPr>
          <w:rFonts w:ascii="Times New Roman" w:hAnsi="Times New Roman" w:cs="Times New Roman"/>
        </w:rPr>
        <w:t>.</w:t>
      </w:r>
    </w:p>
    <w:p w14:paraId="396FE231" w14:textId="55D2E9F5" w:rsidR="00B04BB6" w:rsidRPr="00B04BB6" w:rsidRDefault="00B04BB6" w:rsidP="00B01F32">
      <w:pPr>
        <w:spacing w:line="360" w:lineRule="auto"/>
        <w:jc w:val="both"/>
        <w:rPr>
          <w:rFonts w:ascii="Times New Roman" w:hAnsi="Times New Roman" w:cs="Times New Roman"/>
        </w:rPr>
      </w:pPr>
    </w:p>
    <w:p w14:paraId="14453218" w14:textId="77777777" w:rsidR="00B04BB6" w:rsidRPr="00B04BB6" w:rsidRDefault="00B04BB6" w:rsidP="00B01F32">
      <w:pPr>
        <w:spacing w:line="360" w:lineRule="auto"/>
        <w:jc w:val="both"/>
        <w:rPr>
          <w:rFonts w:ascii="Times New Roman" w:hAnsi="Times New Roman" w:cs="Times New Roman"/>
        </w:rPr>
      </w:pPr>
      <w:r w:rsidRPr="00B04BB6">
        <w:rPr>
          <w:rFonts w:ascii="Times New Roman" w:hAnsi="Times New Roman" w:cs="Times New Roman"/>
        </w:rPr>
        <w:t>Theoretical Framework 1: Hall’s High-Context and Low-Context Communication Theory</w:t>
      </w:r>
    </w:p>
    <w:p w14:paraId="3D9F705A" w14:textId="677C8921" w:rsidR="00B04BB6" w:rsidRPr="00B01F32" w:rsidRDefault="00B04BB6" w:rsidP="00B01F32">
      <w:pPr>
        <w:spacing w:line="360" w:lineRule="auto"/>
        <w:jc w:val="both"/>
        <w:rPr>
          <w:rFonts w:ascii="Times New Roman" w:hAnsi="Times New Roman" w:cs="Times New Roman"/>
          <w:b/>
          <w:bCs/>
        </w:rPr>
      </w:pPr>
    </w:p>
    <w:p w14:paraId="3BE06692" w14:textId="72ED9D9F" w:rsidR="00B845E5" w:rsidRPr="00B01F32" w:rsidRDefault="00FA0AF3" w:rsidP="00B01F32">
      <w:pPr>
        <w:spacing w:line="360" w:lineRule="auto"/>
        <w:jc w:val="both"/>
        <w:rPr>
          <w:rFonts w:ascii="Times New Roman" w:hAnsi="Times New Roman" w:cs="Times New Roman"/>
        </w:rPr>
      </w:pPr>
      <w:r w:rsidRPr="00B01F32">
        <w:rPr>
          <w:rFonts w:ascii="Times New Roman" w:hAnsi="Times New Roman" w:cs="Times New Roman"/>
        </w:rPr>
        <w:t>To</w:t>
      </w:r>
      <w:r w:rsidR="00B845E5" w:rsidRPr="00B01F32">
        <w:rPr>
          <w:rFonts w:ascii="Times New Roman" w:hAnsi="Times New Roman" w:cs="Times New Roman"/>
        </w:rPr>
        <w:t xml:space="preserve"> provide a conceptual framework for how meaning is constituted and conveyed across different cultures, Edward Hall (1976) developed his high-context and low-context communication theory. In low-context cultures like the United Kingdom, communication tends to be explicit, direct and verbalised. The spoken and written messages are the focus, and the clear expectations, specific intent and contractual obligations are well-explained. Meaning lies mostly in the message itself, not in the context of others. As Hall (1976) argues, low-context societies depend on official communication systems with written agreements and clear instructions and documents, because interpersonal bonds are less likely to offer implicit interpretations. This supports the individualistic cultural norms identified by Hofstede (1980), where independence and individual responsibility facilitate direct expression and delineated roles. High-context cultures, such as Japan, on the other hand, draw heavily on implicit communication where meaning is built-in around networks of relations, common experiences, and nonverbal cues. Hall (1976) explains that, in such cultures, the speakers themselves internalise (as opposed to dictating) many of the meanings. There is great interpretive weight </w:t>
      </w:r>
      <w:r w:rsidR="00B845E5" w:rsidRPr="00B01F32">
        <w:rPr>
          <w:rFonts w:ascii="Times New Roman" w:hAnsi="Times New Roman" w:cs="Times New Roman"/>
        </w:rPr>
        <w:lastRenderedPageBreak/>
        <w:t>also on silence, tone, facial expression and situational context. Consequently, communication is indirect and nuanced, mirroring larger collectivist attitudes that favour social harmony and face preservation (Ting-Toomey, 1988). The Japanese concept of “</w:t>
      </w:r>
      <w:proofErr w:type="spellStart"/>
      <w:r w:rsidR="00B845E5" w:rsidRPr="00B01F32">
        <w:rPr>
          <w:rFonts w:ascii="Times New Roman" w:hAnsi="Times New Roman" w:cs="Times New Roman"/>
        </w:rPr>
        <w:t>wa</w:t>
      </w:r>
      <w:proofErr w:type="spellEnd"/>
      <w:r w:rsidR="00B845E5" w:rsidRPr="00B01F32">
        <w:rPr>
          <w:rFonts w:ascii="Times New Roman" w:hAnsi="Times New Roman" w:cs="Times New Roman"/>
        </w:rPr>
        <w:t>” (harmony) strengthens that preference for subtle communication and avoiding confrontation without resorting to words. In intercultural scenarios low-context communicators demand explicit responses as opposed to high-context communicators believing all participants in interaction will be communicating based on what is understood regarding the context.</w:t>
      </w:r>
    </w:p>
    <w:p w14:paraId="22504CBE" w14:textId="77777777" w:rsidR="00B04BB6" w:rsidRPr="00B04BB6" w:rsidRDefault="00B04BB6" w:rsidP="00B01F32">
      <w:pPr>
        <w:spacing w:line="360" w:lineRule="auto"/>
        <w:jc w:val="both"/>
        <w:rPr>
          <w:rFonts w:ascii="Times New Roman" w:hAnsi="Times New Roman" w:cs="Times New Roman"/>
        </w:rPr>
      </w:pPr>
      <w:r w:rsidRPr="00B04BB6">
        <w:rPr>
          <w:rFonts w:ascii="Times New Roman" w:hAnsi="Times New Roman" w:cs="Times New Roman"/>
        </w:rPr>
        <w:t>Application to Tesco UK and Japan</w:t>
      </w:r>
    </w:p>
    <w:p w14:paraId="29D55CD8" w14:textId="4F4A1AA7" w:rsidR="00B04BB6" w:rsidRPr="00B04BB6" w:rsidRDefault="00B845E5" w:rsidP="00B01F32">
      <w:pPr>
        <w:spacing w:line="360" w:lineRule="auto"/>
        <w:jc w:val="both"/>
        <w:rPr>
          <w:rFonts w:ascii="Times New Roman" w:hAnsi="Times New Roman" w:cs="Times New Roman"/>
        </w:rPr>
      </w:pPr>
      <w:r w:rsidRPr="00B01F32">
        <w:rPr>
          <w:rFonts w:ascii="Times New Roman" w:hAnsi="Times New Roman" w:cs="Times New Roman"/>
        </w:rPr>
        <w:t xml:space="preserve">The UK is in the low-context culture bracket. The communication that is </w:t>
      </w:r>
      <w:r w:rsidR="00FA0AF3" w:rsidRPr="00B01F32">
        <w:rPr>
          <w:rFonts w:ascii="Times New Roman" w:hAnsi="Times New Roman" w:cs="Times New Roman"/>
        </w:rPr>
        <w:t>considered</w:t>
      </w:r>
      <w:r w:rsidRPr="00B01F32">
        <w:rPr>
          <w:rFonts w:ascii="Times New Roman" w:hAnsi="Times New Roman" w:cs="Times New Roman"/>
        </w:rPr>
        <w:t xml:space="preserve"> within Tesco UK is usually direct, formal, and explicit. Expectations are communicated clearly by managers, written contracts detailed, and feedback is given and received. Japan, on the other hand, is a high-context culture. Japanese business communication tends to be indirect and nuanced. Silence may mean disagreement or contemplation. </w:t>
      </w:r>
      <w:proofErr w:type="spellStart"/>
      <w:r w:rsidRPr="00B01F32">
        <w:rPr>
          <w:rFonts w:ascii="Times New Roman" w:hAnsi="Times New Roman" w:cs="Times New Roman"/>
        </w:rPr>
        <w:t>Wa</w:t>
      </w:r>
      <w:proofErr w:type="spellEnd"/>
      <w:r w:rsidRPr="00B01F32">
        <w:rPr>
          <w:rFonts w:ascii="Times New Roman" w:hAnsi="Times New Roman" w:cs="Times New Roman"/>
        </w:rPr>
        <w:t xml:space="preserve"> (harmony) prevents open confrontation. When managers from Britain’s Tesco interact with Japanese staff, there can be important communication implications with these cultures due to their differing cultural communication norms. As Hall (1976) noted, low-context communicators see messages primarily through the verbalization of explicit information; but high-context communicators rely on implicit meaning within relation-based as well as situational clues. Something common is the interpretation of indirect responses. In Japanese business discourse, expressions like “It may be difficult” often serve as polite refusals designed to maintain harmony and prevent confrontation. But for a British manager in a low-context field, this line of reasoning might be regarded as suggesting that difficulty is negotiable, not final disagreement. Divergences in interpretability may contribute to project delay and frustration because it creates misalignment in the expectation. A second issue involves feedback sensitivity. The direct criticism which is </w:t>
      </w:r>
      <w:r w:rsidR="00FA0AF3" w:rsidRPr="00B01F32">
        <w:rPr>
          <w:rFonts w:ascii="Times New Roman" w:hAnsi="Times New Roman" w:cs="Times New Roman"/>
        </w:rPr>
        <w:t>normalised</w:t>
      </w:r>
      <w:r w:rsidRPr="00B01F32">
        <w:rPr>
          <w:rFonts w:ascii="Times New Roman" w:hAnsi="Times New Roman" w:cs="Times New Roman"/>
        </w:rPr>
        <w:t xml:space="preserve"> within UK managerial culture may threaten “face” in Japanese organisational settings. Face Negotiation Theory (Ting-Toomey, 1988) suggests that collectivist cultures attach great importance to social harmony and the preservation of dignity. Public criticism might, thus, be construed as disrespectful or embarrassing and, hence, reduce motivation and trust among employees. Silence also can be misunderstood. In British managerial contexts silence can communicate disengagement or unpreparedness. In contrast, silence in Japan conveys respect, thought or careful consideration, in keeping with high-context communicative expectations (Hall, 1976). A misreading of silence as not caring might cause UK managers to undervalue the level of effort or capability of Japanese colleagues. To mitigate these problems, </w:t>
      </w:r>
      <w:r w:rsidR="00FA0AF3" w:rsidRPr="00B01F32">
        <w:rPr>
          <w:rFonts w:ascii="Times New Roman" w:hAnsi="Times New Roman" w:cs="Times New Roman"/>
        </w:rPr>
        <w:lastRenderedPageBreak/>
        <w:t>theoretically based</w:t>
      </w:r>
      <w:r w:rsidRPr="00B01F32">
        <w:rPr>
          <w:rFonts w:ascii="Times New Roman" w:hAnsi="Times New Roman" w:cs="Times New Roman"/>
        </w:rPr>
        <w:t xml:space="preserve"> interventions are necessary. Intercultural training initiatives can improve situational awareness, by instructing managers in both implicit language and non-verbal communications, and hence cultural intelligence (Earley &amp; Ang, 2003). Paraphrasing and confirming ideas through a reflective listening practice reduces ambiguity through mutual comprehension. Feedback systems should be culturally </w:t>
      </w:r>
      <w:r w:rsidR="00FA0AF3" w:rsidRPr="00B01F32">
        <w:rPr>
          <w:rFonts w:ascii="Times New Roman" w:hAnsi="Times New Roman" w:cs="Times New Roman"/>
        </w:rPr>
        <w:t>context specific</w:t>
      </w:r>
      <w:r w:rsidRPr="00B01F32">
        <w:rPr>
          <w:rFonts w:ascii="Times New Roman" w:hAnsi="Times New Roman" w:cs="Times New Roman"/>
        </w:rPr>
        <w:t xml:space="preserve"> as well, emphasising private discussions over public criticism for face and relational harmony. There can also help with interpretation of subtle cues and the communication gap if bicultural managers or cultural mediators are used. Accordingly, Hall’s (1976) framework implies that relational sensitivity and contextual competence are essential to realize effective cross-cultural collaboration in multinational organisations. We have referred to Geert Hofstede's (1980) cultural dimensions model, a systematic approach that can be used to study how national ethnic differences impact organisational behaviour. One of the most relevant dimensions in the UK and Japan case of Tesco is power distance, which explains the degree to which weaker members of the organisation accept unequal levels of power. The UK has among the lowest power distance values, indicating that there are hierarchies and the rule of law is not strictly implemented. Management is generally available, and employees are empowered to share ideas, critique decisions and debate constructively. As such, open conversation, with its elements of participative and transparent management styles in Tesco’s UK operations, are commonplace within the organisation and it is also widely embraced by employees as positive signs of transparency and empowerment in the organisation. On the other hand, Japan has moderate to high power distance where hierarchical relationships, hierarchical status, seniority are structured within the organisation. Communication tends to be from downward rather than upwards and there is respect for authority. In public, subordinates are less likely than senior leaders to question their superiors as it may shatter the order of the group or be seen as an insult. Hofstede et al. (2010) argue that deference to authority is normal in higher power distance cultures and not indicative of disaffection. </w:t>
      </w:r>
      <w:r w:rsidR="00FA0AF3" w:rsidRPr="00B01F32">
        <w:rPr>
          <w:rFonts w:ascii="Times New Roman" w:hAnsi="Times New Roman" w:cs="Times New Roman"/>
        </w:rPr>
        <w:t>So,</w:t>
      </w:r>
      <w:r w:rsidRPr="00B01F32">
        <w:rPr>
          <w:rFonts w:ascii="Times New Roman" w:hAnsi="Times New Roman" w:cs="Times New Roman"/>
        </w:rPr>
        <w:t xml:space="preserve"> if UK managers want to see openness and immediate feedback at meetings, the Japanese employees will often go quiet or answer indirectly, not because they don’t have ideas but because cultural expectations make it hard to openly disagree. To lessen these problems, Tesco needs to establish organised channels of communication that are consistent with Japanese culture. Feedback systems that offer anonymous feedback can include pre-meeting consultations or anonymous feedback methods. This enables employees to express their opinions out in the open</w:t>
      </w:r>
      <w:r w:rsidR="00FA0AF3">
        <w:rPr>
          <w:rFonts w:ascii="Times New Roman" w:hAnsi="Times New Roman" w:cs="Times New Roman"/>
        </w:rPr>
        <w:t xml:space="preserve"> </w:t>
      </w:r>
      <w:r w:rsidRPr="00B01F32">
        <w:rPr>
          <w:rFonts w:ascii="Times New Roman" w:hAnsi="Times New Roman" w:cs="Times New Roman"/>
        </w:rPr>
        <w:t xml:space="preserve">from all levels of management without risk to hierarchical norms. Smaller group chat could also help to build a safer psychological atmosphere for participation. Leaders of different kinds can benefit from such </w:t>
      </w:r>
      <w:r w:rsidRPr="00B01F32">
        <w:rPr>
          <w:rFonts w:ascii="Times New Roman" w:hAnsi="Times New Roman" w:cs="Times New Roman"/>
        </w:rPr>
        <w:lastRenderedPageBreak/>
        <w:t>an intervention if leadership development programs are rooted in the theory of cultural intelligence (Earley &amp; Ang, 2003) that is used to increase managers’ sensitivity of hierarchical awareness and modify leadership styles, but not at a price. Thus, by acknowledging the difference in power distance, Tesco can build more inclusive and culturally flexible communication to achieve its desired end in Japanese business environment.</w:t>
      </w:r>
    </w:p>
    <w:p w14:paraId="5934C406" w14:textId="3C475C2C" w:rsidR="00B04BB6" w:rsidRPr="00FA0AF3" w:rsidRDefault="00B04BB6" w:rsidP="00B01F32">
      <w:pPr>
        <w:spacing w:line="360" w:lineRule="auto"/>
        <w:jc w:val="both"/>
        <w:rPr>
          <w:rFonts w:ascii="Times New Roman" w:hAnsi="Times New Roman" w:cs="Times New Roman"/>
        </w:rPr>
      </w:pPr>
      <w:r w:rsidRPr="00B04BB6">
        <w:rPr>
          <w:rFonts w:ascii="Times New Roman" w:hAnsi="Times New Roman" w:cs="Times New Roman"/>
        </w:rPr>
        <w:t>Individualism vs Collectivism</w:t>
      </w:r>
    </w:p>
    <w:p w14:paraId="39C83FBA" w14:textId="6A58A67C" w:rsidR="004B1A09" w:rsidRPr="00B01F32" w:rsidRDefault="004B1A09" w:rsidP="00B01F32">
      <w:pPr>
        <w:spacing w:line="360" w:lineRule="auto"/>
        <w:jc w:val="both"/>
        <w:rPr>
          <w:rFonts w:ascii="Times New Roman" w:hAnsi="Times New Roman" w:cs="Times New Roman"/>
        </w:rPr>
      </w:pPr>
      <w:r w:rsidRPr="004B1A09">
        <w:rPr>
          <w:rFonts w:ascii="Times New Roman" w:hAnsi="Times New Roman" w:cs="Times New Roman"/>
        </w:rPr>
        <w:t>By contrast, Hofstede (1980) states that the United Kingdom is very individualistic, performance systems focus on personal accomplishment and individual accountability. Japan also shows more collectivist tendencies by prioritising group harmony and organisational loyalty. At Tesco, simply introducing its own individual bonus scheme in Japan may weaken the solidarity of teams. Individual KPIs combined with team-based performance indicators in any hybrid appraisal model might better complement collectivist values whilst maintaining corporate performance expectations.</w:t>
      </w:r>
    </w:p>
    <w:p w14:paraId="6E290EBF" w14:textId="6B40F9FB" w:rsidR="00B04BB6" w:rsidRPr="00B01F32" w:rsidRDefault="00B04BB6" w:rsidP="00B01F32">
      <w:pPr>
        <w:spacing w:line="360" w:lineRule="auto"/>
        <w:jc w:val="both"/>
        <w:rPr>
          <w:rFonts w:ascii="Times New Roman" w:hAnsi="Times New Roman" w:cs="Times New Roman"/>
        </w:rPr>
      </w:pPr>
      <w:r w:rsidRPr="00B04BB6">
        <w:rPr>
          <w:rFonts w:ascii="Times New Roman" w:hAnsi="Times New Roman" w:cs="Times New Roman"/>
        </w:rPr>
        <w:t xml:space="preserve"> Uncertainty Avoidance</w:t>
      </w:r>
    </w:p>
    <w:p w14:paraId="2AA3582B" w14:textId="04BC1A1B" w:rsidR="004B1A09" w:rsidRPr="00B04BB6" w:rsidRDefault="004B1A09" w:rsidP="00B01F32">
      <w:pPr>
        <w:spacing w:line="360" w:lineRule="auto"/>
        <w:jc w:val="both"/>
        <w:rPr>
          <w:rFonts w:ascii="Times New Roman" w:hAnsi="Times New Roman" w:cs="Times New Roman"/>
        </w:rPr>
      </w:pPr>
      <w:r w:rsidRPr="00B01F32">
        <w:rPr>
          <w:rFonts w:ascii="Times New Roman" w:hAnsi="Times New Roman" w:cs="Times New Roman"/>
        </w:rPr>
        <w:t xml:space="preserve">Hofstede’s (1980; Hofstede et al., 2010) dimension of uncertainty avoidance indicates that Japan is highly risk-averse, prefers structured (or organised) processes, and prefers detailed planning. In these contexts, ambiguity is seen as threatening and organisations prefer to stay in structured systems with formal procedures and consensus. In contrast, the United Kingdom exhibits moderate uncertainty avoidance, allowing higher flexibility and an appetite for experimentation. For Tesco, an approach focused on quick and efficient innovation could encounter resistance in Japan, where stakeholders want a systematic approach that will be iteratively implemented. Pilot projects and staged rollouts of innovation will lower perceived risk and build confidence. With respect to masculinity, Japan ranks very high in this department, characterized by an emphasis on accomplishment, competition, and dedication to work. Performance is also important to the UK, but they are seeking a middle ground between competitiveness and ever greater emphasis on work-life balance. The division might </w:t>
      </w:r>
      <w:proofErr w:type="spellStart"/>
      <w:r w:rsidRPr="00B01F32">
        <w:rPr>
          <w:rFonts w:ascii="Times New Roman" w:hAnsi="Times New Roman" w:cs="Times New Roman"/>
        </w:rPr>
        <w:t>rub</w:t>
      </w:r>
      <w:proofErr w:type="spellEnd"/>
      <w:r w:rsidRPr="00B01F32">
        <w:rPr>
          <w:rFonts w:ascii="Times New Roman" w:hAnsi="Times New Roman" w:cs="Times New Roman"/>
        </w:rPr>
        <w:t xml:space="preserve"> up against tension should working long hours in Japan </w:t>
      </w:r>
      <w:r w:rsidR="00B01F32" w:rsidRPr="00B01F32">
        <w:rPr>
          <w:rFonts w:ascii="Times New Roman" w:hAnsi="Times New Roman" w:cs="Times New Roman"/>
        </w:rPr>
        <w:t>does not align</w:t>
      </w:r>
      <w:r w:rsidRPr="00B01F32">
        <w:rPr>
          <w:rFonts w:ascii="Times New Roman" w:hAnsi="Times New Roman" w:cs="Times New Roman"/>
        </w:rPr>
        <w:t xml:space="preserve"> with Tesco’s corporate wellbeing policies. When HR practices are tailored to local customs, while still upholding global standards of conduct, alignment is enabled while ensuring employee well-being.</w:t>
      </w:r>
    </w:p>
    <w:p w14:paraId="63FA030F" w14:textId="15F7D43B" w:rsidR="00BE7BD0" w:rsidRPr="00B04BB6" w:rsidRDefault="00BE7BD0" w:rsidP="00B01F32">
      <w:pPr>
        <w:spacing w:line="360" w:lineRule="auto"/>
        <w:jc w:val="both"/>
        <w:rPr>
          <w:rFonts w:ascii="Times New Roman" w:hAnsi="Times New Roman" w:cs="Times New Roman"/>
        </w:rPr>
      </w:pPr>
      <w:r w:rsidRPr="00B01F32">
        <w:rPr>
          <w:rFonts w:ascii="Times New Roman" w:hAnsi="Times New Roman" w:cs="Times New Roman"/>
        </w:rPr>
        <w:t xml:space="preserve">LONG-TERMN ORIENTATION </w:t>
      </w:r>
    </w:p>
    <w:p w14:paraId="0FC37CA5" w14:textId="1C5B0A17" w:rsidR="00B04BB6" w:rsidRPr="00B04BB6" w:rsidRDefault="00B04BB6" w:rsidP="00B01F32">
      <w:pPr>
        <w:spacing w:line="360" w:lineRule="auto"/>
        <w:jc w:val="both"/>
        <w:rPr>
          <w:rFonts w:ascii="Times New Roman" w:hAnsi="Times New Roman" w:cs="Times New Roman"/>
        </w:rPr>
      </w:pPr>
    </w:p>
    <w:p w14:paraId="4F3137BC" w14:textId="60194FA9" w:rsidR="004B1A09" w:rsidRPr="004B1A09" w:rsidRDefault="004B1A09" w:rsidP="00B01F32">
      <w:pPr>
        <w:spacing w:line="360" w:lineRule="auto"/>
        <w:jc w:val="both"/>
        <w:rPr>
          <w:rFonts w:ascii="Times New Roman" w:hAnsi="Times New Roman" w:cs="Times New Roman"/>
        </w:rPr>
      </w:pPr>
      <w:r w:rsidRPr="004B1A09">
        <w:rPr>
          <w:rFonts w:ascii="Times New Roman" w:hAnsi="Times New Roman" w:cs="Times New Roman"/>
        </w:rPr>
        <w:lastRenderedPageBreak/>
        <w:t xml:space="preserve">The long-term orientation dimension (Hofstede 1980; Hofstede et al 2010) is the extent to which societies place more importance on future oriented values, such as determination, ongoing investment and long-range planning above short-term outcomes. </w:t>
      </w:r>
      <w:r w:rsidR="00B01F32" w:rsidRPr="004B1A09">
        <w:rPr>
          <w:rFonts w:ascii="Times New Roman" w:hAnsi="Times New Roman" w:cs="Times New Roman"/>
        </w:rPr>
        <w:t>Overall</w:t>
      </w:r>
      <w:r w:rsidRPr="004B1A09">
        <w:rPr>
          <w:rFonts w:ascii="Times New Roman" w:hAnsi="Times New Roman" w:cs="Times New Roman"/>
        </w:rPr>
        <w:t xml:space="preserve">, Japan is high on the </w:t>
      </w:r>
      <w:r w:rsidR="00FA0AF3" w:rsidRPr="004B1A09">
        <w:rPr>
          <w:rFonts w:ascii="Times New Roman" w:hAnsi="Times New Roman" w:cs="Times New Roman"/>
        </w:rPr>
        <w:t>long-term</w:t>
      </w:r>
      <w:r w:rsidRPr="004B1A09">
        <w:rPr>
          <w:rFonts w:ascii="Times New Roman" w:hAnsi="Times New Roman" w:cs="Times New Roman"/>
        </w:rPr>
        <w:t xml:space="preserve"> orientation, where the Japanese culture values gradual growth, long-term business cooperation and strategic patience. Japanese firms consider market stability, brand image and slow-paced development (kaizen) more important than short-term profits. Building relationships with suppliers, employees and customers is seen as an investment that maximises the longevity of the business and creates resilience within the organisation. In the UK, the picture is different, with strategic planning tempered by the need for greater short-term financial pressure. At Tesco, the result is something like quarterly reports, performance targets, investors’ demands for measurable short-term outcomes. When you are engaged in Japan, that kind of pressures can lead to friction at times when local managers prioritise relationship building and slow entry into the Japanese market over immediate profit. </w:t>
      </w:r>
      <w:r w:rsidR="00B01F32" w:rsidRPr="004B1A09">
        <w:rPr>
          <w:rFonts w:ascii="Times New Roman" w:hAnsi="Times New Roman" w:cs="Times New Roman"/>
        </w:rPr>
        <w:t>To</w:t>
      </w:r>
      <w:r w:rsidRPr="004B1A09">
        <w:rPr>
          <w:rFonts w:ascii="Times New Roman" w:hAnsi="Times New Roman" w:cs="Times New Roman"/>
        </w:rPr>
        <w:t xml:space="preserve"> alleviate such issues, Tesco might change the way it assesses performance in Japan with regards to market development milestones </w:t>
      </w:r>
      <w:r w:rsidRPr="00B01F32">
        <w:rPr>
          <w:rFonts w:ascii="Times New Roman" w:hAnsi="Times New Roman" w:cs="Times New Roman"/>
        </w:rPr>
        <w:t>and</w:t>
      </w:r>
      <w:r w:rsidRPr="004B1A09">
        <w:rPr>
          <w:rFonts w:ascii="Times New Roman" w:hAnsi="Times New Roman" w:cs="Times New Roman"/>
        </w:rPr>
        <w:t xml:space="preserve"> financial ones over a long-term period. This could refer specifically to increasing customer loyalty, developing relations with suppliers, ensuring brand trust, and ensuring successful operational and business integration. Integrating strategic goals with Japan’s long-term orientation is more likely to generate local legitimacy, at the same time retaining the global corporate accountability and competitiveness.</w:t>
      </w:r>
    </w:p>
    <w:p w14:paraId="1930B562" w14:textId="48C706F6" w:rsidR="00B04BB6" w:rsidRPr="00B04BB6" w:rsidRDefault="00B04BB6" w:rsidP="00B01F32">
      <w:pPr>
        <w:spacing w:line="360" w:lineRule="auto"/>
        <w:jc w:val="both"/>
        <w:rPr>
          <w:rFonts w:ascii="Times New Roman" w:hAnsi="Times New Roman" w:cs="Times New Roman"/>
        </w:rPr>
      </w:pPr>
    </w:p>
    <w:p w14:paraId="7CAB3695" w14:textId="547B6192" w:rsidR="00B04BB6" w:rsidRPr="00B04BB6" w:rsidRDefault="00B04BB6" w:rsidP="00B01F32">
      <w:pPr>
        <w:spacing w:line="360" w:lineRule="auto"/>
        <w:jc w:val="both"/>
        <w:rPr>
          <w:rFonts w:ascii="Times New Roman" w:hAnsi="Times New Roman" w:cs="Times New Roman"/>
        </w:rPr>
      </w:pPr>
    </w:p>
    <w:p w14:paraId="4F59E4FE" w14:textId="77777777" w:rsidR="00B04BB6" w:rsidRPr="00B01F32" w:rsidRDefault="00B04BB6" w:rsidP="00B01F32">
      <w:pPr>
        <w:spacing w:line="360" w:lineRule="auto"/>
        <w:jc w:val="both"/>
        <w:rPr>
          <w:rFonts w:ascii="Times New Roman" w:hAnsi="Times New Roman" w:cs="Times New Roman"/>
        </w:rPr>
      </w:pPr>
      <w:r w:rsidRPr="00B04BB6">
        <w:rPr>
          <w:rFonts w:ascii="Times New Roman" w:hAnsi="Times New Roman" w:cs="Times New Roman"/>
        </w:rPr>
        <w:t>Global Model: Integration–Responsiveness Framework</w:t>
      </w:r>
    </w:p>
    <w:p w14:paraId="162E1C4F" w14:textId="69691EAF" w:rsidR="00BE7BD0" w:rsidRPr="00B01F32" w:rsidRDefault="004B1A09" w:rsidP="00B01F32">
      <w:pPr>
        <w:spacing w:line="360" w:lineRule="auto"/>
        <w:jc w:val="both"/>
        <w:rPr>
          <w:rFonts w:ascii="Times New Roman" w:hAnsi="Times New Roman" w:cs="Times New Roman"/>
        </w:rPr>
      </w:pPr>
      <w:r w:rsidRPr="00B01F32">
        <w:rPr>
          <w:rFonts w:ascii="Times New Roman" w:hAnsi="Times New Roman" w:cs="Times New Roman"/>
        </w:rPr>
        <w:t xml:space="preserve">Bartlett and Ghoshal (1989) suggest that global integration demands global pressures while local responsiveness is necessary for a multinational organization to find a balance. It is referred to as global integration. According to the International Financial Review of Business Practices, global integration refers to the establishment of integrated systems, processes, and management practices across international subsidiaries to achieve efficiency, consistency, and economies of scale. On the other hand, local responsiveness focuses on adapting to the local cultural, institutional, or market conditions of the host country's micro-economy. Thus, Tesco's application of this framework can be very relevant as it pertains to transferring British principles of management over to Japan. Standardising Tesco’s UK communication styles and styles of leadership fully would inevitably have implications for cultural insensitivity found in </w:t>
      </w:r>
      <w:r w:rsidRPr="00B01F32">
        <w:rPr>
          <w:rFonts w:ascii="Times New Roman" w:hAnsi="Times New Roman" w:cs="Times New Roman"/>
        </w:rPr>
        <w:lastRenderedPageBreak/>
        <w:t xml:space="preserve">Japan, which differs significantly in hierarchy, indirect communication and consensus-driven decision-making. On the other hand, a broad, global approach could undermine Tesco’s corporate identity, operational coherence and consistency for global branding. A transnational strategy, introduced by Bartlett and Ghoshal (1989), can provide a more balanced solution by incorporating global efficiency and local innovation. In practice, this would mean retaining Tesco’s rigid performance systems and strategic goals as they are in </w:t>
      </w:r>
      <w:r w:rsidR="00B01F32" w:rsidRPr="00B01F32">
        <w:rPr>
          <w:rFonts w:ascii="Times New Roman" w:hAnsi="Times New Roman" w:cs="Times New Roman"/>
        </w:rPr>
        <w:t>Japan but</w:t>
      </w:r>
      <w:r w:rsidRPr="00B01F32">
        <w:rPr>
          <w:rFonts w:ascii="Times New Roman" w:hAnsi="Times New Roman" w:cs="Times New Roman"/>
        </w:rPr>
        <w:t xml:space="preserve"> adjusting communication strategy to fit Japanese relational norms. Its hybrid nature is in service of organisational unity and cultural competence and will lead to cross-cultural efficiency and competitiveness in the long run. A significant issue with operating across national cultures, in addition to communication style, is it poses more organisational challenges for Tesco. As English is now the corporate language (although less so in some places), language gaps may even remain and subtle meanings, tone or other cultural influences can be misinterpreted. Ethnocentrism is another risk, where managers in the UK may feel that the practices used in a home country are the universal way to do the business (Perlmutter, 1969). Differences in decision-making speed, especially Japan’s consensus-based </w:t>
      </w:r>
      <w:proofErr w:type="spellStart"/>
      <w:r w:rsidRPr="00B01F32">
        <w:rPr>
          <w:rFonts w:ascii="Times New Roman" w:hAnsi="Times New Roman" w:cs="Times New Roman"/>
        </w:rPr>
        <w:t>ringi</w:t>
      </w:r>
      <w:proofErr w:type="spellEnd"/>
      <w:r w:rsidRPr="00B01F32">
        <w:rPr>
          <w:rFonts w:ascii="Times New Roman" w:hAnsi="Times New Roman" w:cs="Times New Roman"/>
        </w:rPr>
        <w:t xml:space="preserve"> system, might also slow adoption. In addition, Japan’s trust formation is relationship-based and long-term, while the UK tends to be contract-based and task-oriented.</w:t>
      </w:r>
    </w:p>
    <w:p w14:paraId="1886A035" w14:textId="77777777" w:rsidR="00B04BB6" w:rsidRPr="00B04BB6" w:rsidRDefault="00B04BB6" w:rsidP="00B01F32">
      <w:pPr>
        <w:spacing w:line="360" w:lineRule="auto"/>
        <w:jc w:val="both"/>
        <w:rPr>
          <w:rFonts w:ascii="Times New Roman" w:hAnsi="Times New Roman" w:cs="Times New Roman"/>
        </w:rPr>
      </w:pPr>
      <w:r w:rsidRPr="00B04BB6">
        <w:rPr>
          <w:rFonts w:ascii="Times New Roman" w:hAnsi="Times New Roman" w:cs="Times New Roman"/>
        </w:rPr>
        <w:t>Theoretical Underpinning for Mitigation</w:t>
      </w:r>
    </w:p>
    <w:p w14:paraId="7FBCDDD4" w14:textId="77777777" w:rsidR="00B04BB6" w:rsidRPr="00B01F32" w:rsidRDefault="00B04BB6" w:rsidP="00B01F32">
      <w:pPr>
        <w:spacing w:line="360" w:lineRule="auto"/>
        <w:jc w:val="both"/>
        <w:rPr>
          <w:rFonts w:ascii="Times New Roman" w:hAnsi="Times New Roman" w:cs="Times New Roman"/>
        </w:rPr>
      </w:pPr>
      <w:r w:rsidRPr="00B04BB6">
        <w:rPr>
          <w:rFonts w:ascii="Times New Roman" w:hAnsi="Times New Roman" w:cs="Times New Roman"/>
        </w:rPr>
        <w:t>Cultural Intelligence (CQ)</w:t>
      </w:r>
    </w:p>
    <w:p w14:paraId="4DFB84DB" w14:textId="2A049E3D" w:rsidR="004B1A09" w:rsidRPr="00B01F32" w:rsidRDefault="004B1A09" w:rsidP="00B01F32">
      <w:pPr>
        <w:spacing w:line="360" w:lineRule="auto"/>
        <w:jc w:val="both"/>
        <w:rPr>
          <w:rFonts w:ascii="Times New Roman" w:hAnsi="Times New Roman" w:cs="Times New Roman"/>
        </w:rPr>
      </w:pPr>
      <w:r w:rsidRPr="00B01F32">
        <w:rPr>
          <w:rFonts w:ascii="Times New Roman" w:hAnsi="Times New Roman" w:cs="Times New Roman"/>
        </w:rPr>
        <w:t>Cultural intelligence (CQ) is one of the key capabilities for leaders acting across national borders. According to Earley and Ang (2003), CQ increases cross-cultural effectiveness because of these three integrated areas: cognitive, motivational and behavioural capability. Cognitive CQ for Tesco's leaders is learning about Japanese cultural norms, hierarchy, and communication styles. Motivational CQ indicates the ability to work with cultural differences and maintain intercultural interactions. Behavioural CQ needs to be able to adjust behaviour in a Japanese organisational setting (verbal and, more importantly, non-verbal behaviour) to fit the context. These skills combined allow UK and Japanese teams to engage with each other more appropriately. Face Negotiation Theory also stresses the value of maintaining social dignity in collectivist societies (Ting-Toomey, 1988). Tesco managers hence must consider less direct and relationship-focused means of preventing reputational harm and maintaining harmony. In addition, Social Identity Theory (Tajfel &amp; Turner, 1979) predicts in-group and out-</w:t>
      </w:r>
      <w:r w:rsidRPr="00B01F32">
        <w:rPr>
          <w:rFonts w:ascii="Times New Roman" w:hAnsi="Times New Roman" w:cs="Times New Roman"/>
        </w:rPr>
        <w:lastRenderedPageBreak/>
        <w:t>group perceptions of both UK and Japanese workers. Building a common corporate identity can help stave off such fragmentation.</w:t>
      </w:r>
    </w:p>
    <w:p w14:paraId="15B1C445" w14:textId="77777777" w:rsidR="00B04BB6" w:rsidRPr="00B04BB6" w:rsidRDefault="00B04BB6" w:rsidP="00B01F32">
      <w:pPr>
        <w:spacing w:line="360" w:lineRule="auto"/>
        <w:jc w:val="both"/>
        <w:rPr>
          <w:rFonts w:ascii="Times New Roman" w:hAnsi="Times New Roman" w:cs="Times New Roman"/>
        </w:rPr>
      </w:pPr>
      <w:r w:rsidRPr="00B04BB6">
        <w:rPr>
          <w:rFonts w:ascii="Times New Roman" w:hAnsi="Times New Roman" w:cs="Times New Roman"/>
        </w:rPr>
        <w:t>Critical Evaluation</w:t>
      </w:r>
    </w:p>
    <w:p w14:paraId="0D2FB680" w14:textId="737D3075" w:rsidR="00B04BB6"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Cultural differences are not </w:t>
      </w:r>
      <w:r w:rsidRPr="00B01F32">
        <w:rPr>
          <w:rFonts w:ascii="Times New Roman" w:hAnsi="Times New Roman" w:cs="Times New Roman"/>
        </w:rPr>
        <w:t>obstacles;</w:t>
      </w:r>
      <w:r w:rsidRPr="00B01F32">
        <w:rPr>
          <w:rFonts w:ascii="Times New Roman" w:hAnsi="Times New Roman" w:cs="Times New Roman"/>
        </w:rPr>
        <w:t xml:space="preserve"> they are strategic resources. Japanese precision and long-term planning can enhance Tesco’s operational resilience. British innovation culture can stimulate differentiation in Japan’s competitive retail sector. But the lack of cultural frameworks woven into leadership practices can result in miscommunication, reduced morale, and strategic failure. While the theoretical models provide practical insights, they must still not be applied rigidly but dynamically.</w:t>
      </w:r>
    </w:p>
    <w:p w14:paraId="599A28B8" w14:textId="77777777" w:rsidR="00B04BB6" w:rsidRPr="00B04BB6" w:rsidRDefault="00B04BB6" w:rsidP="00B01F32">
      <w:pPr>
        <w:spacing w:line="360" w:lineRule="auto"/>
        <w:jc w:val="both"/>
        <w:rPr>
          <w:rFonts w:ascii="Times New Roman" w:hAnsi="Times New Roman" w:cs="Times New Roman"/>
        </w:rPr>
      </w:pPr>
    </w:p>
    <w:p w14:paraId="26D749E2" w14:textId="77777777" w:rsidR="00B04BB6" w:rsidRPr="00B01F32" w:rsidRDefault="00B04BB6" w:rsidP="00B01F32">
      <w:pPr>
        <w:rPr>
          <w:rFonts w:ascii="Times New Roman" w:hAnsi="Times New Roman" w:cs="Times New Roman"/>
        </w:rPr>
      </w:pPr>
      <w:r w:rsidRPr="00B01F32">
        <w:rPr>
          <w:rFonts w:ascii="Times New Roman" w:hAnsi="Times New Roman" w:cs="Times New Roman"/>
        </w:rPr>
        <w:t>Conclusion</w:t>
      </w:r>
    </w:p>
    <w:p w14:paraId="3EDD179E" w14:textId="6ECCBDFF" w:rsidR="00196B06"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Now the journey of Tesco in Japan is a clear indication that cultural differences are not peripheral but at the heart of organisational performance. Hall’s (1976) high-context and low-context paradigm highlights fundamental differences in communication </w:t>
      </w:r>
      <w:r w:rsidR="00FA0AF3" w:rsidRPr="00B01F32">
        <w:rPr>
          <w:rFonts w:ascii="Times New Roman" w:hAnsi="Times New Roman" w:cs="Times New Roman"/>
        </w:rPr>
        <w:t>patterns specifically</w:t>
      </w:r>
      <w:r w:rsidRPr="00B01F32">
        <w:rPr>
          <w:rFonts w:ascii="Times New Roman" w:hAnsi="Times New Roman" w:cs="Times New Roman"/>
        </w:rPr>
        <w:t xml:space="preserve"> indirectness, silence, and relational meaning. Hofstede’s (1980) cultural dimensions also unveil structural disparities in power distance, collectivism, uncertainty avoidance, and long-term orientation, </w:t>
      </w:r>
      <w:r w:rsidRPr="00B01F32">
        <w:rPr>
          <w:rFonts w:ascii="Times New Roman" w:hAnsi="Times New Roman" w:cs="Times New Roman"/>
        </w:rPr>
        <w:t>all</w:t>
      </w:r>
      <w:r w:rsidRPr="00B01F32">
        <w:rPr>
          <w:rFonts w:ascii="Times New Roman" w:hAnsi="Times New Roman" w:cs="Times New Roman"/>
        </w:rPr>
        <w:t xml:space="preserve"> which impact on leadership expectations, decision-making, and employee engagement. The Integration–Responsiveness model (Bartlett &amp; Ghoshal, 1989) emphasises the need for strategic convergence between global standardisation and local adaptation. The challenges Tesco </w:t>
      </w:r>
      <w:r w:rsidRPr="00B01F32">
        <w:rPr>
          <w:rFonts w:ascii="Times New Roman" w:hAnsi="Times New Roman" w:cs="Times New Roman"/>
        </w:rPr>
        <w:t>faces hierarchical</w:t>
      </w:r>
      <w:r w:rsidRPr="00B01F32">
        <w:rPr>
          <w:rFonts w:ascii="Times New Roman" w:hAnsi="Times New Roman" w:cs="Times New Roman"/>
        </w:rPr>
        <w:t xml:space="preserve"> sensitivity, consensus-based decision-making, and risk </w:t>
      </w:r>
      <w:r w:rsidRPr="00B01F32">
        <w:rPr>
          <w:rFonts w:ascii="Times New Roman" w:hAnsi="Times New Roman" w:cs="Times New Roman"/>
        </w:rPr>
        <w:t>aversion are</w:t>
      </w:r>
      <w:r w:rsidRPr="00B01F32">
        <w:rPr>
          <w:rFonts w:ascii="Times New Roman" w:hAnsi="Times New Roman" w:cs="Times New Roman"/>
        </w:rPr>
        <w:t xml:space="preserve"> not solvable by just procedural tweaks. They need both culturally intelligent leadership (Earley &amp; Ang, 2003), adaptive communication systems, and hybrid organisational practices tailored to Japanese norms whilst ensuring Tesco’s continued strategic coherence. Good cross-cultural management is not about cramming the same message on the customers or losing their corporate identity. But it is making different sorts of cultural capital in the service of strategic advantage. By incorporating theoretical insight through managerial action, Tesco will transform cultural complexity into sustainable competitive advantage along with sustainable growth internationally.</w:t>
      </w:r>
    </w:p>
    <w:p w14:paraId="1FC968EC" w14:textId="77777777" w:rsidR="00196B06" w:rsidRPr="00B01F32" w:rsidRDefault="00196B06" w:rsidP="00B01F32">
      <w:pPr>
        <w:spacing w:line="360" w:lineRule="auto"/>
        <w:jc w:val="both"/>
        <w:rPr>
          <w:rFonts w:ascii="Times New Roman" w:hAnsi="Times New Roman" w:cs="Times New Roman"/>
        </w:rPr>
      </w:pPr>
    </w:p>
    <w:p w14:paraId="61BE8774" w14:textId="77777777" w:rsidR="00196B06" w:rsidRPr="00B01F32" w:rsidRDefault="00196B06" w:rsidP="00B01F32">
      <w:pPr>
        <w:spacing w:line="360" w:lineRule="auto"/>
        <w:jc w:val="both"/>
        <w:rPr>
          <w:rFonts w:ascii="Times New Roman" w:hAnsi="Times New Roman" w:cs="Times New Roman"/>
        </w:rPr>
      </w:pPr>
    </w:p>
    <w:p w14:paraId="15BC7FA1" w14:textId="77777777" w:rsidR="00196B06" w:rsidRPr="00B01F32" w:rsidRDefault="00196B06" w:rsidP="00B01F32">
      <w:pPr>
        <w:spacing w:line="360" w:lineRule="auto"/>
        <w:jc w:val="both"/>
        <w:rPr>
          <w:rFonts w:ascii="Times New Roman" w:hAnsi="Times New Roman" w:cs="Times New Roman"/>
        </w:rPr>
      </w:pPr>
    </w:p>
    <w:p w14:paraId="1297D00D" w14:textId="77777777" w:rsidR="00196B06" w:rsidRPr="00B01F32" w:rsidRDefault="00196B06" w:rsidP="00B01F32">
      <w:pPr>
        <w:spacing w:line="360" w:lineRule="auto"/>
        <w:jc w:val="both"/>
        <w:rPr>
          <w:rFonts w:ascii="Times New Roman" w:hAnsi="Times New Roman" w:cs="Times New Roman"/>
        </w:rPr>
      </w:pPr>
    </w:p>
    <w:p w14:paraId="7AE107C8" w14:textId="06788D52" w:rsidR="00196B06" w:rsidRPr="00B01F32" w:rsidRDefault="00B01F32" w:rsidP="00B01F32">
      <w:pPr>
        <w:pStyle w:val="Heading2"/>
      </w:pPr>
      <w:r w:rsidRPr="00B01F32">
        <w:t>REFERENCES:</w:t>
      </w:r>
    </w:p>
    <w:p w14:paraId="2E963623" w14:textId="77777777" w:rsidR="00196B06" w:rsidRPr="00B01F32" w:rsidRDefault="00196B06" w:rsidP="00B01F32">
      <w:pPr>
        <w:spacing w:line="360" w:lineRule="auto"/>
        <w:jc w:val="both"/>
        <w:rPr>
          <w:rFonts w:ascii="Times New Roman" w:hAnsi="Times New Roman" w:cs="Times New Roman"/>
        </w:rPr>
      </w:pPr>
    </w:p>
    <w:p w14:paraId="64161720" w14:textId="77777777" w:rsidR="00196B06" w:rsidRPr="00B01F32" w:rsidRDefault="00196B06" w:rsidP="00B01F32">
      <w:pPr>
        <w:spacing w:line="360" w:lineRule="auto"/>
        <w:jc w:val="both"/>
        <w:rPr>
          <w:rFonts w:ascii="Times New Roman" w:hAnsi="Times New Roman" w:cs="Times New Roman"/>
        </w:rPr>
      </w:pPr>
    </w:p>
    <w:p w14:paraId="3C54437F"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Bartlett, C.A. and Ghoshal, S. (1989) </w:t>
      </w:r>
      <w:r w:rsidRPr="00B01F32">
        <w:rPr>
          <w:rFonts w:ascii="Times New Roman" w:hAnsi="Times New Roman" w:cs="Times New Roman"/>
          <w:i/>
          <w:iCs/>
        </w:rPr>
        <w:t>Managing across borders: The transnational solution</w:t>
      </w:r>
      <w:r w:rsidRPr="00B01F32">
        <w:rPr>
          <w:rFonts w:ascii="Times New Roman" w:hAnsi="Times New Roman" w:cs="Times New Roman"/>
        </w:rPr>
        <w:t>. Boston: Harvard Business School Press.</w:t>
      </w:r>
    </w:p>
    <w:p w14:paraId="07AE2D37"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Earley, P.C. and Ang, S. (2003) </w:t>
      </w:r>
      <w:r w:rsidRPr="00B01F32">
        <w:rPr>
          <w:rFonts w:ascii="Times New Roman" w:hAnsi="Times New Roman" w:cs="Times New Roman"/>
          <w:i/>
          <w:iCs/>
        </w:rPr>
        <w:t>Cultural intelligence: Individual interactions across cultures</w:t>
      </w:r>
      <w:r w:rsidRPr="00B01F32">
        <w:rPr>
          <w:rFonts w:ascii="Times New Roman" w:hAnsi="Times New Roman" w:cs="Times New Roman"/>
        </w:rPr>
        <w:t>. Stanford, CA: Stanford University Press.</w:t>
      </w:r>
    </w:p>
    <w:p w14:paraId="400954CC"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Hall, E.T. (1976) </w:t>
      </w:r>
      <w:r w:rsidRPr="00B01F32">
        <w:rPr>
          <w:rFonts w:ascii="Times New Roman" w:hAnsi="Times New Roman" w:cs="Times New Roman"/>
          <w:i/>
          <w:iCs/>
        </w:rPr>
        <w:t>Beyond culture</w:t>
      </w:r>
      <w:r w:rsidRPr="00B01F32">
        <w:rPr>
          <w:rFonts w:ascii="Times New Roman" w:hAnsi="Times New Roman" w:cs="Times New Roman"/>
        </w:rPr>
        <w:t>. New York: Anchor Books.</w:t>
      </w:r>
    </w:p>
    <w:p w14:paraId="4106EA54"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Hofstede, G. (1980) </w:t>
      </w:r>
      <w:r w:rsidRPr="00B01F32">
        <w:rPr>
          <w:rFonts w:ascii="Times New Roman" w:hAnsi="Times New Roman" w:cs="Times New Roman"/>
          <w:i/>
          <w:iCs/>
        </w:rPr>
        <w:t>Culture’s consequences: International differences in work-related values</w:t>
      </w:r>
      <w:r w:rsidRPr="00B01F32">
        <w:rPr>
          <w:rFonts w:ascii="Times New Roman" w:hAnsi="Times New Roman" w:cs="Times New Roman"/>
        </w:rPr>
        <w:t>. Beverly Hills, CA: Sage Publications.</w:t>
      </w:r>
    </w:p>
    <w:p w14:paraId="415878A6"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Hofstede, G., Hofstede, G.J. and Minkov, M. (2010) </w:t>
      </w:r>
      <w:r w:rsidRPr="00B01F32">
        <w:rPr>
          <w:rFonts w:ascii="Times New Roman" w:hAnsi="Times New Roman" w:cs="Times New Roman"/>
          <w:i/>
          <w:iCs/>
        </w:rPr>
        <w:t>Cultures and organizations: Software of the mind</w:t>
      </w:r>
      <w:r w:rsidRPr="00B01F32">
        <w:rPr>
          <w:rFonts w:ascii="Times New Roman" w:hAnsi="Times New Roman" w:cs="Times New Roman"/>
        </w:rPr>
        <w:t xml:space="preserve">. 3rd </w:t>
      </w:r>
      <w:proofErr w:type="spellStart"/>
      <w:r w:rsidRPr="00B01F32">
        <w:rPr>
          <w:rFonts w:ascii="Times New Roman" w:hAnsi="Times New Roman" w:cs="Times New Roman"/>
        </w:rPr>
        <w:t>edn</w:t>
      </w:r>
      <w:proofErr w:type="spellEnd"/>
      <w:r w:rsidRPr="00B01F32">
        <w:rPr>
          <w:rFonts w:ascii="Times New Roman" w:hAnsi="Times New Roman" w:cs="Times New Roman"/>
        </w:rPr>
        <w:t>. New York: McGraw-Hill.</w:t>
      </w:r>
    </w:p>
    <w:p w14:paraId="7A1953DD"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House, R.J., Hanges, P.J., Javidan, M., Dorfman, P.W. and Gupta, V. (2004) </w:t>
      </w:r>
      <w:r w:rsidRPr="00B01F32">
        <w:rPr>
          <w:rFonts w:ascii="Times New Roman" w:hAnsi="Times New Roman" w:cs="Times New Roman"/>
          <w:i/>
          <w:iCs/>
        </w:rPr>
        <w:t>Culture, leadership, and organizations: The GLOBE study of 62 societies</w:t>
      </w:r>
      <w:r w:rsidRPr="00B01F32">
        <w:rPr>
          <w:rFonts w:ascii="Times New Roman" w:hAnsi="Times New Roman" w:cs="Times New Roman"/>
        </w:rPr>
        <w:t>. Thousand Oaks, CA: Sage Publications.</w:t>
      </w:r>
    </w:p>
    <w:p w14:paraId="38B34424"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Perlmutter, H.V. (1969) ‘The tortuous evolution of the multinational corporation’, </w:t>
      </w:r>
      <w:r w:rsidRPr="00B01F32">
        <w:rPr>
          <w:rFonts w:ascii="Times New Roman" w:hAnsi="Times New Roman" w:cs="Times New Roman"/>
          <w:i/>
          <w:iCs/>
        </w:rPr>
        <w:t>Columbia Journal of World Business</w:t>
      </w:r>
      <w:r w:rsidRPr="00B01F32">
        <w:rPr>
          <w:rFonts w:ascii="Times New Roman" w:hAnsi="Times New Roman" w:cs="Times New Roman"/>
        </w:rPr>
        <w:t>, 4(1), pp. 9–18.</w:t>
      </w:r>
    </w:p>
    <w:p w14:paraId="5049E07C"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Schneider, S.C. and </w:t>
      </w:r>
      <w:proofErr w:type="spellStart"/>
      <w:r w:rsidRPr="00B01F32">
        <w:rPr>
          <w:rFonts w:ascii="Times New Roman" w:hAnsi="Times New Roman" w:cs="Times New Roman"/>
        </w:rPr>
        <w:t>Barsoux</w:t>
      </w:r>
      <w:proofErr w:type="spellEnd"/>
      <w:r w:rsidRPr="00B01F32">
        <w:rPr>
          <w:rFonts w:ascii="Times New Roman" w:hAnsi="Times New Roman" w:cs="Times New Roman"/>
        </w:rPr>
        <w:t xml:space="preserve">, J.-L. (2003) </w:t>
      </w:r>
      <w:r w:rsidRPr="00B01F32">
        <w:rPr>
          <w:rFonts w:ascii="Times New Roman" w:hAnsi="Times New Roman" w:cs="Times New Roman"/>
          <w:i/>
          <w:iCs/>
        </w:rPr>
        <w:t>Managing across cultures</w:t>
      </w:r>
      <w:r w:rsidRPr="00B01F32">
        <w:rPr>
          <w:rFonts w:ascii="Times New Roman" w:hAnsi="Times New Roman" w:cs="Times New Roman"/>
        </w:rPr>
        <w:t xml:space="preserve">. 2nd </w:t>
      </w:r>
      <w:proofErr w:type="spellStart"/>
      <w:r w:rsidRPr="00B01F32">
        <w:rPr>
          <w:rFonts w:ascii="Times New Roman" w:hAnsi="Times New Roman" w:cs="Times New Roman"/>
        </w:rPr>
        <w:t>edn</w:t>
      </w:r>
      <w:proofErr w:type="spellEnd"/>
      <w:r w:rsidRPr="00B01F32">
        <w:rPr>
          <w:rFonts w:ascii="Times New Roman" w:hAnsi="Times New Roman" w:cs="Times New Roman"/>
        </w:rPr>
        <w:t>. Harlow: Pearson Education.</w:t>
      </w:r>
    </w:p>
    <w:p w14:paraId="3D35D2DC"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Tajfel, H. and Turner, J.C. (1979) ‘An integrative theory of intergroup conflict’, in Austin, W.G. and </w:t>
      </w:r>
      <w:proofErr w:type="spellStart"/>
      <w:r w:rsidRPr="00B01F32">
        <w:rPr>
          <w:rFonts w:ascii="Times New Roman" w:hAnsi="Times New Roman" w:cs="Times New Roman"/>
        </w:rPr>
        <w:t>Worchel</w:t>
      </w:r>
      <w:proofErr w:type="spellEnd"/>
      <w:r w:rsidRPr="00B01F32">
        <w:rPr>
          <w:rFonts w:ascii="Times New Roman" w:hAnsi="Times New Roman" w:cs="Times New Roman"/>
        </w:rPr>
        <w:t xml:space="preserve">, S. (eds.) </w:t>
      </w:r>
      <w:r w:rsidRPr="00B01F32">
        <w:rPr>
          <w:rFonts w:ascii="Times New Roman" w:hAnsi="Times New Roman" w:cs="Times New Roman"/>
          <w:i/>
          <w:iCs/>
        </w:rPr>
        <w:t>The social psychology of intergroup relations</w:t>
      </w:r>
      <w:r w:rsidRPr="00B01F32">
        <w:rPr>
          <w:rFonts w:ascii="Times New Roman" w:hAnsi="Times New Roman" w:cs="Times New Roman"/>
        </w:rPr>
        <w:t>. Monterey, CA: Brooks/Cole, pp. 33–47.</w:t>
      </w:r>
    </w:p>
    <w:p w14:paraId="54E70548"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Ting-Toomey, S. (1988) ‘Intercultural conflict styles: A face-negotiation theory’, </w:t>
      </w:r>
      <w:r w:rsidRPr="00B01F32">
        <w:rPr>
          <w:rFonts w:ascii="Times New Roman" w:hAnsi="Times New Roman" w:cs="Times New Roman"/>
          <w:i/>
          <w:iCs/>
        </w:rPr>
        <w:t>International Journal of Intercultural Relations</w:t>
      </w:r>
      <w:r w:rsidRPr="00B01F32">
        <w:rPr>
          <w:rFonts w:ascii="Times New Roman" w:hAnsi="Times New Roman" w:cs="Times New Roman"/>
        </w:rPr>
        <w:t>, 12(4), pp. 327–348.</w:t>
      </w:r>
    </w:p>
    <w:p w14:paraId="3DC2804F"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Trompenaars, F. and Hampden-Turner, C. (2012) </w:t>
      </w:r>
      <w:r w:rsidRPr="00B01F32">
        <w:rPr>
          <w:rFonts w:ascii="Times New Roman" w:hAnsi="Times New Roman" w:cs="Times New Roman"/>
          <w:i/>
          <w:iCs/>
        </w:rPr>
        <w:t>Riding the waves of culture: Understanding diversity in global business</w:t>
      </w:r>
      <w:r w:rsidRPr="00B01F32">
        <w:rPr>
          <w:rFonts w:ascii="Times New Roman" w:hAnsi="Times New Roman" w:cs="Times New Roman"/>
        </w:rPr>
        <w:t xml:space="preserve">. 3rd </w:t>
      </w:r>
      <w:proofErr w:type="spellStart"/>
      <w:r w:rsidRPr="00B01F32">
        <w:rPr>
          <w:rFonts w:ascii="Times New Roman" w:hAnsi="Times New Roman" w:cs="Times New Roman"/>
        </w:rPr>
        <w:t>edn</w:t>
      </w:r>
      <w:proofErr w:type="spellEnd"/>
      <w:r w:rsidRPr="00B01F32">
        <w:rPr>
          <w:rFonts w:ascii="Times New Roman" w:hAnsi="Times New Roman" w:cs="Times New Roman"/>
        </w:rPr>
        <w:t>. London: Nicholas Brealey Publishing.</w:t>
      </w:r>
    </w:p>
    <w:p w14:paraId="69C138C7"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Ang, S. and Van Dyne, L. (2008) </w:t>
      </w:r>
      <w:r w:rsidRPr="00B01F32">
        <w:rPr>
          <w:rFonts w:ascii="Times New Roman" w:hAnsi="Times New Roman" w:cs="Times New Roman"/>
          <w:i/>
          <w:iCs/>
        </w:rPr>
        <w:t>Handbook of cultural intelligence: Theory, measurement, and applications</w:t>
      </w:r>
      <w:r w:rsidRPr="00B01F32">
        <w:rPr>
          <w:rFonts w:ascii="Times New Roman" w:hAnsi="Times New Roman" w:cs="Times New Roman"/>
        </w:rPr>
        <w:t>. Armonk, NY: M.E. Sharpe.</w:t>
      </w:r>
    </w:p>
    <w:p w14:paraId="34AC2194"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lastRenderedPageBreak/>
        <w:t xml:space="preserve">Minkov, M. (2018) </w:t>
      </w:r>
      <w:r w:rsidRPr="00B01F32">
        <w:rPr>
          <w:rFonts w:ascii="Times New Roman" w:hAnsi="Times New Roman" w:cs="Times New Roman"/>
          <w:i/>
          <w:iCs/>
        </w:rPr>
        <w:t>A revision of Hofstede’s model of national culture: Old evidence and new data from 56 countries</w:t>
      </w:r>
      <w:r w:rsidRPr="00B01F32">
        <w:rPr>
          <w:rFonts w:ascii="Times New Roman" w:hAnsi="Times New Roman" w:cs="Times New Roman"/>
        </w:rPr>
        <w:t>. Cross Cultural &amp; Strategic Management, 25(2), pp. 231–256.</w:t>
      </w:r>
    </w:p>
    <w:p w14:paraId="4A910B33"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Lewis, R.D. (2006) </w:t>
      </w:r>
      <w:r w:rsidRPr="00B01F32">
        <w:rPr>
          <w:rFonts w:ascii="Times New Roman" w:hAnsi="Times New Roman" w:cs="Times New Roman"/>
          <w:i/>
          <w:iCs/>
        </w:rPr>
        <w:t>When cultures collide: Leading across cultures</w:t>
      </w:r>
      <w:r w:rsidRPr="00B01F32">
        <w:rPr>
          <w:rFonts w:ascii="Times New Roman" w:hAnsi="Times New Roman" w:cs="Times New Roman"/>
        </w:rPr>
        <w:t xml:space="preserve">. 3rd </w:t>
      </w:r>
      <w:proofErr w:type="spellStart"/>
      <w:r w:rsidRPr="00B01F32">
        <w:rPr>
          <w:rFonts w:ascii="Times New Roman" w:hAnsi="Times New Roman" w:cs="Times New Roman"/>
        </w:rPr>
        <w:t>edn</w:t>
      </w:r>
      <w:proofErr w:type="spellEnd"/>
      <w:r w:rsidRPr="00B01F32">
        <w:rPr>
          <w:rFonts w:ascii="Times New Roman" w:hAnsi="Times New Roman" w:cs="Times New Roman"/>
        </w:rPr>
        <w:t>. London: Nicholas Brealey Publishing.</w:t>
      </w:r>
    </w:p>
    <w:p w14:paraId="3967749A" w14:textId="77777777" w:rsidR="00B01F32" w:rsidRPr="00B01F32" w:rsidRDefault="00B01F32" w:rsidP="00B01F32">
      <w:pPr>
        <w:spacing w:line="360" w:lineRule="auto"/>
        <w:jc w:val="both"/>
        <w:rPr>
          <w:rFonts w:ascii="Times New Roman" w:hAnsi="Times New Roman" w:cs="Times New Roman"/>
        </w:rPr>
      </w:pPr>
      <w:r w:rsidRPr="00B01F32">
        <w:rPr>
          <w:rFonts w:ascii="Times New Roman" w:hAnsi="Times New Roman" w:cs="Times New Roman"/>
        </w:rPr>
        <w:t xml:space="preserve">Verbeke, A. (2013) </w:t>
      </w:r>
      <w:r w:rsidRPr="00B01F32">
        <w:rPr>
          <w:rFonts w:ascii="Times New Roman" w:hAnsi="Times New Roman" w:cs="Times New Roman"/>
          <w:i/>
          <w:iCs/>
        </w:rPr>
        <w:t>International business strategy</w:t>
      </w:r>
      <w:r w:rsidRPr="00B01F32">
        <w:rPr>
          <w:rFonts w:ascii="Times New Roman" w:hAnsi="Times New Roman" w:cs="Times New Roman"/>
        </w:rPr>
        <w:t xml:space="preserve">. 2nd </w:t>
      </w:r>
      <w:proofErr w:type="spellStart"/>
      <w:r w:rsidRPr="00B01F32">
        <w:rPr>
          <w:rFonts w:ascii="Times New Roman" w:hAnsi="Times New Roman" w:cs="Times New Roman"/>
        </w:rPr>
        <w:t>edn</w:t>
      </w:r>
      <w:proofErr w:type="spellEnd"/>
      <w:r w:rsidRPr="00B01F32">
        <w:rPr>
          <w:rFonts w:ascii="Times New Roman" w:hAnsi="Times New Roman" w:cs="Times New Roman"/>
        </w:rPr>
        <w:t>. Cambridge: Cambridge University Press.</w:t>
      </w:r>
    </w:p>
    <w:p w14:paraId="474261CA" w14:textId="77777777" w:rsidR="00196B06" w:rsidRPr="00B01F32" w:rsidRDefault="00196B06" w:rsidP="00B01F32">
      <w:pPr>
        <w:spacing w:line="360" w:lineRule="auto"/>
        <w:jc w:val="both"/>
        <w:rPr>
          <w:rFonts w:ascii="Times New Roman" w:hAnsi="Times New Roman" w:cs="Times New Roman"/>
        </w:rPr>
      </w:pPr>
    </w:p>
    <w:sectPr w:rsidR="00196B06" w:rsidRPr="00B01F3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AC094" w14:textId="77777777" w:rsidR="00BE2918" w:rsidRDefault="00BE2918" w:rsidP="00196B06">
      <w:pPr>
        <w:spacing w:after="0" w:line="240" w:lineRule="auto"/>
      </w:pPr>
      <w:r>
        <w:separator/>
      </w:r>
    </w:p>
  </w:endnote>
  <w:endnote w:type="continuationSeparator" w:id="0">
    <w:p w14:paraId="1AD2EE43" w14:textId="77777777" w:rsidR="00BE2918" w:rsidRDefault="00BE2918" w:rsidP="00196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3096914"/>
      <w:docPartObj>
        <w:docPartGallery w:val="Page Numbers (Bottom of Page)"/>
        <w:docPartUnique/>
      </w:docPartObj>
    </w:sdtPr>
    <w:sdtEndPr>
      <w:rPr>
        <w:color w:val="7F7F7F" w:themeColor="background1" w:themeShade="7F"/>
        <w:spacing w:val="60"/>
      </w:rPr>
    </w:sdtEndPr>
    <w:sdtContent>
      <w:p w14:paraId="02821DC8" w14:textId="7C2A4E50" w:rsidR="00196B06" w:rsidRDefault="00196B0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6197793" w14:textId="77777777" w:rsidR="00196B06" w:rsidRDefault="00196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1671E" w14:textId="77777777" w:rsidR="00BE2918" w:rsidRDefault="00BE2918" w:rsidP="00196B06">
      <w:pPr>
        <w:spacing w:after="0" w:line="240" w:lineRule="auto"/>
      </w:pPr>
      <w:r>
        <w:separator/>
      </w:r>
    </w:p>
  </w:footnote>
  <w:footnote w:type="continuationSeparator" w:id="0">
    <w:p w14:paraId="03D0749C" w14:textId="77777777" w:rsidR="00BE2918" w:rsidRDefault="00BE2918" w:rsidP="00196B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7760D"/>
    <w:multiLevelType w:val="multilevel"/>
    <w:tmpl w:val="50ECF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17296"/>
    <w:multiLevelType w:val="multilevel"/>
    <w:tmpl w:val="57908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B23BCF"/>
    <w:multiLevelType w:val="multilevel"/>
    <w:tmpl w:val="8D0EE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5830A1"/>
    <w:multiLevelType w:val="multilevel"/>
    <w:tmpl w:val="B1D02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5B63BC"/>
    <w:multiLevelType w:val="multilevel"/>
    <w:tmpl w:val="BF6C3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1D54CC"/>
    <w:multiLevelType w:val="multilevel"/>
    <w:tmpl w:val="D7E03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B04FC8"/>
    <w:multiLevelType w:val="multilevel"/>
    <w:tmpl w:val="D3B42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B75DFC"/>
    <w:multiLevelType w:val="multilevel"/>
    <w:tmpl w:val="C8528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1771201">
    <w:abstractNumId w:val="3"/>
  </w:num>
  <w:num w:numId="2" w16cid:durableId="1708868338">
    <w:abstractNumId w:val="1"/>
  </w:num>
  <w:num w:numId="3" w16cid:durableId="133833840">
    <w:abstractNumId w:val="7"/>
  </w:num>
  <w:num w:numId="4" w16cid:durableId="1751272172">
    <w:abstractNumId w:val="0"/>
  </w:num>
  <w:num w:numId="5" w16cid:durableId="811143705">
    <w:abstractNumId w:val="4"/>
  </w:num>
  <w:num w:numId="6" w16cid:durableId="869414976">
    <w:abstractNumId w:val="5"/>
  </w:num>
  <w:num w:numId="7" w16cid:durableId="1057630373">
    <w:abstractNumId w:val="2"/>
  </w:num>
  <w:num w:numId="8" w16cid:durableId="4503645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B06"/>
    <w:rsid w:val="00196B06"/>
    <w:rsid w:val="004B1A09"/>
    <w:rsid w:val="00566EDF"/>
    <w:rsid w:val="00951857"/>
    <w:rsid w:val="00A929BF"/>
    <w:rsid w:val="00B01F32"/>
    <w:rsid w:val="00B04BB6"/>
    <w:rsid w:val="00B845E5"/>
    <w:rsid w:val="00BE2918"/>
    <w:rsid w:val="00BE7BD0"/>
    <w:rsid w:val="00FA0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82A43"/>
  <w15:chartTrackingRefBased/>
  <w15:docId w15:val="{317F9EE8-427B-469C-B277-38113638A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196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B06"/>
  </w:style>
  <w:style w:type="paragraph" w:styleId="Footer">
    <w:name w:val="footer"/>
    <w:basedOn w:val="Normal"/>
    <w:link w:val="FooterChar"/>
    <w:uiPriority w:val="99"/>
    <w:unhideWhenUsed/>
    <w:rsid w:val="00196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B06"/>
  </w:style>
  <w:style w:type="character" w:styleId="Strong">
    <w:name w:val="Strong"/>
    <w:basedOn w:val="DefaultParagraphFont"/>
    <w:uiPriority w:val="22"/>
    <w:qFormat/>
    <w:rsid w:val="00B845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3247</Words>
  <Characters>18511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ocneanu</dc:creator>
  <cp:keywords/>
  <dc:description/>
  <cp:lastModifiedBy>ionela ocneanu</cp:lastModifiedBy>
  <cp:revision>1</cp:revision>
  <dcterms:created xsi:type="dcterms:W3CDTF">2026-02-19T09:25:00Z</dcterms:created>
  <dcterms:modified xsi:type="dcterms:W3CDTF">2026-02-19T12:01:00Z</dcterms:modified>
</cp:coreProperties>
</file>