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E8814">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rPr>
      </w:pPr>
      <w:r>
        <w:rPr>
          <w:rFonts w:hint="default" w:ascii="Arial Regular" w:hAnsi="Arial Regular" w:cs="Arial Regular"/>
          <w:b w:val="0"/>
          <w:bCs w:val="0"/>
          <w:i w:val="0"/>
          <w:iCs w:val="0"/>
          <w:color w:val="000000"/>
          <w:sz w:val="24"/>
          <w:szCs w:val="24"/>
          <w:u w:val="none"/>
          <w:vertAlign w:val="baseline"/>
        </w:rPr>
        <w:drawing>
          <wp:inline distT="0" distB="0" distL="114300" distR="114300">
            <wp:extent cx="2543175" cy="1409700"/>
            <wp:effectExtent l="0" t="0" r="22225" b="1270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6"/>
                    <a:stretch>
                      <a:fillRect/>
                    </a:stretch>
                  </pic:blipFill>
                  <pic:spPr>
                    <a:xfrm>
                      <a:off x="0" y="0"/>
                      <a:ext cx="2543175" cy="1409700"/>
                    </a:xfrm>
                    <a:prstGeom prst="rect">
                      <a:avLst/>
                    </a:prstGeom>
                    <a:noFill/>
                    <a:ln w="9525">
                      <a:noFill/>
                    </a:ln>
                  </pic:spPr>
                </pic:pic>
              </a:graphicData>
            </a:graphic>
          </wp:inline>
        </w:drawing>
      </w:r>
    </w:p>
    <w:p w14:paraId="4B363D36">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lang w:val="de-DE"/>
        </w:rPr>
      </w:pPr>
      <w:r>
        <w:rPr>
          <w:rFonts w:hint="default" w:ascii="Arial Regular" w:hAnsi="Arial Regular" w:cs="Arial Regular"/>
          <w:b w:val="0"/>
          <w:bCs w:val="0"/>
          <w:i w:val="0"/>
          <w:iCs w:val="0"/>
          <w:color w:val="000000"/>
          <w:sz w:val="24"/>
          <w:szCs w:val="24"/>
          <w:u w:val="none"/>
          <w:vertAlign w:val="baseline"/>
        </w:rPr>
        <w:t xml:space="preserve">Assessment </w:t>
      </w:r>
      <w:r>
        <w:rPr>
          <w:rFonts w:hint="default" w:ascii="Arial Regular" w:hAnsi="Arial Regular" w:cs="Arial Regular"/>
          <w:b w:val="0"/>
          <w:bCs w:val="0"/>
          <w:i w:val="0"/>
          <w:iCs w:val="0"/>
          <w:color w:val="000000"/>
          <w:sz w:val="24"/>
          <w:szCs w:val="24"/>
          <w:u w:val="none"/>
          <w:vertAlign w:val="baseline"/>
          <w:lang w:val="de-DE"/>
        </w:rPr>
        <w:t>1</w:t>
      </w:r>
    </w:p>
    <w:p w14:paraId="66CC65FC">
      <w:pPr>
        <w:keepNext w:val="0"/>
        <w:keepLines w:val="0"/>
        <w:widowControl/>
        <w:suppressLineNumbers w:val="0"/>
        <w:spacing w:line="360" w:lineRule="auto"/>
        <w:jc w:val="center"/>
        <w:rPr>
          <w:rFonts w:hint="default" w:ascii="Arial Regular" w:hAnsi="Arial Regular" w:cs="Arial Regular"/>
          <w:b w:val="0"/>
          <w:bCs w:val="0"/>
          <w:i w:val="0"/>
          <w:iCs w:val="0"/>
          <w:sz w:val="24"/>
          <w:szCs w:val="24"/>
        </w:rPr>
      </w:pPr>
    </w:p>
    <w:p w14:paraId="5E4C9B23">
      <w:pPr>
        <w:jc w:val="center"/>
        <w:rPr>
          <w:rFonts w:hint="default" w:ascii="Arial" w:hAnsi="Arial" w:cs="Arial"/>
          <w:b w:val="0"/>
          <w:bCs w:val="0"/>
          <w:sz w:val="24"/>
          <w:szCs w:val="24"/>
          <w:lang w:val="de-DE"/>
        </w:rPr>
      </w:pPr>
      <w:r>
        <w:rPr>
          <w:rFonts w:hint="default" w:ascii="Arial" w:hAnsi="Arial" w:cs="Arial"/>
          <w:b w:val="0"/>
          <w:bCs w:val="0"/>
          <w:sz w:val="24"/>
          <w:szCs w:val="24"/>
          <w:lang w:val="de-DE"/>
        </w:rPr>
        <w:t xml:space="preserve">Assessment </w:t>
      </w:r>
      <w:r>
        <w:rPr>
          <w:rFonts w:hint="default" w:ascii="Arial" w:hAnsi="Arial" w:cs="Arial"/>
          <w:b w:val="0"/>
          <w:bCs w:val="0"/>
          <w:sz w:val="24"/>
          <w:szCs w:val="24"/>
        </w:rPr>
        <w:t xml:space="preserve">Title: </w:t>
      </w:r>
      <w:r>
        <w:rPr>
          <w:rFonts w:hint="default" w:ascii="Arial" w:hAnsi="Arial" w:cs="Arial"/>
          <w:b w:val="0"/>
          <w:bCs w:val="0"/>
          <w:sz w:val="24"/>
          <w:szCs w:val="24"/>
          <w:lang w:val="de-DE"/>
        </w:rPr>
        <w:t>Individual Report - Intel</w:t>
      </w:r>
    </w:p>
    <w:p w14:paraId="77FB0BD2">
      <w:pPr>
        <w:keepNext w:val="0"/>
        <w:keepLines w:val="0"/>
        <w:widowControl/>
        <w:suppressLineNumbers w:val="0"/>
        <w:spacing w:line="360" w:lineRule="auto"/>
        <w:jc w:val="center"/>
        <w:rPr>
          <w:rFonts w:hint="default" w:ascii="Arial Regular" w:hAnsi="Arial Regular" w:cs="Arial Regular"/>
          <w:b w:val="0"/>
          <w:bCs w:val="0"/>
          <w:i w:val="0"/>
          <w:iCs w:val="0"/>
          <w:sz w:val="24"/>
          <w:szCs w:val="24"/>
        </w:rPr>
      </w:pPr>
    </w:p>
    <w:p w14:paraId="1CFC4EA8">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rPr>
      </w:pPr>
      <w:r>
        <w:rPr>
          <w:rFonts w:hint="default" w:ascii="Arial Regular" w:hAnsi="Arial Regular" w:cs="Arial Regular"/>
          <w:b w:val="0"/>
          <w:bCs w:val="0"/>
          <w:i w:val="0"/>
          <w:iCs w:val="0"/>
          <w:color w:val="000000"/>
          <w:sz w:val="24"/>
          <w:szCs w:val="24"/>
          <w:u w:val="none"/>
          <w:vertAlign w:val="baseline"/>
        </w:rPr>
        <w:t>Name: Anika Ayub</w:t>
      </w:r>
    </w:p>
    <w:p w14:paraId="57079439">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rPr>
      </w:pPr>
      <w:r>
        <w:rPr>
          <w:rFonts w:hint="default" w:ascii="Arial Regular" w:hAnsi="Arial Regular" w:cs="Arial Regular"/>
          <w:b w:val="0"/>
          <w:bCs w:val="0"/>
          <w:i w:val="0"/>
          <w:iCs w:val="0"/>
          <w:color w:val="000000"/>
          <w:sz w:val="24"/>
          <w:szCs w:val="24"/>
          <w:u w:val="none"/>
          <w:vertAlign w:val="baseline"/>
        </w:rPr>
        <w:t>Student ID: 2504343</w:t>
      </w:r>
    </w:p>
    <w:p w14:paraId="13C03CA6">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rPr>
      </w:pPr>
    </w:p>
    <w:p w14:paraId="0FEE13A6">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lang w:val="de-DE"/>
        </w:rPr>
      </w:pPr>
      <w:r>
        <w:rPr>
          <w:rFonts w:hint="default" w:ascii="Arial Regular" w:hAnsi="Arial Regular" w:cs="Arial Regular"/>
          <w:b w:val="0"/>
          <w:bCs w:val="0"/>
          <w:i w:val="0"/>
          <w:iCs w:val="0"/>
          <w:color w:val="000000"/>
          <w:sz w:val="24"/>
          <w:szCs w:val="24"/>
          <w:u w:val="none"/>
          <w:vertAlign w:val="baseline"/>
        </w:rPr>
        <w:t xml:space="preserve">Module Name: </w:t>
      </w:r>
      <w:r>
        <w:rPr>
          <w:rFonts w:hint="default" w:ascii="Arial Regular" w:hAnsi="Arial Regular" w:cs="Arial Regular"/>
          <w:b w:val="0"/>
          <w:bCs w:val="0"/>
          <w:i w:val="0"/>
          <w:iCs w:val="0"/>
          <w:color w:val="000000"/>
          <w:sz w:val="24"/>
          <w:szCs w:val="24"/>
          <w:u w:val="none"/>
          <w:vertAlign w:val="baseline"/>
          <w:lang w:val="de-DE"/>
        </w:rPr>
        <w:t>Financial Management</w:t>
      </w:r>
    </w:p>
    <w:p w14:paraId="0723BD3D">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lang w:val="de-DE"/>
        </w:rPr>
      </w:pPr>
      <w:r>
        <w:rPr>
          <w:rFonts w:hint="default" w:ascii="Arial Regular" w:hAnsi="Arial Regular" w:cs="Arial Regular"/>
          <w:b w:val="0"/>
          <w:bCs w:val="0"/>
          <w:i w:val="0"/>
          <w:iCs w:val="0"/>
          <w:color w:val="000000"/>
          <w:sz w:val="24"/>
          <w:szCs w:val="24"/>
          <w:u w:val="none"/>
          <w:vertAlign w:val="baseline"/>
        </w:rPr>
        <w:t>Module Code: LCMB70</w:t>
      </w:r>
      <w:r>
        <w:rPr>
          <w:rFonts w:hint="default" w:ascii="Arial Regular" w:hAnsi="Arial Regular" w:cs="Arial Regular"/>
          <w:b w:val="0"/>
          <w:bCs w:val="0"/>
          <w:i w:val="0"/>
          <w:iCs w:val="0"/>
          <w:color w:val="000000"/>
          <w:sz w:val="24"/>
          <w:szCs w:val="24"/>
          <w:u w:val="none"/>
          <w:vertAlign w:val="baseline"/>
          <w:lang w:val="de-DE"/>
        </w:rPr>
        <w:t>002</w:t>
      </w:r>
    </w:p>
    <w:p w14:paraId="1E0F29E7">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lang w:val="de-DE"/>
        </w:rPr>
      </w:pPr>
      <w:r>
        <w:rPr>
          <w:rFonts w:hint="default" w:ascii="Arial Regular" w:hAnsi="Arial Regular" w:cs="Arial Regular"/>
          <w:b w:val="0"/>
          <w:bCs w:val="0"/>
          <w:i w:val="0"/>
          <w:iCs w:val="0"/>
          <w:color w:val="000000"/>
          <w:sz w:val="24"/>
          <w:szCs w:val="24"/>
          <w:u w:val="none"/>
          <w:vertAlign w:val="baseline"/>
        </w:rPr>
        <w:t xml:space="preserve">Lecturer’s Name: </w:t>
      </w:r>
      <w:r>
        <w:rPr>
          <w:rFonts w:hint="default" w:ascii="Arial Regular" w:hAnsi="Arial Regular" w:eastAsia="Helvetica Neue" w:cs="Arial Regular"/>
          <w:b w:val="0"/>
          <w:bCs w:val="0"/>
          <w:i w:val="0"/>
          <w:iCs w:val="0"/>
          <w:caps w:val="0"/>
          <w:color w:val="1D2125"/>
          <w:spacing w:val="0"/>
          <w:kern w:val="0"/>
          <w:sz w:val="24"/>
          <w:szCs w:val="24"/>
          <w:shd w:val="clear" w:fill="FFFFFF"/>
          <w:lang w:val="de-DE" w:eastAsia="zh-CN" w:bidi="ar"/>
        </w:rPr>
        <w:t>Shengfeng Mei</w:t>
      </w:r>
    </w:p>
    <w:p w14:paraId="16D26849">
      <w:pPr>
        <w:keepNext w:val="0"/>
        <w:keepLines w:val="0"/>
        <w:widowControl/>
        <w:suppressLineNumbers w:val="0"/>
        <w:spacing w:line="360" w:lineRule="auto"/>
        <w:jc w:val="center"/>
        <w:rPr>
          <w:rFonts w:hint="default" w:ascii="Arial Regular" w:hAnsi="Arial Regular" w:cs="Arial Regular"/>
          <w:b w:val="0"/>
          <w:bCs w:val="0"/>
          <w:i w:val="0"/>
          <w:iCs w:val="0"/>
          <w:sz w:val="24"/>
          <w:szCs w:val="24"/>
        </w:rPr>
      </w:pPr>
    </w:p>
    <w:p w14:paraId="0D5E77E2">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lang w:val="de-DE"/>
        </w:rPr>
      </w:pPr>
      <w:r>
        <w:rPr>
          <w:rFonts w:hint="default" w:ascii="Arial Regular" w:hAnsi="Arial Regular" w:cs="Arial Regular"/>
          <w:b w:val="0"/>
          <w:bCs w:val="0"/>
          <w:i w:val="0"/>
          <w:iCs w:val="0"/>
          <w:color w:val="000000"/>
          <w:sz w:val="24"/>
          <w:szCs w:val="24"/>
          <w:u w:val="none"/>
          <w:vertAlign w:val="baseline"/>
        </w:rPr>
        <w:t>Word Count: </w:t>
      </w:r>
      <w:r>
        <w:rPr>
          <w:rFonts w:hint="default" w:ascii="Arial Regular" w:hAnsi="Arial Regular" w:cs="Arial Regular"/>
          <w:b w:val="0"/>
          <w:bCs w:val="0"/>
          <w:i w:val="0"/>
          <w:iCs w:val="0"/>
          <w:color w:val="000000"/>
          <w:sz w:val="24"/>
          <w:szCs w:val="24"/>
          <w:u w:val="none"/>
          <w:vertAlign w:val="baseline"/>
          <w:lang w:val="de-DE"/>
        </w:rPr>
        <w:t>5138</w:t>
      </w:r>
    </w:p>
    <w:p w14:paraId="02A70A32">
      <w:pPr>
        <w:keepNext w:val="0"/>
        <w:keepLines w:val="0"/>
        <w:widowControl/>
        <w:suppressLineNumbers w:val="0"/>
        <w:spacing w:after="240" w:afterAutospacing="0" w:line="360" w:lineRule="auto"/>
        <w:jc w:val="center"/>
        <w:rPr>
          <w:rFonts w:hint="default" w:ascii="Arial Regular" w:hAnsi="Arial Regular" w:cs="Arial Regular"/>
          <w:b w:val="0"/>
          <w:bCs w:val="0"/>
          <w:i w:val="0"/>
          <w:iCs w:val="0"/>
          <w:sz w:val="24"/>
          <w:szCs w:val="24"/>
        </w:rPr>
      </w:pPr>
    </w:p>
    <w:p w14:paraId="615AC273">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rPr>
      </w:pPr>
      <w:r>
        <w:rPr>
          <w:rFonts w:hint="default" w:ascii="Arial Regular" w:hAnsi="Arial Regular" w:cs="Arial Regular"/>
          <w:b w:val="0"/>
          <w:bCs w:val="0"/>
          <w:i w:val="0"/>
          <w:iCs w:val="0"/>
          <w:color w:val="000000"/>
          <w:sz w:val="24"/>
          <w:szCs w:val="24"/>
          <w:u w:val="none"/>
          <w:vertAlign w:val="baseline"/>
        </w:rPr>
        <w:t>Term 1</w:t>
      </w:r>
    </w:p>
    <w:p w14:paraId="165EA7B2">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rPr>
      </w:pPr>
    </w:p>
    <w:p w14:paraId="40228E7D">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rPr>
      </w:pPr>
      <w:bookmarkStart w:id="332" w:name="_GoBack"/>
      <w:bookmarkEnd w:id="332"/>
      <w:r>
        <w:rPr>
          <w:rFonts w:hint="default" w:ascii="Arial Regular" w:hAnsi="Arial Regular" w:cs="Arial Regular"/>
          <w:b w:val="0"/>
          <w:bCs w:val="0"/>
          <w:i w:val="0"/>
          <w:iCs w:val="0"/>
          <w:color w:val="000000"/>
          <w:sz w:val="24"/>
          <w:szCs w:val="24"/>
          <w:u w:val="none"/>
          <w:vertAlign w:val="baseline"/>
          <w:lang w:val="de-DE"/>
        </w:rPr>
        <w:t>Submission Date: 22</w:t>
      </w:r>
      <w:r>
        <w:rPr>
          <w:rFonts w:hint="default" w:ascii="Arial Regular" w:hAnsi="Arial Regular" w:cs="Arial Regular"/>
          <w:b w:val="0"/>
          <w:bCs w:val="0"/>
          <w:i w:val="0"/>
          <w:iCs w:val="0"/>
          <w:color w:val="000000"/>
          <w:sz w:val="24"/>
          <w:szCs w:val="24"/>
          <w:u w:val="none"/>
          <w:vertAlign w:val="superscript"/>
          <w:lang w:val="de-DE"/>
        </w:rPr>
        <w:t>nd</w:t>
      </w:r>
      <w:r>
        <w:rPr>
          <w:rFonts w:hint="default" w:ascii="Arial Regular" w:hAnsi="Arial Regular" w:cs="Arial Regular"/>
          <w:b w:val="0"/>
          <w:bCs w:val="0"/>
          <w:i w:val="0"/>
          <w:iCs w:val="0"/>
          <w:color w:val="000000"/>
          <w:sz w:val="24"/>
          <w:szCs w:val="24"/>
          <w:u w:val="none"/>
          <w:vertAlign w:val="baseline"/>
          <w:lang w:val="de-DE"/>
        </w:rPr>
        <w:t xml:space="preserve"> December 2025</w:t>
      </w:r>
    </w:p>
    <w:sdt>
      <w:sdtPr>
        <w:rPr>
          <w:rFonts w:hint="default" w:ascii="Arial Regular" w:hAnsi="Arial Regular" w:eastAsia="SimSun" w:cs="Arial Regular"/>
          <w:sz w:val="24"/>
          <w:szCs w:val="24"/>
          <w:lang w:val="en-US" w:eastAsia="zh-CN" w:bidi="ar-SA"/>
        </w:rPr>
        <w:id w:val="898577245"/>
        <w:showingPlcHdr/>
        <w15:color w:val="DBDBDB"/>
        <w:docPartObj>
          <w:docPartGallery w:val="Table of Contents"/>
          <w:docPartUnique/>
        </w:docPartObj>
      </w:sdtPr>
      <w:sdtEndPr>
        <w:rPr>
          <w:rFonts w:hint="default" w:ascii="Arial Regular" w:hAnsi="Arial Regular" w:cs="Arial Regular" w:eastAsiaTheme="minorEastAsia"/>
          <w:bCs w:val="0"/>
          <w:i w:val="0"/>
          <w:iCs w:val="0"/>
          <w:sz w:val="24"/>
          <w:szCs w:val="24"/>
          <w:lang w:val="en-US" w:eastAsia="zh-CN" w:bidi="ar-SA"/>
        </w:rPr>
      </w:sdtEndPr>
      <w:sdtContent>
        <w:p w14:paraId="0ED2C912">
          <w:pPr>
            <w:spacing w:line="360" w:lineRule="auto"/>
            <w:jc w:val="both"/>
          </w:pPr>
          <w:r>
            <w:rPr>
              <w:rFonts w:hint="default" w:ascii="Arial Regular" w:hAnsi="Arial Regular" w:eastAsia="SimSun" w:cs="Arial Regular"/>
              <w:sz w:val="24"/>
              <w:szCs w:val="24"/>
              <w:lang w:val="de-DE" w:eastAsia="zh-CN" w:bidi="ar-SA"/>
            </w:rPr>
            <w:t xml:space="preserve">     </w:t>
          </w:r>
        </w:p>
      </w:sdtContent>
    </w:sdt>
    <w:sdt>
      <w:sdtPr>
        <w:rPr>
          <w:rFonts w:hint="default" w:ascii="Arial Regular" w:hAnsi="Arial Regular" w:eastAsia="SimSun" w:cs="Arial Regular"/>
          <w:sz w:val="24"/>
          <w:szCs w:val="24"/>
          <w:lang w:val="en-US" w:eastAsia="zh-CN" w:bidi="ar-SA"/>
        </w:rPr>
        <w:id w:val="689498165"/>
        <w15:color w:val="DBDBDB"/>
        <w:docPartObj>
          <w:docPartGallery w:val="Table of Contents"/>
          <w:docPartUnique/>
        </w:docPartObj>
      </w:sdtPr>
      <w:sdtEndPr>
        <w:rPr>
          <w:rFonts w:hint="default" w:ascii="Arial Regular" w:hAnsi="Arial Regular" w:eastAsia="SimSun" w:cs="Arial Regular"/>
          <w:sz w:val="24"/>
          <w:szCs w:val="24"/>
          <w:lang w:val="en-US" w:eastAsia="zh-CN" w:bidi="ar-SA"/>
        </w:rPr>
      </w:sdtEndPr>
      <w:sdtContent>
        <w:p w14:paraId="4333DC60">
          <w:pPr>
            <w:spacing w:line="360" w:lineRule="auto"/>
            <w:jc w:val="center"/>
            <w:rPr>
              <w:rFonts w:hint="default" w:ascii="Arial Regular" w:hAnsi="Arial Regular" w:eastAsia="SimSun" w:cs="Arial Regular"/>
              <w:sz w:val="24"/>
              <w:szCs w:val="24"/>
              <w:lang w:val="en-US" w:eastAsia="zh-CN" w:bidi="ar-SA"/>
            </w:rPr>
          </w:pPr>
          <w:bookmarkStart w:id="0" w:name="_Toc1950221248"/>
        </w:p>
        <w:p w14:paraId="2E551130">
          <w:pPr>
            <w:rPr>
              <w:rFonts w:hint="default" w:ascii="Arial Regular" w:hAnsi="Arial Regular" w:eastAsia="SimSun" w:cs="Arial Regular"/>
              <w:sz w:val="24"/>
              <w:szCs w:val="24"/>
              <w:lang w:val="en-US" w:eastAsia="zh-CN" w:bidi="ar-SA"/>
            </w:rPr>
          </w:pPr>
          <w:r>
            <w:rPr>
              <w:rFonts w:hint="default" w:ascii="Arial Regular" w:hAnsi="Arial Regular" w:eastAsia="SimSun" w:cs="Arial Regular"/>
              <w:sz w:val="24"/>
              <w:szCs w:val="24"/>
              <w:lang w:val="en-US" w:eastAsia="zh-CN" w:bidi="ar-SA"/>
            </w:rPr>
            <w:br w:type="page"/>
          </w:r>
        </w:p>
        <w:p w14:paraId="6DED7C7F">
          <w:pPr>
            <w:spacing w:line="360" w:lineRule="auto"/>
            <w:jc w:val="center"/>
            <w:rPr>
              <w:rFonts w:hint="default" w:ascii="Arial Regular" w:hAnsi="Arial Regular" w:eastAsia="SimSun" w:cs="Arial Regular"/>
              <w:sz w:val="24"/>
              <w:szCs w:val="24"/>
              <w:lang w:val="de-DE"/>
            </w:rPr>
          </w:pPr>
          <w:r>
            <w:rPr>
              <w:rFonts w:hint="default" w:ascii="Arial Regular" w:hAnsi="Arial Regular" w:eastAsia="SimSun" w:cs="Arial Regular"/>
              <w:sz w:val="24"/>
              <w:szCs w:val="24"/>
              <w:lang w:val="de-DE"/>
            </w:rPr>
            <w:t>Table of Contents</w:t>
          </w:r>
        </w:p>
        <w:p w14:paraId="4270D99E">
          <w:pPr>
            <w:pStyle w:val="24"/>
            <w:numPr>
              <w:ilvl w:val="0"/>
              <w:numId w:val="0"/>
            </w:numPr>
            <w:tabs>
              <w:tab w:val="right" w:leader="dot" w:pos="8306"/>
            </w:tabs>
            <w:spacing w:line="360" w:lineRule="auto"/>
            <w:jc w:val="left"/>
            <w:rPr>
              <w:rFonts w:hint="default" w:ascii="Arial Regular" w:hAnsi="Arial Regular" w:cs="Arial Regular"/>
              <w:sz w:val="24"/>
              <w:szCs w:val="24"/>
            </w:rPr>
          </w:pPr>
        </w:p>
        <w:p w14:paraId="2A784496">
          <w:pPr>
            <w:pStyle w:val="24"/>
            <w:numPr>
              <w:ilvl w:val="0"/>
              <w:numId w:val="0"/>
            </w:numPr>
            <w:tabs>
              <w:tab w:val="right" w:leader="dot" w:pos="8306"/>
            </w:tabs>
            <w:spacing w:line="360" w:lineRule="auto"/>
            <w:jc w:val="left"/>
            <w:rPr>
              <w:rFonts w:hint="default" w:ascii="Arial Regular" w:hAnsi="Arial Regular" w:cs="Arial Regular"/>
              <w:bCs/>
              <w:i w:val="0"/>
              <w:iCs/>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TOC \o "1-3" \h \u </w:instrText>
          </w:r>
          <w:r>
            <w:rPr>
              <w:rFonts w:hint="default" w:ascii="Arial Regular" w:hAnsi="Arial Regular" w:cs="Arial Regular"/>
              <w:sz w:val="24"/>
              <w:szCs w:val="24"/>
            </w:rPr>
            <w:fldChar w:fldCharType="separate"/>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_Toc290475665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w:t>
          </w:r>
          <w:r>
            <w:rPr>
              <w:rFonts w:hint="default" w:ascii="Arial Regular" w:hAnsi="Arial Regular" w:cs="Arial Regular"/>
              <w:bCs/>
              <w:i w:val="0"/>
              <w:iCs/>
              <w:sz w:val="24"/>
              <w:szCs w:val="24"/>
              <w:lang w:val="de-DE"/>
            </w:rPr>
            <w:t xml:space="preserve"> Introduction ................................................................................................. 4</w:t>
          </w:r>
        </w:p>
        <w:p w14:paraId="335644BF">
          <w:pPr>
            <w:pStyle w:val="24"/>
            <w:numPr>
              <w:ilvl w:val="-2"/>
              <w:numId w:val="0"/>
            </w:numPr>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bCs/>
              <w:i w:val="0"/>
              <w:iCs/>
              <w:sz w:val="24"/>
              <w:szCs w:val="24"/>
              <w:lang w:val="de-DE"/>
            </w:rPr>
            <w:t>1.1</w:t>
          </w:r>
          <w:r>
            <w:rPr>
              <w:rFonts w:hint="default" w:ascii="Arial Regular" w:hAnsi="Arial Regular" w:cs="Arial Regular"/>
              <w:bCs/>
              <w:i w:val="0"/>
              <w:iCs/>
              <w:sz w:val="24"/>
              <w:szCs w:val="24"/>
            </w:rPr>
            <w:t xml:space="preserve"> Financial Health Check</w:t>
          </w:r>
          <w:r>
            <w:rPr>
              <w:rFonts w:hint="default" w:ascii="Arial Regular" w:hAnsi="Arial Regular" w:cs="Arial Regular"/>
              <w:bCs/>
              <w:i w:val="0"/>
              <w:iCs/>
              <w:sz w:val="24"/>
              <w:szCs w:val="24"/>
              <w:lang w:val="de-DE"/>
            </w:rPr>
            <w:t xml:space="preserve"> ( Five Year </w:t>
          </w:r>
          <w:r>
            <w:rPr>
              <w:rFonts w:hint="default" w:ascii="Arial Regular" w:hAnsi="Arial Regular" w:cs="Arial Regular"/>
              <w:bCs/>
              <w:i w:val="0"/>
              <w:iCs/>
              <w:sz w:val="24"/>
              <w:szCs w:val="24"/>
            </w:rPr>
            <w:t>Overview of Financial Performance</w:t>
          </w:r>
          <w:r>
            <w:rPr>
              <w:rFonts w:hint="default" w:ascii="Arial Regular" w:hAnsi="Arial Regular" w:cs="Arial Regular"/>
              <w:bCs/>
              <w:i w:val="0"/>
              <w:iCs/>
              <w:sz w:val="24"/>
              <w:szCs w:val="24"/>
              <w:lang w:val="de-DE"/>
            </w:rPr>
            <w:t>)</w:t>
          </w:r>
          <w:r>
            <w:rPr>
              <w:rFonts w:hint="default" w:ascii="Arial Regular" w:hAnsi="Arial Regular" w:cs="Arial Regular"/>
              <w:sz w:val="24"/>
              <w:szCs w:val="24"/>
            </w:rPr>
            <w:tab/>
          </w:r>
          <w:r>
            <w:rPr>
              <w:rFonts w:hint="default" w:ascii="Arial Regular" w:hAnsi="Arial Regular" w:cs="Arial Regular"/>
              <w:sz w:val="24"/>
              <w:szCs w:val="24"/>
              <w:lang w:val="de-DE"/>
            </w:rPr>
            <w:t>5</w:t>
          </w:r>
          <w:r>
            <w:rPr>
              <w:rFonts w:hint="default" w:ascii="Arial Regular" w:hAnsi="Arial Regular" w:cs="Arial Regular"/>
              <w:sz w:val="24"/>
              <w:szCs w:val="24"/>
            </w:rPr>
            <w:fldChar w:fldCharType="end"/>
          </w:r>
        </w:p>
        <w:p w14:paraId="38DE9ACA">
          <w:pPr>
            <w:pStyle w:val="25"/>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_Toc794172024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 xml:space="preserve">1.1.1 Income </w:t>
          </w:r>
          <w:r>
            <w:rPr>
              <w:rFonts w:hint="default" w:ascii="Arial Regular" w:hAnsi="Arial Regular" w:cs="Arial Regular"/>
              <w:bCs/>
              <w:i w:val="0"/>
              <w:iCs/>
              <w:sz w:val="24"/>
              <w:szCs w:val="24"/>
              <w:lang w:val="de-DE"/>
            </w:rPr>
            <w:t>S</w:t>
          </w:r>
          <w:r>
            <w:rPr>
              <w:rFonts w:hint="default" w:ascii="Arial Regular" w:hAnsi="Arial Regular" w:cs="Arial Regular"/>
              <w:bCs/>
              <w:i w:val="0"/>
              <w:iCs/>
              <w:sz w:val="24"/>
              <w:szCs w:val="24"/>
            </w:rPr>
            <w:t xml:space="preserve">tatement </w:t>
          </w:r>
          <w:r>
            <w:rPr>
              <w:rFonts w:hint="default" w:ascii="Arial Regular" w:hAnsi="Arial Regular" w:cs="Arial Regular"/>
              <w:bCs/>
              <w:i w:val="0"/>
              <w:iCs/>
              <w:sz w:val="24"/>
              <w:szCs w:val="24"/>
              <w:lang w:val="de-DE"/>
            </w:rPr>
            <w:t>A</w:t>
          </w:r>
          <w:r>
            <w:rPr>
              <w:rFonts w:hint="default" w:ascii="Arial Regular" w:hAnsi="Arial Regular" w:cs="Arial Regular"/>
              <w:bCs/>
              <w:i w:val="0"/>
              <w:iCs/>
              <w:sz w:val="24"/>
              <w:szCs w:val="24"/>
            </w:rPr>
            <w:t>nalysis</w:t>
          </w:r>
          <w:r>
            <w:rPr>
              <w:rFonts w:hint="default" w:ascii="Arial Regular" w:hAnsi="Arial Regular" w:cs="Arial Regular"/>
              <w:sz w:val="24"/>
              <w:szCs w:val="24"/>
            </w:rPr>
            <w:tab/>
          </w:r>
          <w:r>
            <w:rPr>
              <w:rFonts w:hint="default" w:ascii="Arial Regular" w:hAnsi="Arial Regular" w:cs="Arial Regular"/>
              <w:sz w:val="24"/>
              <w:szCs w:val="24"/>
              <w:lang w:val="de-DE"/>
            </w:rPr>
            <w:t>5</w:t>
          </w:r>
          <w:r>
            <w:rPr>
              <w:rFonts w:hint="default" w:ascii="Arial Regular" w:hAnsi="Arial Regular" w:cs="Arial Regular"/>
              <w:sz w:val="24"/>
              <w:szCs w:val="24"/>
            </w:rPr>
            <w:fldChar w:fldCharType="end"/>
          </w:r>
        </w:p>
        <w:p w14:paraId="42374D00">
          <w:pPr>
            <w:pStyle w:val="25"/>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_Toc949491719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 xml:space="preserve">1.1.2 Balance </w:t>
          </w:r>
          <w:r>
            <w:rPr>
              <w:rFonts w:hint="default" w:ascii="Arial Regular" w:hAnsi="Arial Regular" w:cs="Arial Regular"/>
              <w:bCs/>
              <w:i w:val="0"/>
              <w:iCs/>
              <w:sz w:val="24"/>
              <w:szCs w:val="24"/>
              <w:lang w:val="de-DE"/>
            </w:rPr>
            <w:t>S</w:t>
          </w:r>
          <w:r>
            <w:rPr>
              <w:rFonts w:hint="default" w:ascii="Arial Regular" w:hAnsi="Arial Regular" w:cs="Arial Regular"/>
              <w:bCs/>
              <w:i w:val="0"/>
              <w:iCs/>
              <w:sz w:val="24"/>
              <w:szCs w:val="24"/>
            </w:rPr>
            <w:t xml:space="preserve">heet </w:t>
          </w:r>
          <w:r>
            <w:rPr>
              <w:rFonts w:hint="default" w:ascii="Arial Regular" w:hAnsi="Arial Regular" w:cs="Arial Regular"/>
              <w:bCs/>
              <w:i w:val="0"/>
              <w:iCs/>
              <w:sz w:val="24"/>
              <w:szCs w:val="24"/>
              <w:lang w:val="de-DE"/>
            </w:rPr>
            <w:t>A</w:t>
          </w:r>
          <w:r>
            <w:rPr>
              <w:rFonts w:hint="default" w:ascii="Arial Regular" w:hAnsi="Arial Regular" w:cs="Arial Regular"/>
              <w:bCs/>
              <w:i w:val="0"/>
              <w:iCs/>
              <w:sz w:val="24"/>
              <w:szCs w:val="24"/>
            </w:rPr>
            <w:t>nalysis</w:t>
          </w:r>
          <w:r>
            <w:rPr>
              <w:rFonts w:hint="default" w:ascii="Arial Regular" w:hAnsi="Arial Regular" w:cs="Arial Regular"/>
              <w:sz w:val="24"/>
              <w:szCs w:val="24"/>
            </w:rPr>
            <w:tab/>
          </w:r>
          <w:r>
            <w:rPr>
              <w:rFonts w:hint="default" w:ascii="Arial Regular" w:hAnsi="Arial Regular" w:cs="Arial Regular"/>
              <w:sz w:val="24"/>
              <w:szCs w:val="24"/>
              <w:lang w:val="de-DE"/>
            </w:rPr>
            <w:t>5</w:t>
          </w:r>
          <w:r>
            <w:rPr>
              <w:rFonts w:hint="default" w:ascii="Arial Regular" w:hAnsi="Arial Regular" w:cs="Arial Regular"/>
              <w:sz w:val="24"/>
              <w:szCs w:val="24"/>
            </w:rPr>
            <w:fldChar w:fldCharType="end"/>
          </w:r>
        </w:p>
        <w:p w14:paraId="2FA20F86">
          <w:pPr>
            <w:pStyle w:val="24"/>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_Toc156340376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1.2 Profitability Analysis</w:t>
          </w:r>
          <w:r>
            <w:rPr>
              <w:rFonts w:hint="default" w:ascii="Arial Regular" w:hAnsi="Arial Regular" w:cs="Arial Regular"/>
              <w:sz w:val="24"/>
              <w:szCs w:val="24"/>
            </w:rPr>
            <w:tab/>
          </w:r>
          <w:r>
            <w:rPr>
              <w:rFonts w:hint="default" w:ascii="Arial Regular" w:hAnsi="Arial Regular" w:cs="Arial Regular"/>
              <w:sz w:val="24"/>
              <w:szCs w:val="24"/>
              <w:lang w:val="de-DE"/>
            </w:rPr>
            <w:t>6</w:t>
          </w:r>
          <w:r>
            <w:rPr>
              <w:rFonts w:hint="default" w:ascii="Arial Regular" w:hAnsi="Arial Regular" w:cs="Arial Regular"/>
              <w:sz w:val="24"/>
              <w:szCs w:val="24"/>
            </w:rPr>
            <w:fldChar w:fldCharType="end"/>
          </w:r>
        </w:p>
        <w:p w14:paraId="6B1D779D">
          <w:pPr>
            <w:pStyle w:val="24"/>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_Toc550853075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1.3 Liquidity Analysis</w:t>
          </w:r>
          <w:r>
            <w:rPr>
              <w:rFonts w:hint="default" w:ascii="Arial Regular" w:hAnsi="Arial Regular" w:cs="Arial Regular"/>
              <w:sz w:val="24"/>
              <w:szCs w:val="24"/>
            </w:rPr>
            <w:tab/>
          </w:r>
          <w:r>
            <w:rPr>
              <w:rFonts w:hint="default" w:ascii="Arial Regular" w:hAnsi="Arial Regular" w:cs="Arial Regular"/>
              <w:sz w:val="24"/>
              <w:szCs w:val="24"/>
              <w:lang w:val="de-DE"/>
            </w:rPr>
            <w:t>6</w:t>
          </w:r>
          <w:r>
            <w:rPr>
              <w:rFonts w:hint="default" w:ascii="Arial Regular" w:hAnsi="Arial Regular" w:cs="Arial Regular"/>
              <w:sz w:val="24"/>
              <w:szCs w:val="24"/>
            </w:rPr>
            <w:fldChar w:fldCharType="end"/>
          </w:r>
        </w:p>
        <w:p w14:paraId="2DE48A37">
          <w:pPr>
            <w:pStyle w:val="24"/>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_Toc166132910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1.4 Efficiency Analysis</w:t>
          </w:r>
          <w:r>
            <w:rPr>
              <w:rFonts w:hint="default" w:ascii="Arial Regular" w:hAnsi="Arial Regular" w:cs="Arial Regular"/>
              <w:sz w:val="24"/>
              <w:szCs w:val="24"/>
            </w:rPr>
            <w:tab/>
          </w:r>
          <w:r>
            <w:rPr>
              <w:rFonts w:hint="default" w:ascii="Arial Regular" w:hAnsi="Arial Regular" w:cs="Arial Regular"/>
              <w:sz w:val="24"/>
              <w:szCs w:val="24"/>
              <w:lang w:val="de-DE"/>
            </w:rPr>
            <w:t>7</w:t>
          </w:r>
          <w:r>
            <w:rPr>
              <w:rFonts w:hint="default" w:ascii="Arial Regular" w:hAnsi="Arial Regular" w:cs="Arial Regular"/>
              <w:sz w:val="24"/>
              <w:szCs w:val="24"/>
            </w:rPr>
            <w:fldChar w:fldCharType="end"/>
          </w:r>
        </w:p>
        <w:p w14:paraId="14EE367B">
          <w:pPr>
            <w:pStyle w:val="24"/>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_Toc1114947105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1.5 Gearing (Solvency) Analysis</w:t>
          </w:r>
          <w:r>
            <w:rPr>
              <w:rFonts w:hint="default" w:ascii="Arial Regular" w:hAnsi="Arial Regular" w:cs="Arial Regular"/>
              <w:sz w:val="24"/>
              <w:szCs w:val="24"/>
            </w:rPr>
            <w:tab/>
          </w:r>
          <w:r>
            <w:rPr>
              <w:rFonts w:hint="default" w:ascii="Arial Regular" w:hAnsi="Arial Regular" w:cs="Arial Regular"/>
              <w:sz w:val="24"/>
              <w:szCs w:val="24"/>
              <w:lang w:val="de-DE"/>
            </w:rPr>
            <w:t>8</w:t>
          </w:r>
          <w:r>
            <w:rPr>
              <w:rFonts w:hint="default" w:ascii="Arial Regular" w:hAnsi="Arial Regular" w:cs="Arial Regular"/>
              <w:sz w:val="24"/>
              <w:szCs w:val="24"/>
            </w:rPr>
            <w:fldChar w:fldCharType="end"/>
          </w:r>
        </w:p>
        <w:p w14:paraId="7D48DEB0">
          <w:pPr>
            <w:pStyle w:val="24"/>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_Toc189679773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1.6 Investment Ratios</w:t>
          </w:r>
          <w:r>
            <w:rPr>
              <w:rFonts w:hint="default" w:ascii="Arial Regular" w:hAnsi="Arial Regular" w:cs="Arial Regular"/>
              <w:sz w:val="24"/>
              <w:szCs w:val="24"/>
            </w:rPr>
            <w:tab/>
          </w:r>
          <w:r>
            <w:rPr>
              <w:rFonts w:hint="default" w:ascii="Arial Regular" w:hAnsi="Arial Regular" w:cs="Arial Regular"/>
              <w:sz w:val="24"/>
              <w:szCs w:val="24"/>
              <w:lang w:val="de-DE"/>
            </w:rPr>
            <w:t>9</w:t>
          </w:r>
          <w:r>
            <w:rPr>
              <w:rFonts w:hint="default" w:ascii="Arial Regular" w:hAnsi="Arial Regular" w:cs="Arial Regular"/>
              <w:sz w:val="24"/>
              <w:szCs w:val="24"/>
            </w:rPr>
            <w:fldChar w:fldCharType="end"/>
          </w:r>
        </w:p>
        <w:p w14:paraId="08BE413B">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_Toc1709220598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1.7 Cash Flow Position</w:t>
          </w:r>
          <w:r>
            <w:rPr>
              <w:rFonts w:hint="default" w:ascii="Arial Regular" w:hAnsi="Arial Regular" w:cs="Arial Regular"/>
              <w:sz w:val="24"/>
              <w:szCs w:val="24"/>
            </w:rPr>
            <w:tab/>
          </w:r>
          <w:r>
            <w:rPr>
              <w:rFonts w:hint="default" w:ascii="Arial Regular" w:hAnsi="Arial Regular" w:cs="Arial Regular"/>
              <w:sz w:val="24"/>
              <w:szCs w:val="24"/>
              <w:lang w:val="de-DE"/>
            </w:rPr>
            <w:t>9</w:t>
          </w:r>
          <w:r>
            <w:rPr>
              <w:rFonts w:hint="default" w:ascii="Arial Regular" w:hAnsi="Arial Regular" w:cs="Arial Regular"/>
              <w:sz w:val="24"/>
              <w:szCs w:val="24"/>
            </w:rPr>
            <w:fldChar w:fldCharType="end"/>
          </w:r>
        </w:p>
        <w:p w14:paraId="58868278">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_Toc1953479790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1.8 Corporate Failure Prediction Models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0</w:t>
          </w:r>
        </w:p>
        <w:p w14:paraId="3B3D49BC">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_Toc1629890440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lang w:val="de-DE"/>
            </w:rPr>
            <w:t xml:space="preserve">2. </w:t>
          </w:r>
          <w:r>
            <w:rPr>
              <w:rFonts w:hint="default" w:ascii="Arial Regular" w:hAnsi="Arial Regular" w:cs="Arial Regular"/>
              <w:bCs/>
              <w:i w:val="0"/>
              <w:iCs/>
              <w:sz w:val="24"/>
              <w:szCs w:val="24"/>
            </w:rPr>
            <w:t>Working Capital Management Analysis</w:t>
          </w:r>
          <w:r>
            <w:rPr>
              <w:rFonts w:hint="default" w:ascii="Arial Regular" w:hAnsi="Arial Regular" w:cs="Arial Regular"/>
              <w:sz w:val="24"/>
              <w:szCs w:val="24"/>
            </w:rPr>
            <w:tab/>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10</w:t>
          </w:r>
        </w:p>
        <w:p w14:paraId="0796A470">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_Toc267223948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2.1 Working Capital Position Overview</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0</w:t>
          </w:r>
        </w:p>
        <w:p w14:paraId="40343B34">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_Toc126281643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2.2 Cash Conversion Cycle Analysis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w:t>
          </w:r>
        </w:p>
        <w:p w14:paraId="57646D5B">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_Toc701730665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2.2.1 Inventory Conversion Period</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w:t>
          </w:r>
        </w:p>
        <w:p w14:paraId="72DC1718">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_Toc1173241532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2.2.2 Receivables Collection Period</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w:t>
          </w:r>
        </w:p>
        <w:p w14:paraId="31600916">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_Toc475581570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2.2.3 Payables Deferral Period</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2</w:t>
          </w:r>
        </w:p>
        <w:p w14:paraId="29EE8133">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_Toc165312856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2.2.4 Net Cash Operating Cycle Evaluation</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2</w:t>
          </w:r>
        </w:p>
        <w:p w14:paraId="40AC3098">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_Toc923138255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2.3 Working Capital Improvement Strategies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3</w:t>
          </w:r>
        </w:p>
        <w:p w14:paraId="5527B404">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_Toc1762785857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2.4 Short-Term vs. Long-Term Financing Evaluation</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3</w:t>
          </w:r>
        </w:p>
        <w:p w14:paraId="0709E691">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_Toc457504587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2.4.1 Short-Term Options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3</w:t>
          </w:r>
        </w:p>
        <w:p w14:paraId="2FE4F514">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_Toc1288137449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2.4.2 Long-Term Options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3</w:t>
          </w:r>
        </w:p>
        <w:p w14:paraId="33CB71F5">
          <w:pPr>
            <w:pStyle w:val="23"/>
            <w:tabs>
              <w:tab w:val="right" w:leader="dot" w:pos="8306"/>
            </w:tabs>
            <w:spacing w:line="360" w:lineRule="auto"/>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_Toc943459936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3. Strategic Financial Restructuring Plan</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4</w:t>
          </w:r>
        </w:p>
        <w:p w14:paraId="42FCDD66">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_Toc1859378551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3.1 Diagnosis of Core Financial Problems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4</w:t>
          </w:r>
        </w:p>
        <w:p w14:paraId="4326BFAC">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_Toc393275513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3.2 Restructuring Options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5</w:t>
          </w:r>
        </w:p>
        <w:p w14:paraId="49489469">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_Toc1974365172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3.3 Analyzing its Impact</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6</w:t>
          </w:r>
        </w:p>
        <w:p w14:paraId="153CDE2A">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_Toc238132360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3.4 International and Ethical Considerations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7</w:t>
          </w:r>
        </w:p>
        <w:p w14:paraId="00281C72">
          <w:pPr>
            <w:pStyle w:val="23"/>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_Toc1528540159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4. Investment Appraisal and Capital Budgeting</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8</w:t>
          </w:r>
        </w:p>
        <w:p w14:paraId="329BB7C3">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_Toc1975066899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4.1 Overview of Proposed Investment Projects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8</w:t>
          </w:r>
        </w:p>
        <w:p w14:paraId="41DD42DC">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lang w:val="de-DE"/>
            </w:rPr>
            <w:t xml:space="preserve">4.2 </w:t>
          </w:r>
          <w:r>
            <w:rPr>
              <w:rFonts w:hint="default" w:ascii="Arial Regular" w:hAnsi="Arial Regular" w:cs="Arial Regular"/>
              <w:b w:val="0"/>
              <w:bCs/>
              <w:i w:val="0"/>
              <w:iCs/>
              <w:sz w:val="24"/>
              <w:szCs w:val="24"/>
              <w:lang w:val="de-DE"/>
            </w:rPr>
            <w:t>Quantitative Evaluation of Project A, B, and C</w:t>
          </w:r>
          <w:r>
            <w:rPr>
              <w:rFonts w:hint="default" w:ascii="Arial Regular" w:hAnsi="Arial Regular" w:cs="Arial Regular"/>
              <w:sz w:val="24"/>
              <w:szCs w:val="24"/>
            </w:rPr>
            <w:tab/>
          </w:r>
          <w:r>
            <w:rPr>
              <w:rFonts w:hint="default" w:ascii="Arial Regular" w:hAnsi="Arial Regular" w:cs="Arial Regular"/>
              <w:sz w:val="24"/>
              <w:szCs w:val="24"/>
              <w:lang w:val="de-DE"/>
            </w:rPr>
            <w:t>19</w:t>
          </w:r>
        </w:p>
        <w:p w14:paraId="30AA4B5D">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_Toc1683601171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4.3 Capital Rationing Decision</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0</w:t>
          </w:r>
        </w:p>
        <w:p w14:paraId="092E12C2">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_Toc1040348125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4.4 Justification of Final Investment Recommendation</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w:t>
          </w:r>
        </w:p>
        <w:p w14:paraId="4026F6D5">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_Toc319083001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4.5 Project Risk Assessment</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w:t>
          </w:r>
        </w:p>
        <w:p w14:paraId="3FF56891">
          <w:pPr>
            <w:pStyle w:val="23"/>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lang w:val="de-DE"/>
            </w:rPr>
            <w:t xml:space="preserve">4.6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_Toc561331248 </w:instrText>
          </w:r>
          <w:r>
            <w:rPr>
              <w:rFonts w:hint="default" w:ascii="Arial Regular" w:hAnsi="Arial Regular" w:cs="Arial Regular"/>
              <w:sz w:val="24"/>
              <w:szCs w:val="24"/>
            </w:rPr>
            <w:fldChar w:fldCharType="separate"/>
          </w:r>
          <w:r>
            <w:rPr>
              <w:rFonts w:hint="default" w:ascii="Arial Regular" w:hAnsi="Arial Regular" w:cs="Arial Regular"/>
              <w:bCs w:val="0"/>
              <w:sz w:val="24"/>
              <w:szCs w:val="24"/>
            </w:rPr>
            <w:t>Conclusion</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2</w:t>
          </w:r>
        </w:p>
        <w:p w14:paraId="7E081006">
          <w:pPr>
            <w:pStyle w:val="23"/>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_Toc398623865 </w:instrText>
          </w:r>
          <w:r>
            <w:rPr>
              <w:rFonts w:hint="default" w:ascii="Arial Regular" w:hAnsi="Arial Regular" w:cs="Arial Regular"/>
              <w:sz w:val="24"/>
              <w:szCs w:val="24"/>
            </w:rPr>
            <w:fldChar w:fldCharType="separate"/>
          </w:r>
          <w:r>
            <w:rPr>
              <w:rFonts w:hint="default" w:ascii="Arial Regular" w:hAnsi="Arial Regular" w:cs="Arial Regular"/>
              <w:bCs w:val="0"/>
              <w:sz w:val="24"/>
              <w:szCs w:val="24"/>
              <w:lang w:val="de-DE"/>
            </w:rPr>
            <w:t>Bibliography</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4</w:t>
          </w:r>
        </w:p>
        <w:p w14:paraId="5E7EB3EC">
          <w:pPr>
            <w:pStyle w:val="23"/>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_Toc1669804062 </w:instrText>
          </w:r>
          <w:r>
            <w:rPr>
              <w:rFonts w:hint="default" w:ascii="Arial Regular" w:hAnsi="Arial Regular" w:cs="Arial Regular"/>
              <w:sz w:val="24"/>
              <w:szCs w:val="24"/>
            </w:rPr>
            <w:fldChar w:fldCharType="separate"/>
          </w:r>
          <w:r>
            <w:rPr>
              <w:rFonts w:hint="default" w:ascii="Arial Regular" w:hAnsi="Arial Regular" w:cs="Arial Regular"/>
              <w:bCs/>
              <w:i w:val="0"/>
              <w:iCs w:val="0"/>
              <w:sz w:val="24"/>
              <w:szCs w:val="24"/>
            </w:rPr>
            <w:t>Appendices</w:t>
          </w:r>
          <w:r>
            <w:rPr>
              <w:rFonts w:hint="default" w:ascii="Arial Regular" w:hAnsi="Arial Regular" w:cs="Arial Regular"/>
              <w:sz w:val="24"/>
              <w:szCs w:val="24"/>
            </w:rPr>
            <w:tab/>
          </w:r>
          <w:r>
            <w:rPr>
              <w:rFonts w:hint="default" w:ascii="Arial Regular" w:hAnsi="Arial Regular" w:cs="Arial Regular"/>
              <w:sz w:val="24"/>
              <w:szCs w:val="24"/>
              <w:lang w:val="de-DE"/>
            </w:rPr>
            <w:t>28</w:t>
          </w:r>
          <w:r>
            <w:rPr>
              <w:rFonts w:hint="default" w:ascii="Arial Regular" w:hAnsi="Arial Regular" w:cs="Arial Regular"/>
              <w:sz w:val="24"/>
              <w:szCs w:val="24"/>
            </w:rPr>
            <w:fldChar w:fldCharType="end"/>
          </w:r>
        </w:p>
        <w:p w14:paraId="15E17D53">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_Toc1080571038 </w:instrText>
          </w:r>
          <w:r>
            <w:rPr>
              <w:rFonts w:hint="default" w:ascii="Arial Regular" w:hAnsi="Arial Regular" w:cs="Arial Regular"/>
              <w:sz w:val="24"/>
              <w:szCs w:val="24"/>
            </w:rPr>
            <w:fldChar w:fldCharType="separate"/>
          </w:r>
          <w:r>
            <w:rPr>
              <w:rFonts w:hint="default" w:ascii="Arial Regular" w:hAnsi="Arial Regular" w:cs="Arial Regular"/>
              <w:bCs/>
              <w:i w:val="0"/>
              <w:iCs w:val="0"/>
              <w:sz w:val="24"/>
              <w:szCs w:val="24"/>
            </w:rPr>
            <w:t>Appendix 1: Ratio analysis</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8</w:t>
          </w:r>
        </w:p>
        <w:p w14:paraId="2FE3B97C">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lang w:val="de-DE"/>
            </w:rPr>
            <w:t>Appendix 2: Figures ...................................................................................... 32</w:t>
          </w:r>
        </w:p>
        <w:p w14:paraId="134F2FC8">
          <w:pPr>
            <w:spacing w:line="360" w:lineRule="auto"/>
            <w:jc w:val="left"/>
            <w:rPr>
              <w:rFonts w:hint="default" w:ascii="Arial Regular" w:hAnsi="Arial Regular" w:cs="Arial Regular"/>
              <w:sz w:val="24"/>
              <w:szCs w:val="24"/>
            </w:rPr>
            <w:sectPr>
              <w:headerReference r:id="rId3" w:type="default"/>
              <w:footerReference r:id="rId4" w:type="default"/>
              <w:pgSz w:w="11906" w:h="16838"/>
              <w:pgMar w:top="1440" w:right="1800" w:bottom="1440" w:left="1800" w:header="720" w:footer="720" w:gutter="0"/>
              <w:cols w:space="720" w:num="1"/>
              <w:docGrid w:linePitch="360" w:charSpace="0"/>
            </w:sectPr>
          </w:pPr>
          <w:r>
            <w:rPr>
              <w:rFonts w:hint="default" w:ascii="Arial Regular" w:hAnsi="Arial Regular" w:cs="Arial Regular"/>
              <w:sz w:val="24"/>
              <w:szCs w:val="24"/>
            </w:rPr>
            <w:fldChar w:fldCharType="end"/>
          </w:r>
        </w:p>
      </w:sdtContent>
    </w:sdt>
    <w:p w14:paraId="5E0B8377">
      <w:pPr>
        <w:pStyle w:val="3"/>
        <w:bidi w:val="0"/>
        <w:spacing w:line="360" w:lineRule="auto"/>
        <w:jc w:val="both"/>
        <w:rPr>
          <w:rFonts w:hint="default" w:ascii="Arial Regular" w:hAnsi="Arial Regular" w:cs="Arial Regular"/>
          <w:b/>
          <w:bCs w:val="0"/>
          <w:i w:val="0"/>
          <w:iCs/>
          <w:sz w:val="24"/>
          <w:szCs w:val="24"/>
          <w:lang w:val="de-DE"/>
        </w:rPr>
      </w:pPr>
      <w:bookmarkStart w:id="1" w:name="_Toc290475665"/>
      <w:r>
        <w:rPr>
          <w:rFonts w:hint="default" w:ascii="Arial Regular" w:hAnsi="Arial Regular" w:cs="Arial Regular"/>
          <w:b/>
          <w:bCs w:val="0"/>
          <w:i w:val="0"/>
          <w:iCs/>
          <w:sz w:val="24"/>
          <w:szCs w:val="24"/>
          <w:lang w:val="de-DE"/>
        </w:rPr>
        <w:t>1. Introduction</w:t>
      </w:r>
    </w:p>
    <w:p w14:paraId="1BF0654E">
      <w:pPr>
        <w:pStyle w:val="12"/>
        <w:keepNext w:val="0"/>
        <w:keepLines w:val="0"/>
        <w:widowControl/>
        <w:suppressLineNumbers w:val="0"/>
        <w:spacing w:line="360" w:lineRule="auto"/>
        <w:jc w:val="both"/>
        <w:rPr>
          <w:rFonts w:hint="default" w:ascii="Arial" w:hAnsi="Arial" w:cs="Arial"/>
          <w:b w:val="0"/>
          <w:bCs w:val="0"/>
          <w:i w:val="0"/>
          <w:iCs w:val="0"/>
          <w:sz w:val="24"/>
          <w:szCs w:val="24"/>
        </w:rPr>
      </w:pPr>
      <w:r>
        <w:rPr>
          <w:rFonts w:hint="default" w:ascii="Arial Regular" w:hAnsi="Arial Regular" w:cs="Arial Regular"/>
          <w:sz w:val="24"/>
          <w:szCs w:val="24"/>
        </w:rPr>
        <w:t>Financial management is fundamental to organisational sustainability, effective decision-making, and long-term value creation, particularly within capital-intensive and highly competitive industries such as electronics ma</w:t>
      </w:r>
      <w:r>
        <w:rPr>
          <w:rFonts w:hint="default" w:ascii="Arial" w:hAnsi="Arial" w:cs="Arial"/>
          <w:b w:val="0"/>
          <w:bCs w:val="0"/>
          <w:i w:val="0"/>
          <w:iCs w:val="0"/>
          <w:sz w:val="24"/>
          <w:szCs w:val="24"/>
        </w:rPr>
        <w:t xml:space="preserve">nufacturing. This report presents a comprehensive financial management analysis of </w:t>
      </w:r>
      <w:r>
        <w:rPr>
          <w:rStyle w:val="13"/>
          <w:rFonts w:hint="default" w:ascii="Arial" w:hAnsi="Arial" w:cs="Arial"/>
          <w:b w:val="0"/>
          <w:bCs w:val="0"/>
          <w:i w:val="0"/>
          <w:iCs w:val="0"/>
          <w:sz w:val="24"/>
          <w:szCs w:val="24"/>
        </w:rPr>
        <w:t>General Electronics</w:t>
      </w:r>
      <w:r>
        <w:rPr>
          <w:rFonts w:hint="default" w:ascii="Arial" w:hAnsi="Arial" w:cs="Arial"/>
          <w:b w:val="0"/>
          <w:bCs w:val="0"/>
          <w:i w:val="0"/>
          <w:iCs w:val="0"/>
          <w:sz w:val="24"/>
          <w:szCs w:val="24"/>
        </w:rPr>
        <w:t xml:space="preserve">, examining its financial performance, liquidity position, risk exposure, and investment decision-making over the period </w:t>
      </w:r>
      <w:r>
        <w:rPr>
          <w:rStyle w:val="13"/>
          <w:rFonts w:hint="default" w:ascii="Arial" w:hAnsi="Arial" w:cs="Arial"/>
          <w:b w:val="0"/>
          <w:bCs w:val="0"/>
          <w:i w:val="0"/>
          <w:iCs w:val="0"/>
          <w:sz w:val="24"/>
          <w:szCs w:val="24"/>
        </w:rPr>
        <w:t>2020–2024</w:t>
      </w:r>
      <w:r>
        <w:rPr>
          <w:rFonts w:hint="default" w:ascii="Arial" w:hAnsi="Arial" w:cs="Arial"/>
          <w:b w:val="0"/>
          <w:bCs w:val="0"/>
          <w:i w:val="0"/>
          <w:iCs w:val="0"/>
          <w:sz w:val="24"/>
          <w:szCs w:val="24"/>
        </w:rPr>
        <w:t>. The analysis applies established financial management frameworks and quantitative tools to assess the firm’s ability to operate efficiently in an increasingly uncertain economic environment.</w:t>
      </w:r>
    </w:p>
    <w:p w14:paraId="0F287347">
      <w:pPr>
        <w:pStyle w:val="12"/>
        <w:keepNext w:val="0"/>
        <w:keepLines w:val="0"/>
        <w:widowControl/>
        <w:suppressLineNumbers w:val="0"/>
        <w:spacing w:line="360" w:lineRule="auto"/>
        <w:jc w:val="both"/>
        <w:rPr>
          <w:rFonts w:hint="default" w:ascii="Arial" w:hAnsi="Arial" w:cs="Arial"/>
          <w:b w:val="0"/>
          <w:bCs w:val="0"/>
          <w:i w:val="0"/>
          <w:iCs w:val="0"/>
          <w:sz w:val="24"/>
          <w:szCs w:val="24"/>
        </w:rPr>
      </w:pPr>
      <w:r>
        <w:rPr>
          <w:rFonts w:hint="default" w:ascii="Arial" w:hAnsi="Arial" w:cs="Arial"/>
          <w:b w:val="0"/>
          <w:bCs w:val="0"/>
          <w:i w:val="0"/>
          <w:iCs w:val="0"/>
          <w:sz w:val="24"/>
          <w:szCs w:val="24"/>
        </w:rPr>
        <w:t xml:space="preserve">In recent years, the global electronics industry has faced substantial challenges, including rising input costs, inflationary pressures, supply chain disruptions, and heightened geopolitical and trade-related uncertainties. These external pressures have directly affected corporate profitability, liquidity, and capital structures across the sector. Within this context, General Electronics has experienced declining profitability, rising leverage, and increased working capital pressure, which have constrained its short-term financial flexibility and operational efficiency. Such conditions necessitate a rigorous financial evaluation to identify weaknesses, assess risk exposure, and support informed strategic responses (Ross </w:t>
      </w:r>
      <w:r>
        <w:rPr>
          <w:rStyle w:val="8"/>
          <w:rFonts w:hint="default" w:ascii="Arial" w:hAnsi="Arial" w:cs="Arial"/>
          <w:b w:val="0"/>
          <w:bCs w:val="0"/>
          <w:i w:val="0"/>
          <w:iCs w:val="0"/>
          <w:sz w:val="24"/>
          <w:szCs w:val="24"/>
        </w:rPr>
        <w:t>et al.</w:t>
      </w:r>
      <w:r>
        <w:rPr>
          <w:rFonts w:hint="default" w:ascii="Arial" w:hAnsi="Arial" w:cs="Arial"/>
          <w:b w:val="0"/>
          <w:bCs w:val="0"/>
          <w:i w:val="0"/>
          <w:iCs w:val="0"/>
          <w:sz w:val="24"/>
          <w:szCs w:val="24"/>
        </w:rPr>
        <w:t>, 2025).</w:t>
      </w:r>
    </w:p>
    <w:p w14:paraId="314843BA">
      <w:pPr>
        <w:pStyle w:val="12"/>
        <w:keepNext w:val="0"/>
        <w:keepLines w:val="0"/>
        <w:widowControl/>
        <w:suppressLineNumbers w:val="0"/>
        <w:spacing w:line="360" w:lineRule="auto"/>
        <w:jc w:val="both"/>
        <w:rPr>
          <w:rFonts w:hint="default" w:ascii="Arial Regular" w:hAnsi="Arial Regular" w:cs="Arial Regular"/>
          <w:sz w:val="24"/>
          <w:szCs w:val="24"/>
        </w:rPr>
      </w:pPr>
      <w:r>
        <w:rPr>
          <w:rFonts w:hint="default" w:ascii="Arial" w:hAnsi="Arial" w:cs="Arial"/>
          <w:b w:val="0"/>
          <w:bCs w:val="0"/>
          <w:i w:val="0"/>
          <w:iCs w:val="0"/>
          <w:sz w:val="24"/>
          <w:szCs w:val="24"/>
        </w:rPr>
        <w:t xml:space="preserve">This report evaluates General Electronics’ financial health using ratio analysis, liquidity assessment, cash flow evaluation, and working capital management indicators. In addition, financial distress risk is examined using the </w:t>
      </w:r>
      <w:r>
        <w:rPr>
          <w:rStyle w:val="13"/>
          <w:rFonts w:hint="default" w:ascii="Arial" w:hAnsi="Arial" w:cs="Arial"/>
          <w:b w:val="0"/>
          <w:bCs w:val="0"/>
          <w:i w:val="0"/>
          <w:iCs w:val="0"/>
          <w:sz w:val="24"/>
          <w:szCs w:val="24"/>
        </w:rPr>
        <w:t>Altman Z-Score</w:t>
      </w:r>
      <w:r>
        <w:rPr>
          <w:rFonts w:hint="default" w:ascii="Arial" w:hAnsi="Arial" w:cs="Arial"/>
          <w:b w:val="0"/>
          <w:bCs w:val="0"/>
          <w:i w:val="0"/>
          <w:iCs w:val="0"/>
          <w:sz w:val="24"/>
          <w:szCs w:val="24"/>
        </w:rPr>
        <w:t xml:space="preserve">, </w:t>
      </w:r>
      <w:r>
        <w:rPr>
          <w:rFonts w:hint="default" w:ascii="Arial Regular" w:hAnsi="Arial Regular" w:cs="Arial Regular"/>
          <w:sz w:val="24"/>
          <w:szCs w:val="24"/>
        </w:rPr>
        <w:t>a widely recognised model for assessing default risk and solvency concerns (CFA Institute, 2023). Strategic financial restructuring options, including capital reallocation and investment prioritisation, are also considered to improve financial resilience and restore stability.</w:t>
      </w:r>
    </w:p>
    <w:p w14:paraId="02E00A8B">
      <w:pPr>
        <w:pStyle w:val="12"/>
        <w:keepNext w:val="0"/>
        <w:keepLines w:val="0"/>
        <w:widowControl/>
        <w:suppressLineNumbers w:val="0"/>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sz w:val="24"/>
          <w:szCs w:val="24"/>
        </w:rPr>
        <w:t>Furthermore, the report applies capital budgeting techniques—Net Present Value (NPV), Internal Rate of Return (IRR), Payback Period, and Profitability Index (PI)—to evaluate three competing investment projects under a capital rationing constraint. Overall, the report aims to provide an evidence-based financial assessment and practical recommendations to support optimal capital utilisation, risk management, and sustainable value creation for stakeholders.</w:t>
      </w:r>
    </w:p>
    <w:p w14:paraId="513C7758">
      <w:pPr>
        <w:pStyle w:val="3"/>
        <w:bidi w:val="0"/>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1.</w:t>
      </w:r>
      <w:r>
        <w:rPr>
          <w:rFonts w:hint="default" w:ascii="Arial Regular" w:hAnsi="Arial Regular" w:cs="Arial Regular"/>
          <w:b/>
          <w:bCs w:val="0"/>
          <w:i w:val="0"/>
          <w:iCs/>
          <w:sz w:val="24"/>
          <w:szCs w:val="24"/>
          <w:lang w:val="de-DE"/>
        </w:rPr>
        <w:t>1</w:t>
      </w:r>
      <w:r>
        <w:rPr>
          <w:rFonts w:hint="default" w:ascii="Arial Regular" w:hAnsi="Arial Regular" w:cs="Arial Regular"/>
          <w:b/>
          <w:bCs w:val="0"/>
          <w:i w:val="0"/>
          <w:iCs/>
          <w:sz w:val="24"/>
          <w:szCs w:val="24"/>
        </w:rPr>
        <w:t xml:space="preserve"> Financial Health Check</w:t>
      </w:r>
      <w:bookmarkStart w:id="2" w:name="_Toc213589892"/>
      <w:r>
        <w:rPr>
          <w:rFonts w:hint="default" w:ascii="Arial Regular" w:hAnsi="Arial Regular" w:cs="Arial Regular"/>
          <w:b/>
          <w:bCs w:val="0"/>
          <w:i w:val="0"/>
          <w:iCs/>
          <w:sz w:val="24"/>
          <w:szCs w:val="24"/>
          <w:lang w:val="de-DE"/>
        </w:rPr>
        <w:t xml:space="preserve"> ( Five Year </w:t>
      </w:r>
      <w:r>
        <w:rPr>
          <w:rFonts w:hint="default" w:ascii="Arial Regular" w:hAnsi="Arial Regular" w:cs="Arial Regular"/>
          <w:b/>
          <w:bCs w:val="0"/>
          <w:i w:val="0"/>
          <w:iCs/>
          <w:sz w:val="24"/>
          <w:szCs w:val="24"/>
        </w:rPr>
        <w:t>Overview of Financial Performance</w:t>
      </w:r>
      <w:bookmarkEnd w:id="2"/>
      <w:r>
        <w:rPr>
          <w:rFonts w:hint="default" w:ascii="Arial Regular" w:hAnsi="Arial Regular" w:cs="Arial Regular"/>
          <w:b/>
          <w:bCs w:val="0"/>
          <w:i w:val="0"/>
          <w:iCs/>
          <w:sz w:val="24"/>
          <w:szCs w:val="24"/>
          <w:lang w:val="de-DE"/>
        </w:rPr>
        <w:t>)</w:t>
      </w:r>
      <w:bookmarkEnd w:id="0"/>
      <w:bookmarkEnd w:id="1"/>
      <w:r>
        <w:rPr>
          <w:rFonts w:hint="default" w:ascii="Arial Regular" w:hAnsi="Arial Regular" w:cs="Arial Regular"/>
          <w:b/>
          <w:bCs w:val="0"/>
          <w:i w:val="0"/>
          <w:iCs/>
          <w:sz w:val="24"/>
          <w:szCs w:val="24"/>
          <w:lang w:val="de-DE"/>
        </w:rPr>
        <w:t xml:space="preserve"> </w:t>
      </w:r>
    </w:p>
    <w:p w14:paraId="17BB5C1D">
      <w:pPr>
        <w:pStyle w:val="4"/>
        <w:spacing w:line="360" w:lineRule="auto"/>
        <w:jc w:val="both"/>
        <w:rPr>
          <w:rFonts w:hint="default" w:ascii="Arial Regular" w:hAnsi="Arial Regular" w:cs="Arial Regular"/>
          <w:b/>
          <w:bCs w:val="0"/>
          <w:i w:val="0"/>
          <w:iCs/>
          <w:sz w:val="24"/>
          <w:szCs w:val="24"/>
        </w:rPr>
      </w:pPr>
      <w:bookmarkStart w:id="3" w:name="_Toc220591474"/>
      <w:bookmarkStart w:id="4" w:name="_Toc213589893"/>
      <w:bookmarkStart w:id="5" w:name="_Toc247508186"/>
      <w:bookmarkStart w:id="6" w:name="_Toc1992898122"/>
      <w:bookmarkStart w:id="7" w:name="_Toc794172024"/>
      <w:bookmarkStart w:id="8" w:name="_Toc1682695860"/>
      <w:bookmarkStart w:id="9" w:name="_Toc1662149429"/>
      <w:bookmarkStart w:id="10" w:name="_Toc325610975"/>
      <w:r>
        <w:rPr>
          <w:rFonts w:hint="default" w:ascii="Arial Regular" w:hAnsi="Arial Regular" w:cs="Arial Regular"/>
          <w:b/>
          <w:bCs w:val="0"/>
          <w:i w:val="0"/>
          <w:iCs/>
          <w:sz w:val="24"/>
          <w:szCs w:val="24"/>
        </w:rPr>
        <w:t xml:space="preserve">1.1.1 Income </w:t>
      </w:r>
      <w:r>
        <w:rPr>
          <w:rFonts w:hint="default" w:ascii="Arial Regular" w:hAnsi="Arial Regular" w:cs="Arial Regular"/>
          <w:b/>
          <w:bCs w:val="0"/>
          <w:i w:val="0"/>
          <w:iCs/>
          <w:sz w:val="24"/>
          <w:szCs w:val="24"/>
          <w:lang w:val="de-DE"/>
        </w:rPr>
        <w:t>S</w:t>
      </w:r>
      <w:r>
        <w:rPr>
          <w:rFonts w:hint="default" w:ascii="Arial Regular" w:hAnsi="Arial Regular" w:cs="Arial Regular"/>
          <w:b/>
          <w:bCs w:val="0"/>
          <w:i w:val="0"/>
          <w:iCs/>
          <w:sz w:val="24"/>
          <w:szCs w:val="24"/>
        </w:rPr>
        <w:t xml:space="preserve">tatement </w:t>
      </w:r>
      <w:r>
        <w:rPr>
          <w:rFonts w:hint="default" w:ascii="Arial Regular" w:hAnsi="Arial Regular" w:cs="Arial Regular"/>
          <w:b/>
          <w:bCs w:val="0"/>
          <w:i w:val="0"/>
          <w:iCs/>
          <w:sz w:val="24"/>
          <w:szCs w:val="24"/>
          <w:lang w:val="de-DE"/>
        </w:rPr>
        <w:t>A</w:t>
      </w:r>
      <w:r>
        <w:rPr>
          <w:rFonts w:hint="default" w:ascii="Arial Regular" w:hAnsi="Arial Regular" w:cs="Arial Regular"/>
          <w:b/>
          <w:bCs w:val="0"/>
          <w:i w:val="0"/>
          <w:iCs/>
          <w:sz w:val="24"/>
          <w:szCs w:val="24"/>
        </w:rPr>
        <w:t>nalysis</w:t>
      </w:r>
      <w:bookmarkEnd w:id="3"/>
      <w:bookmarkEnd w:id="4"/>
      <w:bookmarkEnd w:id="5"/>
      <w:bookmarkEnd w:id="6"/>
      <w:bookmarkEnd w:id="7"/>
      <w:bookmarkEnd w:id="8"/>
      <w:bookmarkEnd w:id="9"/>
      <w:bookmarkEnd w:id="10"/>
      <w:r>
        <w:rPr>
          <w:rFonts w:hint="default" w:ascii="Arial Regular" w:hAnsi="Arial Regular" w:cs="Arial Regular"/>
          <w:b/>
          <w:bCs w:val="0"/>
          <w:i w:val="0"/>
          <w:iCs/>
          <w:sz w:val="24"/>
          <w:szCs w:val="24"/>
        </w:rPr>
        <w:t xml:space="preserve"> </w:t>
      </w:r>
    </w:p>
    <w:p w14:paraId="05277994">
      <w:pPr>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eastAsia="SimSun" w:cs="Arial Regular"/>
          <w:b w:val="0"/>
          <w:bCs/>
          <w:i w:val="0"/>
          <w:iCs/>
          <w:kern w:val="0"/>
          <w:sz w:val="24"/>
          <w:szCs w:val="24"/>
          <w:lang w:val="en-US" w:eastAsia="zh-CN" w:bidi="ar"/>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eastAsia="SimSun" w:cs="Arial Regular"/>
          <w:b w:val="0"/>
          <w:bCs/>
          <w:i w:val="0"/>
          <w:iCs/>
          <w:kern w:val="0"/>
          <w:sz w:val="24"/>
          <w:szCs w:val="24"/>
          <w:lang w:val="en-US" w:eastAsia="zh-CN" w:bidi="ar"/>
        </w:rPr>
        <w:t xml:space="preserve">gross profit declined from </w:t>
      </w:r>
      <w:r>
        <w:rPr>
          <w:rStyle w:val="13"/>
          <w:rFonts w:hint="default" w:ascii="Arial Regular" w:hAnsi="Arial Regular" w:eastAsia="SimSun" w:cs="Arial Regular"/>
          <w:b w:val="0"/>
          <w:bCs/>
          <w:i w:val="0"/>
          <w:iCs/>
          <w:kern w:val="0"/>
          <w:sz w:val="24"/>
          <w:szCs w:val="24"/>
          <w:lang w:val="en-US" w:eastAsia="zh-CN" w:bidi="ar"/>
        </w:rPr>
        <w:t>£176,256 million in 2020</w:t>
      </w:r>
      <w:r>
        <w:rPr>
          <w:rFonts w:hint="default" w:ascii="Arial Regular" w:hAnsi="Arial Regular" w:eastAsia="SimSun" w:cs="Arial Regular"/>
          <w:b w:val="0"/>
          <w:bCs/>
          <w:i w:val="0"/>
          <w:iCs/>
          <w:kern w:val="0"/>
          <w:sz w:val="24"/>
          <w:szCs w:val="24"/>
          <w:lang w:val="en-US" w:eastAsia="zh-CN" w:bidi="ar"/>
        </w:rPr>
        <w:t xml:space="preserve"> to </w:t>
      </w:r>
      <w:r>
        <w:rPr>
          <w:rStyle w:val="13"/>
          <w:rFonts w:hint="default" w:ascii="Arial Regular" w:hAnsi="Arial Regular" w:eastAsia="SimSun" w:cs="Arial Regular"/>
          <w:b w:val="0"/>
          <w:bCs/>
          <w:i w:val="0"/>
          <w:iCs/>
          <w:kern w:val="0"/>
          <w:sz w:val="24"/>
          <w:szCs w:val="24"/>
          <w:lang w:val="en-US" w:eastAsia="zh-CN" w:bidi="ar"/>
        </w:rPr>
        <w:t>£113,994 million in 2024</w:t>
      </w:r>
      <w:r>
        <w:rPr>
          <w:rFonts w:hint="default" w:ascii="Arial Regular" w:hAnsi="Arial Regular" w:eastAsia="SimSun" w:cs="Arial Regular"/>
          <w:b w:val="0"/>
          <w:bCs/>
          <w:i w:val="0"/>
          <w:iCs/>
          <w:kern w:val="0"/>
          <w:sz w:val="24"/>
          <w:szCs w:val="24"/>
          <w:lang w:val="en-US" w:eastAsia="zh-CN" w:bidi="ar"/>
        </w:rPr>
        <w:t xml:space="preserve">, representing a </w:t>
      </w:r>
      <w:r>
        <w:rPr>
          <w:rStyle w:val="13"/>
          <w:rFonts w:hint="default" w:ascii="Arial Regular" w:hAnsi="Arial Regular" w:eastAsia="SimSun" w:cs="Arial Regular"/>
          <w:b w:val="0"/>
          <w:bCs/>
          <w:i w:val="0"/>
          <w:iCs/>
          <w:kern w:val="0"/>
          <w:sz w:val="24"/>
          <w:szCs w:val="24"/>
          <w:lang w:val="en-US" w:eastAsia="zh-CN" w:bidi="ar"/>
        </w:rPr>
        <w:t>35.3% decrease</w:t>
      </w:r>
      <w:r>
        <w:rPr>
          <w:rFonts w:hint="default" w:ascii="Arial Regular" w:hAnsi="Arial Regular" w:eastAsia="SimSun" w:cs="Arial Regular"/>
          <w:b w:val="0"/>
          <w:bCs/>
          <w:i w:val="0"/>
          <w:iCs/>
          <w:kern w:val="0"/>
          <w:sz w:val="24"/>
          <w:szCs w:val="24"/>
          <w:lang w:val="en-US" w:eastAsia="zh-CN" w:bidi="ar"/>
        </w:rPr>
        <w:t xml:space="preserve"> over the period. During the same timeframe, operating expenses fell from </w:t>
      </w:r>
      <w:r>
        <w:rPr>
          <w:rStyle w:val="13"/>
          <w:rFonts w:hint="default" w:ascii="Arial Regular" w:hAnsi="Arial Regular" w:eastAsia="SimSun" w:cs="Arial Regular"/>
          <w:b w:val="0"/>
          <w:bCs/>
          <w:i w:val="0"/>
          <w:iCs/>
          <w:kern w:val="0"/>
          <w:sz w:val="24"/>
          <w:szCs w:val="24"/>
          <w:lang w:val="en-US" w:eastAsia="zh-CN" w:bidi="ar"/>
        </w:rPr>
        <w:t>£138,989 million</w:t>
      </w:r>
      <w:r>
        <w:rPr>
          <w:rFonts w:hint="default" w:ascii="Arial Regular" w:hAnsi="Arial Regular" w:eastAsia="SimSun" w:cs="Arial Regular"/>
          <w:b w:val="0"/>
          <w:bCs/>
          <w:i w:val="0"/>
          <w:iCs/>
          <w:kern w:val="0"/>
          <w:sz w:val="24"/>
          <w:szCs w:val="24"/>
          <w:lang w:val="en-US" w:eastAsia="zh-CN" w:bidi="ar"/>
        </w:rPr>
        <w:t xml:space="preserve"> in 2020 to </w:t>
      </w:r>
      <w:r>
        <w:rPr>
          <w:rStyle w:val="13"/>
          <w:rFonts w:hint="default" w:ascii="Arial Regular" w:hAnsi="Arial Regular" w:eastAsia="SimSun" w:cs="Arial Regular"/>
          <w:b w:val="0"/>
          <w:bCs/>
          <w:i w:val="0"/>
          <w:iCs/>
          <w:kern w:val="0"/>
          <w:sz w:val="24"/>
          <w:szCs w:val="24"/>
          <w:lang w:val="en-US" w:eastAsia="zh-CN" w:bidi="ar"/>
        </w:rPr>
        <w:t>£129,291 million</w:t>
      </w:r>
      <w:r>
        <w:rPr>
          <w:rFonts w:hint="default" w:ascii="Arial Regular" w:hAnsi="Arial Regular" w:eastAsia="SimSun" w:cs="Arial Regular"/>
          <w:b w:val="0"/>
          <w:bCs/>
          <w:i w:val="0"/>
          <w:iCs/>
          <w:kern w:val="0"/>
          <w:sz w:val="24"/>
          <w:szCs w:val="24"/>
          <w:lang w:val="en-US" w:eastAsia="zh-CN" w:bidi="ar"/>
        </w:rPr>
        <w:t xml:space="preserve"> in 2024, a reduction of approximately </w:t>
      </w:r>
      <w:r>
        <w:rPr>
          <w:rStyle w:val="13"/>
          <w:rFonts w:hint="default" w:ascii="Arial Regular" w:hAnsi="Arial Regular" w:eastAsia="SimSun" w:cs="Arial Regular"/>
          <w:b w:val="0"/>
          <w:bCs/>
          <w:i w:val="0"/>
          <w:iCs/>
          <w:kern w:val="0"/>
          <w:sz w:val="24"/>
          <w:szCs w:val="24"/>
          <w:lang w:val="en-US" w:eastAsia="zh-CN" w:bidi="ar"/>
        </w:rPr>
        <w:t>6.9%</w:t>
      </w:r>
      <w:r>
        <w:rPr>
          <w:rFonts w:hint="default" w:ascii="Arial Regular" w:hAnsi="Arial Regular" w:eastAsia="SimSun" w:cs="Arial Regular"/>
          <w:b w:val="0"/>
          <w:bCs/>
          <w:i w:val="0"/>
          <w:iCs/>
          <w:kern w:val="0"/>
          <w:sz w:val="24"/>
          <w:szCs w:val="24"/>
          <w:lang w:val="en-US" w:eastAsia="zh-CN" w:bidi="ar"/>
        </w:rPr>
        <w:t xml:space="preserve">, as shown in the consolidated income statement [Refer to Appendix 1]. Despite this decline, operating performance weakened, with operating income shifting from a </w:t>
      </w:r>
      <w:r>
        <w:rPr>
          <w:rStyle w:val="13"/>
          <w:rFonts w:hint="default" w:ascii="Arial Regular" w:hAnsi="Arial Regular" w:eastAsia="SimSun" w:cs="Arial Regular"/>
          <w:b w:val="0"/>
          <w:bCs/>
          <w:i w:val="0"/>
          <w:iCs/>
          <w:kern w:val="0"/>
          <w:sz w:val="24"/>
          <w:szCs w:val="24"/>
          <w:lang w:val="en-US" w:eastAsia="zh-CN" w:bidi="ar"/>
        </w:rPr>
        <w:t>profit of £37,267 million in 2020</w:t>
      </w:r>
      <w:r>
        <w:rPr>
          <w:rFonts w:hint="default" w:ascii="Arial Regular" w:hAnsi="Arial Regular" w:eastAsia="SimSun" w:cs="Arial Regular"/>
          <w:b w:val="0"/>
          <w:bCs/>
          <w:i w:val="0"/>
          <w:iCs/>
          <w:kern w:val="0"/>
          <w:sz w:val="24"/>
          <w:szCs w:val="24"/>
          <w:lang w:val="en-US" w:eastAsia="zh-CN" w:bidi="ar"/>
        </w:rPr>
        <w:t xml:space="preserve"> to an </w:t>
      </w:r>
      <w:r>
        <w:rPr>
          <w:rStyle w:val="13"/>
          <w:rFonts w:hint="default" w:ascii="Arial Regular" w:hAnsi="Arial Regular" w:eastAsia="SimSun" w:cs="Arial Regular"/>
          <w:b w:val="0"/>
          <w:bCs/>
          <w:i w:val="0"/>
          <w:iCs/>
          <w:kern w:val="0"/>
          <w:sz w:val="24"/>
          <w:szCs w:val="24"/>
          <w:lang w:val="en-US" w:eastAsia="zh-CN" w:bidi="ar"/>
        </w:rPr>
        <w:t>operating loss of £15,297 million in 2024</w:t>
      </w:r>
      <w:r>
        <w:rPr>
          <w:rFonts w:hint="default" w:ascii="Arial Regular" w:hAnsi="Arial Regular" w:eastAsia="SimSun" w:cs="Arial Regular"/>
          <w:b w:val="0"/>
          <w:bCs/>
          <w:i w:val="0"/>
          <w:iCs/>
          <w:kern w:val="0"/>
          <w:sz w:val="24"/>
          <w:szCs w:val="24"/>
          <w:lang w:val="en-US" w:eastAsia="zh-CN" w:bidi="ar"/>
        </w:rPr>
        <w:t>, indicating a deterioration in overall operating results.</w:t>
      </w:r>
    </w:p>
    <w:p w14:paraId="4FAC6873">
      <w:pPr>
        <w:pStyle w:val="4"/>
        <w:spacing w:line="360" w:lineRule="auto"/>
        <w:jc w:val="both"/>
        <w:rPr>
          <w:rFonts w:hint="default" w:ascii="Arial Regular" w:hAnsi="Arial Regular" w:cs="Arial Regular"/>
          <w:b/>
          <w:bCs w:val="0"/>
          <w:i w:val="0"/>
          <w:iCs/>
          <w:sz w:val="24"/>
          <w:szCs w:val="24"/>
        </w:rPr>
      </w:pPr>
      <w:bookmarkStart w:id="11" w:name="_Toc924128796"/>
      <w:bookmarkStart w:id="12" w:name="_Toc857171677"/>
      <w:bookmarkStart w:id="13" w:name="_Toc213589894"/>
      <w:bookmarkStart w:id="14" w:name="_Toc1278173027"/>
      <w:bookmarkStart w:id="15" w:name="_Toc194257863"/>
      <w:bookmarkStart w:id="16" w:name="_Toc959151666"/>
      <w:bookmarkStart w:id="17" w:name="_Toc2067060108"/>
      <w:bookmarkStart w:id="18" w:name="_Toc949491719"/>
      <w:r>
        <w:rPr>
          <w:rFonts w:hint="default" w:ascii="Arial Regular" w:hAnsi="Arial Regular" w:cs="Arial Regular"/>
          <w:b/>
          <w:bCs w:val="0"/>
          <w:i w:val="0"/>
          <w:iCs/>
          <w:sz w:val="24"/>
          <w:szCs w:val="24"/>
        </w:rPr>
        <w:t xml:space="preserve">1.1.2 Balance </w:t>
      </w:r>
      <w:r>
        <w:rPr>
          <w:rFonts w:hint="default" w:ascii="Arial Regular" w:hAnsi="Arial Regular" w:cs="Arial Regular"/>
          <w:b/>
          <w:bCs w:val="0"/>
          <w:i w:val="0"/>
          <w:iCs/>
          <w:sz w:val="24"/>
          <w:szCs w:val="24"/>
          <w:lang w:val="de-DE"/>
        </w:rPr>
        <w:t>S</w:t>
      </w:r>
      <w:r>
        <w:rPr>
          <w:rFonts w:hint="default" w:ascii="Arial Regular" w:hAnsi="Arial Regular" w:cs="Arial Regular"/>
          <w:b/>
          <w:bCs w:val="0"/>
          <w:i w:val="0"/>
          <w:iCs/>
          <w:sz w:val="24"/>
          <w:szCs w:val="24"/>
        </w:rPr>
        <w:t xml:space="preserve">heet </w:t>
      </w:r>
      <w:r>
        <w:rPr>
          <w:rFonts w:hint="default" w:ascii="Arial Regular" w:hAnsi="Arial Regular" w:cs="Arial Regular"/>
          <w:b/>
          <w:bCs w:val="0"/>
          <w:i w:val="0"/>
          <w:iCs/>
          <w:sz w:val="24"/>
          <w:szCs w:val="24"/>
          <w:lang w:val="de-DE"/>
        </w:rPr>
        <w:t>A</w:t>
      </w:r>
      <w:r>
        <w:rPr>
          <w:rFonts w:hint="default" w:ascii="Arial Regular" w:hAnsi="Arial Regular" w:cs="Arial Regular"/>
          <w:b/>
          <w:bCs w:val="0"/>
          <w:i w:val="0"/>
          <w:iCs/>
          <w:sz w:val="24"/>
          <w:szCs w:val="24"/>
        </w:rPr>
        <w:t>nalysis</w:t>
      </w:r>
      <w:bookmarkEnd w:id="11"/>
      <w:bookmarkEnd w:id="12"/>
      <w:bookmarkEnd w:id="13"/>
      <w:bookmarkEnd w:id="14"/>
      <w:bookmarkEnd w:id="15"/>
      <w:bookmarkEnd w:id="16"/>
      <w:bookmarkEnd w:id="17"/>
      <w:bookmarkEnd w:id="18"/>
      <w:r>
        <w:rPr>
          <w:rFonts w:hint="default" w:ascii="Arial Regular" w:hAnsi="Arial Regular" w:cs="Arial Regular"/>
          <w:b/>
          <w:bCs w:val="0"/>
          <w:i w:val="0"/>
          <w:iCs/>
          <w:sz w:val="24"/>
          <w:szCs w:val="24"/>
        </w:rPr>
        <w:t xml:space="preserve"> </w:t>
      </w:r>
    </w:p>
    <w:p w14:paraId="31465200">
      <w:pPr>
        <w:spacing w:line="360" w:lineRule="auto"/>
        <w:jc w:val="both"/>
        <w:rPr>
          <w:rFonts w:hint="default" w:ascii="Arial Regular" w:hAnsi="Arial Regular" w:cs="Arial Regular"/>
          <w:b w:val="0"/>
          <w:bCs/>
          <w:i w:val="0"/>
          <w:iCs/>
          <w:sz w:val="24"/>
          <w:szCs w:val="24"/>
        </w:rPr>
      </w:pPr>
      <w:r>
        <w:rPr>
          <w:rFonts w:hint="default" w:ascii="Arial Regular" w:hAnsi="Arial Regular" w:eastAsia="SimSun" w:cs="Arial Regular"/>
          <w:b w:val="0"/>
          <w:bCs/>
          <w:i w:val="0"/>
          <w:iCs/>
          <w:kern w:val="0"/>
          <w:sz w:val="24"/>
          <w:szCs w:val="24"/>
          <w:lang w:val="en-US" w:eastAsia="zh-CN" w:bidi="ar"/>
        </w:rPr>
        <w:t xml:space="preserve">The total assets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eastAsia="SimSun" w:cs="Arial Regular"/>
          <w:b w:val="0"/>
          <w:bCs/>
          <w:i w:val="0"/>
          <w:iCs/>
          <w:kern w:val="0"/>
          <w:sz w:val="24"/>
          <w:szCs w:val="24"/>
          <w:lang w:val="en-US" w:eastAsia="zh-CN" w:bidi="ar"/>
        </w:rPr>
        <w:t xml:space="preserve">amounted to approximately </w:t>
      </w:r>
      <w:r>
        <w:rPr>
          <w:rStyle w:val="13"/>
          <w:rFonts w:hint="default" w:ascii="Arial Regular" w:hAnsi="Arial Regular" w:eastAsia="SimSun" w:cs="Arial Regular"/>
          <w:b w:val="0"/>
          <w:bCs/>
          <w:i w:val="0"/>
          <w:iCs/>
          <w:kern w:val="0"/>
          <w:sz w:val="24"/>
          <w:szCs w:val="24"/>
          <w:lang w:val="en-US" w:eastAsia="zh-CN" w:bidi="ar"/>
        </w:rPr>
        <w:t>£510,290 million in 2020</w:t>
      </w:r>
      <w:r>
        <w:rPr>
          <w:rFonts w:hint="default" w:ascii="Arial Regular" w:hAnsi="Arial Regular" w:eastAsia="SimSun" w:cs="Arial Regular"/>
          <w:b w:val="0"/>
          <w:bCs/>
          <w:i w:val="0"/>
          <w:iCs/>
          <w:kern w:val="0"/>
          <w:sz w:val="24"/>
          <w:szCs w:val="24"/>
          <w:lang w:val="en-US" w:eastAsia="zh-CN" w:bidi="ar"/>
        </w:rPr>
        <w:t xml:space="preserve"> and increased to </w:t>
      </w:r>
      <w:r>
        <w:rPr>
          <w:rStyle w:val="13"/>
          <w:rFonts w:hint="default" w:ascii="Arial Regular" w:hAnsi="Arial Regular" w:eastAsia="SimSun" w:cs="Arial Regular"/>
          <w:b w:val="0"/>
          <w:bCs/>
          <w:i w:val="0"/>
          <w:iCs/>
          <w:kern w:val="0"/>
          <w:sz w:val="24"/>
          <w:szCs w:val="24"/>
          <w:lang w:val="en-US" w:eastAsia="zh-CN" w:bidi="ar"/>
        </w:rPr>
        <w:t>£355,872 million by 2023</w:t>
      </w:r>
      <w:r>
        <w:rPr>
          <w:rFonts w:hint="default" w:ascii="Arial Regular" w:hAnsi="Arial Regular" w:eastAsia="SimSun" w:cs="Arial Regular"/>
          <w:b w:val="0"/>
          <w:bCs/>
          <w:i w:val="0"/>
          <w:iCs/>
          <w:kern w:val="0"/>
          <w:sz w:val="24"/>
          <w:szCs w:val="24"/>
          <w:lang w:val="en-US" w:eastAsia="zh-CN" w:bidi="ar"/>
        </w:rPr>
        <w:t xml:space="preserve">, representing a </w:t>
      </w:r>
      <w:r>
        <w:rPr>
          <w:rStyle w:val="13"/>
          <w:rFonts w:hint="default" w:ascii="Arial Regular" w:hAnsi="Arial Regular" w:eastAsia="SimSun" w:cs="Arial Regular"/>
          <w:b w:val="0"/>
          <w:bCs/>
          <w:i w:val="0"/>
          <w:iCs/>
          <w:kern w:val="0"/>
          <w:sz w:val="24"/>
          <w:szCs w:val="24"/>
          <w:lang w:val="en-US" w:eastAsia="zh-CN" w:bidi="ar"/>
        </w:rPr>
        <w:t>43.4% rise</w:t>
      </w:r>
      <w:r>
        <w:rPr>
          <w:rFonts w:hint="default" w:ascii="Arial Regular" w:hAnsi="Arial Regular" w:eastAsia="SimSun" w:cs="Arial Regular"/>
          <w:b w:val="0"/>
          <w:bCs/>
          <w:i w:val="0"/>
          <w:iCs/>
          <w:kern w:val="0"/>
          <w:sz w:val="24"/>
          <w:szCs w:val="24"/>
          <w:lang w:val="en-US" w:eastAsia="zh-CN" w:bidi="ar"/>
        </w:rPr>
        <w:t xml:space="preserve">, before declining by </w:t>
      </w:r>
      <w:r>
        <w:rPr>
          <w:rStyle w:val="13"/>
          <w:rFonts w:hint="default" w:ascii="Arial Regular" w:hAnsi="Arial Regular" w:eastAsia="SimSun" w:cs="Arial Regular"/>
          <w:b w:val="0"/>
          <w:bCs/>
          <w:i w:val="0"/>
          <w:iCs/>
          <w:kern w:val="0"/>
          <w:sz w:val="24"/>
          <w:szCs w:val="24"/>
          <w:lang w:val="en-US" w:eastAsia="zh-CN" w:bidi="ar"/>
        </w:rPr>
        <w:t>9.14% in 2024</w:t>
      </w:r>
      <w:r>
        <w:rPr>
          <w:rStyle w:val="13"/>
          <w:rFonts w:hint="default" w:ascii="Arial Regular" w:hAnsi="Arial Regular" w:eastAsia="SimSun" w:cs="Arial Regular"/>
          <w:b w:val="0"/>
          <w:bCs/>
          <w:i w:val="0"/>
          <w:iCs/>
          <w:kern w:val="0"/>
          <w:sz w:val="24"/>
          <w:szCs w:val="24"/>
          <w:lang w:val="de-DE" w:eastAsia="zh-CN" w:bidi="ar"/>
        </w:rPr>
        <w:t xml:space="preserve"> </w:t>
      </w:r>
      <w:r>
        <w:rPr>
          <w:rFonts w:hint="default" w:ascii="Arial Regular" w:hAnsi="Arial Regular" w:cs="Arial Regular"/>
          <w:b w:val="0"/>
          <w:bCs/>
          <w:i w:val="0"/>
          <w:iCs/>
          <w:sz w:val="24"/>
          <w:szCs w:val="24"/>
          <w:lang w:val="de-DE"/>
        </w:rPr>
        <w:t>(Source: Assessment Brief)</w:t>
      </w:r>
      <w:r>
        <w:rPr>
          <w:rFonts w:hint="default" w:ascii="Arial Regular" w:hAnsi="Arial Regular" w:eastAsia="SimSun" w:cs="Arial Regular"/>
          <w:b w:val="0"/>
          <w:bCs/>
          <w:i w:val="0"/>
          <w:iCs/>
          <w:kern w:val="0"/>
          <w:sz w:val="24"/>
          <w:szCs w:val="24"/>
          <w:lang w:val="en-US" w:eastAsia="zh-CN" w:bidi="ar"/>
        </w:rPr>
        <w:t xml:space="preserve">. This contraction in asset value coincided with broader global economic slowdowns and weakening consumer demand during the period, as reflected in international macroeconomic assessments (World Bank, 2023; IMF, 2024). Total current liabilities were approximately </w:t>
      </w:r>
      <w:r>
        <w:rPr>
          <w:rStyle w:val="13"/>
          <w:rFonts w:hint="default" w:ascii="Arial Regular" w:hAnsi="Arial Regular" w:eastAsia="SimSun" w:cs="Arial Regular"/>
          <w:b w:val="0"/>
          <w:bCs/>
          <w:i w:val="0"/>
          <w:iCs/>
          <w:kern w:val="0"/>
          <w:sz w:val="24"/>
          <w:szCs w:val="24"/>
          <w:lang w:val="en-US" w:eastAsia="zh-CN" w:bidi="ar"/>
        </w:rPr>
        <w:t>£179,510 million in 2020</w:t>
      </w:r>
      <w:r>
        <w:rPr>
          <w:rFonts w:hint="default" w:ascii="Arial Regular" w:hAnsi="Arial Regular" w:eastAsia="SimSun" w:cs="Arial Regular"/>
          <w:b w:val="0"/>
          <w:bCs/>
          <w:i w:val="0"/>
          <w:iCs/>
          <w:kern w:val="0"/>
          <w:sz w:val="24"/>
          <w:szCs w:val="24"/>
          <w:lang w:val="en-US" w:eastAsia="zh-CN" w:bidi="ar"/>
        </w:rPr>
        <w:t xml:space="preserve">, rose by </w:t>
      </w:r>
      <w:r>
        <w:rPr>
          <w:rStyle w:val="13"/>
          <w:rFonts w:hint="default" w:ascii="Arial Regular" w:hAnsi="Arial Regular" w:eastAsia="SimSun" w:cs="Arial Regular"/>
          <w:b w:val="0"/>
          <w:bCs/>
          <w:i w:val="0"/>
          <w:iCs/>
          <w:kern w:val="0"/>
          <w:sz w:val="24"/>
          <w:szCs w:val="24"/>
          <w:lang w:val="en-US" w:eastAsia="zh-CN" w:bidi="ar"/>
        </w:rPr>
        <w:t>17.6% in 2021</w:t>
      </w:r>
      <w:r>
        <w:rPr>
          <w:rFonts w:hint="default" w:ascii="Arial Regular" w:hAnsi="Arial Regular" w:eastAsia="SimSun" w:cs="Arial Regular"/>
          <w:b w:val="0"/>
          <w:bCs/>
          <w:i w:val="0"/>
          <w:iCs/>
          <w:kern w:val="0"/>
          <w:sz w:val="24"/>
          <w:szCs w:val="24"/>
          <w:lang w:val="en-US" w:eastAsia="zh-CN" w:bidi="ar"/>
        </w:rPr>
        <w:t xml:space="preserve">, and subsequently declined by </w:t>
      </w:r>
      <w:r>
        <w:rPr>
          <w:rStyle w:val="13"/>
          <w:rFonts w:hint="default" w:ascii="Arial Regular" w:hAnsi="Arial Regular" w:eastAsia="SimSun" w:cs="Arial Regular"/>
          <w:b w:val="0"/>
          <w:bCs/>
          <w:i w:val="0"/>
          <w:iCs/>
          <w:kern w:val="0"/>
          <w:sz w:val="24"/>
          <w:szCs w:val="24"/>
          <w:lang w:val="en-US" w:eastAsia="zh-CN" w:bidi="ar"/>
        </w:rPr>
        <w:t>74.34% in 2023</w:t>
      </w:r>
      <w:r>
        <w:rPr>
          <w:rFonts w:hint="default" w:ascii="Arial Regular" w:hAnsi="Arial Regular" w:eastAsia="SimSun" w:cs="Arial Regular"/>
          <w:b w:val="0"/>
          <w:bCs/>
          <w:i w:val="0"/>
          <w:iCs/>
          <w:kern w:val="0"/>
          <w:sz w:val="24"/>
          <w:szCs w:val="24"/>
          <w:lang w:val="en-US" w:eastAsia="zh-CN" w:bidi="ar"/>
        </w:rPr>
        <w:t xml:space="preserve">, followed by a </w:t>
      </w:r>
      <w:r>
        <w:rPr>
          <w:rStyle w:val="13"/>
          <w:rFonts w:hint="default" w:ascii="Arial Regular" w:hAnsi="Arial Regular" w:eastAsia="SimSun" w:cs="Arial Regular"/>
          <w:b w:val="0"/>
          <w:bCs/>
          <w:i w:val="0"/>
          <w:iCs/>
          <w:kern w:val="0"/>
          <w:sz w:val="24"/>
          <w:szCs w:val="24"/>
          <w:lang w:val="en-US" w:eastAsia="zh-CN" w:bidi="ar"/>
        </w:rPr>
        <w:t>1.77% change in 2024</w:t>
      </w:r>
      <w:r>
        <w:rPr>
          <w:rFonts w:hint="default" w:ascii="Arial Regular" w:hAnsi="Arial Regular" w:eastAsia="SimSun" w:cs="Arial Regular"/>
          <w:b w:val="0"/>
          <w:bCs/>
          <w:i w:val="0"/>
          <w:iCs/>
          <w:kern w:val="0"/>
          <w:sz w:val="24"/>
          <w:szCs w:val="24"/>
          <w:lang w:val="en-US" w:eastAsia="zh-CN" w:bidi="ar"/>
        </w:rPr>
        <w:t xml:space="preserve"> [Refer to Appendix 1]. The reduction in current liabilities indicates an improvement in short-term liquidity and the firm’s capacity to meet immediate financial obligations.</w:t>
      </w:r>
    </w:p>
    <w:p w14:paraId="0D69198D">
      <w:pPr>
        <w:spacing w:line="360" w:lineRule="auto"/>
        <w:jc w:val="both"/>
        <w:rPr>
          <w:rFonts w:hint="default" w:ascii="Arial Regular" w:hAnsi="Arial Regular" w:cs="Arial Regular"/>
          <w:b w:val="0"/>
          <w:bCs/>
          <w:i w:val="0"/>
          <w:iCs/>
          <w:sz w:val="24"/>
          <w:szCs w:val="24"/>
          <w:lang w:val="de-DE"/>
        </w:rPr>
      </w:pPr>
    </w:p>
    <w:p w14:paraId="7653DD3D">
      <w:pPr>
        <w:jc w:val="both"/>
        <w:rPr>
          <w:rFonts w:hint="default" w:ascii="Arial Regular" w:hAnsi="Arial Regular" w:cs="Arial Regular"/>
          <w:b/>
          <w:bCs w:val="0"/>
          <w:i w:val="0"/>
          <w:iCs/>
          <w:sz w:val="24"/>
          <w:szCs w:val="24"/>
        </w:rPr>
      </w:pPr>
      <w:bookmarkStart w:id="19" w:name="_Toc1230939268"/>
      <w:bookmarkStart w:id="20" w:name="_Toc213589895"/>
      <w:bookmarkStart w:id="21" w:name="_Toc217932854"/>
      <w:bookmarkStart w:id="22" w:name="_Toc1164071263"/>
      <w:bookmarkStart w:id="23" w:name="_Toc156340376"/>
      <w:bookmarkStart w:id="24" w:name="_Toc716760001"/>
      <w:bookmarkStart w:id="25" w:name="_Toc1236277637"/>
      <w:bookmarkStart w:id="26" w:name="_Toc1449796080"/>
      <w:bookmarkStart w:id="27" w:name="_Toc1695587262"/>
      <w:bookmarkStart w:id="28" w:name="_Toc975143848"/>
      <w:r>
        <w:rPr>
          <w:rFonts w:hint="default" w:ascii="Arial Regular" w:hAnsi="Arial Regular" w:cs="Arial Regular"/>
          <w:b/>
          <w:bCs w:val="0"/>
          <w:i w:val="0"/>
          <w:iCs/>
          <w:sz w:val="24"/>
          <w:szCs w:val="24"/>
        </w:rPr>
        <w:br w:type="page"/>
      </w:r>
    </w:p>
    <w:p w14:paraId="2ED2C400">
      <w:pPr>
        <w:pStyle w:val="3"/>
        <w:spacing w:line="360" w:lineRule="auto"/>
        <w:jc w:val="both"/>
        <w:rPr>
          <w:rFonts w:hint="default" w:ascii="Arial Regular" w:hAnsi="Arial Regular" w:cs="Arial Regular"/>
          <w:b/>
          <w:bCs w:val="0"/>
          <w:i w:val="0"/>
          <w:iCs/>
          <w:sz w:val="24"/>
          <w:szCs w:val="24"/>
        </w:rPr>
      </w:pPr>
      <w:r>
        <w:rPr>
          <w:rFonts w:hint="default" w:ascii="Arial Regular" w:hAnsi="Arial Regular" w:cs="Arial Regular"/>
          <w:b/>
          <w:bCs w:val="0"/>
          <w:i w:val="0"/>
          <w:iCs/>
          <w:sz w:val="24"/>
          <w:szCs w:val="24"/>
        </w:rPr>
        <w:t>1.2 Profitability Analysis</w:t>
      </w:r>
      <w:bookmarkEnd w:id="19"/>
      <w:bookmarkEnd w:id="20"/>
      <w:bookmarkEnd w:id="21"/>
      <w:bookmarkEnd w:id="22"/>
      <w:bookmarkEnd w:id="23"/>
      <w:bookmarkEnd w:id="24"/>
      <w:bookmarkEnd w:id="25"/>
      <w:bookmarkEnd w:id="26"/>
      <w:bookmarkEnd w:id="27"/>
      <w:bookmarkEnd w:id="28"/>
    </w:p>
    <w:p w14:paraId="1F6962D3">
      <w:pPr>
        <w:spacing w:line="360" w:lineRule="auto"/>
        <w:jc w:val="both"/>
        <w:rPr>
          <w:rFonts w:hint="default" w:ascii="Arial Regular" w:hAnsi="Arial Regular" w:cs="Arial Regular"/>
          <w:sz w:val="24"/>
          <w:szCs w:val="24"/>
        </w:rPr>
      </w:pPr>
    </w:p>
    <w:p w14:paraId="4C3D4AC0">
      <w:pPr>
        <w:pStyle w:val="3"/>
        <w:spacing w:line="360" w:lineRule="auto"/>
        <w:jc w:val="both"/>
        <w:rPr>
          <w:rFonts w:hint="default" w:ascii="Arial Regular" w:hAnsi="Arial Regular" w:cs="Arial Regular"/>
          <w:b/>
          <w:bCs w:val="0"/>
          <w:i w:val="0"/>
          <w:iCs/>
          <w:sz w:val="24"/>
          <w:szCs w:val="24"/>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 xml:space="preserve">: </w:t>
      </w:r>
      <w:r>
        <w:rPr>
          <w:rFonts w:hint="default" w:ascii="Arial Regular" w:hAnsi="Arial Regular" w:cs="Arial Regular"/>
          <w:b/>
          <w:bCs w:val="0"/>
          <w:i w:val="0"/>
          <w:iCs/>
          <w:sz w:val="24"/>
          <w:szCs w:val="24"/>
        </w:rPr>
        <w:t xml:space="preserve"> </w:t>
      </w:r>
    </w:p>
    <w:p w14:paraId="3B739834">
      <w:pPr>
        <w:spacing w:line="360" w:lineRule="auto"/>
        <w:jc w:val="both"/>
        <w:rPr>
          <w:rFonts w:hint="default" w:ascii="Arial Regular" w:hAnsi="Arial Regular" w:cs="Arial Regular"/>
          <w:b w:val="0"/>
          <w:bCs/>
          <w:i w:val="0"/>
          <w:iCs/>
          <w:sz w:val="24"/>
          <w:szCs w:val="24"/>
          <w:lang w:val="de-DE"/>
        </w:rPr>
      </w:pPr>
      <w:r>
        <w:rPr>
          <w:rFonts w:hint="default" w:ascii="Arial Regular" w:hAnsi="Arial Regular" w:eastAsia="SimSun" w:cs="Arial Regular"/>
          <w:b w:val="0"/>
          <w:bCs/>
          <w:i w:val="0"/>
          <w:iCs/>
          <w:kern w:val="0"/>
          <w:sz w:val="24"/>
          <w:szCs w:val="24"/>
          <w:lang w:val="en-US" w:eastAsia="zh-CN" w:bidi="ar"/>
        </w:rPr>
        <w:t xml:space="preserve">In 2024 the net margin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eastAsia="SimSun" w:cs="Arial Regular"/>
          <w:b w:val="0"/>
          <w:bCs/>
          <w:i w:val="0"/>
          <w:iCs/>
          <w:kern w:val="0"/>
          <w:sz w:val="24"/>
          <w:szCs w:val="24"/>
          <w:lang w:val="en-US" w:eastAsia="zh-CN" w:bidi="ar"/>
        </w:rPr>
        <w:t xml:space="preserve">declined by about </w:t>
      </w:r>
      <w:r>
        <w:rPr>
          <w:rStyle w:val="13"/>
          <w:rFonts w:hint="default" w:ascii="Arial Regular" w:hAnsi="Arial Regular" w:eastAsia="SimSun" w:cs="Arial Regular"/>
          <w:b w:val="0"/>
          <w:bCs/>
          <w:i w:val="0"/>
          <w:iCs/>
          <w:kern w:val="0"/>
          <w:sz w:val="24"/>
          <w:szCs w:val="24"/>
          <w:lang w:val="en-US" w:eastAsia="zh-CN" w:bidi="ar"/>
        </w:rPr>
        <w:t>12.37% compared with 2020</w:t>
      </w:r>
      <w:r>
        <w:rPr>
          <w:rFonts w:hint="default" w:ascii="Arial Regular" w:hAnsi="Arial Regular" w:eastAsia="SimSun" w:cs="Arial Regular"/>
          <w:b w:val="0"/>
          <w:bCs/>
          <w:i w:val="0"/>
          <w:iCs/>
          <w:kern w:val="0"/>
          <w:sz w:val="24"/>
          <w:szCs w:val="24"/>
          <w:lang w:val="en-US" w:eastAsia="zh-CN" w:bidi="ar"/>
        </w:rPr>
        <w:t xml:space="preserve">, driven largely by rising operating costs and intensified competition in electronics manufacturing (Appendix 1). Return on equity (ROE) is projected to fall by around </w:t>
      </w:r>
      <w:r>
        <w:rPr>
          <w:rStyle w:val="13"/>
          <w:rFonts w:hint="default" w:ascii="Arial Regular" w:hAnsi="Arial Regular" w:eastAsia="SimSun" w:cs="Arial Regular"/>
          <w:b w:val="0"/>
          <w:bCs/>
          <w:i w:val="0"/>
          <w:iCs/>
          <w:kern w:val="0"/>
          <w:sz w:val="24"/>
          <w:szCs w:val="24"/>
          <w:lang w:val="en-US" w:eastAsia="zh-CN" w:bidi="ar"/>
        </w:rPr>
        <w:t>28% in 2024</w:t>
      </w:r>
      <w:r>
        <w:rPr>
          <w:rFonts w:hint="default" w:ascii="Arial Regular" w:hAnsi="Arial Regular" w:eastAsia="SimSun" w:cs="Arial Regular"/>
          <w:b w:val="0"/>
          <w:bCs/>
          <w:i w:val="0"/>
          <w:iCs/>
          <w:kern w:val="0"/>
          <w:sz w:val="24"/>
          <w:szCs w:val="24"/>
          <w:lang w:val="en-US" w:eastAsia="zh-CN" w:bidi="ar"/>
        </w:rPr>
        <w:t xml:space="preserve">, reflecting </w:t>
      </w:r>
      <w:r>
        <w:rPr>
          <w:rStyle w:val="8"/>
          <w:rFonts w:hint="default" w:ascii="Arial Regular" w:hAnsi="Arial Regular" w:eastAsia="SimSun" w:cs="Arial Regular"/>
          <w:b w:val="0"/>
          <w:bCs/>
          <w:i w:val="0"/>
          <w:iCs/>
          <w:kern w:val="0"/>
          <w:sz w:val="24"/>
          <w:szCs w:val="24"/>
          <w:lang w:val="en-US" w:eastAsia="zh-CN" w:bidi="ar"/>
        </w:rPr>
        <w:t>supply</w:t>
      </w:r>
      <w:r>
        <w:rPr>
          <w:rStyle w:val="8"/>
          <w:rFonts w:hint="default" w:ascii="Arial Regular" w:hAnsi="Arial Regular" w:eastAsia="SimSun" w:cs="Arial Regular"/>
          <w:b w:val="0"/>
          <w:bCs/>
          <w:i w:val="0"/>
          <w:iCs/>
          <w:kern w:val="0"/>
          <w:sz w:val="24"/>
          <w:szCs w:val="24"/>
          <w:lang w:val="en-US" w:eastAsia="zh-CN" w:bidi="ar"/>
        </w:rPr>
        <w:noBreakHyphen/>
      </w:r>
      <w:r>
        <w:rPr>
          <w:rStyle w:val="8"/>
          <w:rFonts w:hint="default" w:ascii="Arial Regular" w:hAnsi="Arial Regular" w:eastAsia="SimSun" w:cs="Arial Regular"/>
          <w:b w:val="0"/>
          <w:bCs/>
          <w:i w:val="0"/>
          <w:iCs/>
          <w:kern w:val="0"/>
          <w:sz w:val="24"/>
          <w:szCs w:val="24"/>
          <w:lang w:val="en-US" w:eastAsia="zh-CN" w:bidi="ar"/>
        </w:rPr>
        <w:t>chain volatility and a substantial increase in equity bases</w:t>
      </w:r>
      <w:r>
        <w:rPr>
          <w:rFonts w:hint="default" w:ascii="Arial Regular" w:hAnsi="Arial Regular" w:eastAsia="SimSun" w:cs="Arial Regular"/>
          <w:b w:val="0"/>
          <w:bCs/>
          <w:i w:val="0"/>
          <w:iCs/>
          <w:kern w:val="0"/>
          <w:sz w:val="24"/>
          <w:szCs w:val="24"/>
          <w:lang w:val="en-US" w:eastAsia="zh-CN" w:bidi="ar"/>
        </w:rPr>
        <w:t xml:space="preserve">. Similarly, return on capital employed (ROCE) is estimated to drop </w:t>
      </w:r>
      <w:r>
        <w:rPr>
          <w:rStyle w:val="13"/>
          <w:rFonts w:hint="default" w:ascii="Arial Regular" w:hAnsi="Arial Regular" w:eastAsia="SimSun" w:cs="Arial Regular"/>
          <w:b w:val="0"/>
          <w:bCs/>
          <w:i w:val="0"/>
          <w:iCs/>
          <w:kern w:val="0"/>
          <w:sz w:val="24"/>
          <w:szCs w:val="24"/>
          <w:lang w:val="en-US" w:eastAsia="zh-CN" w:bidi="ar"/>
        </w:rPr>
        <w:t>20.54% versus 2020</w:t>
      </w:r>
      <w:r>
        <w:rPr>
          <w:rFonts w:hint="default" w:ascii="Arial Regular" w:hAnsi="Arial Regular" w:eastAsia="SimSun" w:cs="Arial Regular"/>
          <w:b w:val="0"/>
          <w:bCs/>
          <w:i w:val="0"/>
          <w:iCs/>
          <w:kern w:val="0"/>
          <w:sz w:val="24"/>
          <w:szCs w:val="24"/>
          <w:lang w:val="en-US" w:eastAsia="zh-CN" w:bidi="ar"/>
        </w:rPr>
        <w:t xml:space="preserve">, indicating profitability pressures from inefficient cost management. UK electronics manufacturers experienced a significant </w:t>
      </w:r>
      <w:r>
        <w:rPr>
          <w:rStyle w:val="13"/>
          <w:rFonts w:hint="default" w:ascii="Arial Regular" w:hAnsi="Arial Regular" w:eastAsia="SimSun" w:cs="Arial Regular"/>
          <w:b w:val="0"/>
          <w:bCs/>
          <w:i w:val="0"/>
          <w:iCs/>
          <w:kern w:val="0"/>
          <w:sz w:val="24"/>
          <w:szCs w:val="24"/>
          <w:lang w:val="en-US" w:eastAsia="zh-CN" w:bidi="ar"/>
        </w:rPr>
        <w:t>23% fall in profit margins in Q1 2025</w:t>
      </w:r>
      <w:r>
        <w:rPr>
          <w:rFonts w:hint="default" w:ascii="Arial Regular" w:hAnsi="Arial Regular" w:eastAsia="SimSun" w:cs="Arial Regular"/>
          <w:b w:val="0"/>
          <w:bCs/>
          <w:i w:val="0"/>
          <w:iCs/>
          <w:kern w:val="0"/>
          <w:sz w:val="24"/>
          <w:szCs w:val="24"/>
          <w:lang w:val="en-US" w:eastAsia="zh-CN" w:bidi="ar"/>
        </w:rPr>
        <w:t>, alongside a 30% increase in broader manufacturing activity, underscoring macro</w:t>
      </w:r>
      <w:r>
        <w:rPr>
          <w:rFonts w:hint="default" w:ascii="Arial Regular" w:hAnsi="Arial Regular" w:eastAsia="SimSun" w:cs="Arial Regular"/>
          <w:b w:val="0"/>
          <w:bCs/>
          <w:i w:val="0"/>
          <w:iCs/>
          <w:kern w:val="0"/>
          <w:sz w:val="24"/>
          <w:szCs w:val="24"/>
          <w:lang w:val="en-US" w:eastAsia="zh-CN" w:bidi="ar"/>
        </w:rPr>
        <w:noBreakHyphen/>
      </w:r>
      <w:r>
        <w:rPr>
          <w:rFonts w:hint="default" w:ascii="Arial Regular" w:hAnsi="Arial Regular" w:eastAsia="SimSun" w:cs="Arial Regular"/>
          <w:b w:val="0"/>
          <w:bCs/>
          <w:i w:val="0"/>
          <w:iCs/>
          <w:kern w:val="0"/>
          <w:sz w:val="24"/>
          <w:szCs w:val="24"/>
          <w:lang w:val="en-US" w:eastAsia="zh-CN" w:bidi="ar"/>
        </w:rPr>
        <w:t xml:space="preserve">economic headwinds and trade tensions affecting sector profitability. Meanwhile, measures such as </w:t>
      </w:r>
      <w:r>
        <w:rPr>
          <w:rStyle w:val="8"/>
          <w:rFonts w:hint="default" w:ascii="Arial Regular" w:hAnsi="Arial Regular" w:eastAsia="SimSun" w:cs="Arial Regular"/>
          <w:b w:val="0"/>
          <w:bCs/>
          <w:i w:val="0"/>
          <w:iCs/>
          <w:kern w:val="0"/>
          <w:sz w:val="24"/>
          <w:szCs w:val="24"/>
          <w:lang w:val="en-US" w:eastAsia="zh-CN" w:bidi="ar"/>
        </w:rPr>
        <w:t>Gross Margin Return on Inventory (GMROI)</w:t>
      </w:r>
      <w:r>
        <w:rPr>
          <w:rFonts w:hint="default" w:ascii="Arial Regular" w:hAnsi="Arial Regular" w:eastAsia="SimSun" w:cs="Arial Regular"/>
          <w:b w:val="0"/>
          <w:bCs/>
          <w:i w:val="0"/>
          <w:iCs/>
          <w:kern w:val="0"/>
          <w:sz w:val="24"/>
          <w:szCs w:val="24"/>
          <w:lang w:val="en-US" w:eastAsia="zh-CN" w:bidi="ar"/>
        </w:rPr>
        <w:t xml:space="preserve"> rose by about </w:t>
      </w:r>
      <w:r>
        <w:rPr>
          <w:rStyle w:val="13"/>
          <w:rFonts w:hint="default" w:ascii="Arial Regular" w:hAnsi="Arial Regular" w:eastAsia="SimSun" w:cs="Arial Regular"/>
          <w:b w:val="0"/>
          <w:bCs/>
          <w:i w:val="0"/>
          <w:iCs/>
          <w:kern w:val="0"/>
          <w:sz w:val="24"/>
          <w:szCs w:val="24"/>
          <w:lang w:val="en-US" w:eastAsia="zh-CN" w:bidi="ar"/>
        </w:rPr>
        <w:t>17% to approximately GBP £4.33 per £1 invested</w:t>
      </w:r>
      <w:r>
        <w:rPr>
          <w:rFonts w:hint="default" w:ascii="Arial Regular" w:hAnsi="Arial Regular" w:eastAsia="SimSun" w:cs="Arial Regular"/>
          <w:b w:val="0"/>
          <w:bCs/>
          <w:i w:val="0"/>
          <w:iCs/>
          <w:kern w:val="0"/>
          <w:sz w:val="24"/>
          <w:szCs w:val="24"/>
          <w:lang w:val="en-US" w:eastAsia="zh-CN" w:bidi="ar"/>
        </w:rPr>
        <w:t xml:space="preserve">, linked to stock purchasing dynamics despite margin pressures. </w:t>
      </w:r>
      <w:r>
        <w:rPr>
          <w:rFonts w:hint="default" w:ascii="Arial Regular" w:hAnsi="Arial Regular" w:eastAsia="SimSun" w:cs="Arial Regular"/>
          <w:b w:val="0"/>
          <w:bCs/>
          <w:i w:val="0"/>
          <w:iCs/>
          <w:kern w:val="0"/>
          <w:sz w:val="24"/>
          <w:szCs w:val="24"/>
          <w:lang w:val="en-US" w:eastAsia="zh-CN" w:bidi="ar"/>
        </w:rPr>
        <w:fldChar w:fldCharType="begin"/>
      </w:r>
      <w:r>
        <w:rPr>
          <w:rFonts w:hint="default" w:ascii="Arial Regular" w:hAnsi="Arial Regular" w:eastAsia="SimSun" w:cs="Arial Regular"/>
          <w:b w:val="0"/>
          <w:bCs/>
          <w:i w:val="0"/>
          <w:iCs/>
          <w:kern w:val="0"/>
          <w:sz w:val="24"/>
          <w:szCs w:val="24"/>
          <w:lang w:val="en-US" w:eastAsia="zh-CN" w:bidi="ar"/>
        </w:rPr>
        <w:instrText xml:space="preserve"> HYPERLINK "https://itbrief.co.uk/story/electronics-manufacturers-see-23-fall-in-sales-profit-margins?utm_source=chatgpt.com" \t "/Users/anikaayub/Documents\\x/_blank" </w:instrText>
      </w:r>
      <w:r>
        <w:rPr>
          <w:rFonts w:hint="default" w:ascii="Arial Regular" w:hAnsi="Arial Regular" w:eastAsia="SimSun" w:cs="Arial Regular"/>
          <w:b w:val="0"/>
          <w:bCs/>
          <w:i w:val="0"/>
          <w:iCs/>
          <w:kern w:val="0"/>
          <w:sz w:val="24"/>
          <w:szCs w:val="24"/>
          <w:lang w:val="en-US" w:eastAsia="zh-CN" w:bidi="ar"/>
        </w:rPr>
        <w:fldChar w:fldCharType="separate"/>
      </w:r>
      <w:r>
        <w:rPr>
          <w:rFonts w:hint="default" w:ascii="Arial Regular" w:hAnsi="Arial Regular" w:eastAsia="SimSun" w:cs="Arial Regular"/>
          <w:b w:val="0"/>
          <w:bCs/>
          <w:i w:val="0"/>
          <w:iCs/>
          <w:kern w:val="0"/>
          <w:sz w:val="24"/>
          <w:szCs w:val="24"/>
          <w:lang w:val="en-US" w:eastAsia="zh-CN" w:bidi="ar"/>
        </w:rPr>
        <w:fldChar w:fldCharType="end"/>
      </w:r>
    </w:p>
    <w:p w14:paraId="53CFB029">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A potential decline in General </w:t>
      </w:r>
      <w:r>
        <w:rPr>
          <w:rFonts w:hint="default" w:ascii="Arial Regular" w:hAnsi="Arial Regular" w:eastAsia="SimSun" w:cs="Arial Regular"/>
          <w:b w:val="0"/>
          <w:bCs/>
          <w:kern w:val="0"/>
          <w:sz w:val="24"/>
          <w:szCs w:val="24"/>
          <w:lang w:val="en-US" w:eastAsia="zh-CN" w:bidi="ar"/>
        </w:rPr>
        <w:t>Electronics</w:t>
      </w:r>
      <w:r>
        <w:rPr>
          <w:rFonts w:hint="default" w:ascii="Arial Regular" w:hAnsi="Arial Regular" w:cs="Arial Regular"/>
          <w:b w:val="0"/>
          <w:bCs/>
          <w:kern w:val="0"/>
          <w:sz w:val="24"/>
          <w:szCs w:val="24"/>
          <w:lang w:val="de-DE" w:eastAsia="zh-CN" w:bidi="ar"/>
        </w:rPr>
        <w:t>’</w:t>
      </w:r>
      <w:r>
        <w:rPr>
          <w:rFonts w:hint="default" w:ascii="Arial Regular" w:hAnsi="Arial Regular" w:eastAsia="SimSun" w:cs="Arial Regular"/>
          <w:b w:val="0"/>
          <w:bCs/>
          <w:kern w:val="0"/>
          <w:sz w:val="24"/>
          <w:szCs w:val="24"/>
          <w:lang w:val="de-DE" w:eastAsia="zh-CN" w:bidi="ar"/>
        </w:rPr>
        <w:t xml:space="preserve"> </w:t>
      </w:r>
      <w:r>
        <w:rPr>
          <w:rFonts w:hint="default" w:ascii="Arial Regular" w:hAnsi="Arial Regular" w:cs="Arial Regular"/>
          <w:b w:val="0"/>
          <w:bCs/>
          <w:i w:val="0"/>
          <w:iCs/>
          <w:sz w:val="24"/>
          <w:szCs w:val="24"/>
        </w:rPr>
        <w:t>profit may lead to a decrease in stock price, prompting strategic adjustments in its product offerings.</w:t>
      </w:r>
    </w:p>
    <w:p w14:paraId="2D075182">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downward trend in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performance is largely driven by fluctuations in electronic product prices, which exert significant pressure on the company and negatively affect overall business profitability.</w:t>
      </w:r>
    </w:p>
    <w:p w14:paraId="51C7286D">
      <w:pPr>
        <w:pStyle w:val="3"/>
        <w:spacing w:line="360" w:lineRule="auto"/>
        <w:jc w:val="both"/>
        <w:rPr>
          <w:rFonts w:hint="default" w:ascii="Arial Regular" w:hAnsi="Arial Regular" w:cs="Arial Regular"/>
          <w:b/>
          <w:bCs w:val="0"/>
          <w:i w:val="0"/>
          <w:iCs/>
          <w:sz w:val="24"/>
          <w:szCs w:val="24"/>
        </w:rPr>
      </w:pPr>
      <w:bookmarkStart w:id="29" w:name="_Toc550853075"/>
      <w:bookmarkStart w:id="30" w:name="_Toc1337859043"/>
      <w:bookmarkStart w:id="31" w:name="_Toc1686305725"/>
      <w:bookmarkStart w:id="32" w:name="_Toc1936687038"/>
      <w:bookmarkStart w:id="33" w:name="_Toc627116744"/>
      <w:bookmarkStart w:id="34" w:name="_Toc1373257698"/>
      <w:bookmarkStart w:id="35" w:name="_Toc969693071"/>
      <w:bookmarkStart w:id="36" w:name="_Toc1794943079"/>
      <w:bookmarkStart w:id="37" w:name="_Toc1349560784"/>
      <w:bookmarkStart w:id="38" w:name="_Toc213589896"/>
      <w:r>
        <w:rPr>
          <w:rFonts w:hint="default" w:ascii="Arial Regular" w:hAnsi="Arial Regular" w:cs="Arial Regular"/>
          <w:b/>
          <w:bCs w:val="0"/>
          <w:i w:val="0"/>
          <w:iCs/>
          <w:sz w:val="24"/>
          <w:szCs w:val="24"/>
        </w:rPr>
        <w:t>1.3 Liquidity Analysis</w:t>
      </w:r>
      <w:bookmarkEnd w:id="29"/>
      <w:bookmarkEnd w:id="30"/>
      <w:bookmarkEnd w:id="31"/>
      <w:bookmarkEnd w:id="32"/>
      <w:bookmarkEnd w:id="33"/>
      <w:bookmarkEnd w:id="34"/>
      <w:bookmarkEnd w:id="35"/>
      <w:bookmarkEnd w:id="36"/>
      <w:bookmarkEnd w:id="37"/>
      <w:bookmarkEnd w:id="38"/>
    </w:p>
    <w:p w14:paraId="6066B1AA">
      <w:pPr>
        <w:spacing w:line="360" w:lineRule="auto"/>
        <w:jc w:val="both"/>
        <w:rPr>
          <w:rFonts w:hint="default" w:ascii="Arial Regular" w:hAnsi="Arial Regular" w:cs="Arial Regular"/>
          <w:b w:val="0"/>
          <w:bCs/>
          <w:i w:val="0"/>
          <w:iCs/>
          <w:sz w:val="24"/>
          <w:szCs w:val="24"/>
        </w:rPr>
      </w:pPr>
    </w:p>
    <w:p w14:paraId="4A44C3C8">
      <w:pPr>
        <w:spacing w:line="360" w:lineRule="auto"/>
        <w:jc w:val="both"/>
        <w:rPr>
          <w:rFonts w:hint="default" w:ascii="Arial Regular" w:hAnsi="Arial Regular" w:cs="Arial Regular"/>
          <w:b/>
          <w:bCs w:val="0"/>
          <w:i w:val="0"/>
          <w:iCs/>
          <w:sz w:val="24"/>
          <w:szCs w:val="24"/>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 xml:space="preserve">: </w:t>
      </w:r>
      <w:r>
        <w:rPr>
          <w:rFonts w:hint="default" w:ascii="Arial Regular" w:hAnsi="Arial Regular" w:cs="Arial Regular"/>
          <w:b/>
          <w:bCs w:val="0"/>
          <w:i w:val="0"/>
          <w:iCs/>
          <w:sz w:val="24"/>
          <w:szCs w:val="24"/>
        </w:rPr>
        <w:t xml:space="preserve"> </w:t>
      </w:r>
    </w:p>
    <w:p w14:paraId="3968BBC3">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has experienced a substantial decline in its liquidity position, with the current ratio falling by 15.93% in 2024 compared to 2020, indicating reduced capacity to cover short</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obligations. Additionally, the company’s quick ratio decreased to 46.8% in 2024, further reflecting weaker short</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financial resilience [Refer to Appendix 1]. The cash ratio also dropped by 10.43% over this period. Concurrently, digitalisation and the rise of online and contactless payments in the UK have contributed to lower cash usage and cash holdings, impacting corporate cash stability and financial flexibility (UK Finance, 2025).</w:t>
      </w:r>
    </w:p>
    <w:p w14:paraId="6859EC41">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expansion of digital payment operations has enabled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 xml:space="preserve"> </w:t>
      </w:r>
      <w:r>
        <w:rPr>
          <w:rFonts w:hint="default" w:ascii="Arial Regular" w:hAnsi="Arial Regular" w:cs="Arial Regular"/>
          <w:b w:val="0"/>
          <w:bCs/>
          <w:i w:val="0"/>
          <w:iCs/>
          <w:sz w:val="24"/>
          <w:szCs w:val="24"/>
        </w:rPr>
        <w:t>to execute business transactions more efficiently, enhancing the company’s reputation and goodwill among investors.</w:t>
      </w:r>
    </w:p>
    <w:p w14:paraId="3B73B929">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A decline in cash reserves has reduced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working capital, leading to delays in completing business projects and affecting operational efficiency.</w:t>
      </w:r>
    </w:p>
    <w:p w14:paraId="27BE981E">
      <w:pPr>
        <w:pStyle w:val="3"/>
        <w:spacing w:line="360" w:lineRule="auto"/>
        <w:jc w:val="both"/>
        <w:rPr>
          <w:rFonts w:hint="default" w:ascii="Arial Regular" w:hAnsi="Arial Regular" w:cs="Arial Regular"/>
          <w:b/>
          <w:bCs w:val="0"/>
          <w:i w:val="0"/>
          <w:iCs/>
          <w:sz w:val="24"/>
          <w:szCs w:val="24"/>
        </w:rPr>
      </w:pPr>
      <w:bookmarkStart w:id="39" w:name="_Toc101376932"/>
      <w:bookmarkStart w:id="40" w:name="_Toc1243151611"/>
      <w:bookmarkStart w:id="41" w:name="_Toc345817074"/>
      <w:bookmarkStart w:id="42" w:name="_Toc378047214"/>
      <w:bookmarkStart w:id="43" w:name="_Toc1398630616"/>
      <w:bookmarkStart w:id="44" w:name="_Toc1905539344"/>
      <w:bookmarkStart w:id="45" w:name="_Toc652964199"/>
      <w:bookmarkStart w:id="46" w:name="_Toc166132910"/>
      <w:bookmarkStart w:id="47" w:name="_Toc213589897"/>
      <w:bookmarkStart w:id="48" w:name="_Toc312450642"/>
      <w:r>
        <w:rPr>
          <w:rFonts w:hint="default" w:ascii="Arial Regular" w:hAnsi="Arial Regular" w:cs="Arial Regular"/>
          <w:b/>
          <w:bCs w:val="0"/>
          <w:i w:val="0"/>
          <w:iCs/>
          <w:sz w:val="24"/>
          <w:szCs w:val="24"/>
        </w:rPr>
        <w:t>1.4 Efficiency Analysis</w:t>
      </w:r>
      <w:bookmarkEnd w:id="39"/>
      <w:bookmarkEnd w:id="40"/>
      <w:bookmarkEnd w:id="41"/>
      <w:bookmarkEnd w:id="42"/>
      <w:bookmarkEnd w:id="43"/>
      <w:bookmarkEnd w:id="44"/>
      <w:bookmarkEnd w:id="45"/>
      <w:bookmarkEnd w:id="46"/>
      <w:bookmarkEnd w:id="47"/>
      <w:bookmarkEnd w:id="48"/>
    </w:p>
    <w:p w14:paraId="6ECB0D4D">
      <w:pPr>
        <w:spacing w:line="360" w:lineRule="auto"/>
        <w:jc w:val="both"/>
        <w:rPr>
          <w:rFonts w:hint="default" w:ascii="Arial Regular" w:hAnsi="Arial Regular" w:cs="Arial Regular"/>
          <w:b w:val="0"/>
          <w:bCs/>
          <w:i w:val="0"/>
          <w:iCs/>
          <w:sz w:val="24"/>
          <w:szCs w:val="24"/>
        </w:rPr>
      </w:pPr>
    </w:p>
    <w:p w14:paraId="3410C6ED">
      <w:pPr>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w:t>
      </w:r>
    </w:p>
    <w:p w14:paraId="51558764">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The efficiency ratios indicate fluctuating operational performance over the five</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year period. A total 10% improvement in inventory days is observed through the reduction of inventory days from 62 days, enhancing operational efficiency [Refer to Appendix 1]. The global consumer electronics market is projected to grow at a 2.81% CAGR between 2025 and 2030, driven by technological innovation and rising digital adoption (Statista, 2025). However, increased digital adoption has elevated credit risk, contributing to a 23% deterioration in receivables days from 81. Payables days also rose sharply from 55 to 104 (an 89% increase), signaling greater reliance on supplier credit to manage cash shortages.</w:t>
      </w:r>
    </w:p>
    <w:p w14:paraId="679AE426">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rising CAGR of the electronics industry presents an opportunity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allowing growth in a sector less constrained by intense market competition.</w:t>
      </w:r>
    </w:p>
    <w:p w14:paraId="310BA102">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The continuous increase in receivable and payable days negatively affects the organisation’s credit management system, which in turn impacts short-term liquidity and operational cash flow management.</w:t>
      </w:r>
    </w:p>
    <w:p w14:paraId="262BEBAB">
      <w:pPr>
        <w:spacing w:line="360" w:lineRule="auto"/>
        <w:jc w:val="both"/>
        <w:rPr>
          <w:rFonts w:hint="default" w:ascii="Arial Regular" w:hAnsi="Arial Regular" w:cs="Arial Regular"/>
          <w:b/>
          <w:bCs w:val="0"/>
          <w:i w:val="0"/>
          <w:iCs/>
          <w:sz w:val="24"/>
          <w:szCs w:val="24"/>
        </w:rPr>
      </w:pPr>
      <w:bookmarkStart w:id="49" w:name="_Toc1056813936"/>
      <w:bookmarkStart w:id="50" w:name="_Toc1582897872"/>
      <w:bookmarkStart w:id="51" w:name="_Toc213589898"/>
      <w:bookmarkStart w:id="52" w:name="_Toc757186156"/>
      <w:bookmarkStart w:id="53" w:name="_Toc887564053"/>
      <w:bookmarkStart w:id="54" w:name="_Toc1016048049"/>
      <w:bookmarkStart w:id="55" w:name="_Toc1114947105"/>
      <w:bookmarkStart w:id="56" w:name="_Toc428763050"/>
      <w:bookmarkStart w:id="57" w:name="_Toc976126897"/>
      <w:bookmarkStart w:id="58" w:name="_Toc780724414"/>
      <w:r>
        <w:rPr>
          <w:rFonts w:hint="default" w:ascii="Arial Regular" w:hAnsi="Arial Regular" w:cs="Arial Regular"/>
          <w:b/>
          <w:bCs w:val="0"/>
          <w:i w:val="0"/>
          <w:iCs/>
          <w:sz w:val="24"/>
          <w:szCs w:val="24"/>
        </w:rPr>
        <w:t>1.5 Gearing (Solvency) Analysis</w:t>
      </w:r>
      <w:bookmarkEnd w:id="49"/>
      <w:bookmarkEnd w:id="50"/>
      <w:bookmarkEnd w:id="51"/>
      <w:bookmarkEnd w:id="52"/>
      <w:bookmarkEnd w:id="53"/>
      <w:bookmarkEnd w:id="54"/>
      <w:bookmarkEnd w:id="55"/>
      <w:bookmarkEnd w:id="56"/>
      <w:bookmarkEnd w:id="57"/>
      <w:bookmarkEnd w:id="58"/>
    </w:p>
    <w:p w14:paraId="40D77FF1">
      <w:pPr>
        <w:spacing w:line="360" w:lineRule="auto"/>
        <w:jc w:val="both"/>
        <w:rPr>
          <w:rFonts w:hint="default" w:ascii="Arial Regular" w:hAnsi="Arial Regular" w:cs="Arial Regular"/>
          <w:b w:val="0"/>
          <w:bCs/>
          <w:i w:val="0"/>
          <w:iCs/>
          <w:sz w:val="24"/>
          <w:szCs w:val="24"/>
        </w:rPr>
      </w:pPr>
    </w:p>
    <w:p w14:paraId="0A81572F">
      <w:pPr>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w:t>
      </w:r>
    </w:p>
    <w:p w14:paraId="3A7E7274">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financial risk profile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remained elevated throughout the five</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year period, as indicated by gearing ratios. The debt</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to</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equity (D/E) ratio rose by 76% as total liabilities increased from £196,989 million in 2020 while equity declined to £153,105 million in 2024 [Refer to Appendix 1] (Investopedia, 2025). Concurrently, the debt</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to</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capital ratio increased by 45%, reflecting overall debt growth from £295,495 million to £371,930 million (Investopedia, 2025). UK government and grant</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based investments have supported broader corporate confidence, with major public R&amp;D funding commitments aiding long</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growth prospects (GOV.UK, 2024). However, the interest coverage ratio deteriorated sharply from 26.21 in 2020 to –4.55 in 2024 due to falling operating profit and rising interest expenses.</w:t>
      </w:r>
    </w:p>
    <w:p w14:paraId="550CF348">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Obtaining £1.5 billion in investment and grant funding highlights strong external confidence in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supporting growth initiatives despite high debt levels.</w:t>
      </w:r>
    </w:p>
    <w:p w14:paraId="51371363">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Increasing debt, declining equity, and a negative interest coverage ratio signal rising financial risk, reduced solvency, and heightened vulnerability to operational or market disruptions.</w:t>
      </w:r>
    </w:p>
    <w:p w14:paraId="37715E2E">
      <w:pPr>
        <w:jc w:val="both"/>
        <w:rPr>
          <w:rFonts w:hint="default" w:ascii="Arial Regular" w:hAnsi="Arial Regular" w:cs="Arial Regular"/>
          <w:b/>
          <w:bCs w:val="0"/>
          <w:i w:val="0"/>
          <w:iCs/>
          <w:sz w:val="24"/>
          <w:szCs w:val="24"/>
        </w:rPr>
      </w:pPr>
      <w:bookmarkStart w:id="59" w:name="_Toc27142890"/>
      <w:bookmarkStart w:id="60" w:name="_Toc1412945665"/>
      <w:bookmarkStart w:id="61" w:name="_Toc34578015"/>
      <w:bookmarkStart w:id="62" w:name="_Toc371227820"/>
      <w:bookmarkStart w:id="63" w:name="_Toc510142928"/>
      <w:bookmarkStart w:id="64" w:name="_Toc867626709"/>
      <w:bookmarkStart w:id="65" w:name="_Toc737115668"/>
      <w:bookmarkStart w:id="66" w:name="_Toc213589899"/>
      <w:bookmarkStart w:id="67" w:name="_Toc189679773"/>
      <w:bookmarkStart w:id="68" w:name="_Toc1137178446"/>
      <w:r>
        <w:rPr>
          <w:rFonts w:hint="default" w:ascii="Arial Regular" w:hAnsi="Arial Regular" w:cs="Arial Regular"/>
          <w:b/>
          <w:bCs w:val="0"/>
          <w:i w:val="0"/>
          <w:iCs/>
          <w:sz w:val="24"/>
          <w:szCs w:val="24"/>
        </w:rPr>
        <w:br w:type="page"/>
      </w:r>
    </w:p>
    <w:p w14:paraId="220EBE06">
      <w:pPr>
        <w:pStyle w:val="3"/>
        <w:spacing w:line="360" w:lineRule="auto"/>
        <w:jc w:val="both"/>
        <w:rPr>
          <w:rFonts w:hint="default" w:ascii="Arial Regular" w:hAnsi="Arial Regular" w:cs="Arial Regular"/>
          <w:b/>
          <w:bCs w:val="0"/>
          <w:i w:val="0"/>
          <w:iCs/>
          <w:sz w:val="24"/>
          <w:szCs w:val="24"/>
        </w:rPr>
      </w:pPr>
      <w:r>
        <w:rPr>
          <w:rFonts w:hint="default" w:ascii="Arial Regular" w:hAnsi="Arial Regular" w:cs="Arial Regular"/>
          <w:b/>
          <w:bCs w:val="0"/>
          <w:i w:val="0"/>
          <w:iCs/>
          <w:sz w:val="24"/>
          <w:szCs w:val="24"/>
        </w:rPr>
        <w:t>1.6 Investment Ratios</w:t>
      </w:r>
      <w:bookmarkEnd w:id="59"/>
      <w:bookmarkEnd w:id="60"/>
      <w:bookmarkEnd w:id="61"/>
      <w:bookmarkEnd w:id="62"/>
      <w:bookmarkEnd w:id="63"/>
      <w:bookmarkEnd w:id="64"/>
      <w:bookmarkEnd w:id="65"/>
      <w:bookmarkEnd w:id="66"/>
      <w:bookmarkEnd w:id="67"/>
      <w:bookmarkEnd w:id="68"/>
    </w:p>
    <w:p w14:paraId="31CC6414">
      <w:pPr>
        <w:spacing w:line="360" w:lineRule="auto"/>
        <w:jc w:val="both"/>
        <w:rPr>
          <w:rFonts w:hint="default" w:ascii="Arial Regular" w:hAnsi="Arial Regular" w:cs="Arial Regular"/>
          <w:b/>
          <w:bCs w:val="0"/>
          <w:i w:val="0"/>
          <w:iCs/>
          <w:sz w:val="24"/>
          <w:szCs w:val="24"/>
        </w:rPr>
      </w:pPr>
    </w:p>
    <w:p w14:paraId="092951D4">
      <w:pPr>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w:t>
      </w:r>
    </w:p>
    <w:p w14:paraId="3832E1EB">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investment ratio helps evaluate an organisation’s stock market performance by indicating profitability per share. According to the figures,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reduced its EPS value by 166% in 2024, highlighting poorer earnings relative to equity holders [Refer to Appendix 1] (Investopedia, 2025). Broader electronics stocks have seen share price declines following weaker revenue outcomes in the sector, such as several electronics companies reporting revenue shortfalls that contributed to downward stock movements (Yahoo Finance, 2025). Overall, this reduction in market valuation and earnings has eroded investor confidence and weakened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brand loyalty among its shareholders.</w:t>
      </w:r>
    </w:p>
    <w:p w14:paraId="4702CFD1">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decline in earnings per share has created opportunities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to attract additional investment from shareholders.</w:t>
      </w:r>
    </w:p>
    <w:p w14:paraId="490CFC95">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Falling share prices have lowered the market value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negatively affecting the company’s overall financial stability and investor confidence.</w:t>
      </w:r>
    </w:p>
    <w:p w14:paraId="15C0635E">
      <w:pPr>
        <w:pStyle w:val="3"/>
        <w:spacing w:line="360" w:lineRule="auto"/>
        <w:jc w:val="both"/>
        <w:rPr>
          <w:rFonts w:hint="default" w:ascii="Arial Regular" w:hAnsi="Arial Regular" w:cs="Arial Regular"/>
          <w:b/>
          <w:bCs w:val="0"/>
          <w:i w:val="0"/>
          <w:iCs/>
          <w:sz w:val="24"/>
          <w:szCs w:val="24"/>
        </w:rPr>
      </w:pPr>
      <w:bookmarkStart w:id="69" w:name="_Toc213589900"/>
      <w:bookmarkStart w:id="70" w:name="_Toc503623129"/>
      <w:bookmarkStart w:id="71" w:name="_Toc2017356180"/>
      <w:bookmarkStart w:id="72" w:name="_Toc1332113415"/>
      <w:bookmarkStart w:id="73" w:name="_Toc1217472072"/>
      <w:bookmarkStart w:id="74" w:name="_Toc730164738"/>
      <w:bookmarkStart w:id="75" w:name="_Toc2101167269"/>
      <w:bookmarkStart w:id="76" w:name="_Toc1709220598"/>
      <w:bookmarkStart w:id="77" w:name="_Toc788135033"/>
      <w:bookmarkStart w:id="78" w:name="_Toc1534190805"/>
      <w:r>
        <w:rPr>
          <w:rFonts w:hint="default" w:ascii="Arial Regular" w:hAnsi="Arial Regular" w:cs="Arial Regular"/>
          <w:b/>
          <w:bCs w:val="0"/>
          <w:i w:val="0"/>
          <w:iCs/>
          <w:sz w:val="24"/>
          <w:szCs w:val="24"/>
        </w:rPr>
        <w:t>1.7 Cash Flow Position</w:t>
      </w:r>
      <w:bookmarkEnd w:id="69"/>
      <w:bookmarkEnd w:id="70"/>
      <w:bookmarkEnd w:id="71"/>
      <w:bookmarkEnd w:id="72"/>
      <w:bookmarkEnd w:id="73"/>
      <w:bookmarkEnd w:id="74"/>
      <w:bookmarkEnd w:id="75"/>
      <w:bookmarkEnd w:id="76"/>
      <w:bookmarkEnd w:id="77"/>
      <w:bookmarkEnd w:id="78"/>
    </w:p>
    <w:p w14:paraId="28657F07">
      <w:pPr>
        <w:spacing w:line="360" w:lineRule="auto"/>
        <w:jc w:val="both"/>
        <w:rPr>
          <w:rFonts w:hint="default" w:ascii="Arial Regular" w:hAnsi="Arial Regular" w:cs="Arial Regular"/>
          <w:b/>
          <w:bCs w:val="0"/>
          <w:i w:val="0"/>
          <w:iCs/>
          <w:sz w:val="24"/>
          <w:szCs w:val="24"/>
        </w:rPr>
      </w:pPr>
    </w:p>
    <w:p w14:paraId="51C38DB9">
      <w:pPr>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w:t>
      </w:r>
    </w:p>
    <w:p w14:paraId="4A154AB8">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operating cash flow ratio declined by 78% from 2020 to 2024, indicating reduced cash generation capacity. Additionally, the company’s return on assets dropped by 64.25% in 2024, reflecting diminished efficiency in using its asset base. The value of chip investment also declined to around $3 bn amid rising product prices in 2024, negatively affecting production costs (McKinsey, 2025). Higher tariff rates on imported electronic components have further increased costs for manufacturers and can lead to reduced consumer demand due to higher retail prices, which may weaken overall sales performance (Deloitte Insights, 2025). Consequently, lower popularity of its products has reduced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business income.</w:t>
      </w:r>
    </w:p>
    <w:p w14:paraId="02F11721">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decrease in operating cash flow creates opportunities for investors to make strategic investments in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w:t>
      </w:r>
    </w:p>
    <w:p w14:paraId="2ABAD38F">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reduction in operating cash has also constrained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 xml:space="preserve">’ </w:t>
      </w:r>
      <w:r>
        <w:rPr>
          <w:rFonts w:hint="default" w:ascii="Arial Regular" w:hAnsi="Arial Regular" w:cs="Arial Regular"/>
          <w:b w:val="0"/>
          <w:bCs/>
          <w:i w:val="0"/>
          <w:iCs/>
          <w:sz w:val="24"/>
          <w:szCs w:val="24"/>
        </w:rPr>
        <w:t>working capital, leading to delays in production and affecting operational efficiency.</w:t>
      </w:r>
    </w:p>
    <w:p w14:paraId="6C750BFB">
      <w:pPr>
        <w:pStyle w:val="3"/>
        <w:spacing w:line="360" w:lineRule="auto"/>
        <w:jc w:val="both"/>
        <w:rPr>
          <w:rFonts w:hint="default" w:ascii="Arial Regular" w:hAnsi="Arial Regular" w:cs="Arial Regular"/>
          <w:b/>
          <w:bCs w:val="0"/>
          <w:i w:val="0"/>
          <w:iCs/>
          <w:sz w:val="24"/>
          <w:szCs w:val="24"/>
        </w:rPr>
      </w:pPr>
      <w:bookmarkStart w:id="79" w:name="_Toc1313145930"/>
      <w:bookmarkStart w:id="80" w:name="_Toc1953479790"/>
      <w:bookmarkStart w:id="81" w:name="_Toc828925488"/>
      <w:bookmarkStart w:id="82" w:name="_Toc1097198815"/>
      <w:bookmarkStart w:id="83" w:name="_Toc1233498424"/>
      <w:bookmarkStart w:id="84" w:name="_Toc170260390"/>
      <w:bookmarkStart w:id="85" w:name="_Toc213589901"/>
      <w:bookmarkStart w:id="86" w:name="_Toc1324255424"/>
      <w:bookmarkStart w:id="87" w:name="_Toc506364935"/>
      <w:bookmarkStart w:id="88" w:name="_Toc1160876276"/>
      <w:r>
        <w:rPr>
          <w:rFonts w:hint="default" w:ascii="Arial Regular" w:hAnsi="Arial Regular" w:cs="Arial Regular"/>
          <w:b/>
          <w:bCs w:val="0"/>
          <w:i w:val="0"/>
          <w:iCs/>
          <w:sz w:val="24"/>
          <w:szCs w:val="24"/>
        </w:rPr>
        <w:t>1.8 Corporate Failure Prediction Models</w:t>
      </w:r>
      <w:bookmarkEnd w:id="79"/>
      <w:bookmarkEnd w:id="80"/>
      <w:bookmarkEnd w:id="81"/>
      <w:bookmarkEnd w:id="82"/>
      <w:bookmarkEnd w:id="83"/>
      <w:bookmarkEnd w:id="84"/>
      <w:bookmarkEnd w:id="85"/>
      <w:bookmarkEnd w:id="86"/>
      <w:bookmarkEnd w:id="87"/>
      <w:bookmarkEnd w:id="88"/>
      <w:r>
        <w:rPr>
          <w:rFonts w:hint="default" w:ascii="Arial Regular" w:hAnsi="Arial Regular" w:cs="Arial Regular"/>
          <w:b/>
          <w:bCs w:val="0"/>
          <w:i w:val="0"/>
          <w:iCs/>
          <w:sz w:val="24"/>
          <w:szCs w:val="24"/>
        </w:rPr>
        <w:t xml:space="preserve"> </w:t>
      </w:r>
    </w:p>
    <w:p w14:paraId="0DF9A3BF">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The Altman Z</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 xml:space="preserve">Score analysis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from 2020 to 2024 indicates significant financial deterioration. In 2020, the Z</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score of 3.69 reflected low default risk, supported by strong EBIT (£37,267m) and equity (£313,301m). The score declined to 3.25 in 2021 and 3.02 in 2022 as EBIT fell to £23,253m and sales growth slowed to 11%, remaining in the safe zone. In 2023, the Z</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score dropped sharply to 1.63 due to an £85,301m operating loss and reduced working capital (£97,703m), signaling distress [Refer to Appendix 1]. By 2024, it recovered slightly to 2.24 with EBIT at -£15,297m and total assets at £323,354m, showing moderate risk.</w:t>
      </w:r>
      <w:bookmarkStart w:id="89" w:name="_Toc213589902"/>
    </w:p>
    <w:p w14:paraId="2571987F">
      <w:pPr>
        <w:pStyle w:val="3"/>
        <w:bidi w:val="0"/>
        <w:spacing w:line="360" w:lineRule="auto"/>
        <w:jc w:val="both"/>
        <w:rPr>
          <w:rFonts w:hint="default" w:ascii="Arial Regular" w:hAnsi="Arial Regular" w:cs="Arial Regular"/>
          <w:b/>
          <w:bCs w:val="0"/>
          <w:i w:val="0"/>
          <w:iCs/>
          <w:sz w:val="24"/>
          <w:szCs w:val="24"/>
        </w:rPr>
      </w:pPr>
      <w:bookmarkStart w:id="90" w:name="_Toc879503613"/>
      <w:bookmarkStart w:id="91" w:name="_Toc1629890440"/>
      <w:bookmarkStart w:id="92" w:name="_Toc234060385"/>
      <w:bookmarkStart w:id="93" w:name="_Toc1748367677"/>
      <w:bookmarkStart w:id="94" w:name="_Toc178406916"/>
      <w:bookmarkStart w:id="95" w:name="_Toc958637737"/>
      <w:r>
        <w:rPr>
          <w:rFonts w:hint="default" w:ascii="Arial Regular" w:hAnsi="Arial Regular" w:cs="Arial Regular"/>
          <w:b/>
          <w:bCs w:val="0"/>
          <w:i w:val="0"/>
          <w:iCs/>
          <w:sz w:val="24"/>
          <w:szCs w:val="24"/>
          <w:lang w:val="de-DE"/>
        </w:rPr>
        <w:t xml:space="preserve">2. </w:t>
      </w:r>
      <w:r>
        <w:rPr>
          <w:rFonts w:hint="default" w:ascii="Arial Regular" w:hAnsi="Arial Regular" w:cs="Arial Regular"/>
          <w:b/>
          <w:bCs w:val="0"/>
          <w:i w:val="0"/>
          <w:iCs/>
          <w:sz w:val="24"/>
          <w:szCs w:val="24"/>
        </w:rPr>
        <w:t>Working Capital Management Analysis</w:t>
      </w:r>
      <w:bookmarkEnd w:id="89"/>
      <w:bookmarkEnd w:id="90"/>
      <w:bookmarkEnd w:id="91"/>
      <w:bookmarkEnd w:id="92"/>
      <w:bookmarkEnd w:id="93"/>
      <w:bookmarkEnd w:id="94"/>
      <w:bookmarkEnd w:id="95"/>
      <w:r>
        <w:rPr>
          <w:rFonts w:hint="default" w:ascii="Arial Regular" w:hAnsi="Arial Regular" w:cs="Arial Regular"/>
          <w:b/>
          <w:bCs w:val="0"/>
          <w:i w:val="0"/>
          <w:iCs/>
          <w:sz w:val="24"/>
          <w:szCs w:val="24"/>
        </w:rPr>
        <w:t xml:space="preserve"> </w:t>
      </w:r>
      <w:bookmarkStart w:id="96" w:name="_Toc213589903"/>
    </w:p>
    <w:p w14:paraId="4F058688">
      <w:pPr>
        <w:pStyle w:val="4"/>
        <w:bidi w:val="0"/>
        <w:spacing w:line="360" w:lineRule="auto"/>
        <w:jc w:val="both"/>
        <w:rPr>
          <w:rFonts w:hint="default" w:ascii="Arial Regular" w:hAnsi="Arial Regular" w:cs="Arial Regular"/>
          <w:b/>
          <w:bCs w:val="0"/>
          <w:i w:val="0"/>
          <w:iCs/>
          <w:sz w:val="24"/>
          <w:szCs w:val="24"/>
        </w:rPr>
      </w:pPr>
      <w:bookmarkStart w:id="97" w:name="_Toc597866000"/>
      <w:bookmarkStart w:id="98" w:name="_Toc267223948"/>
      <w:bookmarkStart w:id="99" w:name="_Toc687281390"/>
      <w:bookmarkStart w:id="100" w:name="_Toc796805438"/>
      <w:bookmarkStart w:id="101" w:name="_Toc1402125965"/>
      <w:bookmarkStart w:id="102" w:name="_Toc1810333038"/>
      <w:r>
        <w:rPr>
          <w:rFonts w:hint="default" w:ascii="Arial Regular" w:hAnsi="Arial Regular" w:cs="Arial Regular"/>
          <w:b/>
          <w:bCs w:val="0"/>
          <w:i w:val="0"/>
          <w:iCs/>
          <w:sz w:val="24"/>
          <w:szCs w:val="24"/>
        </w:rPr>
        <w:t>2.1 Working Capital Position Overview</w:t>
      </w:r>
      <w:bookmarkEnd w:id="96"/>
      <w:bookmarkEnd w:id="97"/>
      <w:bookmarkEnd w:id="98"/>
      <w:bookmarkEnd w:id="99"/>
      <w:bookmarkEnd w:id="100"/>
      <w:bookmarkEnd w:id="101"/>
      <w:bookmarkEnd w:id="102"/>
      <w:r>
        <w:rPr>
          <w:rFonts w:hint="default" w:ascii="Arial Regular" w:hAnsi="Arial Regular" w:cs="Arial Regular"/>
          <w:b/>
          <w:bCs w:val="0"/>
          <w:i w:val="0"/>
          <w:iCs/>
          <w:sz w:val="24"/>
          <w:szCs w:val="24"/>
        </w:rPr>
        <w:t xml:space="preserve"> </w:t>
      </w:r>
      <w:bookmarkStart w:id="103" w:name="_Toc213589904"/>
    </w:p>
    <w:p w14:paraId="4797BD46">
      <w:pPr>
        <w:pStyle w:val="12"/>
        <w:keepNext w:val="0"/>
        <w:keepLines w:val="0"/>
        <w:widowControl/>
        <w:numPr>
          <w:ilvl w:val="0"/>
          <w:numId w:val="1"/>
        </w:numPr>
        <w:suppressLineNumbers w:val="0"/>
        <w:spacing w:line="360" w:lineRule="auto"/>
        <w:ind w:left="420" w:leftChars="0" w:right="0" w:righ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Current Assets vs. Current Liabilities</w:t>
      </w:r>
      <w:bookmarkEnd w:id="103"/>
    </w:p>
    <w:p w14:paraId="3076FFAD">
      <w:pPr>
        <w:pStyle w:val="12"/>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rPr>
        <w:t xml:space="preserve">The current assets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declined by </w:t>
      </w:r>
      <w:r>
        <w:rPr>
          <w:rStyle w:val="13"/>
          <w:rFonts w:hint="default" w:ascii="Arial Regular" w:hAnsi="Arial Regular" w:cs="Arial Regular"/>
          <w:b w:val="0"/>
          <w:bCs/>
          <w:i w:val="0"/>
          <w:iCs/>
          <w:sz w:val="24"/>
          <w:szCs w:val="24"/>
        </w:rPr>
        <w:t>9.14% in 2024 compared to 2020</w:t>
      </w:r>
      <w:r>
        <w:rPr>
          <w:rFonts w:hint="default" w:ascii="Arial Regular" w:hAnsi="Arial Regular" w:cs="Arial Regular"/>
          <w:b w:val="0"/>
          <w:bCs/>
          <w:i w:val="0"/>
          <w:iCs/>
          <w:sz w:val="24"/>
          <w:szCs w:val="24"/>
        </w:rPr>
        <w:t xml:space="preserve">, reflecting strategic shifts in electronics product lines aimed at improving operational efficiency. This reduction is consistent with wider trends in the electronics industry, where firms have prioritised debt repayment, consequently constraining liquidity and limiting sales growth. In parallel, </w:t>
      </w:r>
      <w:r>
        <w:rPr>
          <w:rStyle w:val="13"/>
          <w:rFonts w:hint="default" w:ascii="Arial Regular" w:hAnsi="Arial Regular" w:cs="Arial Regular"/>
          <w:b w:val="0"/>
          <w:bCs/>
          <w:i w:val="0"/>
          <w:iCs/>
          <w:sz w:val="24"/>
          <w:szCs w:val="24"/>
        </w:rPr>
        <w:t>current liabilities decreased by 11.83%</w:t>
      </w:r>
      <w:r>
        <w:rPr>
          <w:rFonts w:hint="default" w:ascii="Arial Regular" w:hAnsi="Arial Regular" w:cs="Arial Regular"/>
          <w:b w:val="0"/>
          <w:bCs/>
          <w:i w:val="0"/>
          <w:iCs/>
          <w:sz w:val="24"/>
          <w:szCs w:val="24"/>
        </w:rPr>
        <w:t xml:space="preserve">, driven by tighter inventory controls and a slowdown in domestic production. Broader manufacturing conditions have also weakened, as </w:t>
      </w:r>
      <w:r>
        <w:rPr>
          <w:rStyle w:val="13"/>
          <w:rFonts w:hint="default" w:ascii="Arial Regular" w:hAnsi="Arial Regular" w:cs="Arial Regular"/>
          <w:b w:val="0"/>
          <w:bCs/>
          <w:i w:val="0"/>
          <w:iCs/>
          <w:sz w:val="24"/>
          <w:szCs w:val="24"/>
        </w:rPr>
        <w:t>US manufacturing output fell by 10.3%</w:t>
      </w:r>
      <w:r>
        <w:rPr>
          <w:rFonts w:hint="default" w:ascii="Arial Regular" w:hAnsi="Arial Regular" w:cs="Arial Regular"/>
          <w:b w:val="0"/>
          <w:bCs/>
          <w:i w:val="0"/>
          <w:iCs/>
          <w:sz w:val="24"/>
          <w:szCs w:val="24"/>
        </w:rPr>
        <w:t>, reducing export demand and indirectly affecting the UK economy (Reuters, 2024)</w:t>
      </w:r>
      <w:r>
        <w:rPr>
          <w:rFonts w:hint="default" w:ascii="Arial Regular" w:hAnsi="Arial Regular" w:cs="Arial Regular"/>
          <w:b w:val="0"/>
          <w:bCs/>
          <w:i w:val="0"/>
          <w:iCs/>
          <w:sz w:val="24"/>
          <w:szCs w:val="24"/>
          <w:lang w:val="de-DE"/>
        </w:rPr>
        <w:t xml:space="preserve">. </w:t>
      </w:r>
    </w:p>
    <w:p w14:paraId="79A7E62F">
      <w:pPr>
        <w:pStyle w:val="12"/>
        <w:numPr>
          <w:ilvl w:val="0"/>
          <w:numId w:val="1"/>
        </w:numPr>
        <w:bidi w:val="0"/>
        <w:spacing w:line="360" w:lineRule="auto"/>
        <w:jc w:val="both"/>
        <w:rPr>
          <w:rFonts w:hint="default" w:ascii="Arial Regular" w:hAnsi="Arial Regular" w:cs="Arial Regular"/>
          <w:b/>
          <w:bCs w:val="0"/>
          <w:i w:val="0"/>
          <w:iCs/>
          <w:sz w:val="24"/>
          <w:szCs w:val="24"/>
          <w:lang w:val="de-DE"/>
        </w:rPr>
      </w:pPr>
      <w:bookmarkStart w:id="104" w:name="_Toc213589905"/>
      <w:bookmarkStart w:id="105" w:name="_Toc1193035224"/>
      <w:bookmarkStart w:id="106" w:name="_Toc257877687"/>
      <w:bookmarkStart w:id="107" w:name="_Toc200973774"/>
      <w:bookmarkStart w:id="108" w:name="_Toc354205291"/>
      <w:r>
        <w:rPr>
          <w:rFonts w:hint="default" w:ascii="Arial Regular" w:hAnsi="Arial Regular" w:cs="Arial Regular"/>
          <w:b/>
          <w:bCs w:val="0"/>
          <w:i w:val="0"/>
          <w:iCs/>
          <w:sz w:val="24"/>
          <w:szCs w:val="24"/>
        </w:rPr>
        <w:t>Liquidity Stress Points</w:t>
      </w:r>
      <w:bookmarkEnd w:id="104"/>
      <w:bookmarkEnd w:id="105"/>
      <w:bookmarkEnd w:id="106"/>
      <w:bookmarkEnd w:id="107"/>
      <w:bookmarkEnd w:id="108"/>
      <w:r>
        <w:rPr>
          <w:rFonts w:hint="default" w:ascii="Arial Regular" w:hAnsi="Arial Regular" w:cs="Arial Regular"/>
          <w:b/>
          <w:bCs w:val="0"/>
          <w:i w:val="0"/>
          <w:iCs/>
          <w:sz w:val="24"/>
          <w:szCs w:val="24"/>
          <w:lang w:val="de-DE"/>
        </w:rPr>
        <w:t xml:space="preserve"> </w:t>
      </w:r>
    </w:p>
    <w:p w14:paraId="4772122B">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Liquidity Stress Index (LSI)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from </w:t>
      </w:r>
      <w:r>
        <w:rPr>
          <w:rStyle w:val="13"/>
          <w:rFonts w:hint="default" w:ascii="Arial Regular" w:hAnsi="Arial Regular" w:cs="Arial Regular"/>
          <w:b w:val="0"/>
          <w:bCs/>
          <w:i w:val="0"/>
          <w:iCs/>
          <w:sz w:val="24"/>
          <w:szCs w:val="24"/>
        </w:rPr>
        <w:t>2020 to 2024</w:t>
      </w:r>
      <w:r>
        <w:rPr>
          <w:rFonts w:hint="default" w:ascii="Arial Regular" w:hAnsi="Arial Regular" w:cs="Arial Regular"/>
          <w:b w:val="0"/>
          <w:bCs/>
          <w:i w:val="0"/>
          <w:iCs/>
          <w:sz w:val="24"/>
          <w:szCs w:val="24"/>
        </w:rPr>
        <w:t xml:space="preserve"> was derived using weighted averages of the </w:t>
      </w:r>
      <w:r>
        <w:rPr>
          <w:rStyle w:val="13"/>
          <w:rFonts w:hint="default" w:ascii="Arial Regular" w:hAnsi="Arial Regular" w:cs="Arial Regular"/>
          <w:b w:val="0"/>
          <w:bCs/>
          <w:i w:val="0"/>
          <w:iCs/>
          <w:sz w:val="24"/>
          <w:szCs w:val="24"/>
        </w:rPr>
        <w:t>Quick Ratio (40%)</w:t>
      </w:r>
      <w:r>
        <w:rPr>
          <w:rFonts w:hint="default" w:ascii="Arial Regular" w:hAnsi="Arial Regular" w:cs="Arial Regular"/>
          <w:b w:val="0"/>
          <w:bCs/>
          <w:i w:val="0"/>
          <w:iCs/>
          <w:sz w:val="24"/>
          <w:szCs w:val="24"/>
        </w:rPr>
        <w:t xml:space="preserve"> and </w:t>
      </w:r>
      <w:r>
        <w:rPr>
          <w:rStyle w:val="13"/>
          <w:rFonts w:hint="default" w:ascii="Arial Regular" w:hAnsi="Arial Regular" w:cs="Arial Regular"/>
          <w:b w:val="0"/>
          <w:bCs/>
          <w:i w:val="0"/>
          <w:iCs/>
          <w:sz w:val="24"/>
          <w:szCs w:val="24"/>
        </w:rPr>
        <w:t>Cash Ratio (20%)</w:t>
      </w:r>
      <w:r>
        <w:rPr>
          <w:rFonts w:hint="default" w:ascii="Arial Regular" w:hAnsi="Arial Regular" w:cs="Arial Regular"/>
          <w:b w:val="0"/>
          <w:bCs/>
          <w:i w:val="0"/>
          <w:iCs/>
          <w:sz w:val="24"/>
          <w:szCs w:val="24"/>
        </w:rPr>
        <w:t xml:space="preserve">, offering an integrated view of short-term solvency. During this period, the Quick Ratio declined from </w:t>
      </w:r>
      <w:r>
        <w:rPr>
          <w:rStyle w:val="13"/>
          <w:rFonts w:hint="default" w:ascii="Arial Regular" w:hAnsi="Arial Regular" w:cs="Arial Regular"/>
          <w:b w:val="0"/>
          <w:bCs/>
          <w:i w:val="0"/>
          <w:iCs/>
          <w:sz w:val="24"/>
          <w:szCs w:val="24"/>
        </w:rPr>
        <w:t>1.55 to 1.30</w:t>
      </w:r>
      <w:r>
        <w:rPr>
          <w:rFonts w:hint="default" w:ascii="Arial Regular" w:hAnsi="Arial Regular" w:cs="Arial Regular"/>
          <w:b w:val="0"/>
          <w:bCs/>
          <w:i w:val="0"/>
          <w:iCs/>
          <w:sz w:val="24"/>
          <w:szCs w:val="24"/>
        </w:rPr>
        <w:t xml:space="preserve">, while the Cash Ratio fell from </w:t>
      </w:r>
      <w:r>
        <w:rPr>
          <w:rStyle w:val="13"/>
          <w:rFonts w:hint="default" w:ascii="Arial Regular" w:hAnsi="Arial Regular" w:cs="Arial Regular"/>
          <w:b w:val="0"/>
          <w:bCs/>
          <w:i w:val="0"/>
          <w:iCs/>
          <w:sz w:val="24"/>
          <w:szCs w:val="24"/>
        </w:rPr>
        <w:t>0.32 to 0.17</w:t>
      </w:r>
      <w:r>
        <w:rPr>
          <w:rFonts w:hint="default" w:ascii="Arial Regular" w:hAnsi="Arial Regular" w:cs="Arial Regular"/>
          <w:b w:val="0"/>
          <w:bCs/>
          <w:i w:val="0"/>
          <w:iCs/>
          <w:sz w:val="24"/>
          <w:szCs w:val="24"/>
        </w:rPr>
        <w:t xml:space="preserve">, resulting in a reduction of the weighted LSI score from </w:t>
      </w:r>
      <w:r>
        <w:rPr>
          <w:rStyle w:val="13"/>
          <w:rFonts w:hint="default" w:ascii="Arial Regular" w:hAnsi="Arial Regular" w:cs="Arial Regular"/>
          <w:b w:val="0"/>
          <w:bCs/>
          <w:i w:val="0"/>
          <w:iCs/>
          <w:sz w:val="24"/>
          <w:szCs w:val="24"/>
        </w:rPr>
        <w:t>1.41 to 1.17</w:t>
      </w:r>
      <w:r>
        <w:rPr>
          <w:rFonts w:hint="default" w:ascii="Arial Regular" w:hAnsi="Arial Regular" w:cs="Arial Regular"/>
          <w:b w:val="0"/>
          <w:bCs/>
          <w:i w:val="0"/>
          <w:iCs/>
          <w:sz w:val="24"/>
          <w:szCs w:val="24"/>
        </w:rPr>
        <w:t xml:space="preserve">. This deterioration reflects higher cash outflows, contributing to an estimated </w:t>
      </w:r>
      <w:r>
        <w:rPr>
          <w:rStyle w:val="13"/>
          <w:rFonts w:hint="default" w:ascii="Arial Regular" w:hAnsi="Arial Regular" w:cs="Arial Regular"/>
          <w:b w:val="0"/>
          <w:bCs/>
          <w:i w:val="0"/>
          <w:iCs/>
          <w:sz w:val="24"/>
          <w:szCs w:val="24"/>
        </w:rPr>
        <w:t>17% contraction in liquidity</w:t>
      </w:r>
      <w:r>
        <w:rPr>
          <w:rFonts w:hint="default" w:ascii="Arial Regular" w:hAnsi="Arial Regular" w:cs="Arial Regular"/>
          <w:b w:val="0"/>
          <w:bCs/>
          <w:i w:val="0"/>
          <w:iCs/>
          <w:sz w:val="24"/>
          <w:szCs w:val="24"/>
        </w:rPr>
        <w:t xml:space="preserve"> and weakening cash reserves. Consequently, the firm faces increased working capital pressure when meeting short-term financial obligations (CFA Institute, 2023).</w:t>
      </w:r>
    </w:p>
    <w:p w14:paraId="4B083BD8">
      <w:pPr>
        <w:pStyle w:val="3"/>
        <w:spacing w:line="360" w:lineRule="auto"/>
        <w:jc w:val="both"/>
        <w:rPr>
          <w:rFonts w:hint="default" w:ascii="Arial Regular" w:hAnsi="Arial Regular" w:cs="Arial Regular"/>
          <w:b/>
          <w:bCs w:val="0"/>
          <w:i w:val="0"/>
          <w:iCs/>
          <w:sz w:val="24"/>
          <w:szCs w:val="24"/>
        </w:rPr>
      </w:pPr>
      <w:bookmarkStart w:id="109" w:name="_Toc303656353"/>
      <w:bookmarkStart w:id="110" w:name="_Toc1873810079"/>
      <w:bookmarkStart w:id="111" w:name="_Toc126281643"/>
      <w:bookmarkStart w:id="112" w:name="_Toc288197729"/>
      <w:bookmarkStart w:id="113" w:name="_Toc1921926534"/>
      <w:bookmarkStart w:id="114" w:name="_Toc528285763"/>
      <w:bookmarkStart w:id="115" w:name="_Toc1024258727"/>
      <w:bookmarkStart w:id="116" w:name="_Toc213589906"/>
      <w:bookmarkStart w:id="117" w:name="_Toc1333627121"/>
      <w:bookmarkStart w:id="118" w:name="_Toc2145253131"/>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2</w:t>
      </w:r>
      <w:r>
        <w:rPr>
          <w:rFonts w:hint="default" w:ascii="Arial Regular" w:hAnsi="Arial Regular" w:cs="Arial Regular"/>
          <w:b/>
          <w:bCs w:val="0"/>
          <w:i w:val="0"/>
          <w:iCs/>
          <w:sz w:val="24"/>
          <w:szCs w:val="24"/>
        </w:rPr>
        <w:t xml:space="preserve"> Cash Conversion Cycle Analysis</w:t>
      </w:r>
      <w:bookmarkEnd w:id="109"/>
      <w:bookmarkEnd w:id="110"/>
      <w:bookmarkEnd w:id="111"/>
      <w:bookmarkEnd w:id="112"/>
      <w:bookmarkEnd w:id="113"/>
      <w:bookmarkEnd w:id="114"/>
      <w:bookmarkEnd w:id="115"/>
      <w:bookmarkEnd w:id="116"/>
      <w:bookmarkEnd w:id="117"/>
      <w:bookmarkEnd w:id="118"/>
      <w:r>
        <w:rPr>
          <w:rFonts w:hint="default" w:ascii="Arial Regular" w:hAnsi="Arial Regular" w:cs="Arial Regular"/>
          <w:b/>
          <w:bCs w:val="0"/>
          <w:i w:val="0"/>
          <w:iCs/>
          <w:sz w:val="24"/>
          <w:szCs w:val="24"/>
        </w:rPr>
        <w:t xml:space="preserve"> </w:t>
      </w:r>
    </w:p>
    <w:p w14:paraId="5FCD14CB">
      <w:pPr>
        <w:pStyle w:val="4"/>
        <w:spacing w:line="360" w:lineRule="auto"/>
        <w:jc w:val="both"/>
        <w:rPr>
          <w:rFonts w:hint="default" w:ascii="Arial Regular" w:hAnsi="Arial Regular" w:cs="Arial Regular"/>
          <w:b/>
          <w:bCs w:val="0"/>
          <w:i w:val="0"/>
          <w:iCs/>
          <w:sz w:val="24"/>
          <w:szCs w:val="24"/>
        </w:rPr>
      </w:pPr>
      <w:bookmarkStart w:id="119" w:name="_Toc278314498"/>
      <w:bookmarkStart w:id="120" w:name="_Toc213589907"/>
      <w:bookmarkStart w:id="121" w:name="_Toc1163607318"/>
      <w:bookmarkStart w:id="122" w:name="_Toc701730665"/>
      <w:bookmarkStart w:id="123" w:name="_Toc1517722411"/>
      <w:bookmarkStart w:id="124" w:name="_Toc1131179599"/>
      <w:bookmarkStart w:id="125" w:name="_Toc984198908"/>
      <w:bookmarkStart w:id="126" w:name="_Toc1201422043"/>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2.1</w:t>
      </w:r>
      <w:r>
        <w:rPr>
          <w:rFonts w:hint="default" w:ascii="Arial Regular" w:hAnsi="Arial Regular" w:cs="Arial Regular"/>
          <w:b/>
          <w:bCs w:val="0"/>
          <w:i w:val="0"/>
          <w:iCs/>
          <w:sz w:val="24"/>
          <w:szCs w:val="24"/>
        </w:rPr>
        <w:t xml:space="preserve"> Inventory Conversion Period</w:t>
      </w:r>
      <w:bookmarkEnd w:id="119"/>
      <w:bookmarkEnd w:id="120"/>
      <w:bookmarkEnd w:id="121"/>
      <w:bookmarkEnd w:id="122"/>
      <w:bookmarkEnd w:id="123"/>
      <w:bookmarkEnd w:id="124"/>
      <w:bookmarkEnd w:id="125"/>
      <w:bookmarkEnd w:id="126"/>
    </w:p>
    <w:p w14:paraId="6DC23DD6">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A fluctuating yet upward trend is evident in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Inventory Conversion Period (ICP) between </w:t>
      </w:r>
      <w:r>
        <w:rPr>
          <w:rStyle w:val="13"/>
          <w:rFonts w:hint="default" w:ascii="Arial Regular" w:hAnsi="Arial Regular" w:cs="Arial Regular"/>
          <w:b w:val="0"/>
          <w:bCs/>
          <w:i w:val="0"/>
          <w:iCs/>
          <w:sz w:val="24"/>
          <w:szCs w:val="24"/>
        </w:rPr>
        <w:t>2020 and 2024</w:t>
      </w:r>
      <w:r>
        <w:rPr>
          <w:rFonts w:hint="default" w:ascii="Arial Regular" w:hAnsi="Arial Regular" w:cs="Arial Regular"/>
          <w:b w:val="0"/>
          <w:bCs/>
          <w:i w:val="0"/>
          <w:iCs/>
          <w:sz w:val="24"/>
          <w:szCs w:val="24"/>
        </w:rPr>
        <w:t xml:space="preserve">. The ICP increased by </w:t>
      </w:r>
      <w:r>
        <w:rPr>
          <w:rStyle w:val="13"/>
          <w:rFonts w:hint="default" w:ascii="Arial Regular" w:hAnsi="Arial Regular" w:cs="Arial Regular"/>
          <w:b w:val="0"/>
          <w:bCs/>
          <w:i w:val="0"/>
          <w:iCs/>
          <w:sz w:val="24"/>
          <w:szCs w:val="24"/>
        </w:rPr>
        <w:t>67.1% from 35.6 days in 2020</w:t>
      </w:r>
      <w:r>
        <w:rPr>
          <w:rFonts w:hint="default" w:ascii="Arial Regular" w:hAnsi="Arial Regular" w:cs="Arial Regular"/>
          <w:b w:val="0"/>
          <w:bCs/>
          <w:i w:val="0"/>
          <w:iCs/>
          <w:sz w:val="24"/>
          <w:szCs w:val="24"/>
        </w:rPr>
        <w:t xml:space="preserve">, indicating changes in procurement and supply chain management. An additional </w:t>
      </w:r>
      <w:r>
        <w:rPr>
          <w:rStyle w:val="13"/>
          <w:rFonts w:hint="default" w:ascii="Arial Regular" w:hAnsi="Arial Regular" w:cs="Arial Regular"/>
          <w:b w:val="0"/>
          <w:bCs/>
          <w:i w:val="0"/>
          <w:iCs/>
          <w:sz w:val="24"/>
          <w:szCs w:val="24"/>
        </w:rPr>
        <w:t>17.8% improvement was recorded in 2022</w:t>
      </w:r>
      <w:r>
        <w:rPr>
          <w:rFonts w:hint="default" w:ascii="Arial Regular" w:hAnsi="Arial Regular" w:cs="Arial Regular"/>
          <w:b w:val="0"/>
          <w:bCs/>
          <w:i w:val="0"/>
          <w:iCs/>
          <w:sz w:val="24"/>
          <w:szCs w:val="24"/>
        </w:rPr>
        <w:t xml:space="preserve">, followed by a further rise to </w:t>
      </w:r>
      <w:r>
        <w:rPr>
          <w:rStyle w:val="13"/>
          <w:rFonts w:hint="default" w:ascii="Arial Regular" w:hAnsi="Arial Regular" w:cs="Arial Regular"/>
          <w:b w:val="0"/>
          <w:bCs/>
          <w:i w:val="0"/>
          <w:iCs/>
          <w:sz w:val="24"/>
          <w:szCs w:val="24"/>
        </w:rPr>
        <w:t>84.5 days in 2023 (+20.5%)</w:t>
      </w:r>
      <w:r>
        <w:rPr>
          <w:rFonts w:hint="default" w:ascii="Arial Regular" w:hAnsi="Arial Regular" w:cs="Arial Regular"/>
          <w:b w:val="0"/>
          <w:bCs/>
          <w:i w:val="0"/>
          <w:iCs/>
          <w:sz w:val="24"/>
          <w:szCs w:val="24"/>
        </w:rPr>
        <w:t xml:space="preserve">. In </w:t>
      </w:r>
      <w:r>
        <w:rPr>
          <w:rStyle w:val="13"/>
          <w:rFonts w:hint="default" w:ascii="Arial Regular" w:hAnsi="Arial Regular" w:cs="Arial Regular"/>
          <w:b w:val="0"/>
          <w:bCs/>
          <w:i w:val="0"/>
          <w:iCs/>
          <w:sz w:val="24"/>
          <w:szCs w:val="24"/>
        </w:rPr>
        <w:t>2024</w:t>
      </w:r>
      <w:r>
        <w:rPr>
          <w:rFonts w:hint="default" w:ascii="Arial Regular" w:hAnsi="Arial Regular" w:cs="Arial Regular"/>
          <w:b w:val="0"/>
          <w:bCs/>
          <w:i w:val="0"/>
          <w:iCs/>
          <w:sz w:val="24"/>
          <w:szCs w:val="24"/>
        </w:rPr>
        <w:t xml:space="preserve">, the ICP increased slightly by </w:t>
      </w:r>
      <w:r>
        <w:rPr>
          <w:rStyle w:val="13"/>
          <w:rFonts w:hint="default" w:ascii="Arial Regular" w:hAnsi="Arial Regular" w:cs="Arial Regular"/>
          <w:b w:val="0"/>
          <w:bCs/>
          <w:i w:val="0"/>
          <w:iCs/>
          <w:sz w:val="24"/>
          <w:szCs w:val="24"/>
        </w:rPr>
        <w:t>14.3%</w:t>
      </w:r>
      <w:r>
        <w:rPr>
          <w:rFonts w:hint="default" w:ascii="Arial Regular" w:hAnsi="Arial Regular" w:cs="Arial Regular"/>
          <w:b w:val="0"/>
          <w:bCs/>
          <w:i w:val="0"/>
          <w:iCs/>
          <w:sz w:val="24"/>
          <w:szCs w:val="24"/>
        </w:rPr>
        <w:t xml:space="preserve">, reaching </w:t>
      </w:r>
      <w:r>
        <w:rPr>
          <w:rStyle w:val="13"/>
          <w:rFonts w:hint="default" w:ascii="Arial Regular" w:hAnsi="Arial Regular" w:cs="Arial Regular"/>
          <w:b w:val="0"/>
          <w:bCs/>
          <w:i w:val="0"/>
          <w:iCs/>
          <w:sz w:val="24"/>
          <w:szCs w:val="24"/>
        </w:rPr>
        <w:t>96.6 days</w:t>
      </w:r>
      <w:r>
        <w:rPr>
          <w:rFonts w:hint="default" w:ascii="Arial Regular" w:hAnsi="Arial Regular" w:cs="Arial Regular"/>
          <w:b w:val="0"/>
          <w:bCs/>
          <w:i w:val="0"/>
          <w:iCs/>
          <w:sz w:val="24"/>
          <w:szCs w:val="24"/>
        </w:rPr>
        <w:t xml:space="preserve">, reflecting partial operational recovery. Overall, the ICP rose by </w:t>
      </w:r>
      <w:r>
        <w:rPr>
          <w:rStyle w:val="13"/>
          <w:rFonts w:hint="default" w:ascii="Arial Regular" w:hAnsi="Arial Regular" w:cs="Arial Regular"/>
          <w:b w:val="0"/>
          <w:bCs/>
          <w:i w:val="0"/>
          <w:iCs/>
          <w:sz w:val="24"/>
          <w:szCs w:val="24"/>
        </w:rPr>
        <w:t>171.3% over five years</w:t>
      </w:r>
      <w:r>
        <w:rPr>
          <w:rFonts w:hint="default" w:ascii="Arial Regular" w:hAnsi="Arial Regular" w:cs="Arial Regular"/>
          <w:b w:val="0"/>
          <w:bCs/>
          <w:i w:val="0"/>
          <w:iCs/>
          <w:sz w:val="24"/>
          <w:szCs w:val="24"/>
        </w:rPr>
        <w:t>, signalling slower inventory turnover, elevated stock holdings, and a growing need for stronger inventory optimisation and demand forecasting practices.</w:t>
      </w:r>
    </w:p>
    <w:p w14:paraId="7F5B6953">
      <w:pPr>
        <w:pStyle w:val="4"/>
        <w:spacing w:line="360" w:lineRule="auto"/>
        <w:jc w:val="both"/>
        <w:rPr>
          <w:rFonts w:hint="default" w:ascii="Arial Regular" w:hAnsi="Arial Regular" w:cs="Arial Regular"/>
          <w:b/>
          <w:bCs w:val="0"/>
          <w:i w:val="0"/>
          <w:iCs/>
          <w:sz w:val="24"/>
          <w:szCs w:val="24"/>
        </w:rPr>
      </w:pPr>
      <w:bookmarkStart w:id="127" w:name="_Toc1173241532"/>
      <w:bookmarkStart w:id="128" w:name="_Toc62793502"/>
      <w:bookmarkStart w:id="129" w:name="_Toc969029583"/>
      <w:bookmarkStart w:id="130" w:name="_Toc1762104044"/>
      <w:bookmarkStart w:id="131" w:name="_Toc549802611"/>
      <w:bookmarkStart w:id="132" w:name="_Toc1020260171"/>
      <w:bookmarkStart w:id="133" w:name="_Toc1659027607"/>
      <w:bookmarkStart w:id="134" w:name="_Toc213589908"/>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2.</w:t>
      </w:r>
      <w:r>
        <w:rPr>
          <w:rFonts w:hint="default" w:ascii="Arial Regular" w:hAnsi="Arial Regular" w:cs="Arial Regular"/>
          <w:b/>
          <w:bCs w:val="0"/>
          <w:i w:val="0"/>
          <w:iCs/>
          <w:sz w:val="24"/>
          <w:szCs w:val="24"/>
        </w:rPr>
        <w:t>2 Receivables Collection Period</w:t>
      </w:r>
      <w:bookmarkEnd w:id="127"/>
      <w:bookmarkEnd w:id="128"/>
      <w:bookmarkEnd w:id="129"/>
      <w:bookmarkEnd w:id="130"/>
      <w:bookmarkEnd w:id="131"/>
      <w:bookmarkEnd w:id="132"/>
      <w:bookmarkEnd w:id="133"/>
      <w:bookmarkEnd w:id="134"/>
    </w:p>
    <w:p w14:paraId="18BF77FD">
      <w:pPr>
        <w:bidi w:val="0"/>
        <w:spacing w:line="360" w:lineRule="auto"/>
        <w:jc w:val="both"/>
        <w:rPr>
          <w:rFonts w:hint="default" w:ascii="Arial Regular" w:hAnsi="Arial Regular" w:cs="Arial Regular"/>
          <w:b w:val="0"/>
          <w:bCs/>
          <w:i w:val="0"/>
          <w:iCs/>
          <w:sz w:val="24"/>
          <w:szCs w:val="24"/>
        </w:rPr>
      </w:pPr>
      <w:bookmarkStart w:id="135" w:name="_Toc955917437"/>
      <w:bookmarkStart w:id="136" w:name="_Toc1883175378"/>
      <w:bookmarkStart w:id="137" w:name="_Toc349318201"/>
      <w:r>
        <w:rPr>
          <w:rFonts w:hint="default" w:ascii="Arial Regular" w:hAnsi="Arial Regular" w:cs="Arial Regular"/>
          <w:b w:val="0"/>
          <w:bCs/>
          <w:i w:val="0"/>
          <w:iCs/>
          <w:sz w:val="24"/>
          <w:szCs w:val="24"/>
        </w:rPr>
        <w:t xml:space="preserve">Accounts receivable at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declined by 11.78% in 2024, directly strengthening liquidity and improving cash flow management. This reduction reflects faster customer payments, improved credit control policies, and shorter credit periods in the sale of electronic products. Lower receivables have enabled quicker access to cash, supporting reinvestment in new electronic manufacturing activities. At the same time, the UK electronics market has experienced increased borrowing, largely driven by rising capital expenditure requirements. In line with this trend,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expanded its line of credit by 84.4% in 2024, facilitating technological upgrades and enabling the firm to adapt to regulatory changes and evolving market demands.</w:t>
      </w:r>
      <w:bookmarkEnd w:id="135"/>
      <w:bookmarkEnd w:id="136"/>
      <w:bookmarkEnd w:id="137"/>
    </w:p>
    <w:p w14:paraId="58279CE2">
      <w:pPr>
        <w:pStyle w:val="4"/>
        <w:spacing w:line="360" w:lineRule="auto"/>
        <w:jc w:val="both"/>
        <w:rPr>
          <w:rFonts w:hint="default" w:ascii="Arial Regular" w:hAnsi="Arial Regular" w:cs="Arial Regular"/>
          <w:b/>
          <w:bCs w:val="0"/>
          <w:i w:val="0"/>
          <w:iCs/>
          <w:sz w:val="24"/>
          <w:szCs w:val="24"/>
        </w:rPr>
      </w:pPr>
      <w:bookmarkStart w:id="138" w:name="_Toc1918196956"/>
      <w:bookmarkStart w:id="139" w:name="_Toc2057833683"/>
      <w:bookmarkStart w:id="140" w:name="_Toc914588560"/>
      <w:bookmarkStart w:id="141" w:name="_Toc779200452"/>
      <w:bookmarkStart w:id="142" w:name="_Toc2003256349"/>
      <w:bookmarkStart w:id="143" w:name="_Toc2111706280"/>
      <w:bookmarkStart w:id="144" w:name="_Toc213589909"/>
      <w:bookmarkStart w:id="145" w:name="_Toc475581570"/>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2.</w:t>
      </w:r>
      <w:r>
        <w:rPr>
          <w:rFonts w:hint="default" w:ascii="Arial Regular" w:hAnsi="Arial Regular" w:cs="Arial Regular"/>
          <w:b/>
          <w:bCs w:val="0"/>
          <w:i w:val="0"/>
          <w:iCs/>
          <w:sz w:val="24"/>
          <w:szCs w:val="24"/>
        </w:rPr>
        <w:t>3 Payables Deferral Period</w:t>
      </w:r>
      <w:bookmarkEnd w:id="138"/>
      <w:bookmarkEnd w:id="139"/>
      <w:bookmarkEnd w:id="140"/>
      <w:bookmarkEnd w:id="141"/>
      <w:bookmarkEnd w:id="142"/>
      <w:bookmarkEnd w:id="143"/>
      <w:bookmarkEnd w:id="144"/>
      <w:bookmarkEnd w:id="145"/>
    </w:p>
    <w:p w14:paraId="3A3EE701">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increased its accounts payable days by </w:t>
      </w:r>
      <w:r>
        <w:rPr>
          <w:rStyle w:val="13"/>
          <w:rFonts w:hint="default" w:ascii="Arial Regular" w:hAnsi="Arial Regular" w:cs="Arial Regular"/>
          <w:b w:val="0"/>
          <w:bCs/>
          <w:i w:val="0"/>
          <w:iCs/>
          <w:sz w:val="24"/>
          <w:szCs w:val="24"/>
        </w:rPr>
        <w:t>89% between 2020 and 2024</w:t>
      </w:r>
      <w:r>
        <w:rPr>
          <w:rFonts w:hint="default" w:ascii="Arial Regular" w:hAnsi="Arial Regular" w:cs="Arial Regular"/>
          <w:b w:val="0"/>
          <w:bCs/>
          <w:i w:val="0"/>
          <w:iCs/>
          <w:sz w:val="24"/>
          <w:szCs w:val="24"/>
        </w:rPr>
        <w:t xml:space="preserve">, strengthening short-term financial flexibility and supporting cash flow stability. Extending payment periods has enabled the firm to better manage liquidity while maintaining supplier relationships, contributing to improved financial resilience. At an industry level, the UK government has allocated </w:t>
      </w:r>
      <w:r>
        <w:rPr>
          <w:rStyle w:val="13"/>
          <w:rFonts w:hint="default" w:ascii="Arial Regular" w:hAnsi="Arial Regular" w:cs="Arial Regular"/>
          <w:b w:val="0"/>
          <w:bCs/>
          <w:i w:val="0"/>
          <w:iCs/>
          <w:sz w:val="24"/>
          <w:szCs w:val="24"/>
        </w:rPr>
        <w:t>£10m in financial grants in 2024</w:t>
      </w:r>
      <w:r>
        <w:rPr>
          <w:rFonts w:hint="default" w:ascii="Arial Regular" w:hAnsi="Arial Regular" w:cs="Arial Regular"/>
          <w:b w:val="0"/>
          <w:bCs/>
          <w:i w:val="0"/>
          <w:iCs/>
          <w:sz w:val="24"/>
          <w:szCs w:val="24"/>
        </w:rPr>
        <w:t xml:space="preserve"> to support semiconductor innovation and advanced electronics manufacturing, reinforcing sector-wide investment and capability development (UK Government, 2024). Such statutory and public investments have supported product quality improvements, allowing firms like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 xml:space="preserve"> </w:t>
      </w:r>
      <w:r>
        <w:rPr>
          <w:rFonts w:hint="default" w:ascii="Arial Regular" w:hAnsi="Arial Regular" w:cs="Arial Regular"/>
          <w:b w:val="0"/>
          <w:bCs/>
          <w:i w:val="0"/>
          <w:iCs/>
          <w:sz w:val="24"/>
          <w:szCs w:val="24"/>
        </w:rPr>
        <w:t>to enhance competitiveness and sustain long-term strategic advantage.</w:t>
      </w:r>
    </w:p>
    <w:p w14:paraId="4790472E">
      <w:pPr>
        <w:pStyle w:val="4"/>
        <w:spacing w:line="360" w:lineRule="auto"/>
        <w:jc w:val="both"/>
        <w:rPr>
          <w:rFonts w:hint="default" w:ascii="Arial Regular" w:hAnsi="Arial Regular" w:cs="Arial Regular"/>
          <w:b/>
          <w:bCs w:val="0"/>
          <w:i w:val="0"/>
          <w:iCs/>
          <w:sz w:val="24"/>
          <w:szCs w:val="24"/>
        </w:rPr>
      </w:pPr>
      <w:bookmarkStart w:id="146" w:name="_Toc165312856"/>
      <w:bookmarkStart w:id="147" w:name="_Toc1949466341"/>
      <w:bookmarkStart w:id="148" w:name="_Toc666717358"/>
      <w:bookmarkStart w:id="149" w:name="_Toc786575246"/>
      <w:bookmarkStart w:id="150" w:name="_Toc213589910"/>
      <w:bookmarkStart w:id="151" w:name="_Toc1111730728"/>
      <w:bookmarkStart w:id="152" w:name="_Toc2132697638"/>
      <w:bookmarkStart w:id="153" w:name="_Toc480839977"/>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2.</w:t>
      </w:r>
      <w:r>
        <w:rPr>
          <w:rFonts w:hint="default" w:ascii="Arial Regular" w:hAnsi="Arial Regular" w:cs="Arial Regular"/>
          <w:b/>
          <w:bCs w:val="0"/>
          <w:i w:val="0"/>
          <w:iCs/>
          <w:sz w:val="24"/>
          <w:szCs w:val="24"/>
        </w:rPr>
        <w:t>4 Net Cash Operating Cycle Evaluation</w:t>
      </w:r>
      <w:bookmarkEnd w:id="146"/>
      <w:bookmarkEnd w:id="147"/>
      <w:bookmarkEnd w:id="148"/>
      <w:bookmarkEnd w:id="149"/>
      <w:bookmarkEnd w:id="150"/>
      <w:bookmarkEnd w:id="151"/>
      <w:bookmarkEnd w:id="152"/>
      <w:bookmarkEnd w:id="153"/>
    </w:p>
    <w:p w14:paraId="3B08B471">
      <w:pPr>
        <w:pStyle w:val="12"/>
        <w:keepNext w:val="0"/>
        <w:keepLines w:val="0"/>
        <w:widowControl/>
        <w:suppressLineNumbers w:val="0"/>
        <w:spacing w:line="360" w:lineRule="auto"/>
        <w:jc w:val="both"/>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rPr>
        <w:t xml:space="preserve">The table presents the Net Cash Operating Cycle (NCOC) for the period </w:t>
      </w:r>
      <w:r>
        <w:rPr>
          <w:rStyle w:val="13"/>
          <w:rFonts w:hint="default" w:ascii="Arial Regular" w:hAnsi="Arial Regular" w:cs="Arial Regular"/>
          <w:b w:val="0"/>
          <w:bCs/>
          <w:i w:val="0"/>
          <w:iCs/>
          <w:sz w:val="24"/>
          <w:szCs w:val="24"/>
        </w:rPr>
        <w:t>2020–2024</w:t>
      </w:r>
      <w:r>
        <w:rPr>
          <w:rFonts w:hint="default" w:ascii="Arial Regular" w:hAnsi="Arial Regular" w:cs="Arial Regular"/>
          <w:b w:val="0"/>
          <w:bCs/>
          <w:i w:val="0"/>
          <w:iCs/>
          <w:sz w:val="24"/>
          <w:szCs w:val="24"/>
        </w:rPr>
        <w:t xml:space="preserve">, highlighting changes in operational efficiency over time. Extended receivables and inventory holding periods contributed to a rise in NCOC from </w:t>
      </w:r>
      <w:r>
        <w:rPr>
          <w:rStyle w:val="13"/>
          <w:rFonts w:hint="default" w:ascii="Arial Regular" w:hAnsi="Arial Regular" w:cs="Arial Regular"/>
          <w:b w:val="0"/>
          <w:bCs/>
          <w:i w:val="0"/>
          <w:iCs/>
          <w:sz w:val="24"/>
          <w:szCs w:val="24"/>
        </w:rPr>
        <w:t>88.2 days in 2020 to 110.3 days in 2021</w:t>
      </w:r>
      <w:r>
        <w:rPr>
          <w:rFonts w:hint="default" w:ascii="Arial Regular" w:hAnsi="Arial Regular" w:cs="Arial Regular"/>
          <w:b w:val="0"/>
          <w:bCs/>
          <w:i w:val="0"/>
          <w:iCs/>
          <w:sz w:val="24"/>
          <w:szCs w:val="24"/>
        </w:rPr>
        <w:t xml:space="preserve">. Continued delays in cash recovery led to further pressure, with the NCOC reaching </w:t>
      </w:r>
      <w:r>
        <w:rPr>
          <w:rStyle w:val="13"/>
          <w:rFonts w:hint="default" w:ascii="Arial Regular" w:hAnsi="Arial Regular" w:cs="Arial Regular"/>
          <w:b w:val="0"/>
          <w:bCs/>
          <w:i w:val="0"/>
          <w:iCs/>
          <w:sz w:val="24"/>
          <w:szCs w:val="24"/>
        </w:rPr>
        <w:t>127.1 days in 2023</w:t>
      </w:r>
      <w:r>
        <w:rPr>
          <w:rFonts w:hint="default" w:ascii="Arial Regular" w:hAnsi="Arial Regular" w:cs="Arial Regular"/>
          <w:b w:val="0"/>
          <w:bCs/>
          <w:i w:val="0"/>
          <w:iCs/>
          <w:sz w:val="24"/>
          <w:szCs w:val="24"/>
        </w:rPr>
        <w:t xml:space="preserve">, indicating fluctuating cash management performance. However, in </w:t>
      </w:r>
      <w:r>
        <w:rPr>
          <w:rStyle w:val="13"/>
          <w:rFonts w:hint="default" w:ascii="Arial Regular" w:hAnsi="Arial Regular" w:cs="Arial Regular"/>
          <w:b w:val="0"/>
          <w:bCs/>
          <w:i w:val="0"/>
          <w:iCs/>
          <w:sz w:val="24"/>
          <w:szCs w:val="24"/>
        </w:rPr>
        <w:t>2024</w:t>
      </w:r>
      <w:r>
        <w:rPr>
          <w:rFonts w:hint="default" w:ascii="Arial Regular" w:hAnsi="Arial Regular" w:cs="Arial Regular"/>
          <w:b w:val="0"/>
          <w:bCs/>
          <w:i w:val="0"/>
          <w:iCs/>
          <w:sz w:val="24"/>
          <w:szCs w:val="24"/>
        </w:rPr>
        <w:t xml:space="preserve">, the NCOC improved significantly, recording a </w:t>
      </w:r>
      <w:r>
        <w:rPr>
          <w:rStyle w:val="13"/>
          <w:rFonts w:hint="default" w:ascii="Arial Regular" w:hAnsi="Arial Regular" w:cs="Arial Regular"/>
          <w:b w:val="0"/>
          <w:bCs/>
          <w:i w:val="0"/>
          <w:iCs/>
          <w:sz w:val="24"/>
          <w:szCs w:val="24"/>
        </w:rPr>
        <w:t>58% change to approximately 52.4 days</w:t>
      </w:r>
      <w:r>
        <w:rPr>
          <w:rFonts w:hint="default" w:ascii="Arial Regular" w:hAnsi="Arial Regular" w:cs="Arial Regular"/>
          <w:b w:val="0"/>
          <w:bCs/>
          <w:i w:val="0"/>
          <w:iCs/>
          <w:sz w:val="24"/>
          <w:szCs w:val="24"/>
        </w:rPr>
        <w:t xml:space="preserve"> compared to 2023. This reduction reflects faster cash conversion, improved inventory turnover, and stronger liquidity resulting from enhanced financial efficiency.</w:t>
      </w:r>
      <w:r>
        <w:rPr>
          <w:rFonts w:hint="default" w:ascii="Arial Regular" w:hAnsi="Arial Regular" w:cs="Arial Regular"/>
          <w:b w:val="0"/>
          <w:bCs/>
          <w:i w:val="0"/>
          <w:iCs/>
          <w:sz w:val="24"/>
          <w:szCs w:val="24"/>
          <w:lang w:val="de-DE"/>
        </w:rPr>
        <w:t xml:space="preserve"> </w:t>
      </w:r>
    </w:p>
    <w:p w14:paraId="749EC669">
      <w:pPr>
        <w:pStyle w:val="3"/>
        <w:spacing w:line="360" w:lineRule="auto"/>
        <w:jc w:val="both"/>
        <w:rPr>
          <w:rFonts w:hint="default" w:ascii="Arial Regular" w:hAnsi="Arial Regular" w:cs="Arial Regular"/>
          <w:b/>
          <w:bCs w:val="0"/>
          <w:i w:val="0"/>
          <w:iCs/>
          <w:sz w:val="24"/>
          <w:szCs w:val="24"/>
        </w:rPr>
      </w:pPr>
      <w:bookmarkStart w:id="154" w:name="_Toc487510337"/>
      <w:bookmarkStart w:id="155" w:name="_Toc60828590"/>
      <w:bookmarkStart w:id="156" w:name="_Toc2096449507"/>
      <w:bookmarkStart w:id="157" w:name="_Toc213589911"/>
      <w:bookmarkStart w:id="158" w:name="_Toc923138255"/>
      <w:bookmarkStart w:id="159" w:name="_Toc1166423234"/>
      <w:bookmarkStart w:id="160" w:name="_Toc1750616596"/>
      <w:bookmarkStart w:id="161" w:name="_Toc173248352"/>
      <w:bookmarkStart w:id="162" w:name="_Toc522790908"/>
      <w:bookmarkStart w:id="163" w:name="_Toc54526604"/>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3</w:t>
      </w:r>
      <w:r>
        <w:rPr>
          <w:rFonts w:hint="default" w:ascii="Arial Regular" w:hAnsi="Arial Regular" w:cs="Arial Regular"/>
          <w:b/>
          <w:bCs w:val="0"/>
          <w:i w:val="0"/>
          <w:iCs/>
          <w:sz w:val="24"/>
          <w:szCs w:val="24"/>
        </w:rPr>
        <w:t xml:space="preserve"> Working Capital Improvement Strategies</w:t>
      </w:r>
      <w:bookmarkEnd w:id="154"/>
      <w:bookmarkEnd w:id="155"/>
      <w:bookmarkEnd w:id="156"/>
      <w:bookmarkEnd w:id="157"/>
      <w:bookmarkEnd w:id="158"/>
      <w:bookmarkEnd w:id="159"/>
      <w:bookmarkEnd w:id="160"/>
      <w:bookmarkEnd w:id="161"/>
      <w:bookmarkEnd w:id="162"/>
      <w:bookmarkEnd w:id="163"/>
      <w:r>
        <w:rPr>
          <w:rFonts w:hint="default" w:ascii="Arial Regular" w:hAnsi="Arial Regular" w:cs="Arial Regular"/>
          <w:b/>
          <w:bCs w:val="0"/>
          <w:i w:val="0"/>
          <w:iCs/>
          <w:sz w:val="24"/>
          <w:szCs w:val="24"/>
        </w:rPr>
        <w:t xml:space="preserve"> </w:t>
      </w:r>
    </w:p>
    <w:p w14:paraId="0CC091CA">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has experienced a decline in liquidity ratios, which has negatively impacted its operational productivity. To address working capital challenges, firms increasingly adopt collaboration strategies that strengthen financial flexibility and operational efficiency. Strategic partnerships can enhance workforce skills and supply chain capabilities, improving inventory management and cash flow performance (KPMG, 2025). For example, </w:t>
      </w:r>
      <w:r>
        <w:rPr>
          <w:rStyle w:val="13"/>
          <w:rFonts w:hint="default" w:ascii="Arial Regular" w:hAnsi="Arial Regular" w:cs="Arial Regular"/>
          <w:b w:val="0"/>
          <w:bCs/>
          <w:i w:val="0"/>
          <w:iCs/>
          <w:sz w:val="24"/>
          <w:szCs w:val="24"/>
        </w:rPr>
        <w:t>Cobham and Ultra Electronics pledged £5 million to support engineering scholarships and skills development</w:t>
      </w:r>
      <w:r>
        <w:rPr>
          <w:rFonts w:hint="default" w:ascii="Arial Regular" w:hAnsi="Arial Regular" w:cs="Arial Regular"/>
          <w:b w:val="0"/>
          <w:bCs/>
          <w:i w:val="0"/>
          <w:iCs/>
          <w:sz w:val="24"/>
          <w:szCs w:val="24"/>
        </w:rPr>
        <w:t xml:space="preserve">, fostering a more capable talent pool for technical and inventory roles (Cobham &amp; Ultra, 2023). Such collaborative business tie-ups can help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reduce financial risks and enhance inventory optimisation amid market pressures.</w:t>
      </w:r>
    </w:p>
    <w:p w14:paraId="39727F4A">
      <w:pPr>
        <w:pStyle w:val="3"/>
        <w:spacing w:line="360" w:lineRule="auto"/>
        <w:jc w:val="both"/>
        <w:rPr>
          <w:rFonts w:hint="default" w:ascii="Arial Regular" w:hAnsi="Arial Regular" w:cs="Arial Regular"/>
          <w:b/>
          <w:bCs w:val="0"/>
          <w:i w:val="0"/>
          <w:iCs/>
          <w:sz w:val="24"/>
          <w:szCs w:val="24"/>
        </w:rPr>
      </w:pPr>
      <w:bookmarkStart w:id="164" w:name="_Toc213589912"/>
      <w:bookmarkStart w:id="165" w:name="_Toc1191190879"/>
      <w:bookmarkStart w:id="166" w:name="_Toc2087165072"/>
      <w:bookmarkStart w:id="167" w:name="_Toc1262667820"/>
      <w:bookmarkStart w:id="168" w:name="_Toc1844564022"/>
      <w:bookmarkStart w:id="169" w:name="_Toc143896158"/>
      <w:bookmarkStart w:id="170" w:name="_Toc1762785857"/>
      <w:bookmarkStart w:id="171" w:name="_Toc936120654"/>
      <w:bookmarkStart w:id="172" w:name="_Toc1944710379"/>
      <w:bookmarkStart w:id="173" w:name="_Toc1600599806"/>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4</w:t>
      </w:r>
      <w:r>
        <w:rPr>
          <w:rFonts w:hint="default" w:ascii="Arial Regular" w:hAnsi="Arial Regular" w:cs="Arial Regular"/>
          <w:b/>
          <w:bCs w:val="0"/>
          <w:i w:val="0"/>
          <w:iCs/>
          <w:sz w:val="24"/>
          <w:szCs w:val="24"/>
        </w:rPr>
        <w:t xml:space="preserve"> Short-Term vs. Long-Term Financing Evaluation</w:t>
      </w:r>
      <w:bookmarkEnd w:id="164"/>
      <w:bookmarkEnd w:id="165"/>
      <w:bookmarkEnd w:id="166"/>
      <w:bookmarkEnd w:id="167"/>
      <w:bookmarkEnd w:id="168"/>
      <w:bookmarkEnd w:id="169"/>
      <w:bookmarkEnd w:id="170"/>
      <w:bookmarkEnd w:id="171"/>
      <w:bookmarkEnd w:id="172"/>
      <w:bookmarkEnd w:id="173"/>
      <w:r>
        <w:rPr>
          <w:rFonts w:hint="default" w:ascii="Arial Regular" w:hAnsi="Arial Regular" w:cs="Arial Regular"/>
          <w:b/>
          <w:bCs w:val="0"/>
          <w:i w:val="0"/>
          <w:iCs/>
          <w:sz w:val="24"/>
          <w:szCs w:val="24"/>
        </w:rPr>
        <w:t xml:space="preserve"> </w:t>
      </w:r>
    </w:p>
    <w:p w14:paraId="788A0B8D">
      <w:pPr>
        <w:pStyle w:val="4"/>
        <w:spacing w:line="360" w:lineRule="auto"/>
        <w:jc w:val="both"/>
        <w:rPr>
          <w:rFonts w:hint="default" w:ascii="Arial Regular" w:hAnsi="Arial Regular" w:cs="Arial Regular"/>
          <w:b/>
          <w:bCs w:val="0"/>
          <w:i w:val="0"/>
          <w:iCs/>
          <w:sz w:val="24"/>
          <w:szCs w:val="24"/>
        </w:rPr>
      </w:pPr>
      <w:bookmarkStart w:id="174" w:name="_Toc396140984"/>
      <w:bookmarkStart w:id="175" w:name="_Toc213589913"/>
      <w:bookmarkStart w:id="176" w:name="_Toc224651086"/>
      <w:bookmarkStart w:id="177" w:name="_Toc1900777120"/>
      <w:bookmarkStart w:id="178" w:name="_Toc457504587"/>
      <w:bookmarkStart w:id="179" w:name="_Toc46232513"/>
      <w:bookmarkStart w:id="180" w:name="_Toc1502546019"/>
      <w:bookmarkStart w:id="181" w:name="_Toc1985475006"/>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4</w:t>
      </w:r>
      <w:r>
        <w:rPr>
          <w:rFonts w:hint="default" w:ascii="Arial Regular" w:hAnsi="Arial Regular" w:cs="Arial Regular"/>
          <w:b/>
          <w:bCs w:val="0"/>
          <w:i w:val="0"/>
          <w:iCs/>
          <w:sz w:val="24"/>
          <w:szCs w:val="24"/>
        </w:rPr>
        <w:t>.1 Short-Term Options</w:t>
      </w:r>
      <w:bookmarkEnd w:id="174"/>
      <w:bookmarkEnd w:id="175"/>
      <w:bookmarkEnd w:id="176"/>
      <w:bookmarkEnd w:id="177"/>
      <w:bookmarkEnd w:id="178"/>
      <w:bookmarkEnd w:id="179"/>
      <w:bookmarkEnd w:id="180"/>
      <w:bookmarkEnd w:id="181"/>
      <w:r>
        <w:rPr>
          <w:rFonts w:hint="default" w:ascii="Arial Regular" w:hAnsi="Arial Regular" w:cs="Arial Regular"/>
          <w:b/>
          <w:bCs w:val="0"/>
          <w:i w:val="0"/>
          <w:iCs/>
          <w:sz w:val="24"/>
          <w:szCs w:val="24"/>
        </w:rPr>
        <w:t xml:space="preserve"> </w:t>
      </w:r>
    </w:p>
    <w:p w14:paraId="619CAC29">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provision for credit losses at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increased by </w:t>
      </w:r>
      <w:r>
        <w:rPr>
          <w:rStyle w:val="13"/>
          <w:rFonts w:hint="default" w:ascii="Arial Regular" w:hAnsi="Arial Regular" w:cs="Arial Regular"/>
          <w:b w:val="0"/>
          <w:bCs/>
          <w:i w:val="0"/>
          <w:iCs/>
          <w:sz w:val="24"/>
          <w:szCs w:val="24"/>
        </w:rPr>
        <w:t>225.6% in 2024</w:t>
      </w:r>
      <w:r>
        <w:rPr>
          <w:rFonts w:hint="default" w:ascii="Arial Regular" w:hAnsi="Arial Regular" w:cs="Arial Regular"/>
          <w:b w:val="0"/>
          <w:bCs/>
          <w:i w:val="0"/>
          <w:iCs/>
          <w:sz w:val="24"/>
          <w:szCs w:val="24"/>
        </w:rPr>
        <w:t xml:space="preserve">, signalling a sharp rise in debt obligations and credit risk. Cash flow weakened as spending on essential electronic products was reduced to meet repayment commitments. Despite this pressure, user penetration is projected to reach </w:t>
      </w:r>
      <w:r>
        <w:rPr>
          <w:rStyle w:val="13"/>
          <w:rFonts w:hint="default" w:ascii="Arial Regular" w:hAnsi="Arial Regular" w:cs="Arial Regular"/>
          <w:b w:val="0"/>
          <w:bCs/>
          <w:i w:val="0"/>
          <w:iCs/>
          <w:sz w:val="24"/>
          <w:szCs w:val="24"/>
        </w:rPr>
        <w:t>48.7% in 2025</w:t>
      </w:r>
      <w:r>
        <w:rPr>
          <w:rFonts w:hint="default" w:ascii="Arial Regular" w:hAnsi="Arial Regular" w:cs="Arial Regular"/>
          <w:b w:val="0"/>
          <w:bCs/>
          <w:i w:val="0"/>
          <w:iCs/>
          <w:sz w:val="24"/>
          <w:szCs w:val="24"/>
        </w:rPr>
        <w:t xml:space="preserve">, indicating growing demand within the electronics market (Statista, 2025). However, repayments on lines of credit declined by </w:t>
      </w:r>
      <w:r>
        <w:rPr>
          <w:rStyle w:val="13"/>
          <w:rFonts w:hint="default" w:ascii="Arial Regular" w:hAnsi="Arial Regular" w:cs="Arial Regular"/>
          <w:b w:val="0"/>
          <w:bCs/>
          <w:i w:val="0"/>
          <w:iCs/>
          <w:sz w:val="24"/>
          <w:szCs w:val="24"/>
        </w:rPr>
        <w:t>2.44% in 2024</w:t>
      </w:r>
      <w:r>
        <w:rPr>
          <w:rFonts w:hint="default" w:ascii="Arial Regular" w:hAnsi="Arial Regular" w:cs="Arial Regular"/>
          <w:b w:val="0"/>
          <w:bCs/>
          <w:i w:val="0"/>
          <w:iCs/>
          <w:sz w:val="24"/>
          <w:szCs w:val="24"/>
        </w:rPr>
        <w:t>, contributing to higher interest costs and penalty charges, which further constrained purchasing activity.</w:t>
      </w:r>
    </w:p>
    <w:p w14:paraId="4AD9881F">
      <w:pPr>
        <w:pStyle w:val="4"/>
        <w:spacing w:line="360" w:lineRule="auto"/>
        <w:jc w:val="both"/>
        <w:rPr>
          <w:rFonts w:hint="default" w:ascii="Arial Regular" w:hAnsi="Arial Regular" w:cs="Arial Regular"/>
          <w:b/>
          <w:bCs w:val="0"/>
          <w:i w:val="0"/>
          <w:iCs/>
          <w:sz w:val="24"/>
          <w:szCs w:val="24"/>
        </w:rPr>
      </w:pPr>
      <w:bookmarkStart w:id="182" w:name="_Toc434550976"/>
      <w:bookmarkStart w:id="183" w:name="_Toc394323068"/>
      <w:bookmarkStart w:id="184" w:name="_Toc1030736260"/>
      <w:bookmarkStart w:id="185" w:name="_Toc213589914"/>
      <w:bookmarkStart w:id="186" w:name="_Toc1288137449"/>
      <w:bookmarkStart w:id="187" w:name="_Toc742212388"/>
      <w:bookmarkStart w:id="188" w:name="_Toc1788249424"/>
      <w:bookmarkStart w:id="189" w:name="_Toc130035109"/>
      <w:r>
        <w:rPr>
          <w:rFonts w:hint="default" w:ascii="Arial Regular" w:hAnsi="Arial Regular" w:cs="Arial Regular"/>
          <w:b/>
          <w:bCs w:val="0"/>
          <w:i w:val="0"/>
          <w:iCs/>
          <w:sz w:val="24"/>
          <w:szCs w:val="24"/>
        </w:rPr>
        <w:t>2.4.2 Long-Term Options</w:t>
      </w:r>
      <w:bookmarkEnd w:id="182"/>
      <w:bookmarkEnd w:id="183"/>
      <w:bookmarkEnd w:id="184"/>
      <w:bookmarkEnd w:id="185"/>
      <w:bookmarkEnd w:id="186"/>
      <w:bookmarkEnd w:id="187"/>
      <w:bookmarkEnd w:id="188"/>
      <w:bookmarkEnd w:id="189"/>
      <w:r>
        <w:rPr>
          <w:rFonts w:hint="default" w:ascii="Arial Regular" w:hAnsi="Arial Regular" w:cs="Arial Regular"/>
          <w:b/>
          <w:bCs w:val="0"/>
          <w:i w:val="0"/>
          <w:iCs/>
          <w:sz w:val="24"/>
          <w:szCs w:val="24"/>
        </w:rPr>
        <w:t xml:space="preserve"> </w:t>
      </w:r>
    </w:p>
    <w:p w14:paraId="499FB07D">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availability of long-term financial resources is critical for sustaining organisational operations and financial stability.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recorded a </w:t>
      </w:r>
      <w:r>
        <w:rPr>
          <w:rStyle w:val="13"/>
          <w:rFonts w:hint="default" w:ascii="Arial Regular" w:hAnsi="Arial Regular" w:cs="Arial Regular"/>
          <w:b w:val="0"/>
          <w:bCs/>
          <w:i w:val="0"/>
          <w:iCs/>
          <w:sz w:val="24"/>
          <w:szCs w:val="24"/>
        </w:rPr>
        <w:t>51.1% decline in equity value between 2020 and 2024</w:t>
      </w:r>
      <w:r>
        <w:rPr>
          <w:rFonts w:hint="default" w:ascii="Arial Regular" w:hAnsi="Arial Regular" w:cs="Arial Regular"/>
          <w:b w:val="0"/>
          <w:bCs/>
          <w:i w:val="0"/>
          <w:iCs/>
          <w:sz w:val="24"/>
          <w:szCs w:val="24"/>
        </w:rPr>
        <w:t xml:space="preserve">, indicating increased exposure to market volatility. In such conditions, investment diversification supports internal capital strengthening and risk mitigation. For example, </w:t>
      </w:r>
      <w:r>
        <w:rPr>
          <w:rStyle w:val="13"/>
          <w:rFonts w:hint="default" w:ascii="Arial Regular" w:hAnsi="Arial Regular" w:cs="Arial Regular"/>
          <w:b w:val="0"/>
          <w:bCs/>
          <w:i w:val="0"/>
          <w:iCs/>
          <w:sz w:val="24"/>
          <w:szCs w:val="24"/>
        </w:rPr>
        <w:t>Intel announced investments exceeding $25bn in advanced semiconductor manufacturing and AI-driven technologies in 2024</w:t>
      </w:r>
      <w:r>
        <w:rPr>
          <w:rFonts w:hint="default" w:ascii="Arial Regular" w:hAnsi="Arial Regular" w:cs="Arial Regular"/>
          <w:b w:val="0"/>
          <w:bCs/>
          <w:i w:val="0"/>
          <w:iCs/>
          <w:sz w:val="24"/>
          <w:szCs w:val="24"/>
        </w:rPr>
        <w:t xml:space="preserve">, aimed at enhancing product capability and long-term competitiveness (Reuters, 2024). Adopting diversified investment strategies can assist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in managing uncertainty, improving capital resilience, and supporting sustainable growth.</w:t>
      </w:r>
    </w:p>
    <w:p w14:paraId="6C2BE6AC">
      <w:pPr>
        <w:spacing w:line="360" w:lineRule="auto"/>
        <w:jc w:val="both"/>
        <w:rPr>
          <w:rFonts w:hint="default" w:ascii="Arial Regular" w:hAnsi="Arial Regular" w:cs="Arial Regular"/>
          <w:b/>
          <w:bCs w:val="0"/>
          <w:i w:val="0"/>
          <w:iCs/>
          <w:sz w:val="24"/>
          <w:szCs w:val="24"/>
        </w:rPr>
      </w:pPr>
      <w:bookmarkStart w:id="190" w:name="_Toc513589662"/>
      <w:bookmarkStart w:id="191" w:name="_Toc1981225118"/>
      <w:bookmarkStart w:id="192" w:name="_Toc253269234"/>
      <w:bookmarkStart w:id="193" w:name="_Toc2053853832"/>
      <w:bookmarkStart w:id="194" w:name="_Toc1778583340"/>
      <w:bookmarkStart w:id="195" w:name="_Toc1074429403"/>
      <w:bookmarkStart w:id="196" w:name="_Toc943459936"/>
      <w:bookmarkStart w:id="197" w:name="_Toc914633856"/>
      <w:bookmarkStart w:id="198" w:name="_Toc213589915"/>
      <w:bookmarkStart w:id="199" w:name="_Toc1509207964"/>
      <w:r>
        <w:rPr>
          <w:rFonts w:hint="default" w:ascii="Arial Regular" w:hAnsi="Arial Regular" w:cs="Arial Regular"/>
          <w:b/>
          <w:bCs w:val="0"/>
          <w:i w:val="0"/>
          <w:iCs/>
          <w:sz w:val="24"/>
          <w:szCs w:val="24"/>
        </w:rPr>
        <w:t>3. Strategic Financial Restructuring Plan</w:t>
      </w:r>
      <w:bookmarkEnd w:id="190"/>
      <w:bookmarkEnd w:id="191"/>
      <w:bookmarkEnd w:id="192"/>
      <w:bookmarkEnd w:id="193"/>
      <w:bookmarkEnd w:id="194"/>
      <w:bookmarkEnd w:id="195"/>
      <w:bookmarkEnd w:id="196"/>
      <w:bookmarkEnd w:id="197"/>
      <w:bookmarkEnd w:id="198"/>
      <w:bookmarkEnd w:id="199"/>
      <w:r>
        <w:rPr>
          <w:rFonts w:hint="default" w:ascii="Arial Regular" w:hAnsi="Arial Regular" w:cs="Arial Regular"/>
          <w:b/>
          <w:bCs w:val="0"/>
          <w:i w:val="0"/>
          <w:iCs/>
          <w:sz w:val="24"/>
          <w:szCs w:val="24"/>
        </w:rPr>
        <w:t xml:space="preserve"> </w:t>
      </w:r>
    </w:p>
    <w:p w14:paraId="4F6D3172">
      <w:pPr>
        <w:pStyle w:val="3"/>
        <w:spacing w:line="360" w:lineRule="auto"/>
        <w:jc w:val="both"/>
        <w:rPr>
          <w:rFonts w:hint="default" w:ascii="Arial Regular" w:hAnsi="Arial Regular" w:cs="Arial Regular"/>
          <w:b/>
          <w:bCs w:val="0"/>
          <w:i w:val="0"/>
          <w:iCs/>
          <w:sz w:val="24"/>
          <w:szCs w:val="24"/>
        </w:rPr>
      </w:pPr>
      <w:bookmarkStart w:id="200" w:name="_Toc469212546"/>
      <w:bookmarkStart w:id="201" w:name="_Toc1164671941"/>
      <w:bookmarkStart w:id="202" w:name="_Toc1328896231"/>
      <w:bookmarkStart w:id="203" w:name="_Toc1892472245"/>
      <w:bookmarkStart w:id="204" w:name="_Toc1716611491"/>
      <w:bookmarkStart w:id="205" w:name="_Toc383427484"/>
      <w:bookmarkStart w:id="206" w:name="_Toc563272566"/>
      <w:bookmarkStart w:id="207" w:name="_Toc213589916"/>
      <w:bookmarkStart w:id="208" w:name="_Toc1859378551"/>
      <w:bookmarkStart w:id="209" w:name="_Toc1825312787"/>
      <w:r>
        <w:rPr>
          <w:rFonts w:hint="default" w:ascii="Arial Regular" w:hAnsi="Arial Regular" w:cs="Arial Regular"/>
          <w:b/>
          <w:bCs w:val="0"/>
          <w:i w:val="0"/>
          <w:iCs/>
          <w:sz w:val="24"/>
          <w:szCs w:val="24"/>
        </w:rPr>
        <w:t>3.1 Diagnosis of Core Financial Problems</w:t>
      </w:r>
      <w:bookmarkEnd w:id="200"/>
      <w:bookmarkEnd w:id="201"/>
      <w:bookmarkEnd w:id="202"/>
      <w:bookmarkEnd w:id="203"/>
      <w:bookmarkEnd w:id="204"/>
      <w:bookmarkEnd w:id="205"/>
      <w:bookmarkEnd w:id="206"/>
      <w:bookmarkEnd w:id="207"/>
      <w:bookmarkEnd w:id="208"/>
      <w:bookmarkEnd w:id="209"/>
      <w:r>
        <w:rPr>
          <w:rFonts w:hint="default" w:ascii="Arial Regular" w:hAnsi="Arial Regular" w:cs="Arial Regular"/>
          <w:b/>
          <w:bCs w:val="0"/>
          <w:i w:val="0"/>
          <w:iCs/>
          <w:sz w:val="24"/>
          <w:szCs w:val="24"/>
        </w:rPr>
        <w:t xml:space="preserve"> </w:t>
      </w:r>
    </w:p>
    <w:p w14:paraId="58FD93D3">
      <w:pPr>
        <w:numPr>
          <w:ilvl w:val="0"/>
          <w:numId w:val="2"/>
        </w:numPr>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Lowering of Business Revenue</w:t>
      </w:r>
      <w:r>
        <w:rPr>
          <w:rFonts w:hint="default" w:ascii="Arial Regular" w:hAnsi="Arial Regular" w:cs="Arial Regular"/>
          <w:b/>
          <w:bCs w:val="0"/>
          <w:i w:val="0"/>
          <w:iCs/>
          <w:sz w:val="24"/>
          <w:szCs w:val="24"/>
          <w:lang w:val="de-DE"/>
        </w:rPr>
        <w:t xml:space="preserve">: </w:t>
      </w:r>
    </w:p>
    <w:p w14:paraId="4A1AE597">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Declining business revenue has emerged as a major challenge undermining organisational stability within the electronics sector.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recorded a </w:t>
      </w:r>
      <w:r>
        <w:rPr>
          <w:rStyle w:val="13"/>
          <w:rFonts w:hint="default" w:ascii="Arial Regular" w:hAnsi="Arial Regular" w:cs="Arial Regular"/>
          <w:b w:val="0"/>
          <w:bCs/>
          <w:i w:val="0"/>
          <w:iCs/>
          <w:sz w:val="24"/>
          <w:szCs w:val="24"/>
        </w:rPr>
        <w:t>199% reduction in financial income in 2024 compared to 2020</w:t>
      </w:r>
      <w:r>
        <w:rPr>
          <w:rFonts w:hint="default" w:ascii="Arial Regular" w:hAnsi="Arial Regular" w:cs="Arial Regular"/>
          <w:b w:val="0"/>
          <w:bCs/>
          <w:i w:val="0"/>
          <w:iCs/>
          <w:sz w:val="24"/>
          <w:szCs w:val="24"/>
        </w:rPr>
        <w:t xml:space="preserve">, reflecting weakened sales performance and mounting cost pressures. Across the UK, total sales of electronic products declined to </w:t>
      </w:r>
      <w:r>
        <w:rPr>
          <w:rStyle w:val="13"/>
          <w:rFonts w:hint="default" w:ascii="Arial Regular" w:hAnsi="Arial Regular" w:cs="Arial Regular"/>
          <w:b w:val="0"/>
          <w:bCs/>
          <w:i w:val="0"/>
          <w:iCs/>
          <w:sz w:val="24"/>
          <w:szCs w:val="24"/>
        </w:rPr>
        <w:t>£11bn</w:t>
      </w:r>
      <w:r>
        <w:rPr>
          <w:rFonts w:hint="default" w:ascii="Arial Regular" w:hAnsi="Arial Regular" w:cs="Arial Regular"/>
          <w:b w:val="0"/>
          <w:bCs/>
          <w:i w:val="0"/>
          <w:iCs/>
          <w:sz w:val="24"/>
          <w:szCs w:val="24"/>
        </w:rPr>
        <w:t xml:space="preserve">, largely driven by a </w:t>
      </w:r>
      <w:r>
        <w:rPr>
          <w:rStyle w:val="13"/>
          <w:rFonts w:hint="default" w:ascii="Arial Regular" w:hAnsi="Arial Regular" w:cs="Arial Regular"/>
          <w:b w:val="0"/>
          <w:bCs/>
          <w:i w:val="0"/>
          <w:iCs/>
          <w:sz w:val="24"/>
          <w:szCs w:val="24"/>
        </w:rPr>
        <w:t>£6.5bn increase in operational and manufacturing costs in 2024</w:t>
      </w:r>
      <w:r>
        <w:rPr>
          <w:rFonts w:hint="default" w:ascii="Arial Regular" w:hAnsi="Arial Regular" w:cs="Arial Regular"/>
          <w:b w:val="0"/>
          <w:bCs/>
          <w:i w:val="0"/>
          <w:iCs/>
          <w:sz w:val="24"/>
          <w:szCs w:val="24"/>
        </w:rPr>
        <w:t xml:space="preserve">, which significantly constrained profit margins and consumer demand (Office for National Statistics, 2025). Rising production expenses have reduced purchasing power and limited demand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products, contributing to declining market valuation and weakened brand loyalty. At the sector level, investment activity has also slowed, with capital investment in UK electronics manufacturing falling by </w:t>
      </w:r>
      <w:r>
        <w:rPr>
          <w:rStyle w:val="13"/>
          <w:rFonts w:hint="default" w:ascii="Arial Regular" w:hAnsi="Arial Regular" w:cs="Arial Regular"/>
          <w:b w:val="0"/>
          <w:bCs/>
          <w:i w:val="0"/>
          <w:iCs/>
          <w:sz w:val="24"/>
          <w:szCs w:val="24"/>
        </w:rPr>
        <w:t>£15.1bn in 2025</w:t>
      </w:r>
      <w:r>
        <w:rPr>
          <w:rFonts w:hint="default" w:ascii="Arial Regular" w:hAnsi="Arial Regular" w:cs="Arial Regular"/>
          <w:b w:val="0"/>
          <w:bCs/>
          <w:i w:val="0"/>
          <w:iCs/>
          <w:sz w:val="24"/>
          <w:szCs w:val="24"/>
        </w:rPr>
        <w:t>, indicating subdued confidence and reduced expansion capacity (OECD, 2025). The constrained availability of financial resources has therefore restricted the firm’s growth potential and strategic flexibility.</w:t>
      </w:r>
    </w:p>
    <w:p w14:paraId="5842985E">
      <w:pPr>
        <w:spacing w:line="360" w:lineRule="auto"/>
        <w:jc w:val="both"/>
        <w:rPr>
          <w:rFonts w:hint="default" w:ascii="Arial Regular" w:hAnsi="Arial Regular" w:cs="Arial Regular"/>
          <w:b w:val="0"/>
          <w:bCs/>
          <w:i w:val="0"/>
          <w:iCs/>
          <w:sz w:val="24"/>
          <w:szCs w:val="24"/>
          <w:lang w:val="de-DE"/>
        </w:rPr>
      </w:pPr>
    </w:p>
    <w:p w14:paraId="5F768077">
      <w:pPr>
        <w:numPr>
          <w:ilvl w:val="0"/>
          <w:numId w:val="2"/>
        </w:numPr>
        <w:spacing w:line="360" w:lineRule="auto"/>
        <w:ind w:left="420" w:leftChars="0" w:hanging="420" w:firstLineChars="0"/>
        <w:jc w:val="both"/>
        <w:rPr>
          <w:rFonts w:hint="default" w:ascii="Arial Regular" w:hAnsi="Arial Regular" w:cs="Arial Regular"/>
          <w:b/>
          <w:bCs w:val="0"/>
          <w:i w:val="0"/>
          <w:iCs/>
          <w:sz w:val="24"/>
          <w:szCs w:val="24"/>
        </w:rPr>
      </w:pPr>
      <w:r>
        <w:rPr>
          <w:rFonts w:hint="default" w:ascii="Arial Regular" w:hAnsi="Arial Regular" w:cs="Arial Regular"/>
          <w:b/>
          <w:bCs w:val="0"/>
          <w:i w:val="0"/>
          <w:iCs/>
          <w:sz w:val="24"/>
          <w:szCs w:val="24"/>
        </w:rPr>
        <w:t>High liquidity risk</w:t>
      </w:r>
      <w:r>
        <w:rPr>
          <w:rFonts w:hint="default" w:ascii="Arial Regular" w:hAnsi="Arial Regular" w:cs="Arial Regular"/>
          <w:b/>
          <w:bCs w:val="0"/>
          <w:i w:val="0"/>
          <w:iCs/>
          <w:sz w:val="24"/>
          <w:szCs w:val="24"/>
          <w:lang w:val="de-DE"/>
        </w:rPr>
        <w:t>:</w:t>
      </w:r>
      <w:r>
        <w:rPr>
          <w:rFonts w:hint="default" w:ascii="Arial Regular" w:hAnsi="Arial Regular" w:cs="Arial Regular"/>
          <w:b/>
          <w:bCs w:val="0"/>
          <w:i w:val="0"/>
          <w:iCs/>
          <w:sz w:val="24"/>
          <w:szCs w:val="24"/>
        </w:rPr>
        <w:t xml:space="preserve"> </w:t>
      </w:r>
    </w:p>
    <w:p w14:paraId="0DD101B0">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In parallel,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faces elevated liquidity risk due to short product life cycles and demand forecasting inaccuracies, which place sustained pressure on cash flow. The company’s </w:t>
      </w:r>
      <w:r>
        <w:rPr>
          <w:rStyle w:val="13"/>
          <w:rFonts w:hint="default" w:ascii="Arial Regular" w:hAnsi="Arial Regular" w:cs="Arial Regular"/>
          <w:b w:val="0"/>
          <w:bCs/>
          <w:i w:val="0"/>
          <w:iCs/>
          <w:sz w:val="24"/>
          <w:szCs w:val="24"/>
        </w:rPr>
        <w:t>quick ratio declined by 16.13% in 2024</w:t>
      </w:r>
      <w:r>
        <w:rPr>
          <w:rFonts w:hint="default" w:ascii="Arial Regular" w:hAnsi="Arial Regular" w:cs="Arial Regular"/>
          <w:b w:val="0"/>
          <w:bCs/>
          <w:i w:val="0"/>
          <w:iCs/>
          <w:sz w:val="24"/>
          <w:szCs w:val="24"/>
        </w:rPr>
        <w:t xml:space="preserve">, signalling a reduced ability to meet short-term obligations as cash resources were increasingly tied up in inventory. Industry-wide trends reflect similar stress, as consumer electronics firms experienced a </w:t>
      </w:r>
      <w:r>
        <w:rPr>
          <w:rStyle w:val="13"/>
          <w:rFonts w:hint="default" w:ascii="Arial Regular" w:hAnsi="Arial Regular" w:cs="Arial Regular"/>
          <w:b w:val="0"/>
          <w:bCs/>
          <w:i w:val="0"/>
          <w:iCs/>
          <w:sz w:val="24"/>
          <w:szCs w:val="24"/>
        </w:rPr>
        <w:t>0.44% deterioration in liquidity positions in 2025</w:t>
      </w:r>
      <w:r>
        <w:rPr>
          <w:rFonts w:hint="default" w:ascii="Arial Regular" w:hAnsi="Arial Regular" w:cs="Arial Regular"/>
          <w:b w:val="0"/>
          <w:bCs/>
          <w:i w:val="0"/>
          <w:iCs/>
          <w:sz w:val="24"/>
          <w:szCs w:val="24"/>
        </w:rPr>
        <w:t xml:space="preserve">, largely attributable to rising debt exposure and tighter credit conditions (Moody’s, 2025). Although firms attempt to balance long-term liquidity through asset restructuring, rapid shifts in product lines intensify financial volatility. Notably,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previously addressed liquidity pressures by reducing debt by </w:t>
      </w:r>
      <w:r>
        <w:rPr>
          <w:rStyle w:val="13"/>
          <w:rFonts w:hint="default" w:ascii="Arial Regular" w:hAnsi="Arial Regular" w:cs="Arial Regular"/>
          <w:b w:val="0"/>
          <w:bCs/>
          <w:i w:val="0"/>
          <w:iCs/>
          <w:sz w:val="24"/>
          <w:szCs w:val="24"/>
        </w:rPr>
        <w:t>$30 billion</w:t>
      </w:r>
      <w:r>
        <w:rPr>
          <w:rFonts w:hint="default" w:ascii="Arial Regular" w:hAnsi="Arial Regular" w:cs="Arial Regular"/>
          <w:b w:val="0"/>
          <w:bCs/>
          <w:i w:val="0"/>
          <w:iCs/>
          <w:sz w:val="24"/>
          <w:szCs w:val="24"/>
        </w:rPr>
        <w:t xml:space="preserve"> and strengthening equity financing, demonstrating the importance of capital restructuring in stabilising cash reserves (Reuters, 2021). Persistently weak liquidity conditions continue to constrain profitability and limit the ability to maintain sufficient cash buffers.</w:t>
      </w:r>
    </w:p>
    <w:p w14:paraId="3857384E">
      <w:pPr>
        <w:spacing w:line="360" w:lineRule="auto"/>
        <w:jc w:val="both"/>
        <w:rPr>
          <w:rFonts w:hint="default" w:ascii="Arial Regular" w:hAnsi="Arial Regular" w:cs="Arial Regular"/>
          <w:b w:val="0"/>
          <w:bCs/>
          <w:i w:val="0"/>
          <w:iCs/>
          <w:sz w:val="24"/>
          <w:szCs w:val="24"/>
        </w:rPr>
      </w:pPr>
    </w:p>
    <w:p w14:paraId="19BEEC8E">
      <w:pPr>
        <w:pStyle w:val="3"/>
        <w:spacing w:line="360" w:lineRule="auto"/>
        <w:jc w:val="both"/>
        <w:rPr>
          <w:rFonts w:hint="default" w:ascii="Arial Regular" w:hAnsi="Arial Regular" w:cs="Arial Regular"/>
          <w:b/>
          <w:bCs w:val="0"/>
          <w:i w:val="0"/>
          <w:iCs/>
          <w:sz w:val="24"/>
          <w:szCs w:val="24"/>
        </w:rPr>
      </w:pPr>
      <w:bookmarkStart w:id="210" w:name="_Toc1228113714"/>
      <w:bookmarkStart w:id="211" w:name="_Toc213589917"/>
      <w:bookmarkStart w:id="212" w:name="_Toc495308838"/>
      <w:bookmarkStart w:id="213" w:name="_Toc1814782588"/>
      <w:bookmarkStart w:id="214" w:name="_Toc814100786"/>
      <w:bookmarkStart w:id="215" w:name="_Toc400725998"/>
      <w:bookmarkStart w:id="216" w:name="_Toc929025617"/>
      <w:bookmarkStart w:id="217" w:name="_Toc1794015439"/>
      <w:bookmarkStart w:id="218" w:name="_Toc327869982"/>
      <w:bookmarkStart w:id="219" w:name="_Toc393275513"/>
      <w:r>
        <w:rPr>
          <w:rFonts w:hint="default" w:ascii="Arial Regular" w:hAnsi="Arial Regular" w:cs="Arial Regular"/>
          <w:b/>
          <w:bCs w:val="0"/>
          <w:i w:val="0"/>
          <w:iCs/>
          <w:sz w:val="24"/>
          <w:szCs w:val="24"/>
        </w:rPr>
        <w:t>3.2 Restructuring Options</w:t>
      </w:r>
      <w:bookmarkEnd w:id="210"/>
      <w:bookmarkEnd w:id="211"/>
      <w:bookmarkEnd w:id="212"/>
      <w:bookmarkEnd w:id="213"/>
      <w:bookmarkEnd w:id="214"/>
      <w:bookmarkEnd w:id="215"/>
      <w:bookmarkEnd w:id="216"/>
      <w:bookmarkEnd w:id="217"/>
      <w:bookmarkEnd w:id="218"/>
      <w:bookmarkEnd w:id="219"/>
      <w:r>
        <w:rPr>
          <w:rFonts w:hint="default" w:ascii="Arial Regular" w:hAnsi="Arial Regular" w:cs="Arial Regular"/>
          <w:b/>
          <w:bCs w:val="0"/>
          <w:i w:val="0"/>
          <w:iCs/>
          <w:sz w:val="24"/>
          <w:szCs w:val="24"/>
        </w:rPr>
        <w:t xml:space="preserve"> </w:t>
      </w:r>
    </w:p>
    <w:p w14:paraId="6ABCC65E">
      <w:pPr>
        <w:numPr>
          <w:ilvl w:val="0"/>
          <w:numId w:val="2"/>
        </w:numPr>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Strategic Merger or Acquisition Option</w:t>
      </w:r>
      <w:r>
        <w:rPr>
          <w:rFonts w:hint="default" w:ascii="Arial Regular" w:hAnsi="Arial Regular" w:cs="Arial Regular"/>
          <w:b/>
          <w:bCs w:val="0"/>
          <w:i w:val="0"/>
          <w:iCs/>
          <w:sz w:val="24"/>
          <w:szCs w:val="24"/>
          <w:lang w:val="de-DE"/>
        </w:rPr>
        <w:t xml:space="preserve">: </w:t>
      </w:r>
    </w:p>
    <w:p w14:paraId="0023950B">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Strategic mergers and acquisitions help firms reduce operational risks and support growth. For example, in </w:t>
      </w:r>
      <w:r>
        <w:rPr>
          <w:rStyle w:val="13"/>
          <w:rFonts w:hint="default" w:ascii="Arial Regular" w:hAnsi="Arial Regular" w:cs="Arial Regular"/>
          <w:b w:val="0"/>
          <w:bCs/>
          <w:i w:val="0"/>
          <w:iCs/>
          <w:sz w:val="24"/>
          <w:szCs w:val="24"/>
        </w:rPr>
        <w:t>2025, Japan’s SoftBank invested $2bn in Intel</w:t>
      </w:r>
      <w:r>
        <w:rPr>
          <w:rFonts w:hint="default" w:ascii="Arial Regular" w:hAnsi="Arial Regular" w:cs="Arial Regular"/>
          <w:b w:val="0"/>
          <w:bCs/>
          <w:i w:val="0"/>
          <w:iCs/>
          <w:sz w:val="24"/>
          <w:szCs w:val="24"/>
        </w:rPr>
        <w:t xml:space="preserve">, acquiring about a 2% stake, which strengthened its balance sheet and demonstrated confidence in Intel’s long-term semiconductor strategy (Financial Times, 2025). Intel’s ongoing strategic funding efforts have bolstered its ability to invest in advanced manufacturing and broaden market reach amid competitive pressures. Such strategic investment approaches could help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enhance product quality, stabilise operations, and expand its competitive position through stronger capital backing and resource integration.</w:t>
      </w:r>
    </w:p>
    <w:p w14:paraId="15A317E9">
      <w:pPr>
        <w:spacing w:line="360" w:lineRule="auto"/>
        <w:jc w:val="both"/>
        <w:rPr>
          <w:rFonts w:hint="default" w:ascii="Arial Regular" w:hAnsi="Arial Regular" w:cs="Arial Regular"/>
          <w:b w:val="0"/>
          <w:bCs/>
          <w:i w:val="0"/>
          <w:iCs/>
          <w:sz w:val="24"/>
          <w:szCs w:val="24"/>
          <w:lang w:val="de-DE"/>
        </w:rPr>
      </w:pPr>
    </w:p>
    <w:p w14:paraId="07D375F1">
      <w:pPr>
        <w:numPr>
          <w:ilvl w:val="0"/>
          <w:numId w:val="2"/>
        </w:numPr>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Sufficient cash reserve through divestiture</w:t>
      </w:r>
      <w:r>
        <w:rPr>
          <w:rFonts w:hint="default" w:ascii="Arial Regular" w:hAnsi="Arial Regular" w:cs="Arial Regular"/>
          <w:b/>
          <w:bCs w:val="0"/>
          <w:i w:val="0"/>
          <w:iCs/>
          <w:sz w:val="24"/>
          <w:szCs w:val="24"/>
          <w:lang w:val="de-DE"/>
        </w:rPr>
        <w:t xml:space="preserve">: </w:t>
      </w:r>
    </w:p>
    <w:p w14:paraId="28D25CE2">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Effective liquidity risk management requires disciplined cash maintenance, including divestment of non-core assets to prevent significant business losses. Cash flow forecasting plays a critical role by enabling proactive decision-making and improving short-term cash visibility, thereby strengthening financial control (McKinsey &amp; Company, 2023).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has actively managed its liquidity position by repaying debt and increasing shareholder returns by </w:t>
      </w:r>
      <w:r>
        <w:rPr>
          <w:rStyle w:val="13"/>
          <w:rFonts w:hint="default" w:ascii="Arial Regular" w:hAnsi="Arial Regular" w:cs="Arial Regular"/>
          <w:b w:val="0"/>
          <w:bCs/>
          <w:i w:val="0"/>
          <w:iCs/>
          <w:sz w:val="24"/>
          <w:szCs w:val="24"/>
        </w:rPr>
        <w:t>1.2%</w:t>
      </w:r>
      <w:r>
        <w:rPr>
          <w:rFonts w:hint="default" w:ascii="Arial Regular" w:hAnsi="Arial Regular" w:cs="Arial Regular"/>
          <w:b w:val="0"/>
          <w:bCs/>
          <w:i w:val="0"/>
          <w:iCs/>
          <w:sz w:val="24"/>
          <w:szCs w:val="24"/>
        </w:rPr>
        <w:t>, signalling early recovery and improved market confidence (Reuters, 2021). Enhancing transparency through credit rating upgrades has further supported revenue stability and risk mitigation. In addition, stricter payment policies and improved production planning have contributed to reducing excess inventory levels and optimising working capital efficiency.</w:t>
      </w:r>
    </w:p>
    <w:p w14:paraId="0CEF300C">
      <w:pPr>
        <w:spacing w:line="360" w:lineRule="auto"/>
        <w:jc w:val="both"/>
        <w:rPr>
          <w:rFonts w:hint="default" w:ascii="Arial Regular" w:hAnsi="Arial Regular" w:cs="Arial Regular"/>
          <w:b w:val="0"/>
          <w:bCs/>
          <w:i w:val="0"/>
          <w:iCs/>
          <w:sz w:val="24"/>
          <w:szCs w:val="24"/>
        </w:rPr>
      </w:pPr>
    </w:p>
    <w:p w14:paraId="0DDB00E8">
      <w:pPr>
        <w:spacing w:line="360" w:lineRule="auto"/>
        <w:jc w:val="both"/>
        <w:rPr>
          <w:rFonts w:hint="default" w:ascii="Arial Regular" w:hAnsi="Arial Regular" w:cs="Arial Regular"/>
          <w:b/>
          <w:bCs w:val="0"/>
          <w:i w:val="0"/>
          <w:iCs/>
          <w:sz w:val="24"/>
          <w:szCs w:val="24"/>
        </w:rPr>
      </w:pPr>
      <w:bookmarkStart w:id="220" w:name="_Toc340718175"/>
      <w:bookmarkStart w:id="221" w:name="_Toc1441859881"/>
      <w:bookmarkStart w:id="222" w:name="_Toc1927431229"/>
      <w:bookmarkStart w:id="223" w:name="_Toc493131394"/>
      <w:bookmarkStart w:id="224" w:name="_Toc1009024494"/>
      <w:bookmarkStart w:id="225" w:name="_Toc67749272"/>
      <w:bookmarkStart w:id="226" w:name="_Toc1347079393"/>
      <w:bookmarkStart w:id="227" w:name="_Toc1974365172"/>
      <w:bookmarkStart w:id="228" w:name="_Toc213589918"/>
      <w:bookmarkStart w:id="229" w:name="_Toc973595265"/>
      <w:r>
        <w:rPr>
          <w:rFonts w:hint="default" w:ascii="Arial Regular" w:hAnsi="Arial Regular" w:cs="Arial Regular"/>
          <w:b/>
          <w:bCs w:val="0"/>
          <w:i w:val="0"/>
          <w:iCs/>
          <w:sz w:val="24"/>
          <w:szCs w:val="24"/>
        </w:rPr>
        <w:t>3.3 Analyzing its Impact</w:t>
      </w:r>
      <w:bookmarkEnd w:id="220"/>
      <w:bookmarkEnd w:id="221"/>
      <w:bookmarkEnd w:id="222"/>
      <w:bookmarkEnd w:id="223"/>
      <w:bookmarkEnd w:id="224"/>
      <w:bookmarkEnd w:id="225"/>
      <w:bookmarkEnd w:id="226"/>
      <w:bookmarkEnd w:id="227"/>
      <w:bookmarkEnd w:id="228"/>
      <w:bookmarkEnd w:id="229"/>
      <w:r>
        <w:rPr>
          <w:rFonts w:hint="default" w:ascii="Arial Regular" w:hAnsi="Arial Regular" w:cs="Arial Regular"/>
          <w:b/>
          <w:bCs w:val="0"/>
          <w:i w:val="0"/>
          <w:iCs/>
          <w:sz w:val="24"/>
          <w:szCs w:val="24"/>
        </w:rPr>
        <w:t xml:space="preserve"> </w:t>
      </w:r>
    </w:p>
    <w:p w14:paraId="3738ABDF">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Debt structure</w:t>
      </w:r>
      <w:r>
        <w:rPr>
          <w:rFonts w:hint="default" w:ascii="Arial Regular" w:hAnsi="Arial Regular" w:cs="Arial Regular"/>
          <w:b/>
          <w:bCs w:val="0"/>
          <w:i w:val="0"/>
          <w:iCs/>
          <w:sz w:val="24"/>
          <w:szCs w:val="24"/>
          <w:lang w:val="de-DE"/>
        </w:rPr>
        <w:t xml:space="preserve">: </w:t>
      </w:r>
    </w:p>
    <w:p w14:paraId="7268279C">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recorded a </w:t>
      </w:r>
      <w:r>
        <w:rPr>
          <w:rStyle w:val="13"/>
          <w:rFonts w:hint="default" w:ascii="Arial Regular" w:hAnsi="Arial Regular" w:cs="Arial Regular"/>
          <w:b w:val="0"/>
          <w:bCs/>
          <w:i w:val="0"/>
          <w:iCs/>
          <w:sz w:val="24"/>
          <w:szCs w:val="24"/>
        </w:rPr>
        <w:t>76.19% increase in debt between 2020 and 2024</w:t>
      </w:r>
      <w:r>
        <w:rPr>
          <w:rFonts w:hint="default" w:ascii="Arial Regular" w:hAnsi="Arial Regular" w:cs="Arial Regular"/>
          <w:b w:val="0"/>
          <w:bCs/>
          <w:i w:val="0"/>
          <w:iCs/>
          <w:sz w:val="24"/>
          <w:szCs w:val="24"/>
        </w:rPr>
        <w:t xml:space="preserve">, reflecting growing financial pressure amid weakening industry performance. Globally, electronics sector revenue declined from </w:t>
      </w:r>
      <w:r>
        <w:rPr>
          <w:rStyle w:val="13"/>
          <w:rFonts w:hint="default" w:ascii="Arial Regular" w:hAnsi="Arial Regular" w:cs="Arial Regular"/>
          <w:b w:val="0"/>
          <w:bCs/>
          <w:i w:val="0"/>
          <w:iCs/>
          <w:sz w:val="24"/>
          <w:szCs w:val="24"/>
        </w:rPr>
        <w:t>$1,057bn in 2021 to $1,046bn in 2024</w:t>
      </w:r>
      <w:r>
        <w:rPr>
          <w:rFonts w:hint="default" w:ascii="Arial Regular" w:hAnsi="Arial Regular" w:cs="Arial Regular"/>
          <w:b w:val="0"/>
          <w:bCs/>
          <w:i w:val="0"/>
          <w:iCs/>
          <w:sz w:val="24"/>
          <w:szCs w:val="24"/>
        </w:rPr>
        <w:t xml:space="preserve">, limiting income generation and increasing reliance on debt financing (Statista, 2025). Cost pressures have intensified further due to rising trade barriers, as </w:t>
      </w:r>
      <w:r>
        <w:rPr>
          <w:rStyle w:val="13"/>
          <w:rFonts w:hint="default" w:ascii="Arial Regular" w:hAnsi="Arial Regular" w:cs="Arial Regular"/>
          <w:b w:val="0"/>
          <w:bCs/>
          <w:i w:val="0"/>
          <w:iCs/>
          <w:sz w:val="24"/>
          <w:szCs w:val="24"/>
        </w:rPr>
        <w:t>US tariffs on electronic products increased by $2,300 in 2025</w:t>
      </w:r>
      <w:r>
        <w:rPr>
          <w:rFonts w:hint="default" w:ascii="Arial Regular" w:hAnsi="Arial Regular" w:cs="Arial Regular"/>
          <w:b w:val="0"/>
          <w:bCs/>
          <w:i w:val="0"/>
          <w:iCs/>
          <w:sz w:val="24"/>
          <w:szCs w:val="24"/>
        </w:rPr>
        <w:t xml:space="preserve">, elevating operational expenses (Reuters, 2025). The combined impact of declining revenues and higher taxation has weakened the operational and financial stability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w:t>
      </w:r>
    </w:p>
    <w:p w14:paraId="396F9F61">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Shareholder Value</w:t>
      </w:r>
      <w:r>
        <w:rPr>
          <w:rFonts w:hint="default" w:ascii="Arial Regular" w:hAnsi="Arial Regular" w:cs="Arial Regular"/>
          <w:b/>
          <w:bCs w:val="0"/>
          <w:i w:val="0"/>
          <w:iCs/>
          <w:sz w:val="24"/>
          <w:szCs w:val="24"/>
          <w:lang w:val="de-DE"/>
        </w:rPr>
        <w:t xml:space="preserve">: </w:t>
      </w:r>
    </w:p>
    <w:p w14:paraId="642C07C5">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gross profit declined by </w:t>
      </w:r>
      <w:r>
        <w:rPr>
          <w:rStyle w:val="13"/>
          <w:rFonts w:hint="default" w:ascii="Arial Regular" w:hAnsi="Arial Regular" w:cs="Arial Regular"/>
          <w:b w:val="0"/>
          <w:bCs/>
          <w:i w:val="0"/>
          <w:iCs/>
          <w:sz w:val="24"/>
          <w:szCs w:val="24"/>
        </w:rPr>
        <w:t>35.3% in 2024 compared to 2020</w:t>
      </w:r>
      <w:r>
        <w:rPr>
          <w:rFonts w:hint="default" w:ascii="Arial Regular" w:hAnsi="Arial Regular" w:cs="Arial Regular"/>
          <w:b w:val="0"/>
          <w:bCs/>
          <w:i w:val="0"/>
          <w:iCs/>
          <w:sz w:val="24"/>
          <w:szCs w:val="24"/>
        </w:rPr>
        <w:t xml:space="preserve">, reflecting rising production costs and challenges in managing equipment orders and renewable energy integration. Reduced equity stability prompted share buybacks, decreasing outstanding shares and affecting shareholder value. The company’s </w:t>
      </w:r>
      <w:r>
        <w:rPr>
          <w:rStyle w:val="13"/>
          <w:rFonts w:hint="default" w:ascii="Arial Regular" w:hAnsi="Arial Regular" w:cs="Arial Regular"/>
          <w:b w:val="0"/>
          <w:bCs/>
          <w:i w:val="0"/>
          <w:iCs/>
          <w:sz w:val="24"/>
          <w:szCs w:val="24"/>
        </w:rPr>
        <w:t>higher debt levels</w:t>
      </w:r>
      <w:r>
        <w:rPr>
          <w:rFonts w:hint="default" w:ascii="Arial Regular" w:hAnsi="Arial Regular" w:cs="Arial Regular"/>
          <w:b w:val="0"/>
          <w:bCs/>
          <w:i w:val="0"/>
          <w:iCs/>
          <w:sz w:val="24"/>
          <w:szCs w:val="24"/>
        </w:rPr>
        <w:t xml:space="preserve"> increased financial risk, placing additional pressure on capital management and indirectly affecting tax efficiency (Moody’s, 2025). Elevated debt burdens have constrained operational flexibility, limiting the firm’s ability to respond to market fluctuations and economic downturns. These combined factors highlight the critical impact of leverage and cost pressures on financial performance and strategic resilience.</w:t>
      </w:r>
    </w:p>
    <w:p w14:paraId="042A4F49">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Operational flexibility</w:t>
      </w:r>
      <w:r>
        <w:rPr>
          <w:rFonts w:hint="default" w:ascii="Arial Regular" w:hAnsi="Arial Regular" w:cs="Arial Regular"/>
          <w:b/>
          <w:bCs w:val="0"/>
          <w:i w:val="0"/>
          <w:iCs/>
          <w:sz w:val="24"/>
          <w:szCs w:val="24"/>
          <w:lang w:val="de-DE"/>
        </w:rPr>
        <w:t xml:space="preserve">: </w:t>
      </w:r>
    </w:p>
    <w:p w14:paraId="065656F0">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decline in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financial performance has also reduced its operational flexibility. In the UK electronics sector, women remain underrepresented; for example, women made up only around </w:t>
      </w:r>
      <w:r>
        <w:rPr>
          <w:rStyle w:val="13"/>
          <w:rFonts w:hint="default" w:ascii="Arial Regular" w:hAnsi="Arial Regular" w:cs="Arial Regular"/>
          <w:b w:val="0"/>
          <w:bCs/>
          <w:i w:val="0"/>
          <w:iCs/>
          <w:sz w:val="24"/>
          <w:szCs w:val="24"/>
        </w:rPr>
        <w:t>26.1% of the UK manufacturing workforce in 2024</w:t>
      </w:r>
      <w:r>
        <w:rPr>
          <w:rFonts w:hint="default" w:ascii="Arial Regular" w:hAnsi="Arial Regular" w:cs="Arial Regular"/>
          <w:b w:val="0"/>
          <w:bCs/>
          <w:i w:val="0"/>
          <w:iCs/>
          <w:sz w:val="24"/>
          <w:szCs w:val="24"/>
        </w:rPr>
        <w:t xml:space="preserve"> (IfM Engage, 2024). Such gender imbalances can limit industry productivity and innovation. Additionally, many workers have experienced wage pressures, with median hourly earnings showing gender pay disparities in the broader UK labour market (ONS, 2025). For instance, overall gender pay gaps persisted at around </w:t>
      </w:r>
      <w:r>
        <w:rPr>
          <w:rStyle w:val="13"/>
          <w:rFonts w:hint="default" w:ascii="Arial Regular" w:hAnsi="Arial Regular" w:cs="Arial Regular"/>
          <w:b w:val="0"/>
          <w:bCs/>
          <w:i w:val="0"/>
          <w:iCs/>
          <w:sz w:val="24"/>
          <w:szCs w:val="24"/>
        </w:rPr>
        <w:t>12.8% in 2025</w:t>
      </w:r>
      <w:r>
        <w:rPr>
          <w:rFonts w:hint="default" w:ascii="Arial Regular" w:hAnsi="Arial Regular" w:cs="Arial Regular"/>
          <w:b w:val="0"/>
          <w:bCs/>
          <w:i w:val="0"/>
          <w:iCs/>
          <w:sz w:val="24"/>
          <w:szCs w:val="24"/>
        </w:rPr>
        <w:t xml:space="preserve">, reflecting systemic inequities in earnings (ONS, 2025). These combined factors have constrained operational adaptability within the sector and at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w:t>
      </w:r>
    </w:p>
    <w:p w14:paraId="03D99114">
      <w:pPr>
        <w:pStyle w:val="3"/>
        <w:spacing w:line="360" w:lineRule="auto"/>
        <w:jc w:val="both"/>
        <w:rPr>
          <w:rFonts w:hint="default" w:ascii="Arial Regular" w:hAnsi="Arial Regular" w:cs="Arial Regular"/>
          <w:b/>
          <w:bCs w:val="0"/>
          <w:i w:val="0"/>
          <w:iCs/>
          <w:sz w:val="24"/>
          <w:szCs w:val="24"/>
        </w:rPr>
      </w:pPr>
      <w:bookmarkStart w:id="230" w:name="_Toc1258964323"/>
      <w:bookmarkStart w:id="231" w:name="_Toc1693334455"/>
      <w:bookmarkStart w:id="232" w:name="_Toc919945185"/>
      <w:bookmarkStart w:id="233" w:name="_Toc1133547219"/>
      <w:bookmarkStart w:id="234" w:name="_Toc238132360"/>
      <w:bookmarkStart w:id="235" w:name="_Toc1590751477"/>
      <w:bookmarkStart w:id="236" w:name="_Toc495681594"/>
      <w:bookmarkStart w:id="237" w:name="_Toc2143793946"/>
      <w:bookmarkStart w:id="238" w:name="_Toc213589919"/>
      <w:bookmarkStart w:id="239" w:name="_Toc1537712362"/>
      <w:r>
        <w:rPr>
          <w:rFonts w:hint="default" w:ascii="Arial Regular" w:hAnsi="Arial Regular" w:cs="Arial Regular"/>
          <w:b/>
          <w:bCs w:val="0"/>
          <w:i w:val="0"/>
          <w:iCs/>
          <w:sz w:val="24"/>
          <w:szCs w:val="24"/>
        </w:rPr>
        <w:t>3.4 International and Ethical Considerations</w:t>
      </w:r>
      <w:bookmarkEnd w:id="230"/>
      <w:bookmarkEnd w:id="231"/>
      <w:bookmarkEnd w:id="232"/>
      <w:bookmarkEnd w:id="233"/>
      <w:bookmarkEnd w:id="234"/>
      <w:bookmarkEnd w:id="235"/>
      <w:bookmarkEnd w:id="236"/>
      <w:bookmarkEnd w:id="237"/>
      <w:bookmarkEnd w:id="238"/>
      <w:bookmarkEnd w:id="239"/>
      <w:r>
        <w:rPr>
          <w:rFonts w:hint="default" w:ascii="Arial Regular" w:hAnsi="Arial Regular" w:cs="Arial Regular"/>
          <w:b/>
          <w:bCs w:val="0"/>
          <w:i w:val="0"/>
          <w:iCs/>
          <w:sz w:val="24"/>
          <w:szCs w:val="24"/>
        </w:rPr>
        <w:t xml:space="preserve"> </w:t>
      </w:r>
    </w:p>
    <w:p w14:paraId="083232E5">
      <w:pPr>
        <w:spacing w:line="360" w:lineRule="auto"/>
        <w:jc w:val="both"/>
        <w:rPr>
          <w:rFonts w:hint="default" w:ascii="Arial Regular" w:hAnsi="Arial Regular" w:cs="Arial Regular"/>
          <w:b/>
          <w:bCs w:val="0"/>
          <w:sz w:val="24"/>
          <w:szCs w:val="24"/>
        </w:rPr>
      </w:pPr>
    </w:p>
    <w:p w14:paraId="0AFEFFEF">
      <w:pPr>
        <w:numPr>
          <w:ilvl w:val="0"/>
          <w:numId w:val="2"/>
        </w:numPr>
        <w:bidi w:val="0"/>
        <w:spacing w:line="360" w:lineRule="auto"/>
        <w:jc w:val="both"/>
        <w:rPr>
          <w:rFonts w:hint="default" w:ascii="Arial Regular" w:hAnsi="Arial Regular" w:cs="Arial Regular"/>
          <w:b/>
          <w:bCs w:val="0"/>
          <w:i w:val="0"/>
          <w:iCs/>
          <w:sz w:val="24"/>
          <w:szCs w:val="24"/>
        </w:rPr>
      </w:pPr>
      <w:bookmarkStart w:id="240" w:name="_Toc264221056"/>
      <w:bookmarkStart w:id="241" w:name="_Toc1418895141"/>
      <w:r>
        <w:rPr>
          <w:rFonts w:hint="default" w:ascii="Arial Regular" w:hAnsi="Arial Regular" w:cs="Arial Regular"/>
          <w:b/>
          <w:bCs w:val="0"/>
          <w:i w:val="0"/>
          <w:iCs/>
          <w:sz w:val="24"/>
          <w:szCs w:val="24"/>
        </w:rPr>
        <w:t>Currency Risk Exposure</w:t>
      </w:r>
      <w:r>
        <w:rPr>
          <w:rFonts w:hint="default" w:ascii="Arial Regular" w:hAnsi="Arial Regular" w:cs="Arial Regular"/>
          <w:b/>
          <w:bCs w:val="0"/>
          <w:i w:val="0"/>
          <w:iCs/>
          <w:sz w:val="24"/>
          <w:szCs w:val="24"/>
          <w:lang w:val="de-DE"/>
        </w:rPr>
        <w:t>:</w:t>
      </w:r>
      <w:bookmarkEnd w:id="240"/>
      <w:bookmarkEnd w:id="241"/>
    </w:p>
    <w:p w14:paraId="0429EEF9">
      <w:pPr>
        <w:numPr>
          <w:ilvl w:val="0"/>
          <w:numId w:val="0"/>
        </w:numPr>
        <w:bidi w:val="0"/>
        <w:spacing w:line="360" w:lineRule="auto"/>
        <w:ind w:leftChars="0"/>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Currency risk significantly affects the electronics industry by influencing the price competitiveness of products, which in turn squeezes profit margins. Exchange rate volatility can increase import costs for components while reducing the value of foreign revenues when converted back into the home currency. For firms like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this dynamic contributes to reduced profitability; for example, its revenue declined as operating expenses fell by 6.89%, putting additional pressure on margins in competitive markets. Sudden currency swings also heighten uncertainty over future cash flows and long</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investment decisions by multinational corporations (Barron’s, 2025). Firms often use hedging strategies to mitigate these effects, but unpredictable currency movements can still erode financial performance and investment returns.</w:t>
      </w:r>
    </w:p>
    <w:p w14:paraId="1A066B83">
      <w:pPr>
        <w:numPr>
          <w:ilvl w:val="0"/>
          <w:numId w:val="0"/>
        </w:numPr>
        <w:bidi w:val="0"/>
        <w:spacing w:line="360" w:lineRule="auto"/>
        <w:ind w:leftChars="0"/>
        <w:jc w:val="both"/>
        <w:rPr>
          <w:rFonts w:hint="default" w:ascii="Arial Regular" w:hAnsi="Arial Regular" w:cs="Arial Regular"/>
          <w:b w:val="0"/>
          <w:bCs/>
          <w:i w:val="0"/>
          <w:iCs/>
          <w:sz w:val="24"/>
          <w:szCs w:val="24"/>
        </w:rPr>
      </w:pPr>
    </w:p>
    <w:p w14:paraId="18179A90">
      <w:pPr>
        <w:numPr>
          <w:ilvl w:val="0"/>
          <w:numId w:val="2"/>
        </w:numPr>
        <w:bidi w:val="0"/>
        <w:spacing w:line="360" w:lineRule="auto"/>
        <w:jc w:val="both"/>
        <w:rPr>
          <w:rFonts w:hint="default" w:ascii="Arial Regular" w:hAnsi="Arial Regular" w:cs="Arial Regular"/>
          <w:b/>
          <w:bCs w:val="0"/>
          <w:i w:val="0"/>
          <w:iCs/>
          <w:sz w:val="24"/>
          <w:szCs w:val="24"/>
        </w:rPr>
      </w:pPr>
      <w:bookmarkStart w:id="242" w:name="_Toc1712218499"/>
      <w:bookmarkStart w:id="243" w:name="_Toc1914589843"/>
      <w:r>
        <w:rPr>
          <w:rFonts w:hint="default" w:ascii="Arial Regular" w:hAnsi="Arial Regular" w:cs="Arial Regular"/>
          <w:b/>
          <w:bCs w:val="0"/>
          <w:i w:val="0"/>
          <w:iCs/>
          <w:sz w:val="24"/>
          <w:szCs w:val="24"/>
        </w:rPr>
        <w:t>Cross</w:t>
      </w:r>
      <w:r>
        <w:rPr>
          <w:rFonts w:hint="default" w:ascii="Arial Regular" w:hAnsi="Arial Regular" w:cs="Arial Regular"/>
          <w:b/>
          <w:bCs w:val="0"/>
          <w:i w:val="0"/>
          <w:iCs/>
          <w:sz w:val="24"/>
          <w:szCs w:val="24"/>
        </w:rPr>
        <w:noBreakHyphen/>
      </w:r>
      <w:r>
        <w:rPr>
          <w:rFonts w:hint="default" w:ascii="Arial Regular" w:hAnsi="Arial Regular" w:cs="Arial Regular"/>
          <w:b/>
          <w:bCs w:val="0"/>
          <w:i w:val="0"/>
          <w:iCs/>
          <w:sz w:val="24"/>
          <w:szCs w:val="24"/>
        </w:rPr>
        <w:t>Border Tax Implications</w:t>
      </w:r>
      <w:r>
        <w:rPr>
          <w:rFonts w:hint="default" w:ascii="Arial Regular" w:hAnsi="Arial Regular" w:cs="Arial Regular"/>
          <w:b/>
          <w:bCs w:val="0"/>
          <w:i w:val="0"/>
          <w:iCs/>
          <w:sz w:val="24"/>
          <w:szCs w:val="24"/>
          <w:lang w:val="de-DE"/>
        </w:rPr>
        <w:t>:</w:t>
      </w:r>
      <w:bookmarkEnd w:id="242"/>
      <w:bookmarkEnd w:id="243"/>
    </w:p>
    <w:p w14:paraId="2A85A9E1">
      <w:pPr>
        <w:numPr>
          <w:ilvl w:val="0"/>
          <w:numId w:val="0"/>
        </w:numPr>
        <w:bidi w:val="0"/>
        <w:spacing w:line="360" w:lineRule="auto"/>
        <w:ind w:leftChars="0"/>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Tax and tariff policies further complicate international operations for electronics manufacturers. Elevated tariffs increase production costs and can dampen consumer demand by raising retail prices. Tariff uncertainties have been a notable drag on global growth and supply chains, with heightened charges on goods contributing to higher input costs for electronics components and systems (HSBC, 2025). Retaliatory and escalatory tariff regimes—such as those between major trading partners—introduce additional cost burdens that reduce demand for imported products and depress sales volumes. These dynamics adversely affect companies such as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as increased tariff liabilities undermine market expansion and revenue generation.</w:t>
      </w:r>
    </w:p>
    <w:p w14:paraId="2DFFCE53">
      <w:pPr>
        <w:numPr>
          <w:ilvl w:val="0"/>
          <w:numId w:val="0"/>
        </w:numPr>
        <w:bidi w:val="0"/>
        <w:spacing w:line="360" w:lineRule="auto"/>
        <w:ind w:leftChars="0"/>
        <w:jc w:val="both"/>
        <w:rPr>
          <w:rFonts w:hint="default" w:ascii="Arial Regular" w:hAnsi="Arial Regular" w:cs="Arial Regular"/>
          <w:b w:val="0"/>
          <w:bCs/>
          <w:i w:val="0"/>
          <w:iCs/>
          <w:sz w:val="24"/>
          <w:szCs w:val="24"/>
        </w:rPr>
      </w:pPr>
    </w:p>
    <w:p w14:paraId="458D4B9E">
      <w:pPr>
        <w:numPr>
          <w:ilvl w:val="0"/>
          <w:numId w:val="2"/>
        </w:numPr>
        <w:bidi w:val="0"/>
        <w:spacing w:line="360" w:lineRule="auto"/>
        <w:jc w:val="both"/>
        <w:rPr>
          <w:rFonts w:hint="default" w:ascii="Arial Regular" w:hAnsi="Arial Regular" w:cs="Arial Regular"/>
          <w:b/>
          <w:bCs w:val="0"/>
          <w:i w:val="0"/>
          <w:iCs/>
          <w:sz w:val="24"/>
          <w:szCs w:val="24"/>
        </w:rPr>
      </w:pPr>
      <w:bookmarkStart w:id="244" w:name="_Toc616524653"/>
      <w:bookmarkStart w:id="245" w:name="_Toc975442893"/>
      <w:r>
        <w:rPr>
          <w:rFonts w:hint="default" w:ascii="Arial Regular" w:hAnsi="Arial Regular" w:cs="Arial Regular"/>
          <w:b/>
          <w:bCs w:val="0"/>
          <w:i w:val="0"/>
          <w:iCs/>
          <w:sz w:val="24"/>
          <w:szCs w:val="24"/>
        </w:rPr>
        <w:t>Inflationary Pressures in Global Markets</w:t>
      </w:r>
      <w:r>
        <w:rPr>
          <w:rFonts w:hint="default" w:ascii="Arial Regular" w:hAnsi="Arial Regular" w:cs="Arial Regular"/>
          <w:b/>
          <w:bCs w:val="0"/>
          <w:i w:val="0"/>
          <w:iCs/>
          <w:sz w:val="24"/>
          <w:szCs w:val="24"/>
          <w:lang w:val="de-DE"/>
        </w:rPr>
        <w:t>:</w:t>
      </w:r>
      <w:bookmarkEnd w:id="244"/>
      <w:bookmarkEnd w:id="245"/>
    </w:p>
    <w:p w14:paraId="76684903">
      <w:pPr>
        <w:numPr>
          <w:ilvl w:val="0"/>
          <w:numId w:val="0"/>
        </w:numPr>
        <w:bidi w:val="0"/>
        <w:spacing w:line="360" w:lineRule="auto"/>
        <w:ind w:leftChars="0"/>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Inflationary pressures also impact consumer purchasing power and corporate financial health.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saw a 225% reduction in equity revenue amid rising industrial prices in 2025. In the UK, inflation, measured by the Consumer Price Index, rose from 3% in 2023 to around 3.3% in 2025, reducing consumers’ real income and discretionary spending on non</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essential electronics (Trading Economics, 2025). Elevated prices for goods and services erode household purchasing power, leading to weaker demand and diminished brand loyalty. The combination of higher input costs and constrained consumer budgets can compress profit margins further.</w:t>
      </w:r>
    </w:p>
    <w:p w14:paraId="289E54EC">
      <w:pPr>
        <w:numPr>
          <w:ilvl w:val="0"/>
          <w:numId w:val="0"/>
        </w:numPr>
        <w:bidi w:val="0"/>
        <w:spacing w:line="360" w:lineRule="auto"/>
        <w:ind w:leftChars="0"/>
        <w:jc w:val="both"/>
        <w:rPr>
          <w:rFonts w:hint="default" w:ascii="Arial Regular" w:hAnsi="Arial Regular" w:cs="Arial Regular"/>
          <w:b w:val="0"/>
          <w:bCs/>
          <w:i w:val="0"/>
          <w:iCs/>
          <w:sz w:val="24"/>
          <w:szCs w:val="24"/>
        </w:rPr>
      </w:pPr>
    </w:p>
    <w:p w14:paraId="3A7252A1">
      <w:pPr>
        <w:numPr>
          <w:ilvl w:val="0"/>
          <w:numId w:val="2"/>
        </w:numPr>
        <w:bidi w:val="0"/>
        <w:spacing w:line="360" w:lineRule="auto"/>
        <w:jc w:val="both"/>
        <w:rPr>
          <w:rFonts w:hint="default" w:ascii="Arial Regular" w:hAnsi="Arial Regular" w:cs="Arial Regular"/>
          <w:b/>
          <w:bCs w:val="0"/>
          <w:i w:val="0"/>
          <w:iCs/>
          <w:sz w:val="24"/>
          <w:szCs w:val="24"/>
        </w:rPr>
      </w:pPr>
      <w:bookmarkStart w:id="246" w:name="_Toc378541453"/>
      <w:bookmarkStart w:id="247" w:name="_Toc321246196"/>
      <w:r>
        <w:rPr>
          <w:rFonts w:hint="default" w:ascii="Arial Regular" w:hAnsi="Arial Regular" w:cs="Arial Regular"/>
          <w:b/>
          <w:bCs w:val="0"/>
          <w:i w:val="0"/>
          <w:iCs/>
          <w:sz w:val="24"/>
          <w:szCs w:val="24"/>
        </w:rPr>
        <w:t>CSR, Sustainability, and Ethical Financing Principles</w:t>
      </w:r>
      <w:r>
        <w:rPr>
          <w:rFonts w:hint="default" w:ascii="Arial Regular" w:hAnsi="Arial Regular" w:cs="Arial Regular"/>
          <w:b/>
          <w:bCs w:val="0"/>
          <w:i w:val="0"/>
          <w:iCs/>
          <w:sz w:val="24"/>
          <w:szCs w:val="24"/>
          <w:lang w:val="de-DE"/>
        </w:rPr>
        <w:t>:</w:t>
      </w:r>
      <w:bookmarkEnd w:id="246"/>
      <w:bookmarkEnd w:id="247"/>
      <w:r>
        <w:rPr>
          <w:rFonts w:hint="default" w:ascii="Arial Regular" w:hAnsi="Arial Regular" w:cs="Arial Regular"/>
          <w:b/>
          <w:bCs w:val="0"/>
          <w:i w:val="0"/>
          <w:iCs/>
          <w:sz w:val="24"/>
          <w:szCs w:val="24"/>
          <w:lang w:val="de-DE"/>
        </w:rPr>
        <w:t xml:space="preserve"> </w:t>
      </w:r>
    </w:p>
    <w:p w14:paraId="04E54D02">
      <w:pPr>
        <w:numPr>
          <w:ilvl w:val="0"/>
          <w:numId w:val="0"/>
        </w:numPr>
        <w:bidi w:val="0"/>
        <w:spacing w:line="360" w:lineRule="auto"/>
        <w:ind w:leftChars="0"/>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Integrating CSR and ethical financing practices with cash management is increasingly important for sustainable operations. Research suggests that enhanced corporate sustainability performance can influence cash holdings and financial flexibility, as firms may prioritise liquidity to support long</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ESG commitments and risk</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 xml:space="preserve">mitigation strategies (Frontiers in Sustainability, 2025).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a 60.96% decline in cash reserves forced increased borrowing and exerted downward pressure on share prices, underscoring the financial implications of weaker cash positions. Ethical decision</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making and CSR integration can promote prudent financial planning, support stakeholder trust, and enhance long</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resilience.</w:t>
      </w:r>
    </w:p>
    <w:p w14:paraId="1432F27B">
      <w:pPr>
        <w:numPr>
          <w:ilvl w:val="0"/>
          <w:numId w:val="0"/>
        </w:numPr>
        <w:bidi w:val="0"/>
        <w:spacing w:line="360" w:lineRule="auto"/>
        <w:ind w:leftChars="0"/>
        <w:jc w:val="both"/>
        <w:rPr>
          <w:rFonts w:hint="default" w:ascii="Arial Regular" w:hAnsi="Arial Regular" w:cs="Arial Regular"/>
          <w:b w:val="0"/>
          <w:bCs/>
          <w:i w:val="0"/>
          <w:iCs/>
          <w:sz w:val="24"/>
          <w:szCs w:val="24"/>
        </w:rPr>
      </w:pPr>
    </w:p>
    <w:p w14:paraId="57890F53">
      <w:pPr>
        <w:pStyle w:val="2"/>
        <w:spacing w:line="360" w:lineRule="auto"/>
        <w:jc w:val="both"/>
        <w:rPr>
          <w:rFonts w:hint="default" w:ascii="Arial Regular" w:hAnsi="Arial Regular" w:cs="Arial Regular"/>
          <w:b/>
          <w:bCs w:val="0"/>
          <w:i w:val="0"/>
          <w:iCs/>
          <w:sz w:val="24"/>
          <w:szCs w:val="24"/>
        </w:rPr>
      </w:pPr>
      <w:bookmarkStart w:id="248" w:name="_Toc1299638157"/>
      <w:bookmarkStart w:id="249" w:name="_Toc1200677196"/>
      <w:bookmarkStart w:id="250" w:name="_Toc213589920"/>
      <w:bookmarkStart w:id="251" w:name="_Toc831483645"/>
      <w:bookmarkStart w:id="252" w:name="_Toc257002770"/>
      <w:bookmarkStart w:id="253" w:name="_Toc1513460136"/>
      <w:bookmarkStart w:id="254" w:name="_Toc1736152436"/>
      <w:bookmarkStart w:id="255" w:name="_Toc1783949542"/>
      <w:bookmarkStart w:id="256" w:name="_Toc1528540159"/>
      <w:bookmarkStart w:id="257" w:name="_Toc410927614"/>
      <w:r>
        <w:rPr>
          <w:rFonts w:hint="default" w:ascii="Arial Regular" w:hAnsi="Arial Regular" w:cs="Arial Regular"/>
          <w:b/>
          <w:bCs w:val="0"/>
          <w:i w:val="0"/>
          <w:iCs/>
          <w:sz w:val="24"/>
          <w:szCs w:val="24"/>
        </w:rPr>
        <w:t>4. Investment Appraisal and Capital Budgeting</w:t>
      </w:r>
      <w:bookmarkEnd w:id="248"/>
      <w:bookmarkEnd w:id="249"/>
      <w:bookmarkEnd w:id="250"/>
      <w:bookmarkEnd w:id="251"/>
      <w:bookmarkEnd w:id="252"/>
      <w:bookmarkEnd w:id="253"/>
      <w:bookmarkEnd w:id="254"/>
      <w:bookmarkEnd w:id="255"/>
      <w:bookmarkEnd w:id="256"/>
      <w:bookmarkEnd w:id="257"/>
    </w:p>
    <w:p w14:paraId="401DBF77">
      <w:pPr>
        <w:pStyle w:val="3"/>
        <w:spacing w:line="360" w:lineRule="auto"/>
        <w:jc w:val="both"/>
        <w:rPr>
          <w:rFonts w:hint="default" w:ascii="Arial Regular" w:hAnsi="Arial Regular" w:cs="Arial Regular"/>
          <w:b/>
          <w:bCs w:val="0"/>
          <w:i w:val="0"/>
          <w:iCs/>
          <w:sz w:val="24"/>
          <w:szCs w:val="24"/>
        </w:rPr>
      </w:pPr>
      <w:bookmarkStart w:id="258" w:name="_Toc1820756627"/>
      <w:bookmarkStart w:id="259" w:name="_Toc213589921"/>
      <w:bookmarkStart w:id="260" w:name="_Toc152999746"/>
      <w:bookmarkStart w:id="261" w:name="_Toc1928190684"/>
      <w:bookmarkStart w:id="262" w:name="_Toc1653680063"/>
      <w:bookmarkStart w:id="263" w:name="_Toc1069530486"/>
      <w:bookmarkStart w:id="264" w:name="_Toc855941273"/>
      <w:bookmarkStart w:id="265" w:name="_Toc2025285960"/>
      <w:bookmarkStart w:id="266" w:name="_Toc962331062"/>
      <w:bookmarkStart w:id="267" w:name="_Toc1975066899"/>
      <w:r>
        <w:rPr>
          <w:rFonts w:hint="default" w:ascii="Arial Regular" w:hAnsi="Arial Regular" w:cs="Arial Regular"/>
          <w:b/>
          <w:bCs w:val="0"/>
          <w:i w:val="0"/>
          <w:iCs/>
          <w:sz w:val="24"/>
          <w:szCs w:val="24"/>
        </w:rPr>
        <w:t>4.1 Overview of Proposed Investment Projects</w:t>
      </w:r>
      <w:bookmarkEnd w:id="258"/>
      <w:bookmarkEnd w:id="259"/>
      <w:bookmarkEnd w:id="260"/>
      <w:bookmarkEnd w:id="261"/>
      <w:bookmarkEnd w:id="262"/>
      <w:bookmarkEnd w:id="263"/>
      <w:bookmarkEnd w:id="264"/>
      <w:bookmarkEnd w:id="265"/>
      <w:bookmarkEnd w:id="266"/>
      <w:bookmarkEnd w:id="267"/>
      <w:r>
        <w:rPr>
          <w:rFonts w:hint="default" w:ascii="Arial Regular" w:hAnsi="Arial Regular" w:cs="Arial Regular"/>
          <w:b/>
          <w:bCs w:val="0"/>
          <w:i w:val="0"/>
          <w:iCs/>
          <w:sz w:val="24"/>
          <w:szCs w:val="24"/>
        </w:rPr>
        <w:t xml:space="preserve"> </w:t>
      </w:r>
    </w:p>
    <w:p w14:paraId="39C952AD">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The proposed investment strategy focuses on acquiring three projects</w:t>
      </w:r>
      <w:r>
        <w:rPr>
          <w:rFonts w:hint="default" w:ascii="Arial Regular" w:hAnsi="Arial Regular" w:cs="Arial Regular"/>
          <w:b w:val="0"/>
          <w:bCs/>
          <w:i w:val="0"/>
          <w:iCs/>
          <w:sz w:val="24"/>
          <w:szCs w:val="24"/>
          <w:lang w:val="de-DE"/>
        </w:rPr>
        <w:t xml:space="preserve"> - </w:t>
      </w:r>
      <w:r>
        <w:rPr>
          <w:rFonts w:hint="default" w:ascii="Arial Regular" w:hAnsi="Arial Regular" w:cs="Arial Regular"/>
          <w:b w:val="0"/>
          <w:bCs/>
          <w:i w:val="0"/>
          <w:iCs/>
          <w:sz w:val="24"/>
          <w:szCs w:val="24"/>
        </w:rPr>
        <w:t>A, B, and C</w:t>
      </w:r>
      <w:r>
        <w:rPr>
          <w:rFonts w:hint="default" w:ascii="Arial Regular" w:hAnsi="Arial Regular" w:cs="Arial Regular"/>
          <w:b w:val="0"/>
          <w:bCs/>
          <w:i w:val="0"/>
          <w:iCs/>
          <w:sz w:val="24"/>
          <w:szCs w:val="24"/>
          <w:lang w:val="de-DE"/>
        </w:rPr>
        <w:t xml:space="preserve">; </w:t>
      </w:r>
      <w:r>
        <w:rPr>
          <w:rFonts w:hint="default" w:ascii="Arial Regular" w:hAnsi="Arial Regular" w:cs="Arial Regular"/>
          <w:b w:val="0"/>
          <w:bCs/>
          <w:i w:val="0"/>
          <w:iCs/>
          <w:sz w:val="24"/>
          <w:szCs w:val="24"/>
        </w:rPr>
        <w:t xml:space="preserve">within a </w:t>
      </w:r>
      <w:r>
        <w:rPr>
          <w:rStyle w:val="13"/>
          <w:rFonts w:hint="default" w:ascii="Arial Regular" w:hAnsi="Arial Regular" w:cs="Arial Regular"/>
          <w:b w:val="0"/>
          <w:bCs/>
          <w:i w:val="0"/>
          <w:iCs/>
          <w:sz w:val="24"/>
          <w:szCs w:val="24"/>
        </w:rPr>
        <w:t>capital constraint of £60 million</w:t>
      </w:r>
      <w:r>
        <w:rPr>
          <w:rFonts w:hint="default" w:ascii="Arial Regular" w:hAnsi="Arial Regular" w:cs="Arial Regular"/>
          <w:b w:val="0"/>
          <w:bCs/>
          <w:i w:val="0"/>
          <w:iCs/>
          <w:sz w:val="24"/>
          <w:szCs w:val="24"/>
        </w:rPr>
        <w:t xml:space="preserve">. </w:t>
      </w:r>
      <w:r>
        <w:rPr>
          <w:rStyle w:val="13"/>
          <w:rFonts w:hint="default" w:ascii="Arial Regular" w:hAnsi="Arial Regular" w:cs="Arial Regular"/>
          <w:b w:val="0"/>
          <w:bCs/>
          <w:i w:val="0"/>
          <w:iCs/>
          <w:sz w:val="24"/>
          <w:szCs w:val="24"/>
        </w:rPr>
        <w:t>Project A</w:t>
      </w:r>
      <w:r>
        <w:rPr>
          <w:rFonts w:hint="default" w:ascii="Arial Regular" w:hAnsi="Arial Regular" w:cs="Arial Regular"/>
          <w:b w:val="0"/>
          <w:bCs/>
          <w:i w:val="0"/>
          <w:iCs/>
          <w:sz w:val="24"/>
          <w:szCs w:val="24"/>
        </w:rPr>
        <w:t xml:space="preserve"> requires </w:t>
      </w:r>
      <w:r>
        <w:rPr>
          <w:rStyle w:val="13"/>
          <w:rFonts w:hint="default" w:ascii="Arial Regular" w:hAnsi="Arial Regular" w:cs="Arial Regular"/>
          <w:b w:val="0"/>
          <w:bCs/>
          <w:i w:val="0"/>
          <w:iCs/>
          <w:sz w:val="24"/>
          <w:szCs w:val="24"/>
        </w:rPr>
        <w:t>£40 million</w:t>
      </w:r>
      <w:r>
        <w:rPr>
          <w:rFonts w:hint="default" w:ascii="Arial Regular" w:hAnsi="Arial Regular" w:cs="Arial Regular"/>
          <w:b w:val="0"/>
          <w:bCs/>
          <w:i w:val="0"/>
          <w:iCs/>
          <w:sz w:val="24"/>
          <w:szCs w:val="24"/>
        </w:rPr>
        <w:t xml:space="preserve">, generating steady cash inflows peaking at </w:t>
      </w:r>
      <w:r>
        <w:rPr>
          <w:rStyle w:val="13"/>
          <w:rFonts w:hint="default" w:ascii="Arial Regular" w:hAnsi="Arial Regular" w:cs="Arial Regular"/>
          <w:b w:val="0"/>
          <w:bCs/>
          <w:i w:val="0"/>
          <w:iCs/>
          <w:sz w:val="24"/>
          <w:szCs w:val="24"/>
        </w:rPr>
        <w:t>£14 million in Year 3</w:t>
      </w:r>
      <w:r>
        <w:rPr>
          <w:rFonts w:hint="default" w:ascii="Arial Regular" w:hAnsi="Arial Regular" w:cs="Arial Regular"/>
          <w:b w:val="0"/>
          <w:bCs/>
          <w:i w:val="0"/>
          <w:iCs/>
          <w:sz w:val="24"/>
          <w:szCs w:val="24"/>
        </w:rPr>
        <w:t xml:space="preserve">. </w:t>
      </w:r>
      <w:r>
        <w:rPr>
          <w:rStyle w:val="13"/>
          <w:rFonts w:hint="default" w:ascii="Arial Regular" w:hAnsi="Arial Regular" w:cs="Arial Regular"/>
          <w:b w:val="0"/>
          <w:bCs/>
          <w:i w:val="0"/>
          <w:iCs/>
          <w:sz w:val="24"/>
          <w:szCs w:val="24"/>
        </w:rPr>
        <w:t>Project B</w:t>
      </w:r>
      <w:r>
        <w:rPr>
          <w:rFonts w:hint="default" w:ascii="Arial Regular" w:hAnsi="Arial Regular" w:cs="Arial Regular"/>
          <w:b w:val="0"/>
          <w:bCs/>
          <w:i w:val="0"/>
          <w:iCs/>
          <w:sz w:val="24"/>
          <w:szCs w:val="24"/>
        </w:rPr>
        <w:t xml:space="preserve"> demands </w:t>
      </w:r>
      <w:r>
        <w:rPr>
          <w:rStyle w:val="13"/>
          <w:rFonts w:hint="default" w:ascii="Arial Regular" w:hAnsi="Arial Regular" w:cs="Arial Regular"/>
          <w:b w:val="0"/>
          <w:bCs/>
          <w:i w:val="0"/>
          <w:iCs/>
          <w:sz w:val="24"/>
          <w:szCs w:val="24"/>
        </w:rPr>
        <w:t>£30 million</w:t>
      </w:r>
      <w:r>
        <w:rPr>
          <w:rFonts w:hint="default" w:ascii="Arial Regular" w:hAnsi="Arial Regular" w:cs="Arial Regular"/>
          <w:b w:val="0"/>
          <w:bCs/>
          <w:i w:val="0"/>
          <w:iCs/>
          <w:sz w:val="24"/>
          <w:szCs w:val="24"/>
        </w:rPr>
        <w:t xml:space="preserve">, providing consistent inflows of </w:t>
      </w:r>
      <w:r>
        <w:rPr>
          <w:rStyle w:val="13"/>
          <w:rFonts w:hint="default" w:ascii="Arial Regular" w:hAnsi="Arial Regular" w:cs="Arial Regular"/>
          <w:b w:val="0"/>
          <w:bCs/>
          <w:i w:val="0"/>
          <w:iCs/>
          <w:sz w:val="24"/>
          <w:szCs w:val="24"/>
        </w:rPr>
        <w:t>£6 million annually</w:t>
      </w:r>
      <w:r>
        <w:rPr>
          <w:rFonts w:hint="default" w:ascii="Arial Regular" w:hAnsi="Arial Regular" w:cs="Arial Regular"/>
          <w:b w:val="0"/>
          <w:bCs/>
          <w:i w:val="0"/>
          <w:iCs/>
          <w:sz w:val="24"/>
          <w:szCs w:val="24"/>
        </w:rPr>
        <w:t xml:space="preserve">. </w:t>
      </w:r>
      <w:r>
        <w:rPr>
          <w:rStyle w:val="13"/>
          <w:rFonts w:hint="default" w:ascii="Arial Regular" w:hAnsi="Arial Regular" w:cs="Arial Regular"/>
          <w:b w:val="0"/>
          <w:bCs/>
          <w:i w:val="0"/>
          <w:iCs/>
          <w:sz w:val="24"/>
          <w:szCs w:val="24"/>
        </w:rPr>
        <w:t>Project C</w:t>
      </w:r>
      <w:r>
        <w:rPr>
          <w:rFonts w:hint="default" w:ascii="Arial Regular" w:hAnsi="Arial Regular" w:cs="Arial Regular"/>
          <w:b w:val="0"/>
          <w:bCs/>
          <w:i w:val="0"/>
          <w:iCs/>
          <w:sz w:val="24"/>
          <w:szCs w:val="24"/>
        </w:rPr>
        <w:t xml:space="preserve"> involves an investment of </w:t>
      </w:r>
      <w:r>
        <w:rPr>
          <w:rStyle w:val="13"/>
          <w:rFonts w:hint="default" w:ascii="Arial Regular" w:hAnsi="Arial Regular" w:cs="Arial Regular"/>
          <w:b w:val="0"/>
          <w:bCs/>
          <w:i w:val="0"/>
          <w:iCs/>
          <w:sz w:val="24"/>
          <w:szCs w:val="24"/>
        </w:rPr>
        <w:t>£50 million</w:t>
      </w:r>
      <w:r>
        <w:rPr>
          <w:rFonts w:hint="default" w:ascii="Arial Regular" w:hAnsi="Arial Regular" w:cs="Arial Regular"/>
          <w:b w:val="0"/>
          <w:bCs/>
          <w:i w:val="0"/>
          <w:iCs/>
          <w:sz w:val="24"/>
          <w:szCs w:val="24"/>
        </w:rPr>
        <w:t xml:space="preserve">, offering rising returns up to </w:t>
      </w:r>
      <w:r>
        <w:rPr>
          <w:rStyle w:val="13"/>
          <w:rFonts w:hint="default" w:ascii="Arial Regular" w:hAnsi="Arial Regular" w:cs="Arial Regular"/>
          <w:b w:val="0"/>
          <w:bCs/>
          <w:i w:val="0"/>
          <w:iCs/>
          <w:sz w:val="24"/>
          <w:szCs w:val="24"/>
        </w:rPr>
        <w:t>£25 million by Year 4</w:t>
      </w:r>
      <w:r>
        <w:rPr>
          <w:rFonts w:hint="default" w:ascii="Arial Regular" w:hAnsi="Arial Regular" w:cs="Arial Regular"/>
          <w:b w:val="0"/>
          <w:bCs/>
          <w:i w:val="0"/>
          <w:iCs/>
          <w:sz w:val="24"/>
          <w:szCs w:val="24"/>
        </w:rPr>
        <w:t xml:space="preserve">. Using the straight-line depreciation method and a </w:t>
      </w:r>
      <w:r>
        <w:rPr>
          <w:rStyle w:val="13"/>
          <w:rFonts w:hint="default" w:ascii="Arial Regular" w:hAnsi="Arial Regular" w:cs="Arial Regular"/>
          <w:b w:val="0"/>
          <w:bCs/>
          <w:i w:val="0"/>
          <w:iCs/>
          <w:sz w:val="24"/>
          <w:szCs w:val="24"/>
        </w:rPr>
        <w:t>10% discount rate</w:t>
      </w:r>
      <w:r>
        <w:rPr>
          <w:rFonts w:hint="default" w:ascii="Arial Regular" w:hAnsi="Arial Regular" w:cs="Arial Regular"/>
          <w:b w:val="0"/>
          <w:bCs/>
          <w:i w:val="0"/>
          <w:iCs/>
          <w:sz w:val="24"/>
          <w:szCs w:val="24"/>
        </w:rPr>
        <w:t xml:space="preserve">, analysis identifies the most financially viable combination of projects to maximize net present value (NPV) and overall returns while staying within the </w:t>
      </w:r>
      <w:r>
        <w:rPr>
          <w:rStyle w:val="13"/>
          <w:rFonts w:hint="default" w:ascii="Arial Regular" w:hAnsi="Arial Regular" w:cs="Arial Regular"/>
          <w:b w:val="0"/>
          <w:bCs/>
          <w:i w:val="0"/>
          <w:iCs/>
          <w:sz w:val="24"/>
          <w:szCs w:val="24"/>
        </w:rPr>
        <w:t>£60 million limit</w:t>
      </w:r>
      <w:r>
        <w:rPr>
          <w:rFonts w:hint="default" w:ascii="Arial Regular" w:hAnsi="Arial Regular" w:cs="Arial Regular"/>
          <w:b w:val="0"/>
          <w:bCs/>
          <w:i w:val="0"/>
          <w:iCs/>
          <w:sz w:val="24"/>
          <w:szCs w:val="24"/>
        </w:rPr>
        <w:t>.</w:t>
      </w:r>
    </w:p>
    <w:p w14:paraId="5711F015">
      <w:pPr>
        <w:pStyle w:val="3"/>
        <w:bidi w:val="0"/>
        <w:spacing w:line="360" w:lineRule="auto"/>
        <w:jc w:val="both"/>
        <w:rPr>
          <w:rFonts w:hint="default" w:ascii="Arial Regular" w:hAnsi="Arial Regular" w:cs="Arial Regular"/>
          <w:b/>
          <w:bCs/>
          <w:i w:val="0"/>
          <w:iCs w:val="0"/>
          <w:sz w:val="24"/>
          <w:szCs w:val="24"/>
          <w:lang w:val="de-DE"/>
        </w:rPr>
      </w:pPr>
      <w:r>
        <w:rPr>
          <w:rFonts w:hint="default" w:ascii="Arial Regular" w:hAnsi="Arial Regular" w:cs="Arial Regular"/>
          <w:b/>
          <w:bCs/>
          <w:i w:val="0"/>
          <w:iCs w:val="0"/>
          <w:sz w:val="24"/>
          <w:szCs w:val="24"/>
          <w:lang w:val="de-DE"/>
        </w:rPr>
        <w:t xml:space="preserve">4.2 Quantitative Evaluation of Project A, B, and C </w:t>
      </w:r>
    </w:p>
    <w:p w14:paraId="348D10D6">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i w:val="0"/>
          <w:iCs/>
          <w:sz w:val="24"/>
          <w:szCs w:val="24"/>
        </w:rPr>
      </w:pPr>
      <w:r>
        <w:rPr>
          <w:rStyle w:val="13"/>
          <w:rFonts w:hint="default" w:ascii="Arial Regular" w:hAnsi="Arial Regular" w:cs="Arial Regular"/>
          <w:b/>
          <w:bCs/>
          <w:i w:val="0"/>
          <w:iCs/>
          <w:sz w:val="24"/>
          <w:szCs w:val="24"/>
          <w:lang w:val="de-DE"/>
        </w:rPr>
        <w:t>Project A:</w:t>
      </w:r>
    </w:p>
    <w:p w14:paraId="6E3CACF4">
      <w:pPr>
        <w:pStyle w:val="12"/>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i w:val="0"/>
          <w:iCs/>
          <w:sz w:val="24"/>
          <w:szCs w:val="24"/>
        </w:rPr>
      </w:pPr>
      <w:r>
        <w:rPr>
          <w:rStyle w:val="13"/>
          <w:rFonts w:hint="default" w:ascii="Arial Regular" w:hAnsi="Arial Regular" w:cs="Arial Regular"/>
          <w:b w:val="0"/>
          <w:bCs/>
          <w:i w:val="0"/>
          <w:iCs/>
          <w:sz w:val="24"/>
          <w:szCs w:val="24"/>
        </w:rPr>
        <w:t>Project A</w:t>
      </w:r>
      <w:r>
        <w:rPr>
          <w:rFonts w:hint="default" w:ascii="Arial Regular" w:hAnsi="Arial Regular" w:cs="Arial Regular"/>
          <w:b w:val="0"/>
          <w:bCs/>
          <w:i w:val="0"/>
          <w:iCs/>
          <w:sz w:val="24"/>
          <w:szCs w:val="24"/>
        </w:rPr>
        <w:t xml:space="preserve"> demonstrates moderate financial viability, ensuring positive cash inflows over a five-year period. The cumulative cash flow turns positive between </w:t>
      </w:r>
      <w:r>
        <w:rPr>
          <w:rStyle w:val="13"/>
          <w:rFonts w:hint="default" w:ascii="Arial Regular" w:hAnsi="Arial Regular" w:cs="Arial Regular"/>
          <w:b w:val="0"/>
          <w:bCs/>
          <w:i w:val="0"/>
          <w:iCs/>
          <w:sz w:val="24"/>
          <w:szCs w:val="24"/>
        </w:rPr>
        <w:t>Year 3 and Year 4</w:t>
      </w:r>
      <w:r>
        <w:rPr>
          <w:rFonts w:hint="default" w:ascii="Arial Regular" w:hAnsi="Arial Regular" w:cs="Arial Regular"/>
          <w:b w:val="0"/>
          <w:bCs/>
          <w:i w:val="0"/>
          <w:iCs/>
          <w:sz w:val="24"/>
          <w:szCs w:val="24"/>
        </w:rPr>
        <w:t xml:space="preserve">, yielding a </w:t>
      </w:r>
      <w:r>
        <w:rPr>
          <w:rStyle w:val="13"/>
          <w:rFonts w:hint="default" w:ascii="Arial Regular" w:hAnsi="Arial Regular" w:cs="Arial Regular"/>
          <w:b w:val="0"/>
          <w:bCs/>
          <w:i w:val="0"/>
          <w:iCs/>
          <w:sz w:val="24"/>
          <w:szCs w:val="24"/>
        </w:rPr>
        <w:t>payback period of approximately 3.5 years (3 years and 6 months)</w:t>
      </w:r>
      <w:r>
        <w:rPr>
          <w:rFonts w:hint="default" w:ascii="Arial Regular" w:hAnsi="Arial Regular" w:cs="Arial Regular"/>
          <w:b w:val="0"/>
          <w:bCs/>
          <w:i w:val="0"/>
          <w:iCs/>
          <w:sz w:val="24"/>
          <w:szCs w:val="24"/>
        </w:rPr>
        <w:t>, indicating a relatively rapid recovery of the initial outlay (</w:t>
      </w:r>
      <w:r>
        <w:rPr>
          <w:rFonts w:hint="default" w:ascii="Arial Regular" w:hAnsi="Arial Regular" w:cs="Arial Regular"/>
          <w:b w:val="0"/>
          <w:bCs/>
          <w:i w:val="0"/>
          <w:iCs/>
          <w:sz w:val="24"/>
          <w:szCs w:val="24"/>
          <w:lang w:val="de-DE"/>
        </w:rPr>
        <w:t>Figure 12</w:t>
      </w:r>
      <w:r>
        <w:rPr>
          <w:rFonts w:hint="default" w:ascii="Arial Regular" w:hAnsi="Arial Regular" w:cs="Arial Regular"/>
          <w:b w:val="0"/>
          <w:bCs/>
          <w:i w:val="0"/>
          <w:iCs/>
          <w:sz w:val="24"/>
          <w:szCs w:val="24"/>
        </w:rPr>
        <w:t xml:space="preserve">). The total present value of inflows, discounted at </w:t>
      </w:r>
      <w:r>
        <w:rPr>
          <w:rStyle w:val="13"/>
          <w:rFonts w:hint="default" w:ascii="Arial Regular" w:hAnsi="Arial Regular" w:cs="Arial Regular"/>
          <w:b w:val="0"/>
          <w:bCs/>
          <w:i w:val="0"/>
          <w:iCs/>
          <w:sz w:val="24"/>
          <w:szCs w:val="24"/>
        </w:rPr>
        <w:t>10%</w:t>
      </w:r>
      <w:r>
        <w:rPr>
          <w:rFonts w:hint="default" w:ascii="Arial Regular" w:hAnsi="Arial Regular" w:cs="Arial Regular"/>
          <w:b w:val="0"/>
          <w:bCs/>
          <w:i w:val="0"/>
          <w:iCs/>
          <w:sz w:val="24"/>
          <w:szCs w:val="24"/>
        </w:rPr>
        <w:t xml:space="preserve">, amounts to </w:t>
      </w:r>
      <w:r>
        <w:rPr>
          <w:rStyle w:val="13"/>
          <w:rFonts w:hint="default" w:ascii="Arial Regular" w:hAnsi="Arial Regular" w:cs="Arial Regular"/>
          <w:b w:val="0"/>
          <w:bCs/>
          <w:i w:val="0"/>
          <w:iCs/>
          <w:sz w:val="24"/>
          <w:szCs w:val="24"/>
        </w:rPr>
        <w:t>£41.32 million</w:t>
      </w:r>
      <w:r>
        <w:rPr>
          <w:rFonts w:hint="default" w:ascii="Arial Regular" w:hAnsi="Arial Regular" w:cs="Arial Regular"/>
          <w:b w:val="0"/>
          <w:bCs/>
          <w:i w:val="0"/>
          <w:iCs/>
          <w:sz w:val="24"/>
          <w:szCs w:val="24"/>
        </w:rPr>
        <w:t xml:space="preserve">, resulting in a marginally positive </w:t>
      </w:r>
      <w:r>
        <w:rPr>
          <w:rStyle w:val="13"/>
          <w:rFonts w:hint="default" w:ascii="Arial Regular" w:hAnsi="Arial Regular" w:cs="Arial Regular"/>
          <w:b w:val="0"/>
          <w:bCs/>
          <w:i w:val="0"/>
          <w:iCs/>
          <w:sz w:val="24"/>
          <w:szCs w:val="24"/>
        </w:rPr>
        <w:t>net present value (NPV) of £1.32 million</w:t>
      </w:r>
      <w:r>
        <w:rPr>
          <w:rFonts w:hint="default" w:ascii="Arial Regular" w:hAnsi="Arial Regular" w:cs="Arial Regular"/>
          <w:b w:val="0"/>
          <w:bCs/>
          <w:i w:val="0"/>
          <w:iCs/>
          <w:sz w:val="24"/>
          <w:szCs w:val="24"/>
        </w:rPr>
        <w:t xml:space="preserve"> (Table 1). The </w:t>
      </w:r>
      <w:r>
        <w:rPr>
          <w:rStyle w:val="13"/>
          <w:rFonts w:hint="default" w:ascii="Arial Regular" w:hAnsi="Arial Regular" w:cs="Arial Regular"/>
          <w:b w:val="0"/>
          <w:bCs/>
          <w:i w:val="0"/>
          <w:iCs/>
          <w:sz w:val="24"/>
          <w:szCs w:val="24"/>
        </w:rPr>
        <w:t>profitability index (PI)</w:t>
      </w:r>
      <w:r>
        <w:rPr>
          <w:rFonts w:hint="default" w:ascii="Arial Regular" w:hAnsi="Arial Regular" w:cs="Arial Regular"/>
          <w:b w:val="0"/>
          <w:bCs/>
          <w:i w:val="0"/>
          <w:iCs/>
          <w:sz w:val="24"/>
          <w:szCs w:val="24"/>
        </w:rPr>
        <w:t xml:space="preserve">, which measures projected inflows relative to investment cost, is </w:t>
      </w:r>
      <w:r>
        <w:rPr>
          <w:rStyle w:val="13"/>
          <w:rFonts w:hint="default" w:ascii="Arial Regular" w:hAnsi="Arial Regular" w:cs="Arial Regular"/>
          <w:b w:val="0"/>
          <w:bCs/>
          <w:i w:val="0"/>
          <w:iCs/>
          <w:sz w:val="24"/>
          <w:szCs w:val="24"/>
        </w:rPr>
        <w:t>1.03</w:t>
      </w:r>
      <w:r>
        <w:rPr>
          <w:rFonts w:hint="default" w:ascii="Arial Regular" w:hAnsi="Arial Regular" w:cs="Arial Regular"/>
          <w:b w:val="0"/>
          <w:bCs/>
          <w:i w:val="0"/>
          <w:iCs/>
          <w:sz w:val="24"/>
          <w:szCs w:val="24"/>
        </w:rPr>
        <w:t xml:space="preserve">, exceeding the threshold of 1 and signalling favorable returns (Chen, 2025). Present values rise steadily from </w:t>
      </w:r>
      <w:r>
        <w:rPr>
          <w:rStyle w:val="13"/>
          <w:rFonts w:hint="default" w:ascii="Arial Regular" w:hAnsi="Arial Regular" w:cs="Arial Regular"/>
          <w:b w:val="0"/>
          <w:bCs/>
          <w:i w:val="0"/>
          <w:iCs/>
          <w:sz w:val="24"/>
          <w:szCs w:val="24"/>
        </w:rPr>
        <w:t>£9.09 million in Year 1 to £10.52 million in Year 3</w:t>
      </w:r>
      <w:r>
        <w:rPr>
          <w:rFonts w:hint="default" w:ascii="Arial Regular" w:hAnsi="Arial Regular" w:cs="Arial Regular"/>
          <w:b w:val="0"/>
          <w:bCs/>
          <w:i w:val="0"/>
          <w:iCs/>
          <w:sz w:val="24"/>
          <w:szCs w:val="24"/>
        </w:rPr>
        <w:t>, reflecting strong early-phase performance (</w:t>
      </w:r>
      <w:r>
        <w:rPr>
          <w:rFonts w:hint="default" w:ascii="Arial Regular" w:hAnsi="Arial Regular" w:cs="Arial Regular"/>
          <w:b w:val="0"/>
          <w:bCs/>
          <w:i w:val="0"/>
          <w:iCs/>
          <w:sz w:val="24"/>
          <w:szCs w:val="24"/>
          <w:lang w:val="de-DE"/>
        </w:rPr>
        <w:t>Figure 12</w:t>
      </w:r>
      <w:r>
        <w:rPr>
          <w:rFonts w:hint="default" w:ascii="Arial Regular" w:hAnsi="Arial Regular" w:cs="Arial Regular"/>
          <w:b w:val="0"/>
          <w:bCs/>
          <w:i w:val="0"/>
          <w:iCs/>
          <w:sz w:val="24"/>
          <w:szCs w:val="24"/>
        </w:rPr>
        <w:t xml:space="preserve">). The </w:t>
      </w:r>
      <w:r>
        <w:rPr>
          <w:rStyle w:val="13"/>
          <w:rFonts w:hint="default" w:ascii="Arial Regular" w:hAnsi="Arial Regular" w:cs="Arial Regular"/>
          <w:b w:val="0"/>
          <w:bCs/>
          <w:i w:val="0"/>
          <w:iCs/>
          <w:sz w:val="24"/>
          <w:szCs w:val="24"/>
        </w:rPr>
        <w:t>internal rate of return (IRR) of 11.33%</w:t>
      </w:r>
      <w:r>
        <w:rPr>
          <w:rFonts w:hint="default" w:ascii="Arial Regular" w:hAnsi="Arial Regular" w:cs="Arial Regular"/>
          <w:b w:val="0"/>
          <w:bCs/>
          <w:i w:val="0"/>
          <w:iCs/>
          <w:sz w:val="24"/>
          <w:szCs w:val="24"/>
        </w:rPr>
        <w:t xml:space="preserve"> slightly surpasses the firm’s cost of capital, while the </w:t>
      </w:r>
      <w:r>
        <w:rPr>
          <w:rStyle w:val="13"/>
          <w:rFonts w:hint="default" w:ascii="Arial Regular" w:hAnsi="Arial Regular" w:cs="Arial Regular"/>
          <w:b w:val="0"/>
          <w:bCs/>
          <w:i w:val="0"/>
          <w:iCs/>
          <w:sz w:val="24"/>
          <w:szCs w:val="24"/>
        </w:rPr>
        <w:t>accounting rate of return (ARR) of 27%</w:t>
      </w:r>
      <w:r>
        <w:rPr>
          <w:rFonts w:hint="default" w:ascii="Arial Regular" w:hAnsi="Arial Regular" w:cs="Arial Regular"/>
          <w:b w:val="0"/>
          <w:bCs/>
          <w:i w:val="0"/>
          <w:iCs/>
          <w:sz w:val="24"/>
          <w:szCs w:val="24"/>
        </w:rPr>
        <w:t xml:space="preserve"> demonstrates robust profitability relative to book investment. Collectively, these metrics indicate that Project A offers financially sound and reliable returns.</w:t>
      </w:r>
    </w:p>
    <w:p w14:paraId="023EA1C8">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val="0"/>
          <w:i w:val="0"/>
          <w:iCs/>
          <w:sz w:val="24"/>
          <w:szCs w:val="24"/>
        </w:rPr>
      </w:pPr>
      <w:r>
        <w:rPr>
          <w:rStyle w:val="13"/>
          <w:rFonts w:hint="default" w:ascii="Arial Regular" w:hAnsi="Arial Regular" w:cs="Arial Regular"/>
          <w:b/>
          <w:bCs w:val="0"/>
          <w:i w:val="0"/>
          <w:iCs/>
          <w:sz w:val="24"/>
          <w:szCs w:val="24"/>
          <w:lang w:val="de-DE"/>
        </w:rPr>
        <w:t>Project B:</w:t>
      </w:r>
    </w:p>
    <w:p w14:paraId="69F0D4FB">
      <w:pPr>
        <w:pStyle w:val="12"/>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i w:val="0"/>
          <w:iCs/>
          <w:sz w:val="24"/>
          <w:szCs w:val="24"/>
        </w:rPr>
      </w:pPr>
      <w:r>
        <w:rPr>
          <w:rStyle w:val="13"/>
          <w:rFonts w:hint="default" w:ascii="Arial Regular" w:hAnsi="Arial Regular" w:cs="Arial Regular"/>
          <w:b w:val="0"/>
          <w:bCs/>
          <w:i w:val="0"/>
          <w:iCs/>
          <w:sz w:val="24"/>
          <w:szCs w:val="24"/>
        </w:rPr>
        <w:t>Project B</w:t>
      </w:r>
      <w:r>
        <w:rPr>
          <w:rFonts w:hint="default" w:ascii="Arial Regular" w:hAnsi="Arial Regular" w:cs="Arial Regular"/>
          <w:b w:val="0"/>
          <w:bCs/>
          <w:i w:val="0"/>
          <w:iCs/>
          <w:sz w:val="24"/>
          <w:szCs w:val="24"/>
        </w:rPr>
        <w:t xml:space="preserve"> requires an initial investment of </w:t>
      </w:r>
      <w:r>
        <w:rPr>
          <w:rStyle w:val="13"/>
          <w:rFonts w:hint="default" w:ascii="Arial Regular" w:hAnsi="Arial Regular" w:cs="Arial Regular"/>
          <w:b w:val="0"/>
          <w:bCs/>
          <w:i w:val="0"/>
          <w:iCs/>
          <w:sz w:val="24"/>
          <w:szCs w:val="24"/>
        </w:rPr>
        <w:t>£30 million</w:t>
      </w:r>
      <w:r>
        <w:rPr>
          <w:rFonts w:hint="default" w:ascii="Arial Regular" w:hAnsi="Arial Regular" w:cs="Arial Regular"/>
          <w:b w:val="0"/>
          <w:bCs/>
          <w:i w:val="0"/>
          <w:iCs/>
          <w:sz w:val="24"/>
          <w:szCs w:val="24"/>
        </w:rPr>
        <w:t xml:space="preserve"> and provides uniform annual cash inflows of </w:t>
      </w:r>
      <w:r>
        <w:rPr>
          <w:rStyle w:val="13"/>
          <w:rFonts w:hint="default" w:ascii="Arial Regular" w:hAnsi="Arial Regular" w:cs="Arial Regular"/>
          <w:b w:val="0"/>
          <w:bCs/>
          <w:i w:val="0"/>
          <w:iCs/>
          <w:sz w:val="24"/>
          <w:szCs w:val="24"/>
        </w:rPr>
        <w:t>£6 million</w:t>
      </w:r>
      <w:r>
        <w:rPr>
          <w:rFonts w:hint="default" w:ascii="Arial Regular" w:hAnsi="Arial Regular" w:cs="Arial Regular"/>
          <w:b w:val="0"/>
          <w:bCs/>
          <w:i w:val="0"/>
          <w:iCs/>
          <w:sz w:val="24"/>
          <w:szCs w:val="24"/>
        </w:rPr>
        <w:t xml:space="preserve"> over five years. The cumulative cash flow becomes zero at the end of </w:t>
      </w:r>
      <w:r>
        <w:rPr>
          <w:rStyle w:val="13"/>
          <w:rFonts w:hint="default" w:ascii="Arial Regular" w:hAnsi="Arial Regular" w:cs="Arial Regular"/>
          <w:b w:val="0"/>
          <w:bCs/>
          <w:i w:val="0"/>
          <w:iCs/>
          <w:sz w:val="24"/>
          <w:szCs w:val="24"/>
        </w:rPr>
        <w:t>Year 5</w:t>
      </w:r>
      <w:r>
        <w:rPr>
          <w:rFonts w:hint="default" w:ascii="Arial Regular" w:hAnsi="Arial Regular" w:cs="Arial Regular"/>
          <w:b w:val="0"/>
          <w:bCs/>
          <w:i w:val="0"/>
          <w:iCs/>
          <w:sz w:val="24"/>
          <w:szCs w:val="24"/>
        </w:rPr>
        <w:t xml:space="preserve">, resulting in a </w:t>
      </w:r>
      <w:r>
        <w:rPr>
          <w:rStyle w:val="13"/>
          <w:rFonts w:hint="default" w:ascii="Arial Regular" w:hAnsi="Arial Regular" w:cs="Arial Regular"/>
          <w:b w:val="0"/>
          <w:bCs/>
          <w:i w:val="0"/>
          <w:iCs/>
          <w:sz w:val="24"/>
          <w:szCs w:val="24"/>
        </w:rPr>
        <w:t>payback period of 5 years</w:t>
      </w:r>
      <w:r>
        <w:rPr>
          <w:rFonts w:hint="default" w:ascii="Arial Regular" w:hAnsi="Arial Regular" w:cs="Arial Regular"/>
          <w:b w:val="0"/>
          <w:bCs/>
          <w:i w:val="0"/>
          <w:iCs/>
          <w:sz w:val="24"/>
          <w:szCs w:val="24"/>
        </w:rPr>
        <w:t xml:space="preserve">, which coincides with the project’s duration </w:t>
      </w:r>
      <w:r>
        <w:rPr>
          <w:rFonts w:hint="default" w:ascii="Arial Regular" w:hAnsi="Arial Regular" w:cs="Arial Regular"/>
          <w:b w:val="0"/>
          <w:bCs/>
          <w:i w:val="0"/>
          <w:iCs/>
          <w:sz w:val="24"/>
          <w:szCs w:val="24"/>
          <w:lang w:val="de-DE"/>
        </w:rPr>
        <w:t>(Figure 13</w:t>
      </w:r>
      <w:r>
        <w:rPr>
          <w:rFonts w:hint="default" w:ascii="Arial Regular" w:hAnsi="Arial Regular" w:cs="Arial Regular"/>
          <w:b w:val="0"/>
          <w:bCs/>
          <w:i w:val="0"/>
          <w:iCs/>
          <w:sz w:val="24"/>
          <w:szCs w:val="24"/>
        </w:rPr>
        <w:t xml:space="preserve">). However, the </w:t>
      </w:r>
      <w:r>
        <w:rPr>
          <w:rStyle w:val="13"/>
          <w:rFonts w:hint="default" w:ascii="Arial Regular" w:hAnsi="Arial Regular" w:cs="Arial Regular"/>
          <w:b w:val="0"/>
          <w:bCs/>
          <w:i w:val="0"/>
          <w:iCs/>
          <w:sz w:val="24"/>
          <w:szCs w:val="24"/>
        </w:rPr>
        <w:t>discounted cash inflows total only £22.74 million</w:t>
      </w:r>
      <w:r>
        <w:rPr>
          <w:rFonts w:hint="default" w:ascii="Arial Regular" w:hAnsi="Arial Regular" w:cs="Arial Regular"/>
          <w:b w:val="0"/>
          <w:bCs/>
          <w:i w:val="0"/>
          <w:iCs/>
          <w:sz w:val="24"/>
          <w:szCs w:val="24"/>
        </w:rPr>
        <w:t xml:space="preserve">, producing a </w:t>
      </w:r>
      <w:r>
        <w:rPr>
          <w:rStyle w:val="13"/>
          <w:rFonts w:hint="default" w:ascii="Arial Regular" w:hAnsi="Arial Regular" w:cs="Arial Regular"/>
          <w:b w:val="0"/>
          <w:bCs/>
          <w:i w:val="0"/>
          <w:iCs/>
          <w:sz w:val="24"/>
          <w:szCs w:val="24"/>
        </w:rPr>
        <w:t>negative NPV of –£7.26 million</w:t>
      </w:r>
      <w:r>
        <w:rPr>
          <w:rFonts w:hint="default" w:ascii="Arial Regular" w:hAnsi="Arial Regular" w:cs="Arial Regular"/>
          <w:b w:val="0"/>
          <w:bCs/>
          <w:i w:val="0"/>
          <w:iCs/>
          <w:sz w:val="24"/>
          <w:szCs w:val="24"/>
        </w:rPr>
        <w:t xml:space="preserve">, indicating potential destruction of shareholder value at a </w:t>
      </w:r>
      <w:r>
        <w:rPr>
          <w:rStyle w:val="13"/>
          <w:rFonts w:hint="default" w:ascii="Arial Regular" w:hAnsi="Arial Regular" w:cs="Arial Regular"/>
          <w:b w:val="0"/>
          <w:bCs/>
          <w:i w:val="0"/>
          <w:iCs/>
          <w:sz w:val="24"/>
          <w:szCs w:val="24"/>
        </w:rPr>
        <w:t>10% discount rate</w:t>
      </w:r>
      <w:r>
        <w:rPr>
          <w:rFonts w:hint="default" w:ascii="Arial Regular" w:hAnsi="Arial Regular" w:cs="Arial Regular"/>
          <w:b w:val="0"/>
          <w:bCs/>
          <w:i w:val="0"/>
          <w:iCs/>
          <w:sz w:val="24"/>
          <w:szCs w:val="24"/>
        </w:rPr>
        <w:t xml:space="preserve"> (</w:t>
      </w:r>
      <w:r>
        <w:rPr>
          <w:rFonts w:hint="default" w:ascii="Arial Regular" w:hAnsi="Arial Regular" w:cs="Arial Regular"/>
          <w:b w:val="0"/>
          <w:bCs/>
          <w:i w:val="0"/>
          <w:iCs/>
          <w:sz w:val="24"/>
          <w:szCs w:val="24"/>
          <w:lang w:val="de-DE"/>
        </w:rPr>
        <w:t>Figure 13</w:t>
      </w:r>
      <w:r>
        <w:rPr>
          <w:rFonts w:hint="default" w:ascii="Arial Regular" w:hAnsi="Arial Regular" w:cs="Arial Regular"/>
          <w:b w:val="0"/>
          <w:bCs/>
          <w:i w:val="0"/>
          <w:iCs/>
          <w:sz w:val="24"/>
          <w:szCs w:val="24"/>
        </w:rPr>
        <w:t xml:space="preserve">). The present value of inflows declines from </w:t>
      </w:r>
      <w:r>
        <w:rPr>
          <w:rStyle w:val="13"/>
          <w:rFonts w:hint="default" w:ascii="Arial Regular" w:hAnsi="Arial Regular" w:cs="Arial Regular"/>
          <w:b w:val="0"/>
          <w:bCs/>
          <w:i w:val="0"/>
          <w:iCs/>
          <w:sz w:val="24"/>
          <w:szCs w:val="24"/>
        </w:rPr>
        <w:t>£5.45 million in Year 1 to £3.73 million in Year 5</w:t>
      </w:r>
      <w:r>
        <w:rPr>
          <w:rFonts w:hint="default" w:ascii="Arial Regular" w:hAnsi="Arial Regular" w:cs="Arial Regular"/>
          <w:b w:val="0"/>
          <w:bCs/>
          <w:i w:val="0"/>
          <w:iCs/>
          <w:sz w:val="24"/>
          <w:szCs w:val="24"/>
        </w:rPr>
        <w:t xml:space="preserve">, reflecting diminishing returns over time. The </w:t>
      </w:r>
      <w:r>
        <w:rPr>
          <w:rStyle w:val="13"/>
          <w:rFonts w:hint="default" w:ascii="Arial Regular" w:hAnsi="Arial Regular" w:cs="Arial Regular"/>
          <w:b w:val="0"/>
          <w:bCs/>
          <w:i w:val="0"/>
          <w:iCs/>
          <w:sz w:val="24"/>
          <w:szCs w:val="24"/>
        </w:rPr>
        <w:t>profitability index (PI) of 0.76</w:t>
      </w:r>
      <w:r>
        <w:rPr>
          <w:rFonts w:hint="default" w:ascii="Arial Regular" w:hAnsi="Arial Regular" w:cs="Arial Regular"/>
          <w:b w:val="0"/>
          <w:bCs/>
          <w:i w:val="0"/>
          <w:iCs/>
          <w:sz w:val="24"/>
          <w:szCs w:val="24"/>
        </w:rPr>
        <w:t xml:space="preserve">, being below 1, signals insufficient inflows relative to the investment, while the </w:t>
      </w:r>
      <w:r>
        <w:rPr>
          <w:rStyle w:val="13"/>
          <w:rFonts w:hint="default" w:ascii="Arial Regular" w:hAnsi="Arial Regular" w:cs="Arial Regular"/>
          <w:b w:val="0"/>
          <w:bCs/>
          <w:i w:val="0"/>
          <w:iCs/>
          <w:sz w:val="24"/>
          <w:szCs w:val="24"/>
        </w:rPr>
        <w:t>average accounting rate of return (ARR) of 20%</w:t>
      </w:r>
      <w:r>
        <w:rPr>
          <w:rFonts w:hint="default" w:ascii="Arial Regular" w:hAnsi="Arial Regular" w:cs="Arial Regular"/>
          <w:b w:val="0"/>
          <w:bCs/>
          <w:i w:val="0"/>
          <w:iCs/>
          <w:sz w:val="24"/>
          <w:szCs w:val="24"/>
        </w:rPr>
        <w:t xml:space="preserve"> demonstrates modest accounting profitability. The </w:t>
      </w:r>
      <w:r>
        <w:rPr>
          <w:rStyle w:val="13"/>
          <w:rFonts w:hint="default" w:ascii="Arial Regular" w:hAnsi="Arial Regular" w:cs="Arial Regular"/>
          <w:b w:val="0"/>
          <w:bCs/>
          <w:i w:val="0"/>
          <w:iCs/>
          <w:sz w:val="24"/>
          <w:szCs w:val="24"/>
        </w:rPr>
        <w:t>IRR</w:t>
      </w:r>
      <w:r>
        <w:rPr>
          <w:rFonts w:hint="default" w:ascii="Arial Regular" w:hAnsi="Arial Regular" w:cs="Arial Regular"/>
          <w:b w:val="0"/>
          <w:bCs/>
          <w:i w:val="0"/>
          <w:iCs/>
          <w:sz w:val="24"/>
          <w:szCs w:val="24"/>
        </w:rPr>
        <w:t xml:space="preserve"> fails to exceed the cost of capital, confirming that Project B is not financially viable and does not enhance shareholder wealth (CFI Team, 2024).</w:t>
      </w:r>
    </w:p>
    <w:p w14:paraId="6B855E93">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val="0"/>
          <w:i w:val="0"/>
          <w:iCs/>
          <w:sz w:val="24"/>
          <w:szCs w:val="24"/>
        </w:rPr>
      </w:pPr>
      <w:r>
        <w:rPr>
          <w:rStyle w:val="13"/>
          <w:rFonts w:hint="default" w:ascii="Arial Regular" w:hAnsi="Arial Regular" w:cs="Arial Regular"/>
          <w:b/>
          <w:bCs w:val="0"/>
          <w:i w:val="0"/>
          <w:iCs/>
          <w:sz w:val="24"/>
          <w:szCs w:val="24"/>
          <w:lang w:val="de-DE"/>
        </w:rPr>
        <w:t xml:space="preserve">Project C: </w:t>
      </w:r>
    </w:p>
    <w:p w14:paraId="24F05B27">
      <w:pPr>
        <w:pStyle w:val="12"/>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i w:val="0"/>
          <w:iCs/>
          <w:sz w:val="24"/>
          <w:szCs w:val="24"/>
        </w:rPr>
      </w:pPr>
      <w:r>
        <w:rPr>
          <w:rStyle w:val="13"/>
          <w:rFonts w:hint="default" w:ascii="Arial Regular" w:hAnsi="Arial Regular" w:cs="Arial Regular"/>
          <w:b w:val="0"/>
          <w:bCs/>
          <w:i w:val="0"/>
          <w:iCs/>
          <w:sz w:val="24"/>
          <w:szCs w:val="24"/>
        </w:rPr>
        <w:t>Project C</w:t>
      </w:r>
      <w:r>
        <w:rPr>
          <w:rFonts w:hint="default" w:ascii="Arial Regular" w:hAnsi="Arial Regular" w:cs="Arial Regular"/>
          <w:b w:val="0"/>
          <w:bCs/>
          <w:i w:val="0"/>
          <w:iCs/>
          <w:sz w:val="24"/>
          <w:szCs w:val="24"/>
        </w:rPr>
        <w:t xml:space="preserve"> demonstrates the strongest financial performance among the evaluated projects, offering high returns for investors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xml:space="preserve">. The project requires an initial investment of </w:t>
      </w:r>
      <w:r>
        <w:rPr>
          <w:rStyle w:val="13"/>
          <w:rFonts w:hint="default" w:ascii="Arial Regular" w:hAnsi="Arial Regular" w:cs="Arial Regular"/>
          <w:b w:val="0"/>
          <w:bCs/>
          <w:i w:val="0"/>
          <w:iCs/>
          <w:sz w:val="24"/>
          <w:szCs w:val="24"/>
        </w:rPr>
        <w:t>£50 million</w:t>
      </w:r>
      <w:r>
        <w:rPr>
          <w:rFonts w:hint="default" w:ascii="Arial Regular" w:hAnsi="Arial Regular" w:cs="Arial Regular"/>
          <w:b w:val="0"/>
          <w:bCs/>
          <w:i w:val="0"/>
          <w:iCs/>
          <w:sz w:val="24"/>
          <w:szCs w:val="24"/>
        </w:rPr>
        <w:t xml:space="preserve"> and delivers maximum cash inflows of </w:t>
      </w:r>
      <w:r>
        <w:rPr>
          <w:rStyle w:val="13"/>
          <w:rFonts w:hint="default" w:ascii="Arial Regular" w:hAnsi="Arial Regular" w:cs="Arial Regular"/>
          <w:b w:val="0"/>
          <w:bCs/>
          <w:i w:val="0"/>
          <w:iCs/>
          <w:sz w:val="24"/>
          <w:szCs w:val="24"/>
        </w:rPr>
        <w:t>£25 million in Year 4</w:t>
      </w:r>
      <w:r>
        <w:rPr>
          <w:rFonts w:hint="default" w:ascii="Arial Regular" w:hAnsi="Arial Regular" w:cs="Arial Regular"/>
          <w:b w:val="0"/>
          <w:bCs/>
          <w:i w:val="0"/>
          <w:iCs/>
          <w:sz w:val="24"/>
          <w:szCs w:val="24"/>
        </w:rPr>
        <w:t xml:space="preserve">, contributing to cumulative cash flows that surpass the initial investment between </w:t>
      </w:r>
      <w:r>
        <w:rPr>
          <w:rStyle w:val="13"/>
          <w:rFonts w:hint="default" w:ascii="Arial Regular" w:hAnsi="Arial Regular" w:cs="Arial Regular"/>
          <w:b w:val="0"/>
          <w:bCs/>
          <w:i w:val="0"/>
          <w:iCs/>
          <w:sz w:val="24"/>
          <w:szCs w:val="24"/>
        </w:rPr>
        <w:t>Year 3 and Year 4</w:t>
      </w:r>
      <w:r>
        <w:rPr>
          <w:rFonts w:hint="default" w:ascii="Arial Regular" w:hAnsi="Arial Regular" w:cs="Arial Regular"/>
          <w:b w:val="0"/>
          <w:bCs/>
          <w:i w:val="0"/>
          <w:iCs/>
          <w:sz w:val="24"/>
          <w:szCs w:val="24"/>
        </w:rPr>
        <w:t xml:space="preserve">, yielding a </w:t>
      </w:r>
      <w:r>
        <w:rPr>
          <w:rStyle w:val="13"/>
          <w:rFonts w:hint="default" w:ascii="Arial Regular" w:hAnsi="Arial Regular" w:cs="Arial Regular"/>
          <w:b w:val="0"/>
          <w:bCs/>
          <w:i w:val="0"/>
          <w:iCs/>
          <w:sz w:val="24"/>
          <w:szCs w:val="24"/>
        </w:rPr>
        <w:t>payback period of approximately 3.6 years (3 years and 7 months)</w:t>
      </w:r>
      <w:r>
        <w:rPr>
          <w:rFonts w:hint="default" w:ascii="Arial Regular" w:hAnsi="Arial Regular" w:cs="Arial Regular"/>
          <w:b w:val="0"/>
          <w:bCs/>
          <w:i w:val="0"/>
          <w:iCs/>
          <w:sz w:val="24"/>
          <w:szCs w:val="24"/>
        </w:rPr>
        <w:t xml:space="preserve"> (</w:t>
      </w:r>
      <w:r>
        <w:rPr>
          <w:rFonts w:hint="default" w:ascii="Arial Regular" w:hAnsi="Arial Regular" w:cs="Arial Regular"/>
          <w:b w:val="0"/>
          <w:bCs/>
          <w:i w:val="0"/>
          <w:iCs/>
          <w:sz w:val="24"/>
          <w:szCs w:val="24"/>
          <w:lang w:val="de-DE"/>
        </w:rPr>
        <w:t>Figure 14</w:t>
      </w:r>
      <w:r>
        <w:rPr>
          <w:rFonts w:hint="default" w:ascii="Arial Regular" w:hAnsi="Arial Regular" w:cs="Arial Regular"/>
          <w:b w:val="0"/>
          <w:bCs/>
          <w:i w:val="0"/>
          <w:iCs/>
          <w:sz w:val="24"/>
          <w:szCs w:val="24"/>
        </w:rPr>
        <w:t xml:space="preserve">). Midterm profitability peaks at </w:t>
      </w:r>
      <w:r>
        <w:rPr>
          <w:rStyle w:val="13"/>
          <w:rFonts w:hint="default" w:ascii="Arial Regular" w:hAnsi="Arial Regular" w:cs="Arial Regular"/>
          <w:b w:val="0"/>
          <w:bCs/>
          <w:i w:val="0"/>
          <w:iCs/>
          <w:sz w:val="24"/>
          <w:szCs w:val="24"/>
        </w:rPr>
        <w:t>£17.08 million in Year 4</w:t>
      </w:r>
      <w:r>
        <w:rPr>
          <w:rFonts w:hint="default" w:ascii="Arial Regular" w:hAnsi="Arial Regular" w:cs="Arial Regular"/>
          <w:b w:val="0"/>
          <w:bCs/>
          <w:i w:val="0"/>
          <w:iCs/>
          <w:sz w:val="24"/>
          <w:szCs w:val="24"/>
        </w:rPr>
        <w:t xml:space="preserve">, enhancing investor confidence and indicating robust operational performance. The </w:t>
      </w:r>
      <w:r>
        <w:rPr>
          <w:rStyle w:val="13"/>
          <w:rFonts w:hint="default" w:ascii="Arial Regular" w:hAnsi="Arial Regular" w:cs="Arial Regular"/>
          <w:b w:val="0"/>
          <w:bCs/>
          <w:i w:val="0"/>
          <w:iCs/>
          <w:sz w:val="24"/>
          <w:szCs w:val="24"/>
        </w:rPr>
        <w:t>gross accounting rate of return (ARR) of 50%</w:t>
      </w:r>
      <w:r>
        <w:rPr>
          <w:rFonts w:hint="default" w:ascii="Arial Regular" w:hAnsi="Arial Regular" w:cs="Arial Regular"/>
          <w:b w:val="0"/>
          <w:bCs/>
          <w:i w:val="0"/>
          <w:iCs/>
          <w:sz w:val="24"/>
          <w:szCs w:val="24"/>
        </w:rPr>
        <w:t xml:space="preserve"> reflects superior profitability, with an annual average cash inflow of </w:t>
      </w:r>
      <w:r>
        <w:rPr>
          <w:rStyle w:val="13"/>
          <w:rFonts w:hint="default" w:ascii="Arial Regular" w:hAnsi="Arial Regular" w:cs="Arial Regular"/>
          <w:b w:val="0"/>
          <w:bCs/>
          <w:i w:val="0"/>
          <w:iCs/>
          <w:sz w:val="24"/>
          <w:szCs w:val="24"/>
        </w:rPr>
        <w:t>£15 million</w:t>
      </w:r>
      <w:r>
        <w:rPr>
          <w:rFonts w:hint="default" w:ascii="Arial Regular" w:hAnsi="Arial Regular" w:cs="Arial Regular"/>
          <w:b w:val="0"/>
          <w:bCs/>
          <w:i w:val="0"/>
          <w:iCs/>
          <w:sz w:val="24"/>
          <w:szCs w:val="24"/>
        </w:rPr>
        <w:t xml:space="preserve">, demonstrating strong earnings generation. Applying a </w:t>
      </w:r>
      <w:r>
        <w:rPr>
          <w:rStyle w:val="13"/>
          <w:rFonts w:hint="default" w:ascii="Arial Regular" w:hAnsi="Arial Regular" w:cs="Arial Regular"/>
          <w:b w:val="0"/>
          <w:bCs/>
          <w:i w:val="0"/>
          <w:iCs/>
          <w:sz w:val="24"/>
          <w:szCs w:val="24"/>
        </w:rPr>
        <w:t>10% discount rate</w:t>
      </w:r>
      <w:r>
        <w:rPr>
          <w:rFonts w:hint="default" w:ascii="Arial Regular" w:hAnsi="Arial Regular" w:cs="Arial Regular"/>
          <w:b w:val="0"/>
          <w:bCs/>
          <w:i w:val="0"/>
          <w:iCs/>
          <w:sz w:val="24"/>
          <w:szCs w:val="24"/>
        </w:rPr>
        <w:t xml:space="preserve">, the discounted inflows total </w:t>
      </w:r>
      <w:r>
        <w:rPr>
          <w:rStyle w:val="13"/>
          <w:rFonts w:hint="default" w:ascii="Arial Regular" w:hAnsi="Arial Regular" w:cs="Arial Regular"/>
          <w:b w:val="0"/>
          <w:bCs/>
          <w:i w:val="0"/>
          <w:iCs/>
          <w:sz w:val="24"/>
          <w:szCs w:val="24"/>
        </w:rPr>
        <w:t>£54.23 million</w:t>
      </w:r>
      <w:r>
        <w:rPr>
          <w:rFonts w:hint="default" w:ascii="Arial Regular" w:hAnsi="Arial Regular" w:cs="Arial Regular"/>
          <w:b w:val="0"/>
          <w:bCs/>
          <w:i w:val="0"/>
          <w:iCs/>
          <w:sz w:val="24"/>
          <w:szCs w:val="24"/>
        </w:rPr>
        <w:t xml:space="preserve">, resulting in a </w:t>
      </w:r>
      <w:r>
        <w:rPr>
          <w:rStyle w:val="13"/>
          <w:rFonts w:hint="default" w:ascii="Arial Regular" w:hAnsi="Arial Regular" w:cs="Arial Regular"/>
          <w:b w:val="0"/>
          <w:bCs/>
          <w:i w:val="0"/>
          <w:iCs/>
          <w:sz w:val="24"/>
          <w:szCs w:val="24"/>
        </w:rPr>
        <w:t>net present value (NPV) of £4.23 million</w:t>
      </w:r>
      <w:r>
        <w:rPr>
          <w:rFonts w:hint="default" w:ascii="Arial Regular" w:hAnsi="Arial Regular" w:cs="Arial Regular"/>
          <w:b w:val="0"/>
          <w:bCs/>
          <w:i w:val="0"/>
          <w:iCs/>
          <w:sz w:val="24"/>
          <w:szCs w:val="24"/>
        </w:rPr>
        <w:t xml:space="preserve">. The </w:t>
      </w:r>
      <w:r>
        <w:rPr>
          <w:rStyle w:val="13"/>
          <w:rFonts w:hint="default" w:ascii="Arial Regular" w:hAnsi="Arial Regular" w:cs="Arial Regular"/>
          <w:b w:val="0"/>
          <w:bCs/>
          <w:i w:val="0"/>
          <w:iCs/>
          <w:sz w:val="24"/>
          <w:szCs w:val="24"/>
        </w:rPr>
        <w:t>profitability index (PI) of 1.81</w:t>
      </w:r>
      <w:r>
        <w:rPr>
          <w:rFonts w:hint="default" w:ascii="Arial Regular" w:hAnsi="Arial Regular" w:cs="Arial Regular"/>
          <w:b w:val="0"/>
          <w:bCs/>
          <w:i w:val="0"/>
          <w:iCs/>
          <w:sz w:val="24"/>
          <w:szCs w:val="24"/>
        </w:rPr>
        <w:t xml:space="preserve"> indicates that the project generates £1.81 for every £1 invested, while the </w:t>
      </w:r>
      <w:r>
        <w:rPr>
          <w:rStyle w:val="13"/>
          <w:rFonts w:hint="default" w:ascii="Arial Regular" w:hAnsi="Arial Regular" w:cs="Arial Regular"/>
          <w:b w:val="0"/>
          <w:bCs/>
          <w:i w:val="0"/>
          <w:iCs/>
          <w:sz w:val="24"/>
          <w:szCs w:val="24"/>
        </w:rPr>
        <w:t>internal rate of return (IRR) of 12.7%</w:t>
      </w:r>
      <w:r>
        <w:rPr>
          <w:rFonts w:hint="default" w:ascii="Arial Regular" w:hAnsi="Arial Regular" w:cs="Arial Regular"/>
          <w:b w:val="0"/>
          <w:bCs/>
          <w:i w:val="0"/>
          <w:iCs/>
          <w:sz w:val="24"/>
          <w:szCs w:val="24"/>
        </w:rPr>
        <w:t xml:space="preserve"> exceeds the discount rate, confirming financial attractiveness (Vipond, 2025). Overall, Project C offers the highest return, fastest payback, and superior economic viability, making it the preferred investment choice (</w:t>
      </w:r>
      <w:r>
        <w:rPr>
          <w:rFonts w:hint="default" w:ascii="Arial Regular" w:hAnsi="Arial Regular" w:cs="Arial Regular"/>
          <w:b w:val="0"/>
          <w:bCs/>
          <w:i w:val="0"/>
          <w:iCs/>
          <w:sz w:val="24"/>
          <w:szCs w:val="24"/>
          <w:lang w:val="de-DE"/>
        </w:rPr>
        <w:t>Figure 14</w:t>
      </w:r>
      <w:r>
        <w:rPr>
          <w:rFonts w:hint="default" w:ascii="Arial Regular" w:hAnsi="Arial Regular" w:cs="Arial Regular"/>
          <w:b w:val="0"/>
          <w:bCs/>
          <w:i w:val="0"/>
          <w:iCs/>
          <w:sz w:val="24"/>
          <w:szCs w:val="24"/>
        </w:rPr>
        <w:t>).</w:t>
      </w:r>
    </w:p>
    <w:p w14:paraId="05222102">
      <w:pPr>
        <w:pStyle w:val="3"/>
        <w:spacing w:line="360" w:lineRule="auto"/>
        <w:jc w:val="both"/>
        <w:rPr>
          <w:rFonts w:hint="default" w:ascii="Arial Regular" w:hAnsi="Arial Regular" w:cs="Arial Regular"/>
          <w:b/>
          <w:bCs w:val="0"/>
          <w:i w:val="0"/>
          <w:iCs/>
          <w:sz w:val="24"/>
          <w:szCs w:val="24"/>
        </w:rPr>
      </w:pPr>
      <w:bookmarkStart w:id="268" w:name="_Toc1740788567"/>
      <w:bookmarkStart w:id="269" w:name="_Toc1683601171"/>
      <w:bookmarkStart w:id="270" w:name="_Toc1582071896"/>
      <w:bookmarkStart w:id="271" w:name="_Toc1583119076"/>
      <w:bookmarkStart w:id="272" w:name="_Toc1675413315"/>
      <w:bookmarkStart w:id="273" w:name="_Toc1572592758"/>
      <w:bookmarkStart w:id="274" w:name="_Toc1160752812"/>
      <w:bookmarkStart w:id="275" w:name="_Toc799053424"/>
      <w:bookmarkStart w:id="276" w:name="_Toc213589926"/>
      <w:bookmarkStart w:id="277" w:name="_Toc345312142"/>
      <w:r>
        <w:rPr>
          <w:rFonts w:hint="default" w:ascii="Arial Regular" w:hAnsi="Arial Regular" w:cs="Arial Regular"/>
          <w:b/>
          <w:bCs w:val="0"/>
          <w:i w:val="0"/>
          <w:iCs/>
          <w:sz w:val="24"/>
          <w:szCs w:val="24"/>
        </w:rPr>
        <w:t>4.3 Capital Rationing Decision</w:t>
      </w:r>
      <w:bookmarkEnd w:id="268"/>
      <w:bookmarkEnd w:id="269"/>
      <w:bookmarkEnd w:id="270"/>
      <w:bookmarkEnd w:id="271"/>
      <w:bookmarkEnd w:id="272"/>
      <w:bookmarkEnd w:id="273"/>
      <w:bookmarkEnd w:id="274"/>
      <w:bookmarkEnd w:id="275"/>
      <w:bookmarkEnd w:id="276"/>
      <w:bookmarkEnd w:id="277"/>
      <w:r>
        <w:rPr>
          <w:rFonts w:hint="default" w:ascii="Arial Regular" w:hAnsi="Arial Regular" w:cs="Arial Regular"/>
          <w:b/>
          <w:bCs w:val="0"/>
          <w:i w:val="0"/>
          <w:iCs/>
          <w:sz w:val="24"/>
          <w:szCs w:val="24"/>
        </w:rPr>
        <w:t xml:space="preserve"> </w:t>
      </w:r>
    </w:p>
    <w:p w14:paraId="3E125260">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val="0"/>
          <w:bCs/>
          <w:i w:val="0"/>
          <w:iCs/>
          <w:sz w:val="24"/>
          <w:szCs w:val="24"/>
        </w:rPr>
        <w:t>Capital rationing</w:t>
      </w:r>
      <w:r>
        <w:rPr>
          <w:rFonts w:hint="default" w:ascii="Arial Regular" w:hAnsi="Arial Regular" w:cs="Arial Regular"/>
          <w:b w:val="0"/>
          <w:bCs/>
          <w:i w:val="0"/>
          <w:iCs/>
          <w:sz w:val="24"/>
          <w:szCs w:val="24"/>
        </w:rPr>
        <w:t xml:space="preserve"> is a strategy employed by firms to limit the number of projects undertaken within a fixed budget, ensuring optimal allocation of resources (Ross et al., 2025). In this case, the </w:t>
      </w:r>
      <w:r>
        <w:rPr>
          <w:rStyle w:val="13"/>
          <w:rFonts w:hint="default" w:ascii="Arial Regular" w:hAnsi="Arial Regular" w:cs="Arial Regular"/>
          <w:b w:val="0"/>
          <w:bCs/>
          <w:i w:val="0"/>
          <w:iCs/>
          <w:sz w:val="24"/>
          <w:szCs w:val="24"/>
        </w:rPr>
        <w:t>£60 million capital constraint</w:t>
      </w:r>
      <w:r>
        <w:rPr>
          <w:rFonts w:hint="default" w:ascii="Arial Regular" w:hAnsi="Arial Regular" w:cs="Arial Regular"/>
          <w:b w:val="0"/>
          <w:bCs/>
          <w:i w:val="0"/>
          <w:iCs/>
          <w:sz w:val="24"/>
          <w:szCs w:val="24"/>
        </w:rPr>
        <w:t xml:space="preserve"> allows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to critically evaluate Projects A, B, and C. </w:t>
      </w:r>
      <w:r>
        <w:rPr>
          <w:rStyle w:val="13"/>
          <w:rFonts w:hint="default" w:ascii="Arial Regular" w:hAnsi="Arial Regular" w:cs="Arial Regular"/>
          <w:b w:val="0"/>
          <w:bCs/>
          <w:i w:val="0"/>
          <w:iCs/>
          <w:sz w:val="24"/>
          <w:szCs w:val="24"/>
        </w:rPr>
        <w:t>Project A</w:t>
      </w:r>
      <w:r>
        <w:rPr>
          <w:rFonts w:hint="default" w:ascii="Arial Regular" w:hAnsi="Arial Regular" w:cs="Arial Regular"/>
          <w:b w:val="0"/>
          <w:bCs/>
          <w:i w:val="0"/>
          <w:iCs/>
          <w:sz w:val="24"/>
          <w:szCs w:val="24"/>
        </w:rPr>
        <w:t xml:space="preserve">, requiring </w:t>
      </w:r>
      <w:r>
        <w:rPr>
          <w:rStyle w:val="13"/>
          <w:rFonts w:hint="default" w:ascii="Arial Regular" w:hAnsi="Arial Regular" w:cs="Arial Regular"/>
          <w:b w:val="0"/>
          <w:bCs/>
          <w:i w:val="0"/>
          <w:iCs/>
          <w:sz w:val="24"/>
          <w:szCs w:val="24"/>
        </w:rPr>
        <w:t>£40 million</w:t>
      </w:r>
      <w:r>
        <w:rPr>
          <w:rFonts w:hint="default" w:ascii="Arial Regular" w:hAnsi="Arial Regular" w:cs="Arial Regular"/>
          <w:b w:val="0"/>
          <w:bCs/>
          <w:i w:val="0"/>
          <w:iCs/>
          <w:sz w:val="24"/>
          <w:szCs w:val="24"/>
        </w:rPr>
        <w:t xml:space="preserve">, generates a </w:t>
      </w:r>
      <w:r>
        <w:rPr>
          <w:rStyle w:val="13"/>
          <w:rFonts w:hint="default" w:ascii="Arial Regular" w:hAnsi="Arial Regular" w:cs="Arial Regular"/>
          <w:b w:val="0"/>
          <w:bCs/>
          <w:i w:val="0"/>
          <w:iCs/>
          <w:sz w:val="24"/>
          <w:szCs w:val="24"/>
        </w:rPr>
        <w:t>profitability index (PI) of 1.03</w:t>
      </w:r>
      <w:r>
        <w:rPr>
          <w:rFonts w:hint="default" w:ascii="Arial Regular" w:hAnsi="Arial Regular" w:cs="Arial Regular"/>
          <w:b w:val="0"/>
          <w:bCs/>
          <w:i w:val="0"/>
          <w:iCs/>
          <w:sz w:val="24"/>
          <w:szCs w:val="24"/>
        </w:rPr>
        <w:t xml:space="preserve"> and an accumulated </w:t>
      </w:r>
      <w:r>
        <w:rPr>
          <w:rStyle w:val="13"/>
          <w:rFonts w:hint="default" w:ascii="Arial Regular" w:hAnsi="Arial Regular" w:cs="Arial Regular"/>
          <w:b w:val="0"/>
          <w:bCs/>
          <w:i w:val="0"/>
          <w:iCs/>
          <w:sz w:val="24"/>
          <w:szCs w:val="24"/>
        </w:rPr>
        <w:t>NPV of £1.32 million</w:t>
      </w:r>
      <w:r>
        <w:rPr>
          <w:rFonts w:hint="default" w:ascii="Arial Regular" w:hAnsi="Arial Regular" w:cs="Arial Regular"/>
          <w:b w:val="0"/>
          <w:bCs/>
          <w:i w:val="0"/>
          <w:iCs/>
          <w:sz w:val="24"/>
          <w:szCs w:val="24"/>
        </w:rPr>
        <w:t xml:space="preserve">, indicating modest returns. </w:t>
      </w:r>
      <w:r>
        <w:rPr>
          <w:rStyle w:val="13"/>
          <w:rFonts w:hint="default" w:ascii="Arial Regular" w:hAnsi="Arial Regular" w:cs="Arial Regular"/>
          <w:b w:val="0"/>
          <w:bCs/>
          <w:i w:val="0"/>
          <w:iCs/>
          <w:sz w:val="24"/>
          <w:szCs w:val="24"/>
        </w:rPr>
        <w:t>Project B</w:t>
      </w:r>
      <w:r>
        <w:rPr>
          <w:rFonts w:hint="default" w:ascii="Arial Regular" w:hAnsi="Arial Regular" w:cs="Arial Regular"/>
          <w:b w:val="0"/>
          <w:bCs/>
          <w:i w:val="0"/>
          <w:iCs/>
          <w:sz w:val="24"/>
          <w:szCs w:val="24"/>
        </w:rPr>
        <w:t xml:space="preserve">, with a </w:t>
      </w:r>
      <w:r>
        <w:rPr>
          <w:rStyle w:val="13"/>
          <w:rFonts w:hint="default" w:ascii="Arial Regular" w:hAnsi="Arial Regular" w:cs="Arial Regular"/>
          <w:b w:val="0"/>
          <w:bCs/>
          <w:i w:val="0"/>
          <w:iCs/>
          <w:sz w:val="24"/>
          <w:szCs w:val="24"/>
        </w:rPr>
        <w:t>£30 million</w:t>
      </w:r>
      <w:r>
        <w:rPr>
          <w:rFonts w:hint="default" w:ascii="Arial Regular" w:hAnsi="Arial Regular" w:cs="Arial Regular"/>
          <w:b w:val="0"/>
          <w:bCs/>
          <w:i w:val="0"/>
          <w:iCs/>
          <w:sz w:val="24"/>
          <w:szCs w:val="24"/>
        </w:rPr>
        <w:t xml:space="preserve"> investment, shows weak performance with a </w:t>
      </w:r>
      <w:r>
        <w:rPr>
          <w:rStyle w:val="13"/>
          <w:rFonts w:hint="default" w:ascii="Arial Regular" w:hAnsi="Arial Regular" w:cs="Arial Regular"/>
          <w:b w:val="0"/>
          <w:bCs/>
          <w:i w:val="0"/>
          <w:iCs/>
          <w:sz w:val="24"/>
          <w:szCs w:val="24"/>
        </w:rPr>
        <w:t>negative NPV of –£7.26 million</w:t>
      </w:r>
      <w:r>
        <w:rPr>
          <w:rFonts w:hint="default" w:ascii="Arial Regular" w:hAnsi="Arial Regular" w:cs="Arial Regular"/>
          <w:b w:val="0"/>
          <w:bCs/>
          <w:i w:val="0"/>
          <w:iCs/>
          <w:sz w:val="24"/>
          <w:szCs w:val="24"/>
        </w:rPr>
        <w:t xml:space="preserve"> and IRR below the required rate, making it a higher-risk choice for investors. In contrast, </w:t>
      </w:r>
      <w:r>
        <w:rPr>
          <w:rStyle w:val="13"/>
          <w:rFonts w:hint="default" w:ascii="Arial Regular" w:hAnsi="Arial Regular" w:cs="Arial Regular"/>
          <w:b w:val="0"/>
          <w:bCs/>
          <w:i w:val="0"/>
          <w:iCs/>
          <w:sz w:val="24"/>
          <w:szCs w:val="24"/>
        </w:rPr>
        <w:t>Project C</w:t>
      </w:r>
      <w:r>
        <w:rPr>
          <w:rFonts w:hint="default" w:ascii="Arial Regular" w:hAnsi="Arial Regular" w:cs="Arial Regular"/>
          <w:b w:val="0"/>
          <w:bCs/>
          <w:i w:val="0"/>
          <w:iCs/>
          <w:sz w:val="24"/>
          <w:szCs w:val="24"/>
        </w:rPr>
        <w:t xml:space="preserve"> demonstrates superior profitability, with an </w:t>
      </w:r>
      <w:r>
        <w:rPr>
          <w:rStyle w:val="13"/>
          <w:rFonts w:hint="default" w:ascii="Arial Regular" w:hAnsi="Arial Regular" w:cs="Arial Regular"/>
          <w:b w:val="0"/>
          <w:bCs/>
          <w:i w:val="0"/>
          <w:iCs/>
          <w:sz w:val="24"/>
          <w:szCs w:val="24"/>
        </w:rPr>
        <w:t>NPV of £4.23 million</w:t>
      </w:r>
      <w:r>
        <w:rPr>
          <w:rFonts w:hint="default" w:ascii="Arial Regular" w:hAnsi="Arial Regular" w:cs="Arial Regular"/>
          <w:b w:val="0"/>
          <w:bCs/>
          <w:i w:val="0"/>
          <w:iCs/>
          <w:sz w:val="24"/>
          <w:szCs w:val="24"/>
        </w:rPr>
        <w:t xml:space="preserve">, </w:t>
      </w:r>
      <w:r>
        <w:rPr>
          <w:rStyle w:val="13"/>
          <w:rFonts w:hint="default" w:ascii="Arial Regular" w:hAnsi="Arial Regular" w:cs="Arial Regular"/>
          <w:b w:val="0"/>
          <w:bCs/>
          <w:i w:val="0"/>
          <w:iCs/>
          <w:sz w:val="24"/>
          <w:szCs w:val="24"/>
        </w:rPr>
        <w:t>IRR of 12.7%</w:t>
      </w:r>
      <w:r>
        <w:rPr>
          <w:rFonts w:hint="default" w:ascii="Arial Regular" w:hAnsi="Arial Regular" w:cs="Arial Regular"/>
          <w:b w:val="0"/>
          <w:bCs/>
          <w:i w:val="0"/>
          <w:iCs/>
          <w:sz w:val="24"/>
          <w:szCs w:val="24"/>
        </w:rPr>
        <w:t xml:space="preserve">, </w:t>
      </w:r>
      <w:r>
        <w:rPr>
          <w:rStyle w:val="13"/>
          <w:rFonts w:hint="default" w:ascii="Arial Regular" w:hAnsi="Arial Regular" w:cs="Arial Regular"/>
          <w:b w:val="0"/>
          <w:bCs/>
          <w:i w:val="0"/>
          <w:iCs/>
          <w:sz w:val="24"/>
          <w:szCs w:val="24"/>
        </w:rPr>
        <w:t>PI of 1.81</w:t>
      </w:r>
      <w:r>
        <w:rPr>
          <w:rFonts w:hint="default" w:ascii="Arial Regular" w:hAnsi="Arial Regular" w:cs="Arial Regular"/>
          <w:b w:val="0"/>
          <w:bCs/>
          <w:i w:val="0"/>
          <w:iCs/>
          <w:sz w:val="24"/>
          <w:szCs w:val="24"/>
        </w:rPr>
        <w:t xml:space="preserve">, and a </w:t>
      </w:r>
      <w:r>
        <w:rPr>
          <w:rStyle w:val="13"/>
          <w:rFonts w:hint="default" w:ascii="Arial Regular" w:hAnsi="Arial Regular" w:cs="Arial Regular"/>
          <w:b w:val="0"/>
          <w:bCs/>
          <w:i w:val="0"/>
          <w:iCs/>
          <w:sz w:val="24"/>
          <w:szCs w:val="24"/>
        </w:rPr>
        <w:t>payback period of 3.6 years</w:t>
      </w:r>
      <w:r>
        <w:rPr>
          <w:rFonts w:hint="default" w:ascii="Arial Regular" w:hAnsi="Arial Regular" w:cs="Arial Regular"/>
          <w:b w:val="0"/>
          <w:bCs/>
          <w:i w:val="0"/>
          <w:iCs/>
          <w:sz w:val="24"/>
          <w:szCs w:val="24"/>
        </w:rPr>
        <w:t>, indicating the highest return per pound invested. Therefore, investing in Project C ensures efficient capital utilization, maximizes shareholder value, and delivers the strongest financial performance.</w:t>
      </w:r>
    </w:p>
    <w:p w14:paraId="40DA3411">
      <w:pPr>
        <w:pStyle w:val="3"/>
        <w:spacing w:line="360" w:lineRule="auto"/>
        <w:jc w:val="both"/>
        <w:rPr>
          <w:rFonts w:hint="default" w:ascii="Arial Regular" w:hAnsi="Arial Regular" w:cs="Arial Regular"/>
          <w:b/>
          <w:bCs w:val="0"/>
          <w:i w:val="0"/>
          <w:iCs/>
          <w:sz w:val="24"/>
          <w:szCs w:val="24"/>
        </w:rPr>
      </w:pPr>
      <w:bookmarkStart w:id="278" w:name="_Toc1475652477"/>
      <w:bookmarkStart w:id="279" w:name="_Toc1887322565"/>
      <w:bookmarkStart w:id="280" w:name="_Toc1031061936"/>
      <w:bookmarkStart w:id="281" w:name="_Toc1040348125"/>
      <w:bookmarkStart w:id="282" w:name="_Toc1160356400"/>
      <w:bookmarkStart w:id="283" w:name="_Toc116238841"/>
      <w:bookmarkStart w:id="284" w:name="_Toc1485240077"/>
      <w:bookmarkStart w:id="285" w:name="_Toc159924002"/>
      <w:bookmarkStart w:id="286" w:name="_Toc213589927"/>
      <w:bookmarkStart w:id="287" w:name="_Toc866005741"/>
      <w:r>
        <w:rPr>
          <w:rFonts w:hint="default" w:ascii="Arial Regular" w:hAnsi="Arial Regular" w:cs="Arial Regular"/>
          <w:b/>
          <w:bCs w:val="0"/>
          <w:i w:val="0"/>
          <w:iCs/>
          <w:sz w:val="24"/>
          <w:szCs w:val="24"/>
        </w:rPr>
        <w:t>4.4 Justification of Final Investment Recommendation</w:t>
      </w:r>
      <w:bookmarkEnd w:id="278"/>
      <w:bookmarkEnd w:id="279"/>
      <w:bookmarkEnd w:id="280"/>
      <w:bookmarkEnd w:id="281"/>
      <w:bookmarkEnd w:id="282"/>
      <w:bookmarkEnd w:id="283"/>
      <w:bookmarkEnd w:id="284"/>
      <w:bookmarkEnd w:id="285"/>
      <w:bookmarkEnd w:id="286"/>
      <w:bookmarkEnd w:id="287"/>
      <w:r>
        <w:rPr>
          <w:rFonts w:hint="default" w:ascii="Arial Regular" w:hAnsi="Arial Regular" w:cs="Arial Regular"/>
          <w:b/>
          <w:bCs w:val="0"/>
          <w:i w:val="0"/>
          <w:iCs/>
          <w:sz w:val="24"/>
          <w:szCs w:val="24"/>
        </w:rPr>
        <w:t xml:space="preserve"> </w:t>
      </w:r>
    </w:p>
    <w:p w14:paraId="5ED45832">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Based on the above evaluation, </w:t>
      </w:r>
      <w:r>
        <w:rPr>
          <w:rStyle w:val="13"/>
          <w:rFonts w:hint="default" w:ascii="Arial Regular" w:hAnsi="Arial Regular" w:cs="Arial Regular"/>
          <w:b w:val="0"/>
          <w:bCs/>
          <w:i w:val="0"/>
          <w:iCs/>
          <w:sz w:val="24"/>
          <w:szCs w:val="24"/>
        </w:rPr>
        <w:t>Project C</w:t>
      </w:r>
      <w:r>
        <w:rPr>
          <w:rFonts w:hint="default" w:ascii="Arial Regular" w:hAnsi="Arial Regular" w:cs="Arial Regular"/>
          <w:b w:val="0"/>
          <w:bCs/>
          <w:i w:val="0"/>
          <w:iCs/>
          <w:sz w:val="24"/>
          <w:szCs w:val="24"/>
        </w:rPr>
        <w:t xml:space="preserve"> has been the preferred choice for investors due to its strong financial performance. The project delivers higher returns of </w:t>
      </w:r>
      <w:r>
        <w:rPr>
          <w:rStyle w:val="13"/>
          <w:rFonts w:hint="default" w:ascii="Arial Regular" w:hAnsi="Arial Regular" w:cs="Arial Regular"/>
          <w:b w:val="0"/>
          <w:bCs/>
          <w:i w:val="0"/>
          <w:iCs/>
          <w:sz w:val="24"/>
          <w:szCs w:val="24"/>
        </w:rPr>
        <w:t>£15 million</w:t>
      </w:r>
      <w:r>
        <w:rPr>
          <w:rFonts w:hint="default" w:ascii="Arial Regular" w:hAnsi="Arial Regular" w:cs="Arial Regular"/>
          <w:b w:val="0"/>
          <w:bCs/>
          <w:i w:val="0"/>
          <w:iCs/>
          <w:sz w:val="24"/>
          <w:szCs w:val="24"/>
        </w:rPr>
        <w:t xml:space="preserve"> to stakeholders, surpassing the returns of other investment options. Additionally, the </w:t>
      </w:r>
      <w:r>
        <w:rPr>
          <w:rStyle w:val="13"/>
          <w:rFonts w:hint="default" w:ascii="Arial Regular" w:hAnsi="Arial Regular" w:cs="Arial Regular"/>
          <w:b w:val="0"/>
          <w:bCs/>
          <w:i w:val="0"/>
          <w:iCs/>
          <w:sz w:val="24"/>
          <w:szCs w:val="24"/>
        </w:rPr>
        <w:t>ARR of 50%</w:t>
      </w:r>
      <w:r>
        <w:rPr>
          <w:rFonts w:hint="default" w:ascii="Arial Regular" w:hAnsi="Arial Regular" w:cs="Arial Regular"/>
          <w:b w:val="0"/>
          <w:bCs/>
          <w:i w:val="0"/>
          <w:iCs/>
          <w:sz w:val="24"/>
          <w:szCs w:val="24"/>
        </w:rPr>
        <w:t xml:space="preserve"> reinforces its profitability, contributing to improved investor revenue. The successful implementation of Project C also enhances the overall market value of stakeholders, strengthening confidence in the company. By providing substantial income and superior financial outcomes, Project C increases stakeholder satisfaction and ensures greater popularity and acceptance among investors compared to alternative projects.</w:t>
      </w:r>
    </w:p>
    <w:p w14:paraId="2A9AD65A">
      <w:pPr>
        <w:pStyle w:val="3"/>
        <w:spacing w:line="360" w:lineRule="auto"/>
        <w:jc w:val="both"/>
        <w:rPr>
          <w:rFonts w:hint="default" w:ascii="Arial Regular" w:hAnsi="Arial Regular" w:cs="Arial Regular"/>
          <w:b/>
          <w:bCs w:val="0"/>
          <w:i w:val="0"/>
          <w:iCs/>
          <w:sz w:val="24"/>
          <w:szCs w:val="24"/>
        </w:rPr>
      </w:pPr>
      <w:bookmarkStart w:id="288" w:name="_Toc1012410709"/>
      <w:bookmarkStart w:id="289" w:name="_Toc2541736"/>
      <w:bookmarkStart w:id="290" w:name="_Toc319083001"/>
      <w:bookmarkStart w:id="291" w:name="_Toc80061411"/>
      <w:bookmarkStart w:id="292" w:name="_Toc213589928"/>
      <w:bookmarkStart w:id="293" w:name="_Toc1340659217"/>
      <w:bookmarkStart w:id="294" w:name="_Toc1563565564"/>
      <w:bookmarkStart w:id="295" w:name="_Toc1461813268"/>
      <w:bookmarkStart w:id="296" w:name="_Toc811016393"/>
      <w:bookmarkStart w:id="297" w:name="_Toc1896883765"/>
      <w:r>
        <w:rPr>
          <w:rFonts w:hint="default" w:ascii="Arial Regular" w:hAnsi="Arial Regular" w:cs="Arial Regular"/>
          <w:b/>
          <w:bCs w:val="0"/>
          <w:i w:val="0"/>
          <w:iCs/>
          <w:sz w:val="24"/>
          <w:szCs w:val="24"/>
        </w:rPr>
        <w:t>4.5 Project Risk Assessment</w:t>
      </w:r>
      <w:bookmarkEnd w:id="288"/>
      <w:bookmarkEnd w:id="289"/>
      <w:bookmarkEnd w:id="290"/>
      <w:bookmarkEnd w:id="291"/>
      <w:bookmarkEnd w:id="292"/>
      <w:bookmarkEnd w:id="293"/>
      <w:bookmarkEnd w:id="294"/>
      <w:bookmarkEnd w:id="295"/>
      <w:bookmarkEnd w:id="296"/>
      <w:bookmarkEnd w:id="297"/>
      <w:r>
        <w:rPr>
          <w:rFonts w:hint="default" w:ascii="Arial Regular" w:hAnsi="Arial Regular" w:cs="Arial Regular"/>
          <w:b/>
          <w:bCs w:val="0"/>
          <w:i w:val="0"/>
          <w:iCs/>
          <w:sz w:val="24"/>
          <w:szCs w:val="24"/>
        </w:rPr>
        <w:t xml:space="preserve"> </w:t>
      </w:r>
    </w:p>
    <w:p w14:paraId="252D147D">
      <w:pPr>
        <w:spacing w:line="360" w:lineRule="auto"/>
        <w:jc w:val="both"/>
        <w:rPr>
          <w:rFonts w:hint="default" w:ascii="Arial Regular" w:hAnsi="Arial Regular" w:cs="Arial Regular"/>
          <w:sz w:val="24"/>
          <w:szCs w:val="24"/>
        </w:rPr>
      </w:pPr>
    </w:p>
    <w:p w14:paraId="7E89A5E7">
      <w:pPr>
        <w:numPr>
          <w:ilvl w:val="0"/>
          <w:numId w:val="2"/>
        </w:numPr>
        <w:bidi w:val="0"/>
        <w:spacing w:line="360" w:lineRule="auto"/>
        <w:jc w:val="both"/>
        <w:rPr>
          <w:rFonts w:hint="default" w:ascii="Arial Regular" w:hAnsi="Arial Regular" w:cs="Arial Regular"/>
          <w:b/>
          <w:bCs w:val="0"/>
          <w:i w:val="0"/>
          <w:iCs/>
          <w:sz w:val="24"/>
          <w:szCs w:val="24"/>
        </w:rPr>
      </w:pPr>
      <w:bookmarkStart w:id="298" w:name="_Toc1916767659"/>
      <w:bookmarkStart w:id="299" w:name="_Toc673809642"/>
      <w:r>
        <w:rPr>
          <w:rFonts w:hint="default" w:ascii="Arial Regular" w:hAnsi="Arial Regular" w:cs="Arial Regular"/>
          <w:b/>
          <w:bCs w:val="0"/>
          <w:i w:val="0"/>
          <w:iCs/>
          <w:sz w:val="24"/>
          <w:szCs w:val="24"/>
        </w:rPr>
        <w:t>Cost Overrun and Capital Intensity Risk</w:t>
      </w:r>
      <w:r>
        <w:rPr>
          <w:rFonts w:hint="default" w:ascii="Arial Regular" w:hAnsi="Arial Regular" w:cs="Arial Regular"/>
          <w:b/>
          <w:bCs w:val="0"/>
          <w:i w:val="0"/>
          <w:iCs/>
          <w:sz w:val="24"/>
          <w:szCs w:val="24"/>
          <w:lang w:val="de-DE"/>
        </w:rPr>
        <w:t>:</w:t>
      </w:r>
      <w:bookmarkEnd w:id="298"/>
      <w:bookmarkEnd w:id="299"/>
    </w:p>
    <w:p w14:paraId="6D44E715">
      <w:pPr>
        <w:numPr>
          <w:ilvl w:val="0"/>
          <w:numId w:val="0"/>
        </w:numPr>
        <w:bidi w:val="0"/>
        <w:spacing w:line="360" w:lineRule="auto"/>
        <w:ind w:leftChars="0"/>
        <w:jc w:val="both"/>
        <w:rPr>
          <w:rFonts w:hint="default" w:ascii="Arial Regular" w:hAnsi="Arial Regular" w:cs="Arial Regular"/>
          <w:b w:val="0"/>
          <w:bCs/>
          <w:i w:val="0"/>
          <w:iCs/>
          <w:sz w:val="24"/>
          <w:szCs w:val="24"/>
        </w:rPr>
      </w:pPr>
      <w:bookmarkStart w:id="300" w:name="_Toc711856166"/>
      <w:bookmarkStart w:id="301" w:name="_Toc1037382463"/>
      <w:r>
        <w:rPr>
          <w:rFonts w:hint="default" w:ascii="Arial Regular" w:hAnsi="Arial Regular" w:cs="Arial Regular"/>
          <w:b w:val="0"/>
          <w:bCs/>
          <w:i w:val="0"/>
          <w:iCs/>
          <w:sz w:val="24"/>
          <w:szCs w:val="24"/>
        </w:rPr>
        <w:t>Project C faces notable cost overrun and capital intensity risk, with 16.23% of its contingency fund reserved to cover scope changes and unforeseen events. Such risks arise when initial cost estimates lack precision, increasing the likelihood of additional financing needs and cash flow strain. Large industrial projects frequently experience cost overruns; empirical studies show that significant overruns—including more than 25% of budgeted costs—are common in complex investments, underscoring the importance of realistic contingency planning (Budzier &amp; Flyvbjerg, 2022). Project C utilises its contingency funds to manage unexpected expenses, including purchases of green bonds and additional borrowing, which can exacerbate volatility due to market fluctuations.</w:t>
      </w:r>
      <w:bookmarkEnd w:id="300"/>
      <w:bookmarkEnd w:id="301"/>
    </w:p>
    <w:p w14:paraId="5F90674C">
      <w:pPr>
        <w:numPr>
          <w:ilvl w:val="0"/>
          <w:numId w:val="0"/>
        </w:numPr>
        <w:bidi w:val="0"/>
        <w:spacing w:line="360" w:lineRule="auto"/>
        <w:ind w:leftChars="0"/>
        <w:jc w:val="both"/>
        <w:rPr>
          <w:rFonts w:hint="default" w:ascii="Arial Regular" w:hAnsi="Arial Regular" w:cs="Arial Regular"/>
          <w:b w:val="0"/>
          <w:bCs/>
          <w:i w:val="0"/>
          <w:iCs/>
          <w:sz w:val="24"/>
          <w:szCs w:val="24"/>
        </w:rPr>
      </w:pPr>
    </w:p>
    <w:p w14:paraId="0AC0270F">
      <w:pPr>
        <w:numPr>
          <w:ilvl w:val="0"/>
          <w:numId w:val="2"/>
        </w:numPr>
        <w:spacing w:line="360" w:lineRule="auto"/>
        <w:ind w:left="420" w:leftChars="0" w:hanging="420" w:firstLineChars="0"/>
        <w:jc w:val="both"/>
        <w:rPr>
          <w:rFonts w:hint="default" w:ascii="Arial Regular" w:hAnsi="Arial Regular" w:cs="Arial Regular"/>
          <w:b/>
          <w:bCs w:val="0"/>
          <w:i w:val="0"/>
          <w:iCs/>
          <w:sz w:val="24"/>
          <w:szCs w:val="24"/>
        </w:rPr>
      </w:pPr>
      <w:bookmarkStart w:id="302" w:name="_Toc2014809295"/>
      <w:bookmarkStart w:id="303" w:name="_Toc535184525"/>
      <w:r>
        <w:rPr>
          <w:rFonts w:hint="default" w:ascii="Arial Regular" w:hAnsi="Arial Regular" w:cs="Arial Regular"/>
          <w:b/>
          <w:bCs w:val="0"/>
          <w:i w:val="0"/>
          <w:iCs/>
          <w:sz w:val="24"/>
          <w:szCs w:val="24"/>
        </w:rPr>
        <w:t>Cash Flow Volatility Risk</w:t>
      </w:r>
      <w:r>
        <w:rPr>
          <w:rFonts w:hint="default" w:ascii="Arial Regular" w:hAnsi="Arial Regular" w:cs="Arial Regular"/>
          <w:b/>
          <w:bCs w:val="0"/>
          <w:i w:val="0"/>
          <w:iCs/>
          <w:sz w:val="24"/>
          <w:szCs w:val="24"/>
          <w:lang w:val="de-DE"/>
        </w:rPr>
        <w:t>:</w:t>
      </w:r>
      <w:bookmarkEnd w:id="302"/>
      <w:bookmarkEnd w:id="303"/>
    </w:p>
    <w:p w14:paraId="00F147DC">
      <w:pPr>
        <w:pStyle w:val="12"/>
        <w:bidi w:val="0"/>
        <w:spacing w:line="360" w:lineRule="auto"/>
        <w:jc w:val="both"/>
        <w:rPr>
          <w:rFonts w:hint="default" w:ascii="Arial Regular" w:hAnsi="Arial Regular" w:cs="Arial Regular"/>
          <w:sz w:val="24"/>
          <w:szCs w:val="24"/>
        </w:rPr>
      </w:pPr>
      <w:bookmarkStart w:id="304" w:name="_Toc1377675169"/>
      <w:bookmarkStart w:id="305" w:name="_Toc1184798039"/>
      <w:r>
        <w:rPr>
          <w:rFonts w:hint="default" w:ascii="Arial Regular" w:hAnsi="Arial Regular" w:cs="Arial Regular"/>
          <w:sz w:val="24"/>
          <w:szCs w:val="24"/>
        </w:rPr>
        <w:t xml:space="preserve">Cash flow volatility risk for Project C is influenced by fluctuating product demand. Broader industry data suggest that global electronics markets continue to evolve, with resilient segments such as electronic components and computing showing growth even amid wider market pressures (Industry Trends Electronics ICT, 2025). For example, overall electronics revenue and demand dynamics in key sectors can shift rapidly, affecting inflows to firms like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sz w:val="24"/>
          <w:szCs w:val="24"/>
        </w:rPr>
        <w:t>. Variability in revenues from key categories underscores how demand fluctuations influence operating cash flows, making sound risk management critical for maintaining liquidity and long</w:t>
      </w:r>
      <w:r>
        <w:rPr>
          <w:rFonts w:hint="default" w:ascii="Arial Regular" w:hAnsi="Arial Regular" w:cs="Arial Regular"/>
          <w:sz w:val="24"/>
          <w:szCs w:val="24"/>
        </w:rPr>
        <w:noBreakHyphen/>
      </w:r>
      <w:r>
        <w:rPr>
          <w:rFonts w:hint="default" w:ascii="Arial Regular" w:hAnsi="Arial Regular" w:cs="Arial Regular"/>
          <w:sz w:val="24"/>
          <w:szCs w:val="24"/>
        </w:rPr>
        <w:t>term financial stability.</w:t>
      </w:r>
      <w:bookmarkEnd w:id="304"/>
      <w:bookmarkEnd w:id="305"/>
      <w:bookmarkStart w:id="306" w:name="_Toc89045809"/>
      <w:bookmarkStart w:id="307" w:name="_Toc1432266489"/>
      <w:bookmarkStart w:id="308" w:name="_Toc1061035795"/>
      <w:bookmarkStart w:id="309" w:name="_Toc213589929"/>
      <w:bookmarkStart w:id="310" w:name="_Toc417883429"/>
      <w:bookmarkStart w:id="311" w:name="_Toc1073850982"/>
      <w:bookmarkStart w:id="312" w:name="_Toc1530698640"/>
      <w:bookmarkStart w:id="313" w:name="_Toc1267371655"/>
    </w:p>
    <w:p w14:paraId="353C0933">
      <w:pPr>
        <w:pStyle w:val="2"/>
        <w:bidi w:val="0"/>
        <w:spacing w:line="360" w:lineRule="auto"/>
        <w:jc w:val="both"/>
        <w:rPr>
          <w:rFonts w:hint="default" w:ascii="Arial Regular" w:hAnsi="Arial Regular" w:cs="Arial Regular"/>
          <w:b/>
          <w:bCs/>
          <w:sz w:val="24"/>
          <w:szCs w:val="24"/>
        </w:rPr>
      </w:pPr>
      <w:bookmarkStart w:id="314" w:name="_Toc561331248"/>
      <w:bookmarkStart w:id="315" w:name="_Toc1482673596"/>
      <w:r>
        <w:rPr>
          <w:rFonts w:hint="default" w:ascii="Arial Regular" w:hAnsi="Arial Regular" w:cs="Arial Regular"/>
          <w:b/>
          <w:bCs/>
          <w:sz w:val="24"/>
          <w:szCs w:val="24"/>
          <w:lang w:val="de-DE"/>
        </w:rPr>
        <w:t xml:space="preserve">4.6 </w:t>
      </w:r>
      <w:r>
        <w:rPr>
          <w:rFonts w:hint="default" w:ascii="Arial Regular" w:hAnsi="Arial Regular" w:cs="Arial Regular"/>
          <w:b/>
          <w:bCs/>
          <w:sz w:val="24"/>
          <w:szCs w:val="24"/>
        </w:rPr>
        <w:t>Conclusion</w:t>
      </w:r>
      <w:bookmarkEnd w:id="306"/>
      <w:bookmarkEnd w:id="307"/>
      <w:bookmarkEnd w:id="308"/>
      <w:bookmarkEnd w:id="309"/>
      <w:bookmarkEnd w:id="310"/>
      <w:bookmarkEnd w:id="311"/>
      <w:bookmarkEnd w:id="312"/>
      <w:bookmarkEnd w:id="313"/>
      <w:bookmarkEnd w:id="314"/>
      <w:bookmarkEnd w:id="315"/>
    </w:p>
    <w:p w14:paraId="1A1A0CAF">
      <w:pPr>
        <w:pStyle w:val="12"/>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Based on the comprehensive financial analysis, it is evident that declining profitability combined with rising leverage has created substantial challenges for General Electronics in sustaining its operational efficiency. Reduced profit margins limit the firm’s ability to internally finance operations, while increased reliance on debt heightens financial risk and constrains managerial flexibility. The organisation’s short-term financial strength is further weakened by a rising cash conversion cycle, which reflects slower cash recovery from operations and places significant pressure on working capital management. This situation restricts liquidity availability and reduces the firm’s capacity to respond effectively to short-term obligations.</w:t>
      </w:r>
    </w:p>
    <w:p w14:paraId="49C98665">
      <w:pPr>
        <w:pStyle w:val="12"/>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In addition, the growing risk of default is a critical concern. The Altman Z-Score, a widely used indicator of financial distress, signals heightened vulnerability as leverage increases and cash flows weaken. A deteriorating Z-Score suggests a higher probability of financial instability, emphasising the urgency for corrective action. Without timely intervention, continued pressure on liquidity and solvency could adversely affect stakeholder confidence, credit ratings, and long-term competitiveness.</w:t>
      </w:r>
    </w:p>
    <w:p w14:paraId="47E9C784">
      <w:pPr>
        <w:pStyle w:val="12"/>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To address these challenges, strategic restructuring is essential. Measures such as mergers can enable economies of scale and operational synergies, while divestitures of non-core assets can release tied-up capital and improve liquidity. Moreover, improved capital allocation decisions can help prioritise high-return investments and reduce inefficient use of financial resources. Together, these strategies can strengthen the balance sheet, reduce financial risk, and restore operational resilience.</w:t>
      </w:r>
    </w:p>
    <w:p w14:paraId="03883511">
      <w:pPr>
        <w:pStyle w:val="12"/>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From an investment appraisal perspective, Project C clearly emerges as the most financially attractive option under the capital rationing constraint. Compared to alternative projects, it delivers the highest net present value (NPV), internal rate of return (IRR), and overall profitability. These indicators demonstrate that Project C offers superior value creation per unit of capital invested. Consequently, prioritising Project C ensures optimal utilisation of limited funds, maximises shareholder wealth, and supports the long-term financial recovery and sustainability of General Electronics.</w:t>
      </w:r>
    </w:p>
    <w:p w14:paraId="632DC6F0">
      <w:pPr>
        <w:spacing w:line="360" w:lineRule="auto"/>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br w:type="page"/>
      </w:r>
    </w:p>
    <w:p w14:paraId="3A6D218E">
      <w:pPr>
        <w:pStyle w:val="2"/>
        <w:bidi w:val="0"/>
        <w:spacing w:line="360" w:lineRule="auto"/>
        <w:jc w:val="left"/>
        <w:rPr>
          <w:rFonts w:hint="default" w:ascii="Arial Regular" w:hAnsi="Arial Regular" w:cs="Arial Regular"/>
          <w:b w:val="0"/>
          <w:bCs w:val="0"/>
          <w:sz w:val="24"/>
          <w:szCs w:val="24"/>
          <w:lang w:val="de-DE"/>
        </w:rPr>
      </w:pPr>
      <w:bookmarkStart w:id="316" w:name="_Toc2042371831"/>
      <w:bookmarkStart w:id="317" w:name="_Toc398623865"/>
      <w:r>
        <w:rPr>
          <w:rFonts w:hint="default" w:ascii="Arial Regular" w:hAnsi="Arial Regular" w:cs="Arial Regular"/>
          <w:b w:val="0"/>
          <w:bCs w:val="0"/>
          <w:sz w:val="24"/>
          <w:szCs w:val="24"/>
          <w:lang w:val="de-DE"/>
        </w:rPr>
        <w:t>Bibliography</w:t>
      </w:r>
      <w:bookmarkEnd w:id="316"/>
      <w:bookmarkEnd w:id="317"/>
      <w:r>
        <w:rPr>
          <w:rFonts w:hint="default" w:ascii="Arial Regular" w:hAnsi="Arial Regular" w:cs="Arial Regular"/>
          <w:b w:val="0"/>
          <w:bCs w:val="0"/>
          <w:sz w:val="24"/>
          <w:szCs w:val="24"/>
          <w:lang w:val="de-DE"/>
        </w:rPr>
        <w:t xml:space="preserve"> </w:t>
      </w:r>
    </w:p>
    <w:p w14:paraId="1A3D4A9E">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Barron’s (2025) </w:t>
      </w:r>
      <w:r>
        <w:rPr>
          <w:rStyle w:val="8"/>
          <w:rFonts w:hint="default" w:ascii="Arial Regular" w:hAnsi="Arial Regular" w:cs="Arial Regular"/>
          <w:sz w:val="24"/>
          <w:szCs w:val="24"/>
        </w:rPr>
        <w:t>There’s a wild card coming for tech earnings: It’s not AI</w:t>
      </w:r>
      <w:r>
        <w:rPr>
          <w:rFonts w:hint="default" w:ascii="Arial Regular" w:hAnsi="Arial Regular" w:cs="Arial Regular"/>
          <w:sz w:val="24"/>
          <w:szCs w:val="24"/>
        </w:rPr>
        <w:t>. Barron’s.</w:t>
      </w:r>
    </w:p>
    <w:p w14:paraId="40A27413">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Budzier, A. and Flyvbjerg, B. (2022) ‘The empirical reality of IT project cost overruns: discovering a power-law distribution’, </w:t>
      </w:r>
      <w:r>
        <w:rPr>
          <w:rStyle w:val="8"/>
          <w:rFonts w:hint="default" w:ascii="Arial Regular" w:hAnsi="Arial Regular" w:cs="Arial Regular"/>
          <w:sz w:val="24"/>
          <w:szCs w:val="24"/>
        </w:rPr>
        <w:t>arXiv</w:t>
      </w:r>
      <w:r>
        <w:rPr>
          <w:rFonts w:hint="default" w:ascii="Arial Regular" w:hAnsi="Arial Regular" w:cs="Arial Regular"/>
          <w:sz w:val="24"/>
          <w:szCs w:val="24"/>
        </w:rPr>
        <w:t>.</w:t>
      </w:r>
    </w:p>
    <w:p w14:paraId="09E5277B">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CFA Institute (2023) </w:t>
      </w:r>
      <w:r>
        <w:rPr>
          <w:rStyle w:val="8"/>
          <w:rFonts w:hint="default" w:ascii="Arial Regular" w:hAnsi="Arial Regular" w:cs="Arial Regular"/>
          <w:sz w:val="24"/>
          <w:szCs w:val="24"/>
        </w:rPr>
        <w:t>Liquidity risk and working capital management</w:t>
      </w:r>
      <w:r>
        <w:rPr>
          <w:rFonts w:hint="default" w:ascii="Arial Regular" w:hAnsi="Arial Regular" w:cs="Arial Regular"/>
          <w:sz w:val="24"/>
          <w:szCs w:val="24"/>
        </w:rPr>
        <w:t>. Charlottesville, VA: CFA Institute.</w:t>
      </w:r>
    </w:p>
    <w:p w14:paraId="7D09089F">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CFI Team (2024) ‘Capital budgeting: payback period, NPV, IRR, and PI explained’. </w:t>
      </w:r>
      <w:r>
        <w:rPr>
          <w:rStyle w:val="8"/>
          <w:rFonts w:hint="default" w:ascii="Arial Regular" w:hAnsi="Arial Regular" w:cs="Arial Regular"/>
          <w:sz w:val="24"/>
          <w:szCs w:val="24"/>
        </w:rPr>
        <w:t>Corporate Finance Institute</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"https://corporatefinanceinstitute.com/resources/knowledge/finance/capital-budgeting/"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https://corporatefinanceinstitute.com/resources/knowledge/finance/capital-budgeting/</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31E67CE4">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Chen, L. (2025) ‘Investment appraisal techniques: NPV, IRR, and profitability index explained’, </w:t>
      </w:r>
      <w:r>
        <w:rPr>
          <w:rStyle w:val="8"/>
          <w:rFonts w:hint="default" w:ascii="Arial Regular" w:hAnsi="Arial Regular" w:cs="Arial Regular"/>
          <w:sz w:val="24"/>
          <w:szCs w:val="24"/>
        </w:rPr>
        <w:t>Journal of Financial Management</w:t>
      </w:r>
      <w:r>
        <w:rPr>
          <w:rFonts w:hint="default" w:ascii="Arial Regular" w:hAnsi="Arial Regular" w:cs="Arial Regular"/>
          <w:sz w:val="24"/>
          <w:szCs w:val="24"/>
        </w:rPr>
        <w:t>, 38(2), pp. 45–59.</w:t>
      </w:r>
    </w:p>
    <w:p w14:paraId="7809A4A5">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Cobham &amp; Ultra Electronics (2023) ‘Cobham and Ultra Electronics invest in UK skills’.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"https://www.cobham.com/cobham-and-ultra-electronics-pledge-5-million-investment-in-uk-skills/?utm_source=chatgpt.com"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https://www.cobham.com/cobham-and-ultra-electronics-pledge-5-million-investment-in-uk-skills/</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3223F01D">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Deloitte Insights (2025) ‘US tariffs impact consumer spending and manufacturing costs’. </w:t>
      </w:r>
      <w:r>
        <w:rPr>
          <w:rStyle w:val="8"/>
          <w:rFonts w:hint="default" w:ascii="Arial Regular" w:hAnsi="Arial Regular" w:cs="Arial Regular"/>
          <w:sz w:val="24"/>
          <w:szCs w:val="24"/>
        </w:rPr>
        <w:t>Deloitte</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"https://www2.deloitte.com/us/en/insights/economy/spotlight/us-tariffs-impact-consumer-spending.html"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https://www2.deloitte.com/us/en/insights/economy/spotlight/us-tariffs-impact-consumer-spending.html</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78A80167">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Financial Times (2025) ‘SoftBank to buy $2bn in Intel shares as it grows American investments’. </w:t>
      </w:r>
      <w:r>
        <w:rPr>
          <w:rStyle w:val="8"/>
          <w:rFonts w:hint="default" w:ascii="Arial Regular" w:hAnsi="Arial Regular" w:cs="Arial Regular"/>
          <w:sz w:val="24"/>
          <w:szCs w:val="24"/>
        </w:rPr>
        <w:t>Financial Times</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"https://www.ft.com/content/97769020-6229-4f03-825b-89de4e4f3436?utm_source=chatgpt.com"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https://www.ft.com/content/97769020-6229-4f03-825b-89de4e4f3436</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28FC97E1">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Frontiers in Sustainability (2025) ‘Green cash flow: how ESG performance shapes corporate cash holding strategies’, </w:t>
      </w:r>
      <w:r>
        <w:rPr>
          <w:rStyle w:val="8"/>
          <w:rFonts w:hint="default" w:ascii="Arial Regular" w:hAnsi="Arial Regular" w:cs="Arial Regular"/>
          <w:sz w:val="24"/>
          <w:szCs w:val="24"/>
        </w:rPr>
        <w:t>Frontiers in Sustainability</w:t>
      </w:r>
      <w:r>
        <w:rPr>
          <w:rFonts w:hint="default" w:ascii="Arial Regular" w:hAnsi="Arial Regular" w:cs="Arial Regular"/>
          <w:sz w:val="24"/>
          <w:szCs w:val="24"/>
        </w:rPr>
        <w:t>.</w:t>
      </w:r>
    </w:p>
    <w:p w14:paraId="2B7B8C2B">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GOV.UK (2024) ‘Government backs UK R&amp;D with record £20.4 billion investment at Autumn Budget’. Department for Science, Innovation and Technology.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"https://www.gov.uk/government/news/government-backs-uk-rd-with-record-204-billion-investment-at-autumn-budget"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https://www.gov.uk/government/news/government-backs-uk-rd-with-record-204-billion-investment-at-autumn-budget</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7306B9D1">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HSBC (2025) </w:t>
      </w:r>
      <w:r>
        <w:rPr>
          <w:rStyle w:val="8"/>
          <w:rFonts w:hint="default" w:ascii="Arial Regular" w:hAnsi="Arial Regular" w:cs="Arial Regular"/>
          <w:sz w:val="24"/>
          <w:szCs w:val="24"/>
        </w:rPr>
        <w:t>Tariff risks weighing on global growth</w:t>
      </w:r>
      <w:r>
        <w:rPr>
          <w:rFonts w:hint="default" w:ascii="Arial Regular" w:hAnsi="Arial Regular" w:cs="Arial Regular"/>
          <w:sz w:val="24"/>
          <w:szCs w:val="24"/>
        </w:rPr>
        <w:t>. HSBC Global Research.</w:t>
      </w:r>
    </w:p>
    <w:p w14:paraId="1E538741">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IfM Engage (2024) ‘Women in UK manufacturing 2024: gender participation report’.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"https://www.machinery.co.uk/content/features/celebrating-female-manufacturers-making-a-difference-in-the-industry?utm_source=chatgpt.com"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https://www.machinery.co.uk/content/features/celebrating-female-manufacturers-making-a-difference-in-the-industry</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016BB0A5">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IMF (2024) </w:t>
      </w:r>
      <w:r>
        <w:rPr>
          <w:rStyle w:val="8"/>
          <w:rFonts w:hint="default" w:ascii="Arial Regular" w:hAnsi="Arial Regular" w:cs="Arial Regular"/>
          <w:sz w:val="24"/>
          <w:szCs w:val="24"/>
        </w:rPr>
        <w:t>World Economic Outlook</w:t>
      </w:r>
      <w:r>
        <w:rPr>
          <w:rFonts w:hint="default" w:ascii="Arial Regular" w:hAnsi="Arial Regular" w:cs="Arial Regular"/>
          <w:sz w:val="24"/>
          <w:szCs w:val="24"/>
        </w:rPr>
        <w:t>. Washington, DC: International Monetary Fund.</w:t>
      </w:r>
    </w:p>
    <w:p w14:paraId="76272E55">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Industry Trends Electronics ICT (2025) ‘Industry trends electronics/ICT July 2025’. </w:t>
      </w:r>
      <w:r>
        <w:rPr>
          <w:rStyle w:val="8"/>
          <w:rFonts w:hint="default" w:ascii="Arial Regular" w:hAnsi="Arial Regular" w:cs="Arial Regular"/>
          <w:sz w:val="24"/>
          <w:szCs w:val="24"/>
        </w:rPr>
        <w:t>Atradius</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"https://atradius.co.uk/knowledge-and-research/reports/industry-trends-electronics-ict-july-2025?utm_source=chatgpt.com"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https://atradius.co.uk/knowledge-and-research/reports/industry-trends-electronics-ict-july-2025</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585642C6">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Investopedia (2025a) ‘Debt-to-equity ratio’.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"https://www.investopedia.com/terms/d/debttoequityratio.asp"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https://www.investopedia.com/terms/d/debttoequityratio.asp</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52B42641">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Investopedia (2025b) ‘Earnings per share (EPS): definition and importance’.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"https://www.investopedia.com/terms/e/eps.asp"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https://www.investopedia.com/terms/e/eps.asp</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2B28653A">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KPMG (2025) ‘Six key considerations for working capital management to create competitive advantage in 2025’.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"https://kpmg.com/fi/en/insights/business-transformation/six-key-considerations-for-working-capital-management-to-create-competitive-advantage-in-2025.html?utm_source=chatgpt.com"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https://kpmg.com/fi/en/insights/business-transformation/six-key-considerations-for-working-capital-management-to-create-competitive-advantage-in-2025.html</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4526E8B3">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McKinsey &amp; Company (2023) </w:t>
      </w:r>
      <w:r>
        <w:rPr>
          <w:rStyle w:val="8"/>
          <w:rFonts w:hint="default" w:ascii="Arial Regular" w:hAnsi="Arial Regular" w:cs="Arial Regular"/>
          <w:sz w:val="24"/>
          <w:szCs w:val="24"/>
        </w:rPr>
        <w:t>Managing cash and liquidity in times of uncertainty</w:t>
      </w:r>
      <w:r>
        <w:rPr>
          <w:rFonts w:hint="default" w:ascii="Arial Regular" w:hAnsi="Arial Regular" w:cs="Arial Regular"/>
          <w:sz w:val="24"/>
          <w:szCs w:val="24"/>
        </w:rPr>
        <w:t>. McKinsey &amp; Company.</w:t>
      </w:r>
    </w:p>
    <w:p w14:paraId="798752A9">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McKinsey &amp; Company (2025) ‘The effects of tariffs on the semiconductor industry’.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"https://www.mckinsey.com/industries/semiconductors/our-insights/the-effects-of-tariffs-on-the-semiconductor-industry"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https://www.mckinsey.com/industries/semiconductors/our-insights/the-effects-of-tariffs-on-the-semiconductor-industry</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64C95C80">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Moody’s (2025) </w:t>
      </w:r>
      <w:r>
        <w:rPr>
          <w:rStyle w:val="8"/>
          <w:rFonts w:hint="default" w:ascii="Arial Regular" w:hAnsi="Arial Regular" w:cs="Arial Regular"/>
          <w:sz w:val="24"/>
          <w:szCs w:val="24"/>
        </w:rPr>
        <w:t>Global consumer electronics outlook: liquidity and credit risk</w:t>
      </w:r>
      <w:r>
        <w:rPr>
          <w:rFonts w:hint="default" w:ascii="Arial Regular" w:hAnsi="Arial Regular" w:cs="Arial Regular"/>
          <w:sz w:val="24"/>
          <w:szCs w:val="24"/>
        </w:rPr>
        <w:t>. Moody’s Investors Service.</w:t>
      </w:r>
    </w:p>
    <w:p w14:paraId="389C710E">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OECD (2025) </w:t>
      </w:r>
      <w:r>
        <w:rPr>
          <w:rStyle w:val="8"/>
          <w:rFonts w:hint="default" w:ascii="Arial Regular" w:hAnsi="Arial Regular" w:cs="Arial Regular"/>
          <w:sz w:val="24"/>
          <w:szCs w:val="24"/>
        </w:rPr>
        <w:t>Industrial production and investment trends in advanced manufacturing</w:t>
      </w:r>
      <w:r>
        <w:rPr>
          <w:rFonts w:hint="default" w:ascii="Arial Regular" w:hAnsi="Arial Regular" w:cs="Arial Regular"/>
          <w:sz w:val="24"/>
          <w:szCs w:val="24"/>
        </w:rPr>
        <w:t>. Paris: OECD.</w:t>
      </w:r>
    </w:p>
    <w:p w14:paraId="7AEDF8B6">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Office for National Statistics (ONS) (2025) ‘Gender pay gap in the UK: April 2025’.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"https://www.ons.gov.uk/employmentandlabourmarket/peopleinwork/earningsandworkinghours/bulletins/genderpaygapintheuk/2025?utm_source=chatgpt.com"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https://www.ons.gov.uk/employmentandlabourmarket/peopleinwork/earningsandworkinghours/bulletins/genderpaygapintheuk/2025</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1B84FA30">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Reuters (2021) ‘GE cuts debt by $30 billion to strengthen balance sheet’. </w:t>
      </w:r>
      <w:r>
        <w:rPr>
          <w:rStyle w:val="8"/>
          <w:rFonts w:hint="default" w:ascii="Arial Regular" w:hAnsi="Arial Regular" w:cs="Arial Regular"/>
          <w:sz w:val="24"/>
          <w:szCs w:val="24"/>
        </w:rPr>
        <w:t>Reuters</w:t>
      </w:r>
      <w:r>
        <w:rPr>
          <w:rFonts w:hint="default" w:ascii="Arial Regular" w:hAnsi="Arial Regular" w:cs="Arial Regular"/>
          <w:sz w:val="24"/>
          <w:szCs w:val="24"/>
        </w:rPr>
        <w:t>.</w:t>
      </w:r>
    </w:p>
    <w:p w14:paraId="34ADA966">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Reuters (2024a) ‘Intel ramps up multibillion-dollar investment in AI and semiconductor manufacturing’. </w:t>
      </w:r>
      <w:r>
        <w:rPr>
          <w:rStyle w:val="8"/>
          <w:rFonts w:hint="default" w:ascii="Arial Regular" w:hAnsi="Arial Regular" w:cs="Arial Regular"/>
          <w:sz w:val="24"/>
          <w:szCs w:val="24"/>
        </w:rPr>
        <w:t>Reuters</w:t>
      </w:r>
      <w:r>
        <w:rPr>
          <w:rFonts w:hint="default" w:ascii="Arial Regular" w:hAnsi="Arial Regular" w:cs="Arial Regular"/>
          <w:sz w:val="24"/>
          <w:szCs w:val="24"/>
        </w:rPr>
        <w:t>.</w:t>
      </w:r>
    </w:p>
    <w:p w14:paraId="4D46502C">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Reuters (2024b) ‘US manufacturing activity weakens amid slowing new orders’. </w:t>
      </w:r>
      <w:r>
        <w:rPr>
          <w:rStyle w:val="8"/>
          <w:rFonts w:hint="default" w:ascii="Arial Regular" w:hAnsi="Arial Regular" w:cs="Arial Regular"/>
          <w:sz w:val="24"/>
          <w:szCs w:val="24"/>
        </w:rPr>
        <w:t>Reuters</w:t>
      </w:r>
      <w:r>
        <w:rPr>
          <w:rFonts w:hint="default" w:ascii="Arial Regular" w:hAnsi="Arial Regular" w:cs="Arial Regular"/>
          <w:sz w:val="24"/>
          <w:szCs w:val="24"/>
        </w:rPr>
        <w:t>.</w:t>
      </w:r>
    </w:p>
    <w:p w14:paraId="28A5408A">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Reuters (2025) ‘US tariffs raise costs for global electronics manufacturers’. </w:t>
      </w:r>
      <w:r>
        <w:rPr>
          <w:rStyle w:val="8"/>
          <w:rFonts w:hint="default" w:ascii="Arial Regular" w:hAnsi="Arial Regular" w:cs="Arial Regular"/>
          <w:sz w:val="24"/>
          <w:szCs w:val="24"/>
        </w:rPr>
        <w:t>Reuters</w:t>
      </w:r>
      <w:r>
        <w:rPr>
          <w:rFonts w:hint="default" w:ascii="Arial Regular" w:hAnsi="Arial Regular" w:cs="Arial Regular"/>
          <w:sz w:val="24"/>
          <w:szCs w:val="24"/>
        </w:rPr>
        <w:t>.</w:t>
      </w:r>
    </w:p>
    <w:p w14:paraId="04299E29">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Ross, S.A., Westerfield, R., Jaffe, J. and Jordan, B.D. (2025) </w:t>
      </w:r>
      <w:r>
        <w:rPr>
          <w:rStyle w:val="8"/>
          <w:rFonts w:hint="default" w:ascii="Arial Regular" w:hAnsi="Arial Regular" w:cs="Arial Regular"/>
          <w:sz w:val="24"/>
          <w:szCs w:val="24"/>
        </w:rPr>
        <w:t>Corporate Finance</w:t>
      </w:r>
      <w:r>
        <w:rPr>
          <w:rFonts w:hint="default" w:ascii="Arial Regular" w:hAnsi="Arial Regular" w:cs="Arial Regular"/>
          <w:sz w:val="24"/>
          <w:szCs w:val="24"/>
        </w:rPr>
        <w:t>. 13th edn. New York: McGraw-Hill Education.</w:t>
      </w:r>
    </w:p>
    <w:p w14:paraId="6717FEED">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Statista (2025a) ‘Consumer electronics market revenue worldwide and CAGR outlook 2025–2030’. </w:t>
      </w:r>
      <w:r>
        <w:rPr>
          <w:rStyle w:val="8"/>
          <w:rFonts w:hint="default" w:ascii="Arial Regular" w:hAnsi="Arial Regular" w:cs="Arial Regular"/>
          <w:sz w:val="24"/>
          <w:szCs w:val="24"/>
        </w:rPr>
        <w:t>Statista</w:t>
      </w:r>
      <w:r>
        <w:rPr>
          <w:rFonts w:hint="default" w:ascii="Arial Regular" w:hAnsi="Arial Regular" w:cs="Arial Regular"/>
          <w:sz w:val="24"/>
          <w:szCs w:val="24"/>
        </w:rPr>
        <w:t>.</w:t>
      </w:r>
    </w:p>
    <w:p w14:paraId="5309E263">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Statista (2025b) ‘Consumer electronics user penetration rate worldwide’. </w:t>
      </w:r>
      <w:r>
        <w:rPr>
          <w:rStyle w:val="8"/>
          <w:rFonts w:hint="default" w:ascii="Arial Regular" w:hAnsi="Arial Regular" w:cs="Arial Regular"/>
          <w:sz w:val="24"/>
          <w:szCs w:val="24"/>
        </w:rPr>
        <w:t>Statista</w:t>
      </w:r>
      <w:r>
        <w:rPr>
          <w:rFonts w:hint="default" w:ascii="Arial Regular" w:hAnsi="Arial Regular" w:cs="Arial Regular"/>
          <w:sz w:val="24"/>
          <w:szCs w:val="24"/>
        </w:rPr>
        <w:t>.</w:t>
      </w:r>
    </w:p>
    <w:p w14:paraId="5299DAC9">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Trading Economics (2025) ‘United Kingdom inflation rate’.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"https://tradingeconomics.com/united-kingdom/inflation-cpi"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https://tradingeconomics.com/united-kingdom/inflation-cpi</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5490BF49">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UK Finance (2025) ‘Over half of UK adults now use mobile wallets’.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"https://www.ukfinance.org.uk"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https://www.ukfinance.org.uk</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66F428C5">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UK Government (2024) ‘Government support for semiconductor and advanced electronics innovation’. </w:t>
      </w:r>
      <w:r>
        <w:rPr>
          <w:rStyle w:val="8"/>
          <w:rFonts w:hint="default" w:ascii="Arial Regular" w:hAnsi="Arial Regular" w:cs="Arial Regular"/>
          <w:sz w:val="24"/>
          <w:szCs w:val="24"/>
        </w:rPr>
        <w:t>GOV.UK</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"https://www.gov.uk"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https://www.gov.uk</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7F2A601C">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Vipond, A. (2025) ‘Capital investment analysis: evaluating IRR, NPV, and profitability index in major projects’, </w:t>
      </w:r>
      <w:r>
        <w:rPr>
          <w:rStyle w:val="8"/>
          <w:rFonts w:hint="default" w:ascii="Arial Regular" w:hAnsi="Arial Regular" w:cs="Arial Regular"/>
          <w:sz w:val="24"/>
          <w:szCs w:val="24"/>
        </w:rPr>
        <w:t>Journal of Finance and Investment</w:t>
      </w:r>
      <w:r>
        <w:rPr>
          <w:rFonts w:hint="default" w:ascii="Arial Regular" w:hAnsi="Arial Regular" w:cs="Arial Regular"/>
          <w:sz w:val="24"/>
          <w:szCs w:val="24"/>
        </w:rPr>
        <w:t>, 42(1), pp. 55–70.</w:t>
      </w:r>
    </w:p>
    <w:p w14:paraId="459325C8">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World Bank (2023) </w:t>
      </w:r>
      <w:r>
        <w:rPr>
          <w:rStyle w:val="8"/>
          <w:rFonts w:hint="default" w:ascii="Arial Regular" w:hAnsi="Arial Regular" w:cs="Arial Regular"/>
          <w:sz w:val="24"/>
          <w:szCs w:val="24"/>
        </w:rPr>
        <w:t>Global Economic Prospects</w:t>
      </w:r>
      <w:r>
        <w:rPr>
          <w:rFonts w:hint="default" w:ascii="Arial Regular" w:hAnsi="Arial Regular" w:cs="Arial Regular"/>
          <w:sz w:val="24"/>
          <w:szCs w:val="24"/>
        </w:rPr>
        <w:t>. Washington, DC: World Bank Group.</w:t>
      </w:r>
    </w:p>
    <w:p w14:paraId="7DFE43EE">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Yahoo Finance (2025) ‘Electronics sector stock performance and earnings trends’. </w:t>
      </w:r>
      <w:r>
        <w:rPr>
          <w:rStyle w:val="8"/>
          <w:rFonts w:hint="default" w:ascii="Arial Regular" w:hAnsi="Arial Regular" w:cs="Arial Regular"/>
          <w:sz w:val="24"/>
          <w:szCs w:val="24"/>
        </w:rPr>
        <w:t>Yahoo Finance</w:t>
      </w:r>
      <w:r>
        <w:rPr>
          <w:rFonts w:hint="default" w:ascii="Arial Regular" w:hAnsi="Arial Regular" w:cs="Arial Regular"/>
          <w:sz w:val="24"/>
          <w:szCs w:val="24"/>
        </w:rPr>
        <w:t>.</w:t>
      </w:r>
    </w:p>
    <w:p w14:paraId="0588C201">
      <w:pPr>
        <w:pStyle w:val="12"/>
        <w:keepNext w:val="0"/>
        <w:keepLines w:val="0"/>
        <w:widowControl/>
        <w:suppressLineNumbers w:val="0"/>
        <w:spacing w:line="360" w:lineRule="auto"/>
        <w:jc w:val="left"/>
        <w:rPr>
          <w:rFonts w:hint="default" w:ascii="Arial Regular" w:hAnsi="Arial Regular" w:cs="Arial Regular"/>
          <w:sz w:val="24"/>
          <w:szCs w:val="24"/>
        </w:rPr>
      </w:pPr>
    </w:p>
    <w:p w14:paraId="2BBDBF86">
      <w:pPr>
        <w:spacing w:line="360" w:lineRule="auto"/>
        <w:jc w:val="left"/>
        <w:rPr>
          <w:rFonts w:hint="default" w:ascii="Arial Regular" w:hAnsi="Arial Regular" w:cs="Arial Regular"/>
          <w:sz w:val="24"/>
          <w:szCs w:val="24"/>
          <w:lang w:val="de-DE"/>
        </w:rPr>
      </w:pPr>
    </w:p>
    <w:p w14:paraId="261373C9">
      <w:pPr>
        <w:spacing w:line="360" w:lineRule="auto"/>
        <w:jc w:val="both"/>
        <w:rPr>
          <w:rFonts w:hint="default" w:ascii="Arial Regular" w:hAnsi="Arial Regular" w:cs="Arial Regular"/>
          <w:b w:val="0"/>
          <w:bCs w:val="0"/>
          <w:sz w:val="24"/>
          <w:szCs w:val="24"/>
          <w:lang w:val="de-DE"/>
        </w:rPr>
      </w:pPr>
    </w:p>
    <w:p w14:paraId="4BFB887E">
      <w:pPr>
        <w:spacing w:line="360" w:lineRule="auto"/>
        <w:jc w:val="both"/>
        <w:rPr>
          <w:rFonts w:hint="default" w:ascii="Arial Regular" w:hAnsi="Arial Regular" w:cs="Arial Regular"/>
          <w:b w:val="0"/>
          <w:bCs w:val="0"/>
          <w:sz w:val="24"/>
          <w:szCs w:val="24"/>
          <w:lang w:val="de-DE"/>
        </w:rPr>
      </w:pPr>
    </w:p>
    <w:p w14:paraId="6D23E89A">
      <w:pPr>
        <w:spacing w:line="360" w:lineRule="auto"/>
        <w:jc w:val="both"/>
        <w:rPr>
          <w:rFonts w:hint="default" w:ascii="Arial Regular" w:hAnsi="Arial Regular" w:cs="Arial Regular"/>
          <w:b w:val="0"/>
          <w:bCs w:val="0"/>
          <w:sz w:val="24"/>
          <w:szCs w:val="24"/>
        </w:rPr>
      </w:pPr>
      <w:bookmarkStart w:id="318" w:name="_Toc213589931"/>
      <w:r>
        <w:rPr>
          <w:rFonts w:hint="default" w:ascii="Arial Regular" w:hAnsi="Arial Regular" w:cs="Arial Regular"/>
          <w:b w:val="0"/>
          <w:bCs w:val="0"/>
          <w:sz w:val="24"/>
          <w:szCs w:val="24"/>
        </w:rPr>
        <w:br w:type="page"/>
      </w:r>
    </w:p>
    <w:p w14:paraId="7C0D901F">
      <w:pPr>
        <w:pStyle w:val="2"/>
        <w:bidi w:val="0"/>
        <w:spacing w:line="360" w:lineRule="auto"/>
        <w:jc w:val="both"/>
        <w:rPr>
          <w:rFonts w:hint="default" w:ascii="Arial Regular" w:hAnsi="Arial Regular" w:cs="Arial Regular"/>
          <w:b w:val="0"/>
          <w:bCs/>
          <w:i w:val="0"/>
          <w:iCs w:val="0"/>
          <w:sz w:val="24"/>
          <w:szCs w:val="24"/>
        </w:rPr>
      </w:pPr>
      <w:bookmarkStart w:id="319" w:name="_Toc1669804062"/>
      <w:bookmarkStart w:id="320" w:name="_Toc764749969"/>
      <w:r>
        <w:rPr>
          <w:rFonts w:hint="default" w:ascii="Arial Regular" w:hAnsi="Arial Regular" w:cs="Arial Regular"/>
          <w:b w:val="0"/>
          <w:bCs/>
          <w:i w:val="0"/>
          <w:iCs w:val="0"/>
          <w:sz w:val="24"/>
          <w:szCs w:val="24"/>
        </w:rPr>
        <w:t>Appendices</w:t>
      </w:r>
      <w:bookmarkEnd w:id="318"/>
      <w:bookmarkEnd w:id="319"/>
      <w:bookmarkEnd w:id="320"/>
    </w:p>
    <w:p w14:paraId="2F5EF611">
      <w:pPr>
        <w:pStyle w:val="3"/>
        <w:spacing w:line="360" w:lineRule="auto"/>
        <w:jc w:val="both"/>
        <w:rPr>
          <w:rFonts w:hint="default" w:ascii="Arial Regular" w:hAnsi="Arial Regular" w:cs="Arial Regular"/>
          <w:b w:val="0"/>
          <w:bCs/>
          <w:i w:val="0"/>
          <w:iCs w:val="0"/>
          <w:sz w:val="24"/>
          <w:szCs w:val="24"/>
        </w:rPr>
      </w:pPr>
      <w:bookmarkStart w:id="321" w:name="_Toc1080571038"/>
      <w:bookmarkStart w:id="322" w:name="_Toc1944293551"/>
      <w:bookmarkStart w:id="323" w:name="_Toc463101688"/>
      <w:bookmarkStart w:id="324" w:name="_Toc1745435067"/>
      <w:bookmarkStart w:id="325" w:name="_Toc213589932"/>
      <w:bookmarkStart w:id="326" w:name="_Toc1095265513"/>
      <w:bookmarkStart w:id="327" w:name="_Toc124401877"/>
      <w:bookmarkStart w:id="328" w:name="_Toc958681400"/>
      <w:bookmarkStart w:id="329" w:name="_Toc1972594639"/>
      <w:bookmarkStart w:id="330" w:name="_Toc760885086"/>
      <w:r>
        <w:rPr>
          <w:rFonts w:hint="default" w:ascii="Arial Regular" w:hAnsi="Arial Regular" w:cs="Arial Regular"/>
          <w:b w:val="0"/>
          <w:bCs/>
          <w:i w:val="0"/>
          <w:iCs w:val="0"/>
          <w:sz w:val="24"/>
          <w:szCs w:val="24"/>
        </w:rPr>
        <w:t>Appendix 1: Ratio analysis</w:t>
      </w:r>
      <w:bookmarkEnd w:id="321"/>
      <w:bookmarkEnd w:id="322"/>
      <w:bookmarkEnd w:id="323"/>
      <w:bookmarkEnd w:id="324"/>
      <w:bookmarkEnd w:id="325"/>
      <w:bookmarkEnd w:id="326"/>
      <w:bookmarkEnd w:id="327"/>
      <w:bookmarkEnd w:id="328"/>
      <w:bookmarkEnd w:id="329"/>
      <w:bookmarkEnd w:id="330"/>
    </w:p>
    <w:p w14:paraId="1A0D7AB4">
      <w:pPr>
        <w:spacing w:line="360" w:lineRule="auto"/>
        <w:jc w:val="both"/>
        <w:rPr>
          <w:rFonts w:hint="default" w:ascii="Arial Regular" w:hAnsi="Arial Regular" w:cs="Arial Regular"/>
          <w:b w:val="0"/>
          <w:bCs w:val="0"/>
          <w:sz w:val="24"/>
          <w:szCs w:val="24"/>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747"/>
        <w:gridCol w:w="860"/>
        <w:gridCol w:w="1390"/>
        <w:gridCol w:w="1297"/>
        <w:gridCol w:w="1344"/>
        <w:gridCol w:w="1391"/>
        <w:gridCol w:w="1331"/>
      </w:tblGrid>
      <w:tr w14:paraId="3A726154">
        <w:trPr>
          <w:trHeight w:val="300" w:hRule="atLeast"/>
        </w:trPr>
        <w:tc>
          <w:tcPr>
            <w:tcW w:w="9360" w:type="dxa"/>
            <w:gridSpan w:val="7"/>
            <w:tcBorders>
              <w:top w:val="single" w:color="auto" w:sz="4" w:space="0"/>
              <w:left w:val="single" w:color="auto" w:sz="4" w:space="0"/>
              <w:bottom w:val="single" w:color="000000" w:sz="6" w:space="0"/>
              <w:right w:val="single" w:color="auto" w:sz="4" w:space="0"/>
            </w:tcBorders>
            <w:tcMar>
              <w:top w:w="0" w:type="dxa"/>
              <w:left w:w="40" w:type="dxa"/>
              <w:bottom w:w="0" w:type="dxa"/>
              <w:right w:w="40" w:type="dxa"/>
            </w:tcMar>
            <w:vAlign w:val="center"/>
          </w:tcPr>
          <w:p w14:paraId="0B2E498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Profitability Ratios</w:t>
            </w:r>
          </w:p>
        </w:tc>
      </w:tr>
      <w:tr w14:paraId="1A5C8852">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87CC6C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81EBE5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8408A7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3A77D1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0C6BCB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AB05AC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669A2E6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19F69DBE">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C41043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Revenue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BFFCAB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DD02A6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614,680.00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4A1768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601,602.00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5B8131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542,751.00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A3432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420,457.00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36962C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394,879.00</w:t>
            </w:r>
          </w:p>
        </w:tc>
      </w:tr>
      <w:tr w14:paraId="1663C302">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CA9B09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Operating Profit/(Loss)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E73D95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48363C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37,267.00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C0653D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23,253.00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F8B35C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14,548.00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694300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(85,301.00)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490A6F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(15,297.00)</w:t>
            </w:r>
          </w:p>
        </w:tc>
      </w:tr>
      <w:tr w14:paraId="2289E048">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97C223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Net Profit/(Loss)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B7AD66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40966C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38,572.00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BC0CC6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5,301.00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F81626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407.00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CB9E99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(98,238.00)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38BB424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(24,029.00)</w:t>
            </w:r>
          </w:p>
        </w:tc>
      </w:tr>
      <w:tr w14:paraId="1B57782A">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F5F8AD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Total Assets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16F6A0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A63299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510,290.00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16A0AC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510,348.00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666F00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504,163.00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3A9200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355,872.00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3C2B8D4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323,354.00</w:t>
            </w:r>
          </w:p>
        </w:tc>
      </w:tr>
      <w:tr w14:paraId="113E0EAD">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8F200C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Current Liabilities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D12965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7FDD2B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179,510.00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1C39E7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216,787.00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A8B3F1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216,473.00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D51FB2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161,148.00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5715A7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158,291.00</w:t>
            </w:r>
          </w:p>
        </w:tc>
      </w:tr>
      <w:tr w14:paraId="2DC4C1AA">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AA1DE4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Equity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8D60E5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F</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048A09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313,301.00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965C73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275,949.00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B75D8A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268,406.00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16C7F0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178,920.00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64DCCAC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153,105.00</w:t>
            </w:r>
          </w:p>
        </w:tc>
      </w:tr>
      <w:tr w14:paraId="2465CEFB">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E0F946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Net Margin</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1EDA3E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792D31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6.28%</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D2976B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0.88%</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380DC3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0.07%</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33702C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-23.36%</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049249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-6.09%</w:t>
            </w:r>
          </w:p>
        </w:tc>
      </w:tr>
      <w:tr w14:paraId="267159FB">
        <w:trPr>
          <w:trHeight w:val="555"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69A27E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Return on Capital Employed (ROCE)</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0A7EB1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B/(D-E)</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4AC4F5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11.27%</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690C53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7.92%</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82A423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5.06%</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3D245A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-43.81%</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DE8679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-9.27%</w:t>
            </w:r>
          </w:p>
        </w:tc>
      </w:tr>
      <w:tr w14:paraId="1606A534">
        <w:trPr>
          <w:trHeight w:val="300" w:hRule="atLeast"/>
        </w:trPr>
        <w:tc>
          <w:tcPr>
            <w:tcW w:w="1747"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525B565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Return on Equity (ROE)</w:t>
            </w:r>
          </w:p>
        </w:tc>
        <w:tc>
          <w:tcPr>
            <w:tcW w:w="860"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385080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C/F</w:t>
            </w:r>
          </w:p>
        </w:tc>
        <w:tc>
          <w:tcPr>
            <w:tcW w:w="1390"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3F8FB45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12.31%</w:t>
            </w:r>
          </w:p>
        </w:tc>
        <w:tc>
          <w:tcPr>
            <w:tcW w:w="1297"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67E4AF9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1.92%</w:t>
            </w:r>
          </w:p>
        </w:tc>
        <w:tc>
          <w:tcPr>
            <w:tcW w:w="1344"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06B5F48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0.15%</w:t>
            </w:r>
          </w:p>
        </w:tc>
        <w:tc>
          <w:tcPr>
            <w:tcW w:w="1391"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503B25A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-54.91%</w:t>
            </w:r>
          </w:p>
        </w:tc>
        <w:tc>
          <w:tcPr>
            <w:tcW w:w="1331"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0287866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-15.69%</w:t>
            </w:r>
          </w:p>
        </w:tc>
      </w:tr>
    </w:tbl>
    <w:p w14:paraId="2FEE8288">
      <w:pPr>
        <w:spacing w:line="360" w:lineRule="auto"/>
        <w:jc w:val="both"/>
        <w:rPr>
          <w:rFonts w:hint="default" w:ascii="Arial Regular" w:hAnsi="Arial Regular" w:cs="Arial Regular"/>
          <w:b w:val="0"/>
          <w:bCs w:val="0"/>
          <w:sz w:val="24"/>
          <w:szCs w:val="24"/>
          <w:lang w:val="de-DE"/>
        </w:rPr>
      </w:pPr>
    </w:p>
    <w:p w14:paraId="51BE4822">
      <w:pPr>
        <w:spacing w:line="360" w:lineRule="auto"/>
        <w:jc w:val="both"/>
        <w:rPr>
          <w:rFonts w:hint="default" w:ascii="Arial Regular" w:hAnsi="Arial Regular" w:cs="Arial Regular"/>
          <w:b w:val="0"/>
          <w:bCs w:val="0"/>
          <w:sz w:val="24"/>
          <w:szCs w:val="24"/>
          <w:lang w:val="de-DE"/>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747"/>
        <w:gridCol w:w="860"/>
        <w:gridCol w:w="1406"/>
        <w:gridCol w:w="1297"/>
        <w:gridCol w:w="1312"/>
        <w:gridCol w:w="1360"/>
        <w:gridCol w:w="1378"/>
      </w:tblGrid>
      <w:tr w14:paraId="144C5876">
        <w:trPr>
          <w:trHeight w:val="300" w:hRule="atLeast"/>
        </w:trPr>
        <w:tc>
          <w:tcPr>
            <w:tcW w:w="9360" w:type="dxa"/>
            <w:gridSpan w:val="7"/>
            <w:tcBorders>
              <w:top w:val="single" w:color="auto" w:sz="4" w:space="0"/>
              <w:left w:val="single" w:color="auto" w:sz="4" w:space="0"/>
              <w:bottom w:val="single" w:color="000000" w:sz="6" w:space="0"/>
              <w:right w:val="single" w:color="auto" w:sz="4" w:space="0"/>
            </w:tcBorders>
            <w:shd w:val="clear" w:color="auto" w:fill="auto"/>
            <w:tcMar>
              <w:top w:w="0" w:type="dxa"/>
              <w:left w:w="40" w:type="dxa"/>
              <w:bottom w:w="0" w:type="dxa"/>
              <w:right w:w="40" w:type="dxa"/>
            </w:tcMar>
            <w:vAlign w:val="center"/>
          </w:tcPr>
          <w:p w14:paraId="5315E6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Liquidity Ratios</w:t>
            </w:r>
          </w:p>
        </w:tc>
      </w:tr>
      <w:tr w14:paraId="11AA53EE">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634B9C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6A4717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62DFF2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3E7CD9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E0A8C6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CD05A5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079545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7E7BC3B0">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F78E4D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Current Assets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AD68D4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BA11E0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326,843.00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8AFAAB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337,146.00</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B2466A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338,040.00</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89DC70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258,851.00</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DF062E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242,494.00</w:t>
            </w:r>
          </w:p>
        </w:tc>
      </w:tr>
      <w:tr w14:paraId="086551A2">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7AA1B72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Inventories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1C4EB0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CF022A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120,430.00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CF517C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134,469.00</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05F0E1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140,181.00</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3E5A66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88,273.00</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9EE6E2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79,355.00</w:t>
            </w:r>
          </w:p>
        </w:tc>
      </w:tr>
      <w:tr w14:paraId="15BF44BC">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59872F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Current Liabilities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5A1809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49B613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179,510.00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0948A4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216,787.00</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39AECC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216,473.00</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ECD8B8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161,148.00</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6FBB809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158,291.00</w:t>
            </w:r>
          </w:p>
        </w:tc>
      </w:tr>
      <w:tr w14:paraId="557BE61F">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3D0C98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Cash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E67777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C913B0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57,153.00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9F876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60,813.00</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6A9F1C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66,740.00</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8C9DF7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42,751.00</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B96476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26,783.00</w:t>
            </w:r>
          </w:p>
        </w:tc>
      </w:tr>
      <w:tr w14:paraId="78135939">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CB5383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Current Ratio</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CE8186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A/C</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1119A8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1.82</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82A486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1.56</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685D8D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1.56</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3C8B6A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1.61</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0C5229D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1.53</w:t>
            </w:r>
          </w:p>
        </w:tc>
      </w:tr>
      <w:tr w14:paraId="4FFD527C">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8AC48C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Quick Ratio</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639415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(A-B)/C</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A44B3F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1.15</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04E878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0.93</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3DC3AF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0.91</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D780F2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1.06</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3CD0DD5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1.03</w:t>
            </w:r>
          </w:p>
        </w:tc>
      </w:tr>
      <w:tr w14:paraId="48512E33">
        <w:trPr>
          <w:trHeight w:val="300" w:hRule="atLeast"/>
        </w:trPr>
        <w:tc>
          <w:tcPr>
            <w:tcW w:w="1747"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4385F41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Cash Ratio</w:t>
            </w:r>
          </w:p>
        </w:tc>
        <w:tc>
          <w:tcPr>
            <w:tcW w:w="860"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4E2C5CB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D/C</w:t>
            </w:r>
          </w:p>
        </w:tc>
        <w:tc>
          <w:tcPr>
            <w:tcW w:w="1406"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56B891E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0.32</w:t>
            </w:r>
          </w:p>
        </w:tc>
        <w:tc>
          <w:tcPr>
            <w:tcW w:w="1297"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304B384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0.28</w:t>
            </w:r>
          </w:p>
        </w:tc>
        <w:tc>
          <w:tcPr>
            <w:tcW w:w="1312"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B62A52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0.31</w:t>
            </w:r>
          </w:p>
        </w:tc>
        <w:tc>
          <w:tcPr>
            <w:tcW w:w="1360"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66E2CD9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0.27</w:t>
            </w:r>
          </w:p>
        </w:tc>
        <w:tc>
          <w:tcPr>
            <w:tcW w:w="1378"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39A1638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0.17</w:t>
            </w:r>
          </w:p>
        </w:tc>
      </w:tr>
    </w:tbl>
    <w:p w14:paraId="6F67B7C4">
      <w:pPr>
        <w:spacing w:line="360" w:lineRule="auto"/>
        <w:jc w:val="both"/>
        <w:rPr>
          <w:rFonts w:hint="default" w:ascii="Arial Regular" w:hAnsi="Arial Regular" w:cs="Arial Regular"/>
          <w:b w:val="0"/>
          <w:bCs w:val="0"/>
          <w:sz w:val="24"/>
          <w:szCs w:val="24"/>
        </w:rPr>
      </w:pPr>
    </w:p>
    <w:p w14:paraId="3FA05BF0">
      <w:pPr>
        <w:spacing w:line="360" w:lineRule="auto"/>
        <w:jc w:val="both"/>
        <w:rPr>
          <w:rFonts w:hint="default" w:ascii="Arial Regular" w:hAnsi="Arial Regular" w:cs="Arial Regular"/>
          <w:b w:val="0"/>
          <w:bCs w:val="0"/>
          <w:sz w:val="24"/>
          <w:szCs w:val="24"/>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763"/>
        <w:gridCol w:w="828"/>
        <w:gridCol w:w="1297"/>
        <w:gridCol w:w="1359"/>
        <w:gridCol w:w="1422"/>
        <w:gridCol w:w="1328"/>
        <w:gridCol w:w="1363"/>
      </w:tblGrid>
      <w:tr w14:paraId="5AC19434">
        <w:trPr>
          <w:trHeight w:val="300" w:hRule="atLeast"/>
        </w:trPr>
        <w:tc>
          <w:tcPr>
            <w:tcW w:w="9360" w:type="dxa"/>
            <w:gridSpan w:val="7"/>
            <w:tcBorders>
              <w:top w:val="single" w:color="auto" w:sz="4" w:space="0"/>
              <w:left w:val="single" w:color="auto" w:sz="4" w:space="0"/>
              <w:bottom w:val="single" w:color="000000" w:sz="6" w:space="0"/>
              <w:right w:val="single" w:color="auto" w:sz="4" w:space="0"/>
            </w:tcBorders>
            <w:shd w:val="clear" w:color="auto" w:fill="auto"/>
            <w:tcMar>
              <w:top w:w="0" w:type="dxa"/>
              <w:left w:w="40" w:type="dxa"/>
              <w:bottom w:w="0" w:type="dxa"/>
              <w:right w:w="40" w:type="dxa"/>
            </w:tcMar>
            <w:vAlign w:val="center"/>
          </w:tcPr>
          <w:p w14:paraId="362BB4C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Gearing Ratios</w:t>
            </w:r>
          </w:p>
        </w:tc>
      </w:tr>
      <w:tr w14:paraId="16EAB653">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7625CA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D27686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40332C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188799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22A20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30D9EC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62C552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66A889E2">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82FABD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Total Liabilities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715772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55BCC3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196,989.00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407F44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234,399.00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2B38E4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235,757.00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4364B8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176,952.00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C52388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170,249.00</w:t>
            </w:r>
          </w:p>
        </w:tc>
      </w:tr>
      <w:tr w14:paraId="6EC7920C">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5795216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Total Equity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D87E37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F51C54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313,301.00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D965E7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275,949.00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518E44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268,406.00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164DB1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178,920.00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98AC35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153,105.00</w:t>
            </w:r>
          </w:p>
        </w:tc>
      </w:tr>
      <w:tr w14:paraId="36B02C1C">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50422F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Operating Profit/(Loss)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F21495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22D62C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37,267.00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561CE1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23,253.00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018416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14,548.00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773722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(85,301.00)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CAEB21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(15,297.00)</w:t>
            </w:r>
          </w:p>
        </w:tc>
      </w:tr>
      <w:tr w14:paraId="766D5CFB">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0BC213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Interest Expense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CFF3E7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49CD93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1,422.00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F0DB60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566.00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DC1CAB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2,200.00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47019B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4,332.00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30A4021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3,361.00</w:t>
            </w:r>
          </w:p>
        </w:tc>
      </w:tr>
      <w:tr w14:paraId="42A42E72">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5D63899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Shareholders capital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254702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C31E7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313,301.00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AB0656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275,949.00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1ECF0D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268,406.00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563B2C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178,920.00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B6F0F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153,105.00</w:t>
            </w:r>
          </w:p>
        </w:tc>
      </w:tr>
      <w:tr w14:paraId="0AEF1760">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05857C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Total Debt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51418D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F</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8F9C39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295,495.00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39A4EA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355,159.00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A12A9B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368,194.00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D289AF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369,973.00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EEFB40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371,930.00</w:t>
            </w:r>
          </w:p>
        </w:tc>
      </w:tr>
      <w:tr w14:paraId="75EC64DE">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BE3BB6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Debt/Equity Ratio</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9DDF6C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A/B</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44D126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0.63</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AC359D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0.85</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4B3E75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0.88</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8D31FC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0.99</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2513C6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1.11</w:t>
            </w:r>
          </w:p>
        </w:tc>
      </w:tr>
      <w:tr w14:paraId="12F4B95D">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91D918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Interest Coverage Ratio</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93AF0D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C/D</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723FD7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26.21</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DA0AA9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41.08</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D89D4A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6.61</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34FF1E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(19.69)</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811664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(4.55)</w:t>
            </w:r>
          </w:p>
        </w:tc>
      </w:tr>
      <w:tr w14:paraId="6256ECE7">
        <w:trPr>
          <w:trHeight w:val="315" w:hRule="atLeast"/>
        </w:trPr>
        <w:tc>
          <w:tcPr>
            <w:tcW w:w="1763"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1356B4C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Debt/Capital Ratio</w:t>
            </w:r>
          </w:p>
        </w:tc>
        <w:tc>
          <w:tcPr>
            <w:tcW w:w="828"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2415003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F/(F+E)</w:t>
            </w:r>
          </w:p>
        </w:tc>
        <w:tc>
          <w:tcPr>
            <w:tcW w:w="1297"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6CBDAAE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0.49</w:t>
            </w:r>
          </w:p>
        </w:tc>
        <w:tc>
          <w:tcPr>
            <w:tcW w:w="1359"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289863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0.56</w:t>
            </w:r>
          </w:p>
        </w:tc>
        <w:tc>
          <w:tcPr>
            <w:tcW w:w="1422"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030A751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0.58</w:t>
            </w:r>
          </w:p>
        </w:tc>
        <w:tc>
          <w:tcPr>
            <w:tcW w:w="1328"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4703CD1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0.67</w:t>
            </w:r>
          </w:p>
        </w:tc>
        <w:tc>
          <w:tcPr>
            <w:tcW w:w="1363"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111334B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0.71</w:t>
            </w:r>
          </w:p>
        </w:tc>
      </w:tr>
    </w:tbl>
    <w:p w14:paraId="4222285C">
      <w:pPr>
        <w:spacing w:line="360" w:lineRule="auto"/>
        <w:jc w:val="both"/>
        <w:rPr>
          <w:rFonts w:hint="default" w:ascii="Arial Regular" w:hAnsi="Arial Regular" w:cs="Arial Regular"/>
          <w:b w:val="0"/>
          <w:bCs w:val="0"/>
          <w:sz w:val="24"/>
          <w:szCs w:val="24"/>
        </w:rPr>
      </w:pPr>
    </w:p>
    <w:p w14:paraId="17C48DA0">
      <w:pPr>
        <w:spacing w:line="360" w:lineRule="auto"/>
        <w:jc w:val="both"/>
        <w:rPr>
          <w:rFonts w:hint="default" w:ascii="Arial Regular" w:hAnsi="Arial Regular" w:cs="Arial Regular"/>
          <w:b w:val="0"/>
          <w:bCs w:val="0"/>
          <w:sz w:val="24"/>
          <w:szCs w:val="24"/>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700"/>
        <w:gridCol w:w="829"/>
        <w:gridCol w:w="1406"/>
        <w:gridCol w:w="1297"/>
        <w:gridCol w:w="1390"/>
        <w:gridCol w:w="1344"/>
        <w:gridCol w:w="1394"/>
      </w:tblGrid>
      <w:tr w14:paraId="32A14FF4">
        <w:trPr>
          <w:trHeight w:val="315" w:hRule="atLeast"/>
        </w:trPr>
        <w:tc>
          <w:tcPr>
            <w:tcW w:w="9360" w:type="dxa"/>
            <w:gridSpan w:val="7"/>
            <w:tcBorders>
              <w:top w:val="single" w:color="auto" w:sz="4" w:space="0"/>
              <w:left w:val="single" w:color="auto" w:sz="4" w:space="0"/>
              <w:bottom w:val="single" w:color="000000" w:sz="6" w:space="0"/>
              <w:right w:val="single" w:color="auto" w:sz="4" w:space="0"/>
            </w:tcBorders>
            <w:shd w:val="clear" w:color="auto" w:fill="auto"/>
            <w:tcMar>
              <w:top w:w="0" w:type="dxa"/>
              <w:left w:w="40" w:type="dxa"/>
              <w:bottom w:w="0" w:type="dxa"/>
              <w:right w:w="40" w:type="dxa"/>
            </w:tcMar>
            <w:vAlign w:val="center"/>
          </w:tcPr>
          <w:p w14:paraId="63B8F26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Efficiency Ratios</w:t>
            </w:r>
          </w:p>
        </w:tc>
      </w:tr>
      <w:tr w14:paraId="0D8ACE73">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AACB12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14BDC7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B27633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28A203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0D29BB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DA7C2E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44FC7E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76FEB4BD">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4B4D87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Revenue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203073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376625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614,680.00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53DAC5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601,602.00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14B511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542,751.00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F8DDC1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420,457.00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29CA3B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394,879.00</w:t>
            </w:r>
          </w:p>
        </w:tc>
      </w:tr>
      <w:tr w14:paraId="04AEA04D">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7F89A4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Cost of Sales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E7C8AD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8C8F2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438,474.00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135E57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428,586.00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EA2BF0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390,459.00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C2B76F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322,897.00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225CF5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280,885.00</w:t>
            </w:r>
          </w:p>
        </w:tc>
      </w:tr>
      <w:tr w14:paraId="0DEF49FE">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7D503D6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Opening Inventories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2D2FF9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7E508D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28,295.00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98D08E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14,985.00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A9AFB0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9,913.00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403A87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51,458.00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7D81D1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6,239.00</w:t>
            </w:r>
          </w:p>
        </w:tc>
      </w:tr>
      <w:tr w14:paraId="49FAF4CE">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BAC15E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Closing Inventories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E67C39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37F38A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120,430.00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B09978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134,469.00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0A4CE8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140,181.00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5B178B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88,273.00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42932F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79,355.00</w:t>
            </w:r>
          </w:p>
        </w:tc>
      </w:tr>
      <w:tr w14:paraId="03F5E1C8">
        <w:trPr>
          <w:trHeight w:val="55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D4DF6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Average Inventories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A572FC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E=(C+D)/2</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1FB73C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74,362.50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966D08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74,727.00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38B2C4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75,047.00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6B08CA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69,865.50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7C623C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42,797.00</w:t>
            </w:r>
          </w:p>
        </w:tc>
      </w:tr>
      <w:tr w14:paraId="363ABCE2">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52CB804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Opening Receivables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737799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F</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7E02AE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129,433.00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A2FDEF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129,215.00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ACAC6C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112,346.00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1993A0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112,596.00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4E2CAB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114,182.00</w:t>
            </w:r>
          </w:p>
        </w:tc>
      </w:tr>
      <w:tr w14:paraId="5BE7CD49">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988F97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Closing Receivables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43DA93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G=(F-L)</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A0B59B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144,317.00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465F47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131,222.00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18175C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125,111.00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CB0ECE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117,636.00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66D7135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102,008.00</w:t>
            </w:r>
          </w:p>
        </w:tc>
      </w:tr>
      <w:tr w14:paraId="137CC7BF">
        <w:trPr>
          <w:trHeight w:val="55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C39756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Average Receivables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077B4D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H=(F+G)/2</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2C3D5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136,875.00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BB2726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130,218.50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401A3E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118,728.50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F51D35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115,116.00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7180F8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108,095.00</w:t>
            </w:r>
          </w:p>
        </w:tc>
      </w:tr>
      <w:tr w14:paraId="48F639C7">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3EDBAD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Opening Payables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470CAD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I</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99A32D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83,229.00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A8F45A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92,707.00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8B9CB2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71,373.00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D66C76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57,033.00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1CEDCA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72,031.00</w:t>
            </w:r>
          </w:p>
        </w:tc>
      </w:tr>
      <w:tr w14:paraId="433F0F98">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3E92C4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Closing Payables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649DFA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J=(I-M)</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E3BC3D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49,686.00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BFA5D3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93,577.00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8AA486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42,703.00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EDF972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35,654.00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64F9168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87,764.00</w:t>
            </w:r>
          </w:p>
        </w:tc>
      </w:tr>
      <w:tr w14:paraId="4F8E9C4C">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BC6361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Average Payables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887890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K=(I+J)/2</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4729B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66,457.50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A30245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93,142.00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5677FB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57,038.00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3B29B1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46,343.50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01D2DD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79,897.50</w:t>
            </w:r>
          </w:p>
        </w:tc>
      </w:tr>
      <w:tr w14:paraId="6223CFD8">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84A39B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Receivable and Adjusted contracts</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3E22F1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L</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C5C18D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14,884</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6830A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2,007</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036C79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12,765</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21CDF9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5,040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0A68EE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(12,174)</w:t>
            </w:r>
          </w:p>
        </w:tc>
      </w:tr>
      <w:tr w14:paraId="12D16B18">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E155A6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Payables and Accured Liabilities</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DCA1F8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M</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778AD7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(33,543)</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68FD46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870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0B77A9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(28,670)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54BF96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(21,379)</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E907CB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15,733</w:t>
            </w:r>
          </w:p>
        </w:tc>
      </w:tr>
      <w:tr w14:paraId="5BE01A65">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8894E1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Inventory Turnover Days</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49B302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365/(B/E)</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3B0262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62</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89F922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64</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2B07A6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2EDE54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D09F77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56</w:t>
            </w:r>
          </w:p>
        </w:tc>
      </w:tr>
      <w:tr w14:paraId="364904F1">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DE8CED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Receivables Turnover Days</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4AC15D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365/(A/H)</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A0D093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81</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D211CF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A347A9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36A6B4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AE177F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100</w:t>
            </w:r>
          </w:p>
        </w:tc>
      </w:tr>
      <w:tr w14:paraId="1834CD56">
        <w:trPr>
          <w:trHeight w:val="315" w:hRule="atLeast"/>
        </w:trPr>
        <w:tc>
          <w:tcPr>
            <w:tcW w:w="1700"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484201C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Payables Turnover Days</w:t>
            </w:r>
          </w:p>
        </w:tc>
        <w:tc>
          <w:tcPr>
            <w:tcW w:w="829"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1EB4723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365/(B/K)</w:t>
            </w:r>
          </w:p>
        </w:tc>
        <w:tc>
          <w:tcPr>
            <w:tcW w:w="1406"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5AD9DE1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55</w:t>
            </w:r>
          </w:p>
        </w:tc>
        <w:tc>
          <w:tcPr>
            <w:tcW w:w="1297"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19F0B6E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w:t>
            </w:r>
          </w:p>
        </w:tc>
        <w:tc>
          <w:tcPr>
            <w:tcW w:w="1390"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1AC7D83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53</w:t>
            </w:r>
          </w:p>
        </w:tc>
        <w:tc>
          <w:tcPr>
            <w:tcW w:w="1344"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319D178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52</w:t>
            </w:r>
          </w:p>
        </w:tc>
        <w:tc>
          <w:tcPr>
            <w:tcW w:w="1394"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624A4DE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104</w:t>
            </w:r>
          </w:p>
        </w:tc>
      </w:tr>
    </w:tbl>
    <w:p w14:paraId="2664C3A2">
      <w:pPr>
        <w:spacing w:line="360" w:lineRule="auto"/>
        <w:jc w:val="both"/>
        <w:rPr>
          <w:rFonts w:hint="default" w:ascii="Arial Regular" w:hAnsi="Arial Regular" w:cs="Arial Regular"/>
          <w:b w:val="0"/>
          <w:bCs w:val="0"/>
          <w:sz w:val="24"/>
          <w:szCs w:val="24"/>
        </w:rPr>
      </w:pPr>
    </w:p>
    <w:p w14:paraId="6F00527C">
      <w:pPr>
        <w:spacing w:line="360" w:lineRule="auto"/>
        <w:jc w:val="both"/>
        <w:rPr>
          <w:rFonts w:hint="default" w:ascii="Arial Regular" w:hAnsi="Arial Regular" w:cs="Arial Regular"/>
          <w:b w:val="0"/>
          <w:bCs w:val="0"/>
          <w:sz w:val="24"/>
          <w:szCs w:val="24"/>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879"/>
        <w:gridCol w:w="1087"/>
        <w:gridCol w:w="1234"/>
        <w:gridCol w:w="1204"/>
        <w:gridCol w:w="1203"/>
        <w:gridCol w:w="1343"/>
        <w:gridCol w:w="1410"/>
      </w:tblGrid>
      <w:tr w14:paraId="4AE57B74">
        <w:trPr>
          <w:trHeight w:val="315" w:hRule="atLeast"/>
        </w:trPr>
        <w:tc>
          <w:tcPr>
            <w:tcW w:w="9360" w:type="dxa"/>
            <w:gridSpan w:val="7"/>
            <w:tcBorders>
              <w:top w:val="single" w:color="auto" w:sz="4" w:space="0"/>
              <w:left w:val="single" w:color="auto" w:sz="4" w:space="0"/>
              <w:bottom w:val="single" w:color="000000" w:sz="6" w:space="0"/>
              <w:right w:val="single" w:color="auto" w:sz="4" w:space="0"/>
            </w:tcBorders>
            <w:shd w:val="clear" w:color="auto" w:fill="auto"/>
            <w:tcMar>
              <w:top w:w="0" w:type="dxa"/>
              <w:left w:w="40" w:type="dxa"/>
              <w:bottom w:w="0" w:type="dxa"/>
              <w:right w:w="40" w:type="dxa"/>
            </w:tcMar>
            <w:vAlign w:val="center"/>
          </w:tcPr>
          <w:p w14:paraId="595A67E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Market Ratios</w:t>
            </w:r>
          </w:p>
        </w:tc>
      </w:tr>
      <w:tr w14:paraId="19874C2B">
        <w:trPr>
          <w:trHeight w:val="315" w:hRule="atLeast"/>
        </w:trPr>
        <w:tc>
          <w:tcPr>
            <w:tcW w:w="187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08F0C5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108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6B6F37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23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1B14C0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20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BB4FCC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20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CE175B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4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953B56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410"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429A8D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1A221A11">
        <w:trPr>
          <w:trHeight w:val="315" w:hRule="atLeast"/>
        </w:trPr>
        <w:tc>
          <w:tcPr>
            <w:tcW w:w="187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5F971D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No Of Share</w:t>
            </w:r>
          </w:p>
        </w:tc>
        <w:tc>
          <w:tcPr>
            <w:tcW w:w="108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7E421C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23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C98E07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13,893.00</w:t>
            </w:r>
          </w:p>
        </w:tc>
        <w:tc>
          <w:tcPr>
            <w:tcW w:w="120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64B300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13,465.00</w:t>
            </w:r>
          </w:p>
        </w:tc>
        <w:tc>
          <w:tcPr>
            <w:tcW w:w="120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59B956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12,703.00</w:t>
            </w:r>
          </w:p>
        </w:tc>
        <w:tc>
          <w:tcPr>
            <w:tcW w:w="134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66ECE9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12,855.00</w:t>
            </w:r>
          </w:p>
        </w:tc>
        <w:tc>
          <w:tcPr>
            <w:tcW w:w="1410"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0FFF1A0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12,959.00</w:t>
            </w:r>
          </w:p>
        </w:tc>
      </w:tr>
      <w:tr w14:paraId="624ED552">
        <w:trPr>
          <w:trHeight w:val="315" w:hRule="atLeast"/>
        </w:trPr>
        <w:tc>
          <w:tcPr>
            <w:tcW w:w="187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0D5805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Net Income</w:t>
            </w:r>
          </w:p>
        </w:tc>
        <w:tc>
          <w:tcPr>
            <w:tcW w:w="108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4CD262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23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DCCB7A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38,572.00</w:t>
            </w:r>
          </w:p>
        </w:tc>
        <w:tc>
          <w:tcPr>
            <w:tcW w:w="120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F2FAE9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5,301.00</w:t>
            </w:r>
          </w:p>
        </w:tc>
        <w:tc>
          <w:tcPr>
            <w:tcW w:w="120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04C9CC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407.00</w:t>
            </w:r>
          </w:p>
        </w:tc>
        <w:tc>
          <w:tcPr>
            <w:tcW w:w="134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51A2CC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(98,238.00)</w:t>
            </w:r>
          </w:p>
        </w:tc>
        <w:tc>
          <w:tcPr>
            <w:tcW w:w="1410"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9752EC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(24,029.00)</w:t>
            </w:r>
          </w:p>
        </w:tc>
      </w:tr>
      <w:tr w14:paraId="3D57A8A4">
        <w:trPr>
          <w:trHeight w:val="315" w:hRule="atLeast"/>
        </w:trPr>
        <w:tc>
          <w:tcPr>
            <w:tcW w:w="1879"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28F1D12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Earning Per Share</w:t>
            </w:r>
          </w:p>
        </w:tc>
        <w:tc>
          <w:tcPr>
            <w:tcW w:w="1087"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2DA8A49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B/A</w:t>
            </w:r>
          </w:p>
        </w:tc>
        <w:tc>
          <w:tcPr>
            <w:tcW w:w="1234"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1D97B98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2.78</w:t>
            </w:r>
          </w:p>
        </w:tc>
        <w:tc>
          <w:tcPr>
            <w:tcW w:w="1204"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1647679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0.39</w:t>
            </w:r>
          </w:p>
        </w:tc>
        <w:tc>
          <w:tcPr>
            <w:tcW w:w="1203"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2404A32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0.03</w:t>
            </w:r>
          </w:p>
        </w:tc>
        <w:tc>
          <w:tcPr>
            <w:tcW w:w="1343"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95AFE3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(7.64)</w:t>
            </w:r>
          </w:p>
        </w:tc>
        <w:tc>
          <w:tcPr>
            <w:tcW w:w="1410"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64C73EF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(1.85)</w:t>
            </w:r>
          </w:p>
        </w:tc>
      </w:tr>
    </w:tbl>
    <w:p w14:paraId="55D2180A">
      <w:pPr>
        <w:spacing w:line="360" w:lineRule="auto"/>
        <w:jc w:val="both"/>
        <w:rPr>
          <w:rFonts w:hint="default" w:ascii="Arial Regular" w:hAnsi="Arial Regular" w:cs="Arial Regular"/>
          <w:b w:val="0"/>
          <w:bCs w:val="0"/>
          <w:sz w:val="24"/>
          <w:szCs w:val="24"/>
        </w:rPr>
      </w:pPr>
    </w:p>
    <w:p w14:paraId="4A5B3D7F">
      <w:pPr>
        <w:spacing w:line="360" w:lineRule="auto"/>
        <w:jc w:val="both"/>
        <w:rPr>
          <w:rFonts w:hint="default" w:ascii="Arial Regular" w:hAnsi="Arial Regular" w:cs="Arial Regular"/>
          <w:b w:val="0"/>
          <w:bCs w:val="0"/>
          <w:sz w:val="24"/>
          <w:szCs w:val="24"/>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669"/>
        <w:gridCol w:w="906"/>
        <w:gridCol w:w="1329"/>
        <w:gridCol w:w="1359"/>
        <w:gridCol w:w="1422"/>
        <w:gridCol w:w="1374"/>
        <w:gridCol w:w="1301"/>
      </w:tblGrid>
      <w:tr w14:paraId="51980475">
        <w:trPr>
          <w:trHeight w:val="315" w:hRule="atLeast"/>
        </w:trPr>
        <w:tc>
          <w:tcPr>
            <w:tcW w:w="9360" w:type="dxa"/>
            <w:gridSpan w:val="7"/>
            <w:tcBorders>
              <w:top w:val="single" w:color="auto" w:sz="4" w:space="0"/>
              <w:left w:val="single" w:color="auto" w:sz="4" w:space="0"/>
              <w:bottom w:val="single" w:color="000000" w:sz="6" w:space="0"/>
              <w:right w:val="single" w:color="auto" w:sz="4" w:space="0"/>
            </w:tcBorders>
            <w:shd w:val="clear" w:color="auto" w:fill="auto"/>
            <w:tcMar>
              <w:top w:w="0" w:type="dxa"/>
              <w:left w:w="40" w:type="dxa"/>
              <w:bottom w:w="0" w:type="dxa"/>
              <w:right w:w="40" w:type="dxa"/>
            </w:tcMar>
            <w:vAlign w:val="center"/>
          </w:tcPr>
          <w:p w14:paraId="05A2DB2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Cash Flow Ratios</w:t>
            </w:r>
          </w:p>
        </w:tc>
      </w:tr>
      <w:tr w14:paraId="7033C6F3">
        <w:trPr>
          <w:trHeight w:val="315" w:hRule="atLeast"/>
        </w:trPr>
        <w:tc>
          <w:tcPr>
            <w:tcW w:w="166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7E98059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9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D093B0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3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D7BDB3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08402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E9908A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7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AC6803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30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43908A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2AEDA90F">
        <w:trPr>
          <w:trHeight w:val="315" w:hRule="atLeast"/>
        </w:trPr>
        <w:tc>
          <w:tcPr>
            <w:tcW w:w="166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612B36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Cash Flow From Operation</w:t>
            </w:r>
          </w:p>
        </w:tc>
        <w:tc>
          <w:tcPr>
            <w:tcW w:w="9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E0F99D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3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43FC47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73,392.00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752047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40,283.00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ABFF09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10,926.00</w:t>
            </w:r>
          </w:p>
        </w:tc>
        <w:tc>
          <w:tcPr>
            <w:tcW w:w="137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939F19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25,190.00</w:t>
            </w:r>
          </w:p>
        </w:tc>
        <w:tc>
          <w:tcPr>
            <w:tcW w:w="130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C256CC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14,822.00</w:t>
            </w:r>
          </w:p>
        </w:tc>
      </w:tr>
      <w:tr w14:paraId="6E2F1F63">
        <w:trPr>
          <w:trHeight w:val="315" w:hRule="atLeast"/>
        </w:trPr>
        <w:tc>
          <w:tcPr>
            <w:tcW w:w="166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0FD7F3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Current Liabilities</w:t>
            </w:r>
          </w:p>
        </w:tc>
        <w:tc>
          <w:tcPr>
            <w:tcW w:w="9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96F555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3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5833AF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179,510.00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719205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216,787.00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A6F7F6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216,473.00</w:t>
            </w:r>
          </w:p>
        </w:tc>
        <w:tc>
          <w:tcPr>
            <w:tcW w:w="137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0DF57E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161,148.00</w:t>
            </w:r>
          </w:p>
        </w:tc>
        <w:tc>
          <w:tcPr>
            <w:tcW w:w="130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04BD109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158,291.00</w:t>
            </w:r>
          </w:p>
        </w:tc>
      </w:tr>
      <w:tr w14:paraId="73C293B3">
        <w:trPr>
          <w:trHeight w:val="315" w:hRule="atLeast"/>
        </w:trPr>
        <w:tc>
          <w:tcPr>
            <w:tcW w:w="166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7EDDCFE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Total Assets</w:t>
            </w:r>
          </w:p>
        </w:tc>
        <w:tc>
          <w:tcPr>
            <w:tcW w:w="9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6273F9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w:t>
            </w:r>
          </w:p>
        </w:tc>
        <w:tc>
          <w:tcPr>
            <w:tcW w:w="13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CFFD93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510,290.00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62D989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510,348.00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2D10E9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504,163.00</w:t>
            </w:r>
          </w:p>
        </w:tc>
        <w:tc>
          <w:tcPr>
            <w:tcW w:w="137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262B86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355,872.00</w:t>
            </w:r>
          </w:p>
        </w:tc>
        <w:tc>
          <w:tcPr>
            <w:tcW w:w="130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3A93F1A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323,354.00</w:t>
            </w:r>
          </w:p>
        </w:tc>
      </w:tr>
      <w:tr w14:paraId="68EC207F">
        <w:trPr>
          <w:trHeight w:val="315" w:hRule="atLeast"/>
        </w:trPr>
        <w:tc>
          <w:tcPr>
            <w:tcW w:w="166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9CAE28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Operating Cash Flow Ratio</w:t>
            </w:r>
          </w:p>
        </w:tc>
        <w:tc>
          <w:tcPr>
            <w:tcW w:w="9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D583DF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A/B</w:t>
            </w:r>
          </w:p>
        </w:tc>
        <w:tc>
          <w:tcPr>
            <w:tcW w:w="13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3B83BD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0.41</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D31425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0.19</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B8957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0.05</w:t>
            </w:r>
          </w:p>
        </w:tc>
        <w:tc>
          <w:tcPr>
            <w:tcW w:w="137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7301E6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0.16</w:t>
            </w:r>
          </w:p>
        </w:tc>
        <w:tc>
          <w:tcPr>
            <w:tcW w:w="130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320154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0.09</w:t>
            </w:r>
          </w:p>
        </w:tc>
      </w:tr>
      <w:tr w14:paraId="1A196CB4">
        <w:trPr>
          <w:trHeight w:val="315" w:hRule="atLeast"/>
        </w:trPr>
        <w:tc>
          <w:tcPr>
            <w:tcW w:w="1669"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306EE85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Cash Return On Assets</w:t>
            </w:r>
          </w:p>
        </w:tc>
        <w:tc>
          <w:tcPr>
            <w:tcW w:w="906"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532740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A/C</w:t>
            </w:r>
          </w:p>
        </w:tc>
        <w:tc>
          <w:tcPr>
            <w:tcW w:w="1329"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D6AB4C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0.14</w:t>
            </w:r>
          </w:p>
        </w:tc>
        <w:tc>
          <w:tcPr>
            <w:tcW w:w="1359"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4659E6A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0.08</w:t>
            </w:r>
          </w:p>
        </w:tc>
        <w:tc>
          <w:tcPr>
            <w:tcW w:w="1422"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604686E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0.02</w:t>
            </w:r>
          </w:p>
        </w:tc>
        <w:tc>
          <w:tcPr>
            <w:tcW w:w="1374"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35EAF08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0.07</w:t>
            </w:r>
          </w:p>
        </w:tc>
        <w:tc>
          <w:tcPr>
            <w:tcW w:w="1301"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25760F4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0.05</w:t>
            </w:r>
          </w:p>
        </w:tc>
      </w:tr>
    </w:tbl>
    <w:p w14:paraId="130A5FC9">
      <w:pPr>
        <w:spacing w:line="360" w:lineRule="auto"/>
        <w:jc w:val="both"/>
        <w:rPr>
          <w:rFonts w:hint="default" w:ascii="Arial Regular" w:hAnsi="Arial Regular" w:cs="Arial Regular"/>
          <w:b w:val="0"/>
          <w:bCs w:val="0"/>
          <w:sz w:val="24"/>
          <w:szCs w:val="24"/>
        </w:rPr>
      </w:pPr>
    </w:p>
    <w:p w14:paraId="25BAC032">
      <w:pPr>
        <w:spacing w:line="360" w:lineRule="auto"/>
        <w:jc w:val="both"/>
        <w:rPr>
          <w:rFonts w:hint="default" w:ascii="Arial Regular" w:hAnsi="Arial Regular" w:cs="Arial Regular"/>
          <w:b w:val="0"/>
          <w:bCs/>
          <w:i w:val="0"/>
          <w:iCs w:val="0"/>
          <w:sz w:val="24"/>
          <w:szCs w:val="24"/>
        </w:rPr>
      </w:pPr>
      <w:r>
        <w:rPr>
          <w:rFonts w:hint="default" w:ascii="Arial Regular" w:hAnsi="Arial Regular" w:cs="Arial Regular"/>
          <w:b w:val="0"/>
          <w:bCs/>
          <w:i w:val="0"/>
          <w:iCs w:val="0"/>
          <w:sz w:val="24"/>
          <w:szCs w:val="24"/>
        </w:rPr>
        <w:br w:type="page"/>
      </w:r>
    </w:p>
    <w:p w14:paraId="5F7252CC">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val="0"/>
          <w:sz w:val="24"/>
          <w:szCs w:val="24"/>
        </w:rPr>
        <w:t xml:space="preserve">Appendix </w:t>
      </w:r>
      <w:r>
        <w:rPr>
          <w:rFonts w:hint="default" w:ascii="Arial Regular" w:hAnsi="Arial Regular" w:cs="Arial Regular"/>
          <w:b w:val="0"/>
          <w:bCs/>
          <w:i w:val="0"/>
          <w:iCs w:val="0"/>
          <w:sz w:val="24"/>
          <w:szCs w:val="24"/>
          <w:lang w:val="de-DE"/>
        </w:rPr>
        <w:t>2</w:t>
      </w:r>
      <w:r>
        <w:rPr>
          <w:rFonts w:hint="default" w:ascii="Arial Regular" w:hAnsi="Arial Regular" w:cs="Arial Regular"/>
          <w:b w:val="0"/>
          <w:bCs/>
          <w:i w:val="0"/>
          <w:iCs w:val="0"/>
          <w:sz w:val="24"/>
          <w:szCs w:val="24"/>
        </w:rPr>
        <w:t xml:space="preserve">: </w:t>
      </w:r>
      <w:r>
        <w:rPr>
          <w:rFonts w:hint="default" w:ascii="Arial Regular" w:hAnsi="Arial Regular" w:cs="Arial Regular"/>
          <w:b w:val="0"/>
          <w:bCs/>
          <w:i w:val="0"/>
          <w:iCs w:val="0"/>
          <w:sz w:val="24"/>
          <w:szCs w:val="24"/>
          <w:lang w:val="de-DE"/>
        </w:rPr>
        <w:t xml:space="preserve">Figures </w:t>
      </w:r>
      <w:r>
        <w:rPr>
          <w:rFonts w:hint="default" w:ascii="Arial Regular" w:hAnsi="Arial Regular" w:cs="Arial Regular"/>
          <w:b w:val="0"/>
          <w:bCs/>
          <w:i w:val="0"/>
          <w:iCs/>
          <w:sz w:val="24"/>
          <w:szCs w:val="24"/>
        </w:rPr>
        <w:t xml:space="preserve">(Source: </w:t>
      </w:r>
      <w:r>
        <w:rPr>
          <w:rFonts w:hint="default" w:ascii="Arial Regular" w:hAnsi="Arial Regular" w:cs="Arial Regular"/>
          <w:b w:val="0"/>
          <w:bCs/>
          <w:i w:val="0"/>
          <w:iCs/>
          <w:sz w:val="24"/>
          <w:szCs w:val="24"/>
          <w:lang w:val="de-DE"/>
        </w:rPr>
        <w:t>S</w:t>
      </w:r>
      <w:r>
        <w:rPr>
          <w:rFonts w:hint="default" w:ascii="Arial Regular" w:hAnsi="Arial Regular" w:cs="Arial Regular"/>
          <w:b w:val="0"/>
          <w:bCs/>
          <w:i w:val="0"/>
          <w:iCs/>
          <w:sz w:val="24"/>
          <w:szCs w:val="24"/>
        </w:rPr>
        <w:t>elf</w:t>
      </w:r>
      <w:r>
        <w:rPr>
          <w:rFonts w:hint="default" w:ascii="Arial Regular" w:hAnsi="Arial Regular" w:cs="Arial Regular"/>
          <w:b w:val="0"/>
          <w:bCs/>
          <w:i w:val="0"/>
          <w:iCs/>
          <w:sz w:val="24"/>
          <w:szCs w:val="24"/>
          <w:lang w:val="de-DE"/>
        </w:rPr>
        <w:t xml:space="preserve"> d</w:t>
      </w:r>
      <w:r>
        <w:rPr>
          <w:rFonts w:hint="default" w:ascii="Arial Regular" w:hAnsi="Arial Regular" w:cs="Arial Regular"/>
          <w:b w:val="0"/>
          <w:bCs/>
          <w:i w:val="0"/>
          <w:iCs/>
          <w:sz w:val="24"/>
          <w:szCs w:val="24"/>
        </w:rPr>
        <w:t>eveloped)</w:t>
      </w:r>
    </w:p>
    <w:p w14:paraId="428BA9DA">
      <w:pPr>
        <w:pStyle w:val="3"/>
        <w:spacing w:line="360" w:lineRule="auto"/>
        <w:jc w:val="both"/>
        <w:rPr>
          <w:rFonts w:hint="default" w:ascii="Arial Regular" w:hAnsi="Arial Regular" w:cs="Arial Regular"/>
          <w:b w:val="0"/>
          <w:bCs/>
          <w:i w:val="0"/>
          <w:iCs w:val="0"/>
          <w:sz w:val="24"/>
          <w:szCs w:val="24"/>
          <w:lang w:val="de-DE"/>
        </w:rPr>
      </w:pPr>
    </w:p>
    <w:p w14:paraId="285A8234">
      <w:pPr>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lang w:val="de-DE"/>
        </w:rPr>
        <w:t xml:space="preserve">Figure 1: </w:t>
      </w:r>
      <w:r>
        <w:rPr>
          <w:rFonts w:hint="default" w:ascii="Arial Regular" w:hAnsi="Arial Regular" w:cs="Arial Regular"/>
          <w:b w:val="0"/>
          <w:sz w:val="24"/>
          <w:szCs w:val="24"/>
        </w:rPr>
        <w:t>Profitability ratio</w:t>
      </w:r>
    </w:p>
    <w:p w14:paraId="71400D94">
      <w:pPr>
        <w:spacing w:line="360" w:lineRule="auto"/>
        <w:jc w:val="both"/>
        <w:rPr>
          <w:rFonts w:hint="default" w:ascii="Arial Regular" w:hAnsi="Arial Regular" w:cs="Arial Regular"/>
          <w:b w:val="0"/>
          <w:bCs w:val="0"/>
          <w:sz w:val="24"/>
          <w:szCs w:val="24"/>
        </w:rPr>
      </w:pPr>
      <w:bookmarkStart w:id="331" w:name="_Toc1213960334"/>
      <w:r>
        <w:rPr>
          <w:rFonts w:hint="default" w:ascii="Arial Regular" w:hAnsi="Arial Regular" w:cs="Arial Regular"/>
          <w:b w:val="0"/>
          <w:bCs/>
          <w:i w:val="0"/>
          <w:iCs/>
          <w:sz w:val="24"/>
          <w:szCs w:val="24"/>
        </w:rPr>
        <w:drawing>
          <wp:inline distT="0" distB="0" distL="114300" distR="114300">
            <wp:extent cx="3123565" cy="2125345"/>
            <wp:effectExtent l="6350" t="6350" r="19685" b="27305"/>
            <wp:docPr id="100364356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bookmarkEnd w:id="331"/>
    </w:p>
    <w:p w14:paraId="6EF134E7">
      <w:pPr>
        <w:pStyle w:val="3"/>
        <w:spacing w:line="360" w:lineRule="auto"/>
        <w:jc w:val="both"/>
        <w:rPr>
          <w:rFonts w:hint="default" w:ascii="Arial Regular" w:hAnsi="Arial Regular" w:cs="Arial Regular"/>
          <w:b w:val="0"/>
          <w:bCs/>
          <w:i w:val="0"/>
          <w:iCs/>
          <w:sz w:val="24"/>
          <w:szCs w:val="24"/>
          <w:lang w:val="de-DE"/>
        </w:rPr>
      </w:pPr>
    </w:p>
    <w:p w14:paraId="27078C4D">
      <w:pPr>
        <w:pStyle w:val="3"/>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de-DE"/>
        </w:rPr>
        <w:t xml:space="preserve">Figure 2: </w:t>
      </w:r>
      <w:r>
        <w:rPr>
          <w:rFonts w:hint="default" w:ascii="Arial Regular" w:hAnsi="Arial Regular" w:cs="Arial Regular"/>
          <w:b w:val="0"/>
          <w:bCs/>
          <w:i w:val="0"/>
          <w:iCs/>
          <w:sz w:val="24"/>
          <w:szCs w:val="24"/>
        </w:rPr>
        <w:t>Liquidity Analysis</w:t>
      </w:r>
    </w:p>
    <w:p w14:paraId="0E5095C0">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drawing>
          <wp:inline distT="0" distB="0" distL="114300" distR="114300">
            <wp:extent cx="3053080" cy="1769110"/>
            <wp:effectExtent l="6350" t="6350" r="521970" b="383540"/>
            <wp:docPr id="15805021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48B9643">
      <w:pPr>
        <w:spacing w:line="360" w:lineRule="auto"/>
        <w:jc w:val="both"/>
        <w:rPr>
          <w:rFonts w:hint="default" w:ascii="Arial Regular" w:hAnsi="Arial Regular" w:cs="Arial Regular"/>
          <w:b w:val="0"/>
          <w:bCs/>
          <w:i w:val="0"/>
          <w:iCs/>
          <w:sz w:val="24"/>
          <w:szCs w:val="24"/>
        </w:rPr>
      </w:pPr>
    </w:p>
    <w:p w14:paraId="5BED18CE">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de-DE"/>
        </w:rPr>
        <w:t xml:space="preserve">Figure 3: </w:t>
      </w:r>
      <w:r>
        <w:rPr>
          <w:rFonts w:hint="default" w:ascii="Arial Regular" w:hAnsi="Arial Regular" w:cs="Arial Regular"/>
          <w:b w:val="0"/>
          <w:bCs/>
          <w:i w:val="0"/>
          <w:iCs/>
          <w:sz w:val="24"/>
          <w:szCs w:val="24"/>
        </w:rPr>
        <w:t>Efficiency Analysis</w:t>
      </w:r>
    </w:p>
    <w:p w14:paraId="752F697A">
      <w:pPr>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i w:val="0"/>
          <w:iCs/>
          <w:sz w:val="24"/>
          <w:szCs w:val="24"/>
        </w:rPr>
        <w:drawing>
          <wp:inline distT="0" distB="0" distL="114300" distR="114300">
            <wp:extent cx="3321685" cy="1825625"/>
            <wp:effectExtent l="6350" t="6350" r="24765" b="22225"/>
            <wp:docPr id="141102109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E446786">
      <w:pPr>
        <w:pStyle w:val="3"/>
        <w:spacing w:line="360" w:lineRule="auto"/>
        <w:jc w:val="both"/>
        <w:rPr>
          <w:rFonts w:hint="default" w:ascii="Arial Regular" w:hAnsi="Arial Regular" w:cs="Arial Regular"/>
          <w:b w:val="0"/>
          <w:bCs/>
          <w:i w:val="0"/>
          <w:iCs/>
          <w:sz w:val="24"/>
          <w:szCs w:val="24"/>
          <w:lang w:val="de-DE"/>
        </w:rPr>
      </w:pPr>
    </w:p>
    <w:p w14:paraId="0BFD4EEC">
      <w:pPr>
        <w:pStyle w:val="3"/>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de-DE"/>
        </w:rPr>
        <w:t xml:space="preserve">Figure 4: </w:t>
      </w:r>
      <w:r>
        <w:rPr>
          <w:rFonts w:hint="default" w:ascii="Arial Regular" w:hAnsi="Arial Regular" w:cs="Arial Regular"/>
          <w:b w:val="0"/>
          <w:bCs/>
          <w:i w:val="0"/>
          <w:iCs/>
          <w:sz w:val="24"/>
          <w:szCs w:val="24"/>
        </w:rPr>
        <w:t xml:space="preserve">Gearing (Solvency) </w:t>
      </w:r>
      <w:r>
        <w:rPr>
          <w:rFonts w:hint="default" w:ascii="Arial Regular" w:hAnsi="Arial Regular" w:cs="Arial Regular"/>
          <w:b w:val="0"/>
          <w:bCs/>
          <w:i w:val="0"/>
          <w:iCs/>
          <w:sz w:val="24"/>
          <w:szCs w:val="24"/>
          <w:lang w:val="de-DE"/>
        </w:rPr>
        <w:t>Ratio</w:t>
      </w:r>
    </w:p>
    <w:p w14:paraId="4D51027D">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drawing>
          <wp:inline distT="0" distB="0" distL="114300" distR="114300">
            <wp:extent cx="3418205" cy="1955165"/>
            <wp:effectExtent l="6350" t="6350" r="29845" b="19685"/>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F99C34D">
      <w:pPr>
        <w:keepNext w:val="0"/>
        <w:keepLines w:val="0"/>
        <w:widowControl/>
        <w:suppressLineNumbers w:val="0"/>
        <w:spacing w:line="360" w:lineRule="auto"/>
        <w:jc w:val="both"/>
        <w:rPr>
          <w:rFonts w:hint="default" w:ascii="Arial Regular" w:hAnsi="Arial Regular" w:eastAsia="SimSun" w:cs="Arial Regular"/>
          <w:b w:val="0"/>
          <w:bCs w:val="0"/>
          <w:kern w:val="0"/>
          <w:sz w:val="24"/>
          <w:szCs w:val="24"/>
          <w:lang w:val="de-DE" w:eastAsia="zh-CN" w:bidi="ar"/>
        </w:rPr>
      </w:pPr>
    </w:p>
    <w:p w14:paraId="21074AFA">
      <w:pPr>
        <w:keepNext w:val="0"/>
        <w:keepLines w:val="0"/>
        <w:widowControl/>
        <w:suppressLineNumbers w:val="0"/>
        <w:spacing w:line="360" w:lineRule="auto"/>
        <w:jc w:val="both"/>
        <w:rPr>
          <w:rFonts w:hint="default" w:ascii="Arial Regular" w:hAnsi="Arial Regular" w:eastAsia="SimSun" w:cs="Arial Regular"/>
          <w:b w:val="0"/>
          <w:bCs w:val="0"/>
          <w:kern w:val="0"/>
          <w:sz w:val="24"/>
          <w:szCs w:val="24"/>
          <w:lang w:val="de-DE" w:eastAsia="zh-CN" w:bidi="ar"/>
        </w:rPr>
      </w:pPr>
      <w:r>
        <w:rPr>
          <w:rFonts w:hint="default" w:ascii="Arial Regular" w:hAnsi="Arial Regular" w:eastAsia="SimSun" w:cs="Arial Regular"/>
          <w:b w:val="0"/>
          <w:bCs w:val="0"/>
          <w:kern w:val="0"/>
          <w:sz w:val="24"/>
          <w:szCs w:val="24"/>
          <w:lang w:val="de-DE" w:eastAsia="zh-CN" w:bidi="ar"/>
        </w:rPr>
        <w:t xml:space="preserve">Figure 5: Investment Ratio </w:t>
      </w:r>
    </w:p>
    <w:p w14:paraId="62F34518">
      <w:pPr>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drawing>
          <wp:inline distT="0" distB="0" distL="114300" distR="114300">
            <wp:extent cx="3448685" cy="2003425"/>
            <wp:effectExtent l="6350" t="6350" r="380365" b="377825"/>
            <wp:docPr id="131578888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2731C73">
      <w:pPr>
        <w:keepNext w:val="0"/>
        <w:keepLines w:val="0"/>
        <w:widowControl/>
        <w:suppressLineNumbers w:val="0"/>
        <w:spacing w:line="360" w:lineRule="auto"/>
        <w:jc w:val="both"/>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lang w:val="de-DE"/>
        </w:rPr>
        <w:t xml:space="preserve">Figure 6: Cash Flow Ratio </w:t>
      </w:r>
    </w:p>
    <w:p w14:paraId="3ED36388">
      <w:pPr>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drawing>
          <wp:inline distT="0" distB="0" distL="114300" distR="114300">
            <wp:extent cx="3430270" cy="1916430"/>
            <wp:effectExtent l="6350" t="6350" r="551180" b="464820"/>
            <wp:docPr id="152669780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5FDA70D">
      <w:pPr>
        <w:spacing w:line="360" w:lineRule="auto"/>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lang w:val="de-DE"/>
        </w:rPr>
        <w:br w:type="page"/>
      </w:r>
    </w:p>
    <w:p w14:paraId="29DF4596">
      <w:pPr>
        <w:keepNext w:val="0"/>
        <w:keepLines w:val="0"/>
        <w:widowControl/>
        <w:suppressLineNumbers w:val="0"/>
        <w:spacing w:line="360" w:lineRule="auto"/>
        <w:jc w:val="both"/>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lang w:val="de-DE"/>
        </w:rPr>
        <w:t>Figure 7: Altman Z-Score</w:t>
      </w:r>
    </w:p>
    <w:p w14:paraId="4D1FC85A">
      <w:pPr>
        <w:keepNext w:val="0"/>
        <w:keepLines w:val="0"/>
        <w:widowControl/>
        <w:suppressLineNumbers w:val="0"/>
        <w:spacing w:line="360" w:lineRule="auto"/>
        <w:jc w:val="both"/>
        <w:rPr>
          <w:rFonts w:hint="default" w:ascii="Arial Regular" w:hAnsi="Arial Regular" w:cs="Arial Regular"/>
          <w:b w:val="0"/>
          <w:bCs/>
          <w:i w:val="0"/>
          <w:iCs/>
          <w:sz w:val="24"/>
          <w:szCs w:val="24"/>
          <w:lang w:val="de-DE" w:eastAsia="zh-CN"/>
        </w:rPr>
      </w:pPr>
      <w:r>
        <w:rPr>
          <w:rFonts w:hint="default" w:ascii="Arial Regular" w:hAnsi="Arial Regular" w:cs="Arial Regular"/>
          <w:b w:val="0"/>
          <w:bCs/>
          <w:i w:val="0"/>
          <w:iCs/>
          <w:sz w:val="24"/>
          <w:szCs w:val="24"/>
        </w:rPr>
        <w:drawing>
          <wp:inline distT="0" distB="0" distL="114300" distR="114300">
            <wp:extent cx="3271520" cy="1843405"/>
            <wp:effectExtent l="6350" t="6350" r="24130" b="29845"/>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91C36C1">
      <w:pPr>
        <w:spacing w:line="360" w:lineRule="auto"/>
        <w:jc w:val="both"/>
        <w:rPr>
          <w:rFonts w:hint="default" w:ascii="Arial Regular" w:hAnsi="Arial Regular" w:cs="Arial Regular"/>
          <w:b w:val="0"/>
          <w:bCs w:val="0"/>
          <w:sz w:val="24"/>
          <w:szCs w:val="24"/>
        </w:rPr>
      </w:pPr>
    </w:p>
    <w:p w14:paraId="3014D86E">
      <w:pPr>
        <w:spacing w:line="360" w:lineRule="auto"/>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 xml:space="preserve">Figure 8: Liquidity Stress </w:t>
      </w:r>
    </w:p>
    <w:tbl>
      <w:tblPr>
        <w:tblStyle w:val="7"/>
        <w:tblpPr w:leftFromText="180" w:rightFromText="180" w:vertAnchor="text" w:horzAnchor="page" w:tblpX="1905" w:tblpY="227"/>
        <w:tblOverlap w:val="never"/>
        <w:tblW w:w="83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95"/>
        <w:gridCol w:w="1396"/>
        <w:gridCol w:w="1182"/>
        <w:gridCol w:w="1173"/>
        <w:gridCol w:w="2239"/>
        <w:gridCol w:w="1411"/>
      </w:tblGrid>
      <w:tr w14:paraId="60D4A13C">
        <w:trPr>
          <w:trHeight w:val="807"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2964A6F">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Year</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32D25F9">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Current Ratio (CR)</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3BD1D91">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Quick Ratio (QR)</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D5C91E5">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Cash Ratio (CaR)</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8B40B8F">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Calculation</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4AD7C72">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Weighted Score</w:t>
            </w:r>
          </w:p>
        </w:tc>
      </w:tr>
      <w:tr w14:paraId="76ED5F17">
        <w:trPr>
          <w:trHeight w:val="789"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91B9A15">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2024</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479B410">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1.53</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9E61747">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1.3</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CE9E84C">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0.17</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3FFF6E2">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(0.4×1.53)+(0.4×1.30)+(0.2×0.17)</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476609C9">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1.17</w:t>
            </w:r>
          </w:p>
        </w:tc>
      </w:tr>
      <w:tr w14:paraId="1DB73652">
        <w:trPr>
          <w:trHeight w:val="789"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B986EAB">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2023</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9BD6F1C">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1.61</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58D589D">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1.37</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E932649">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0.27</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C1AA143">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(0.4×1.61)+(0.4×1.37)+(0.2×0.27)</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E3BF5A0">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1.25</w:t>
            </w:r>
          </w:p>
        </w:tc>
      </w:tr>
      <w:tr w14:paraId="046269DC">
        <w:trPr>
          <w:trHeight w:val="789"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9E9CE17">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2022</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9407EF9">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1.56</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0591DB5">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1.33</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7050954">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0.31</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B27A030">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(0.4×1.56)+(0.4×1.33)+(0.2×0.31)</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6E774D7">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1.28</w:t>
            </w:r>
          </w:p>
        </w:tc>
      </w:tr>
      <w:tr w14:paraId="0C8B926C">
        <w:trPr>
          <w:trHeight w:val="789"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FC36568">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2021</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B7E19AE">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1.56</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223174E">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1.32</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E0C1BEE">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0.28</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C75949A">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(0.4×1.56)+(0.4×1.32)+(0.2×0.28)</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EFD068D">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1.27</w:t>
            </w:r>
          </w:p>
        </w:tc>
      </w:tr>
      <w:tr w14:paraId="1F87DA7E">
        <w:trPr>
          <w:trHeight w:val="799"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4B6CDA8F">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2020</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AA61BFD">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1.82</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711E24B">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1.55</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3D9B19F">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0.32</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30D57E2">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(0.4×1.82)+(0.4×1.55)+(0.2×0.32)</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E975B46">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1.41</w:t>
            </w:r>
          </w:p>
        </w:tc>
      </w:tr>
    </w:tbl>
    <w:p w14:paraId="0AB4E121">
      <w:pPr>
        <w:spacing w:line="360" w:lineRule="auto"/>
        <w:jc w:val="center"/>
        <w:rPr>
          <w:rFonts w:hint="default" w:ascii="Arial Regular" w:hAnsi="Arial Regular" w:cs="Arial Regular"/>
          <w:b w:val="0"/>
          <w:bCs w:val="0"/>
          <w:sz w:val="24"/>
          <w:szCs w:val="24"/>
          <w:lang w:val="de-DE"/>
        </w:rPr>
      </w:pPr>
    </w:p>
    <w:p w14:paraId="64B4C132">
      <w:pPr>
        <w:pStyle w:val="4"/>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val="0"/>
          <w:sz w:val="24"/>
          <w:szCs w:val="24"/>
          <w:lang w:val="de-DE"/>
        </w:rPr>
        <w:t xml:space="preserve">Figure 9: </w:t>
      </w:r>
      <w:r>
        <w:rPr>
          <w:rFonts w:hint="default" w:ascii="Arial Regular" w:hAnsi="Arial Regular" w:cs="Arial Regular"/>
          <w:b w:val="0"/>
          <w:bCs/>
          <w:i w:val="0"/>
          <w:iCs/>
          <w:sz w:val="24"/>
          <w:szCs w:val="24"/>
        </w:rPr>
        <w:t>Inventory Conversion Period</w:t>
      </w:r>
    </w:p>
    <w:tbl>
      <w:tblPr>
        <w:tblStyle w:val="7"/>
        <w:tblW w:w="87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901"/>
        <w:gridCol w:w="2005"/>
        <w:gridCol w:w="1782"/>
        <w:gridCol w:w="4073"/>
      </w:tblGrid>
      <w:tr w14:paraId="6321BE4E">
        <w:trPr>
          <w:trHeight w:val="422"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AB9A5E9">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Year</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0744830">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Average Inventory (£m)</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3E15A69">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Cost of Sales (£m)</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429C4FB1">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Inventory Conversion Period (Days)</w:t>
            </w:r>
          </w:p>
        </w:tc>
      </w:tr>
      <w:tr w14:paraId="17EB066B">
        <w:trPr>
          <w:trHeight w:val="422"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B34E392">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2024</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517E5B2">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74,362.50</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4EB7CAE">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280,885.00</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3EA1859">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(74,362.5 ÷ 280,885) × 365 = 96.6 days</w:t>
            </w:r>
          </w:p>
        </w:tc>
      </w:tr>
      <w:tr w14:paraId="3F0F0350">
        <w:trPr>
          <w:trHeight w:val="422"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E875685">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2023</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2444EB1">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74,727.00</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6B1C480">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322,897.00</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E4D71F3">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(74,727 ÷ 322,897) × 365 = 84.5 days</w:t>
            </w:r>
          </w:p>
        </w:tc>
      </w:tr>
      <w:tr w14:paraId="070757C8">
        <w:trPr>
          <w:trHeight w:val="422"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256E7DC">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2022</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0B5DFF2">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75,047.00</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B52B829">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390,459.00</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1DEFA38">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(75,047 ÷ 390,459) × 365 = 70.1 days</w:t>
            </w:r>
          </w:p>
        </w:tc>
      </w:tr>
      <w:tr w14:paraId="34E26386">
        <w:trPr>
          <w:trHeight w:val="422"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3C1F4D9">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2021</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2AA5F52">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69,865.50</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822DBFF">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428,586.00</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7585435">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(69,865.5 ÷ 428,586) × 365 = 59.5 days</w:t>
            </w:r>
          </w:p>
        </w:tc>
      </w:tr>
      <w:tr w14:paraId="41945B46">
        <w:trPr>
          <w:trHeight w:val="434"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85C632C">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2020</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EE2ECCD">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42,797.00</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5A4BCA3">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438,474.00</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D98B22C">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(42,797 ÷ 438,474) × 365 = 35.6 days</w:t>
            </w:r>
          </w:p>
        </w:tc>
      </w:tr>
    </w:tbl>
    <w:p w14:paraId="3421C321">
      <w:pPr>
        <w:spacing w:line="360" w:lineRule="auto"/>
        <w:jc w:val="both"/>
        <w:rPr>
          <w:rFonts w:hint="default" w:ascii="Arial Regular" w:hAnsi="Arial Regular" w:cs="Arial Regular"/>
          <w:b w:val="0"/>
          <w:bCs w:val="0"/>
          <w:sz w:val="24"/>
          <w:szCs w:val="24"/>
          <w:lang w:val="de-DE"/>
        </w:rPr>
      </w:pPr>
    </w:p>
    <w:p w14:paraId="1A6F26D0">
      <w:pPr>
        <w:pStyle w:val="4"/>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val="0"/>
          <w:sz w:val="24"/>
          <w:szCs w:val="24"/>
          <w:lang w:val="de-DE"/>
        </w:rPr>
        <w:t xml:space="preserve">Figure 10: </w:t>
      </w:r>
      <w:r>
        <w:rPr>
          <w:rFonts w:hint="default" w:ascii="Arial Regular" w:hAnsi="Arial Regular" w:cs="Arial Regular"/>
          <w:b w:val="0"/>
          <w:bCs/>
          <w:i w:val="0"/>
          <w:iCs/>
          <w:sz w:val="24"/>
          <w:szCs w:val="24"/>
        </w:rPr>
        <w:t xml:space="preserve">Net Cash Operating Cycle </w:t>
      </w:r>
    </w:p>
    <w:tbl>
      <w:tblPr>
        <w:tblStyle w:val="7"/>
        <w:tblW w:w="8757"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108" w:type="dxa"/>
          <w:bottom w:w="0" w:type="dxa"/>
          <w:right w:w="108" w:type="dxa"/>
        </w:tblCellMar>
      </w:tblPr>
      <w:tblGrid>
        <w:gridCol w:w="750"/>
        <w:gridCol w:w="1617"/>
        <w:gridCol w:w="1701"/>
        <w:gridCol w:w="1584"/>
        <w:gridCol w:w="3105"/>
      </w:tblGrid>
      <w:tr w14:paraId="53511161">
        <w:trPr>
          <w:trHeight w:val="1005"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0EC2BF">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Year</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9C7B8A">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Inventory Conversion Period (Days)</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3B2693">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Receivables Collection Period (Days)</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646CB5">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Payables Deferral Period (Days)</w:t>
            </w:r>
          </w:p>
        </w:tc>
        <w:tc>
          <w:tcPr>
            <w:tcW w:w="22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72CDF9">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Net Cash Operating Cycle (Days)</w:t>
            </w:r>
          </w:p>
        </w:tc>
      </w:tr>
      <w:tr w14:paraId="05DCB6BF">
        <w:trPr>
          <w:trHeight w:val="426"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08A03B">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2020</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A0D930">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62</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1B30FB">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81</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ED44C5">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9D9C06B">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(62 + 81) − 55 = 88 days</w:t>
            </w:r>
          </w:p>
        </w:tc>
      </w:tr>
      <w:tr w14:paraId="7D9E97D5">
        <w:trPr>
          <w:trHeight w:val="426"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D2800E">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2021</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362A60">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64</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A9227D">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79</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94E609">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4CAC3A7">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(64 + 79) − 79 = 64 days</w:t>
            </w:r>
          </w:p>
        </w:tc>
      </w:tr>
      <w:tr w14:paraId="6D7BB1BB">
        <w:trPr>
          <w:trHeight w:val="426"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4EF25A">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2022</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69875A">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70</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34BB18">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80</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9C6F17">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702BB94">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(70 + 80) − 53 = 97 days</w:t>
            </w:r>
          </w:p>
        </w:tc>
      </w:tr>
      <w:tr w14:paraId="23E4B341">
        <w:trPr>
          <w:trHeight w:val="426"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A7379A">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2023</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E94E9C">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79</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0715E5">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100</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FCBDDE">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0A61751">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(79 + 100) − 52 = 127 days</w:t>
            </w:r>
          </w:p>
        </w:tc>
      </w:tr>
      <w:tr w14:paraId="1902EC4B">
        <w:trPr>
          <w:trHeight w:val="439"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B0824F">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2024</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6D4B73">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56</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36C2E8">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100</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518DC0">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83361D0">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(56 + 100) − 104 = 52 days</w:t>
            </w:r>
          </w:p>
        </w:tc>
      </w:tr>
    </w:tbl>
    <w:p w14:paraId="09400583">
      <w:pPr>
        <w:spacing w:line="360" w:lineRule="auto"/>
        <w:jc w:val="both"/>
        <w:rPr>
          <w:rFonts w:hint="default" w:ascii="Arial Regular" w:hAnsi="Arial Regular" w:cs="Arial Regular"/>
          <w:b w:val="0"/>
          <w:bCs w:val="0"/>
          <w:sz w:val="24"/>
          <w:szCs w:val="24"/>
          <w:lang w:val="de-DE"/>
        </w:rPr>
      </w:pPr>
    </w:p>
    <w:p w14:paraId="78CAD5B0">
      <w:pPr>
        <w:pStyle w:val="3"/>
        <w:bidi w:val="0"/>
        <w:spacing w:line="360" w:lineRule="auto"/>
        <w:jc w:val="both"/>
        <w:rPr>
          <w:rFonts w:hint="default" w:ascii="Arial Regular" w:hAnsi="Arial Regular" w:cs="Arial Regular"/>
          <w:b w:val="0"/>
          <w:i w:val="0"/>
          <w:iCs/>
          <w:sz w:val="24"/>
          <w:szCs w:val="24"/>
          <w:lang w:val="de-DE"/>
        </w:rPr>
      </w:pPr>
      <w:r>
        <w:rPr>
          <w:rFonts w:hint="default" w:ascii="Arial Regular" w:hAnsi="Arial Regular" w:cs="Arial Regular"/>
          <w:b w:val="0"/>
          <w:bCs w:val="0"/>
          <w:i w:val="0"/>
          <w:iCs/>
          <w:sz w:val="24"/>
          <w:szCs w:val="24"/>
          <w:lang w:val="de-DE"/>
        </w:rPr>
        <w:t xml:space="preserve">Figure 11: </w:t>
      </w:r>
      <w:r>
        <w:rPr>
          <w:rFonts w:hint="default" w:ascii="Arial Regular" w:hAnsi="Arial Regular" w:cs="Arial Regular"/>
          <w:b w:val="0"/>
          <w:i w:val="0"/>
          <w:iCs/>
          <w:sz w:val="24"/>
          <w:szCs w:val="24"/>
          <w:lang w:val="de-DE"/>
        </w:rPr>
        <w:t xml:space="preserve">Quantitative Evaluation of Project A  </w:t>
      </w:r>
    </w:p>
    <w:tbl>
      <w:tblPr>
        <w:tblStyle w:val="18"/>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2529"/>
        <w:gridCol w:w="1651"/>
        <w:gridCol w:w="1837"/>
        <w:gridCol w:w="1643"/>
        <w:gridCol w:w="1700"/>
      </w:tblGrid>
      <w:tr w14:paraId="2C91FE44">
        <w:trPr>
          <w:trHeight w:val="383" w:hRule="atLeast"/>
        </w:trPr>
        <w:tc>
          <w:tcPr>
            <w:tcW w:w="9360" w:type="dxa"/>
            <w:gridSpan w:val="5"/>
            <w:tcBorders>
              <w:top w:val="single" w:color="auto" w:sz="4" w:space="0"/>
              <w:left w:val="single" w:color="auto" w:sz="4" w:space="0"/>
              <w:bottom w:val="single" w:color="auto" w:sz="4" w:space="0"/>
              <w:right w:val="single" w:color="auto" w:sz="4" w:space="0"/>
            </w:tcBorders>
            <w:shd w:val="clear" w:color="auto" w:fill="FFFFFF"/>
            <w:tcMar>
              <w:top w:w="0" w:type="dxa"/>
              <w:left w:w="40" w:type="dxa"/>
              <w:bottom w:w="0" w:type="dxa"/>
              <w:right w:w="40" w:type="dxa"/>
            </w:tcMar>
            <w:vAlign w:val="bottom"/>
          </w:tcPr>
          <w:p w14:paraId="71CF4176">
            <w:pPr>
              <w:widowControl w:val="0"/>
              <w:shd w:val="clear" w:fill="FFFFFF" w:themeFill="background1"/>
              <w:spacing w:line="360" w:lineRule="auto"/>
              <w:jc w:val="center"/>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lang w:val="de-DE"/>
              </w:rPr>
              <w:t>Project A</w:t>
            </w:r>
          </w:p>
        </w:tc>
      </w:tr>
      <w:tr w14:paraId="2E3B8280">
        <w:trPr>
          <w:trHeight w:val="555" w:hRule="atLeast"/>
        </w:trPr>
        <w:tc>
          <w:tcPr>
            <w:tcW w:w="2529" w:type="dxa"/>
            <w:tcBorders>
              <w:top w:val="single" w:color="auto" w:sz="4"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A720326">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Year</w:t>
            </w:r>
          </w:p>
        </w:tc>
        <w:tc>
          <w:tcPr>
            <w:tcW w:w="1651" w:type="dxa"/>
            <w:tcBorders>
              <w:top w:val="single" w:color="auto" w:sz="4"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141573D">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Cash flow (£m)</w:t>
            </w:r>
          </w:p>
        </w:tc>
        <w:tc>
          <w:tcPr>
            <w:tcW w:w="1837" w:type="dxa"/>
            <w:tcBorders>
              <w:top w:val="single" w:color="auto" w:sz="4"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3C59DC5">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Cummulative cash flow (£m)</w:t>
            </w:r>
          </w:p>
        </w:tc>
        <w:tc>
          <w:tcPr>
            <w:tcW w:w="1643" w:type="dxa"/>
            <w:tcBorders>
              <w:top w:val="single" w:color="auto" w:sz="4"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D59A44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Discounting rate (10%)</w:t>
            </w:r>
          </w:p>
        </w:tc>
        <w:tc>
          <w:tcPr>
            <w:tcW w:w="1700" w:type="dxa"/>
            <w:tcBorders>
              <w:top w:val="single" w:color="auto" w:sz="4"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5B9034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Present value (£m)</w:t>
            </w:r>
          </w:p>
        </w:tc>
      </w:tr>
      <w:tr w14:paraId="0EEBBEC0">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A08485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78C1C221">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-£40.00</w:t>
            </w: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6554810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-£40.00</w:t>
            </w: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350A45C">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w:t>
            </w: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5B3CB28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-£40.00</w:t>
            </w:r>
          </w:p>
        </w:tc>
      </w:tr>
      <w:tr w14:paraId="0723ED84">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40EF1F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C35E738">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£10.00</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12CA35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E865C71">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0.91</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281026A8">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£9.09</w:t>
            </w:r>
          </w:p>
        </w:tc>
      </w:tr>
      <w:tr w14:paraId="348AF047">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352F8E4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CFED29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£12.00</w:t>
            </w: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02863DD8">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-£18.00</w:t>
            </w: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26ABA8EB">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0.83</w:t>
            </w: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7BE3CC6">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£9.92</w:t>
            </w:r>
          </w:p>
        </w:tc>
      </w:tr>
      <w:tr w14:paraId="4EC1CE83">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B3AA8AF">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FF9D34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£14.00</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2F94962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-£4.00</w:t>
            </w: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84915AF">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0.75</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1B3AE0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£10.52</w:t>
            </w:r>
          </w:p>
        </w:tc>
      </w:tr>
      <w:tr w14:paraId="05C996F5">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5089861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21014D1">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£10.00</w:t>
            </w: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55CB619F">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644BD4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0.68</w:t>
            </w: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E85A39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£6.83</w:t>
            </w:r>
          </w:p>
        </w:tc>
      </w:tr>
      <w:tr w14:paraId="2B7836AC">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67E4C25A">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3E03C7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£8.00</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E8207E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£14.00</w:t>
            </w: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6876D98D">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0.62</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0A3713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£4.97</w:t>
            </w:r>
          </w:p>
        </w:tc>
      </w:tr>
      <w:tr w14:paraId="02A90F79">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0D99D0E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NPV</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2897950B">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B95E950">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BE28120">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4F90A0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£1.32</w:t>
            </w:r>
          </w:p>
        </w:tc>
      </w:tr>
      <w:tr w14:paraId="4A00099B">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72CA5CF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Total PV Inflow</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741FF4B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6A65B02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5AB8A0D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34DE29F0">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£41.32</w:t>
            </w:r>
          </w:p>
        </w:tc>
      </w:tr>
      <w:tr w14:paraId="5D151AD0">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4F0BF7C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Payback Period</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A1CFC9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3.5</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B6B0F4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 Year</w:t>
            </w: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608D629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 Months</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46910AD1">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r w14:paraId="49E53F38">
        <w:trPr>
          <w:trHeight w:val="331"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789FDA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Average annual profit</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5958693F">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£10.80</w:t>
            </w: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7E59714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31897348">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059B498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r w14:paraId="6654C003">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E2F35B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Initial Investment</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B4E915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£40.00</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8BFD628">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E60730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2259CA7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r w14:paraId="07FBBA19">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DDF3A2F">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ARR</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A5A395A">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27.00%</w:t>
            </w: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26BD58D5">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34A1C2D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6222FE3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r w14:paraId="640023C2">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6BB97395">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IRR</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62A0CC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11.33%</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565B0E86">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9D10A9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6EE148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r w14:paraId="3DAC3529">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24E56F0">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PI</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2ECFE24A">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1.03</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448EA9C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ECDABF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CA9884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bl>
    <w:p w14:paraId="0F6080D8">
      <w:pPr>
        <w:spacing w:line="360" w:lineRule="auto"/>
        <w:jc w:val="both"/>
        <w:rPr>
          <w:rFonts w:hint="default" w:ascii="Arial Regular" w:hAnsi="Arial Regular" w:cs="Arial Regular"/>
          <w:b w:val="0"/>
          <w:bCs w:val="0"/>
          <w:sz w:val="24"/>
          <w:szCs w:val="24"/>
          <w:lang w:val="de-DE"/>
        </w:rPr>
      </w:pPr>
    </w:p>
    <w:p w14:paraId="73BEA7A0">
      <w:pPr>
        <w:pStyle w:val="3"/>
        <w:bidi w:val="0"/>
        <w:spacing w:line="360" w:lineRule="auto"/>
        <w:jc w:val="both"/>
        <w:rPr>
          <w:rFonts w:hint="default" w:ascii="Arial Regular" w:hAnsi="Arial Regular" w:cs="Arial Regular"/>
          <w:b w:val="0"/>
          <w:bCs w:val="0"/>
          <w:sz w:val="24"/>
          <w:szCs w:val="24"/>
          <w:lang w:val="de-DE"/>
        </w:rPr>
      </w:pPr>
      <w:r>
        <w:rPr>
          <w:rFonts w:hint="default" w:ascii="Arial Regular" w:hAnsi="Arial Regular" w:cs="Arial Regular"/>
          <w:b w:val="0"/>
          <w:bCs w:val="0"/>
          <w:i w:val="0"/>
          <w:iCs/>
          <w:sz w:val="24"/>
          <w:szCs w:val="24"/>
          <w:lang w:val="de-DE"/>
        </w:rPr>
        <w:t xml:space="preserve">Figure 12: </w:t>
      </w:r>
      <w:r>
        <w:rPr>
          <w:rFonts w:hint="default" w:ascii="Arial Regular" w:hAnsi="Arial Regular" w:cs="Arial Regular"/>
          <w:b w:val="0"/>
          <w:i w:val="0"/>
          <w:iCs/>
          <w:sz w:val="24"/>
          <w:szCs w:val="24"/>
          <w:lang w:val="de-DE"/>
        </w:rPr>
        <w:t>Quantitative Evaluation of Project B</w:t>
      </w:r>
    </w:p>
    <w:tbl>
      <w:tblPr>
        <w:tblStyle w:val="20"/>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2486"/>
        <w:gridCol w:w="1744"/>
        <w:gridCol w:w="1814"/>
        <w:gridCol w:w="1616"/>
        <w:gridCol w:w="1700"/>
      </w:tblGrid>
      <w:tr w14:paraId="5719F280">
        <w:trPr>
          <w:trHeight w:val="315" w:hRule="atLeast"/>
        </w:trPr>
        <w:tc>
          <w:tcPr>
            <w:tcW w:w="9360"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CE4BEF2">
            <w:pPr>
              <w:widowControl w:val="0"/>
              <w:spacing w:line="360" w:lineRule="auto"/>
              <w:jc w:val="center"/>
              <w:rPr>
                <w:rFonts w:hint="default" w:ascii="Arial Regular" w:hAnsi="Arial Regular" w:eastAsia="Calibri" w:cs="Arial Regular"/>
                <w:b w:val="0"/>
                <w:bCs/>
                <w:i w:val="0"/>
                <w:iCs/>
                <w:sz w:val="24"/>
                <w:szCs w:val="24"/>
                <w:lang w:val="de-DE"/>
              </w:rPr>
            </w:pPr>
            <w:r>
              <w:rPr>
                <w:rFonts w:hint="default" w:ascii="Arial Regular" w:hAnsi="Arial Regular" w:cs="Arial Regular"/>
                <w:b w:val="0"/>
                <w:bCs/>
                <w:i w:val="0"/>
                <w:iCs/>
                <w:sz w:val="24"/>
                <w:szCs w:val="24"/>
              </w:rPr>
              <w:t xml:space="preserve">Project </w:t>
            </w:r>
            <w:r>
              <w:rPr>
                <w:rFonts w:hint="default" w:ascii="Arial Regular" w:hAnsi="Arial Regular" w:cs="Arial Regular"/>
                <w:b w:val="0"/>
                <w:bCs/>
                <w:i w:val="0"/>
                <w:iCs/>
                <w:sz w:val="24"/>
                <w:szCs w:val="24"/>
                <w:lang w:val="de-DE"/>
              </w:rPr>
              <w:t>B</w:t>
            </w:r>
          </w:p>
        </w:tc>
      </w:tr>
      <w:tr w14:paraId="334A02AB">
        <w:trPr>
          <w:trHeight w:val="55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653DB6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Year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90289B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Cash flow (£m)</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A2EADA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Cummulative cash flow (£m)</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407450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Discounting rate (10%)</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7DFE10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Present value (£m)</w:t>
            </w:r>
          </w:p>
        </w:tc>
      </w:tr>
      <w:tr w14:paraId="7C6088C0">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59E72F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54B522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19D079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F55132B">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F5DE5E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r>
      <w:tr w14:paraId="598D5564">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410BE1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20095B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0017CA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-£24.00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F83843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0.91</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1FA165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£5.45</w:t>
            </w:r>
          </w:p>
        </w:tc>
      </w:tr>
      <w:tr w14:paraId="26CD22AD">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27CD37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CFF1B4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8DF956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-£18.00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789945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0.83</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1833C9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£4.96</w:t>
            </w:r>
          </w:p>
        </w:tc>
      </w:tr>
      <w:tr w14:paraId="627CE28B">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A957AD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3DB887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226165B">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-£12.00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CE7804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0.75</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E8BC4A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£4.51</w:t>
            </w:r>
          </w:p>
        </w:tc>
      </w:tr>
      <w:tr w14:paraId="0B3B4B06">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52FF18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D4DA2F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D2F811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FB22F0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0.68</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448F7E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£4.10</w:t>
            </w:r>
          </w:p>
        </w:tc>
      </w:tr>
      <w:tr w14:paraId="1833D53E">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889ED39">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915A2F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80BB9B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DD3538F">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0.62</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B0B510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£3.73</w:t>
            </w:r>
          </w:p>
        </w:tc>
      </w:tr>
      <w:tr w14:paraId="69EEEAEB">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E13277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NPV</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E774313">
            <w:pPr>
              <w:widowControl w:val="0"/>
              <w:spacing w:line="360" w:lineRule="auto"/>
              <w:jc w:val="center"/>
              <w:rPr>
                <w:rFonts w:hint="default" w:ascii="Arial Regular" w:hAnsi="Arial Regular" w:eastAsia="Calibri" w:cs="Arial Regular"/>
                <w:b w:val="0"/>
                <w:bCs/>
                <w:i w:val="0"/>
                <w:iCs/>
                <w:sz w:val="24"/>
                <w:szCs w:val="24"/>
              </w:rPr>
            </w:pP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1CFB49E">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7528A38">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F8FEB9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-£7.26</w:t>
            </w:r>
          </w:p>
        </w:tc>
      </w:tr>
      <w:tr w14:paraId="27C60BA2">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8969139">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Total PV Inflow</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C84DEEE">
            <w:pPr>
              <w:widowControl w:val="0"/>
              <w:spacing w:line="360" w:lineRule="auto"/>
              <w:jc w:val="center"/>
              <w:rPr>
                <w:rFonts w:hint="default" w:ascii="Arial Regular" w:hAnsi="Arial Regular" w:eastAsia="Calibri" w:cs="Arial Regular"/>
                <w:b w:val="0"/>
                <w:bCs/>
                <w:i w:val="0"/>
                <w:iCs/>
                <w:sz w:val="24"/>
                <w:szCs w:val="24"/>
              </w:rPr>
            </w:pP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BA49F91">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71BA87F">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F66AD8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£22.74</w:t>
            </w:r>
          </w:p>
        </w:tc>
      </w:tr>
      <w:tr w14:paraId="63A6549E">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1F7382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Payback Period</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22ABE8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A5FAC3B">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 years</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94DDAB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 Months</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629ED9C">
            <w:pPr>
              <w:widowControl w:val="0"/>
              <w:spacing w:line="360" w:lineRule="auto"/>
              <w:jc w:val="center"/>
              <w:rPr>
                <w:rFonts w:hint="default" w:ascii="Arial Regular" w:hAnsi="Arial Regular" w:eastAsia="Calibri" w:cs="Arial Regular"/>
                <w:b w:val="0"/>
                <w:bCs/>
                <w:i w:val="0"/>
                <w:iCs/>
                <w:sz w:val="24"/>
                <w:szCs w:val="24"/>
              </w:rPr>
            </w:pPr>
          </w:p>
        </w:tc>
      </w:tr>
      <w:tr w14:paraId="0696AA83">
        <w:trPr>
          <w:trHeight w:val="331"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092E9CB">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Average annual profit</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B43442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00EA702">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E69679D">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073F0D8">
            <w:pPr>
              <w:widowControl w:val="0"/>
              <w:spacing w:line="360" w:lineRule="auto"/>
              <w:jc w:val="center"/>
              <w:rPr>
                <w:rFonts w:hint="default" w:ascii="Arial Regular" w:hAnsi="Arial Regular" w:eastAsia="Calibri" w:cs="Arial Regular"/>
                <w:b w:val="0"/>
                <w:bCs/>
                <w:i w:val="0"/>
                <w:iCs/>
                <w:sz w:val="24"/>
                <w:szCs w:val="24"/>
              </w:rPr>
            </w:pPr>
          </w:p>
        </w:tc>
      </w:tr>
      <w:tr w14:paraId="6E0060DE">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73D258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Initial Investment</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93A878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7F49B93">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3AF3EB8">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DE28B49">
            <w:pPr>
              <w:widowControl w:val="0"/>
              <w:spacing w:line="360" w:lineRule="auto"/>
              <w:jc w:val="center"/>
              <w:rPr>
                <w:rFonts w:hint="default" w:ascii="Arial Regular" w:hAnsi="Arial Regular" w:eastAsia="Calibri" w:cs="Arial Regular"/>
                <w:b w:val="0"/>
                <w:bCs/>
                <w:i w:val="0"/>
                <w:iCs/>
                <w:sz w:val="24"/>
                <w:szCs w:val="24"/>
              </w:rPr>
            </w:pPr>
          </w:p>
        </w:tc>
      </w:tr>
      <w:tr w14:paraId="454C3F49">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340009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ARR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D2DDA6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0D6FD61">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CA3D997">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F4DB4CA">
            <w:pPr>
              <w:widowControl w:val="0"/>
              <w:spacing w:line="360" w:lineRule="auto"/>
              <w:jc w:val="center"/>
              <w:rPr>
                <w:rFonts w:hint="default" w:ascii="Arial Regular" w:hAnsi="Arial Regular" w:eastAsia="Calibri" w:cs="Arial Regular"/>
                <w:b w:val="0"/>
                <w:bCs/>
                <w:i w:val="0"/>
                <w:iCs/>
                <w:sz w:val="24"/>
                <w:szCs w:val="24"/>
              </w:rPr>
            </w:pPr>
          </w:p>
        </w:tc>
      </w:tr>
      <w:tr w14:paraId="54431247">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42679BF">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IRR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ACDBD2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A43E142">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C521A39">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8172812">
            <w:pPr>
              <w:widowControl w:val="0"/>
              <w:spacing w:line="360" w:lineRule="auto"/>
              <w:jc w:val="center"/>
              <w:rPr>
                <w:rFonts w:hint="default" w:ascii="Arial Regular" w:hAnsi="Arial Regular" w:eastAsia="Calibri" w:cs="Arial Regular"/>
                <w:b w:val="0"/>
                <w:bCs/>
                <w:i w:val="0"/>
                <w:iCs/>
                <w:sz w:val="24"/>
                <w:szCs w:val="24"/>
              </w:rPr>
            </w:pPr>
          </w:p>
        </w:tc>
      </w:tr>
      <w:tr w14:paraId="77244165">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D91FEB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PI</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F90E6D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0.76</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375ADDC">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AA1F950">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3D16AD5">
            <w:pPr>
              <w:widowControl w:val="0"/>
              <w:spacing w:line="360" w:lineRule="auto"/>
              <w:jc w:val="center"/>
              <w:rPr>
                <w:rFonts w:hint="default" w:ascii="Arial Regular" w:hAnsi="Arial Regular" w:eastAsia="Calibri" w:cs="Arial Regular"/>
                <w:b w:val="0"/>
                <w:bCs/>
                <w:i w:val="0"/>
                <w:iCs/>
                <w:sz w:val="24"/>
                <w:szCs w:val="24"/>
              </w:rPr>
            </w:pPr>
          </w:p>
        </w:tc>
      </w:tr>
    </w:tbl>
    <w:p w14:paraId="15AB4D91">
      <w:pPr>
        <w:spacing w:line="360" w:lineRule="auto"/>
        <w:jc w:val="center"/>
        <w:rPr>
          <w:rFonts w:hint="default" w:ascii="Arial Regular" w:hAnsi="Arial Regular" w:cs="Arial Regular"/>
          <w:b w:val="0"/>
          <w:bCs w:val="0"/>
          <w:sz w:val="24"/>
          <w:szCs w:val="24"/>
          <w:lang w:val="de-DE"/>
        </w:rPr>
      </w:pPr>
    </w:p>
    <w:p w14:paraId="704B2D81">
      <w:pPr>
        <w:pStyle w:val="3"/>
        <w:bidi w:val="0"/>
        <w:spacing w:line="360" w:lineRule="auto"/>
        <w:jc w:val="both"/>
        <w:rPr>
          <w:rFonts w:hint="default" w:ascii="Arial Regular" w:hAnsi="Arial Regular" w:cs="Arial Regular"/>
          <w:b w:val="0"/>
          <w:i w:val="0"/>
          <w:iCs/>
          <w:sz w:val="24"/>
          <w:szCs w:val="24"/>
          <w:lang w:val="de-DE"/>
        </w:rPr>
      </w:pPr>
      <w:r>
        <w:rPr>
          <w:rFonts w:hint="default" w:ascii="Arial Regular" w:hAnsi="Arial Regular" w:cs="Arial Regular"/>
          <w:b w:val="0"/>
          <w:bCs w:val="0"/>
          <w:i w:val="0"/>
          <w:iCs/>
          <w:sz w:val="24"/>
          <w:szCs w:val="24"/>
          <w:lang w:val="de-DE"/>
        </w:rPr>
        <w:t xml:space="preserve">Figure 13: </w:t>
      </w:r>
      <w:r>
        <w:rPr>
          <w:rFonts w:hint="default" w:ascii="Arial Regular" w:hAnsi="Arial Regular" w:cs="Arial Regular"/>
          <w:b w:val="0"/>
          <w:i w:val="0"/>
          <w:iCs/>
          <w:sz w:val="24"/>
          <w:szCs w:val="24"/>
          <w:lang w:val="de-DE"/>
        </w:rPr>
        <w:t>Quantitative Evaluation of Project C</w:t>
      </w:r>
    </w:p>
    <w:tbl>
      <w:tblPr>
        <w:tblStyle w:val="21"/>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2250"/>
        <w:gridCol w:w="1744"/>
        <w:gridCol w:w="1907"/>
        <w:gridCol w:w="1759"/>
        <w:gridCol w:w="1700"/>
      </w:tblGrid>
      <w:tr w14:paraId="19ECBE9D">
        <w:trPr>
          <w:trHeight w:val="315" w:hRule="atLeast"/>
        </w:trPr>
        <w:tc>
          <w:tcPr>
            <w:tcW w:w="9360"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870F9A4">
            <w:pPr>
              <w:widowControl w:val="0"/>
              <w:spacing w:line="360" w:lineRule="auto"/>
              <w:jc w:val="center"/>
              <w:rPr>
                <w:rFonts w:hint="default" w:ascii="Arial Regular" w:hAnsi="Arial Regular" w:eastAsia="Calibri" w:cs="Arial Regular"/>
                <w:b w:val="0"/>
                <w:bCs/>
                <w:i w:val="0"/>
                <w:iCs/>
                <w:sz w:val="24"/>
                <w:szCs w:val="24"/>
                <w:lang w:val="de-DE"/>
              </w:rPr>
            </w:pPr>
            <w:r>
              <w:rPr>
                <w:rFonts w:hint="default" w:ascii="Arial Regular" w:hAnsi="Arial Regular" w:cs="Arial Regular"/>
                <w:b w:val="0"/>
                <w:bCs/>
                <w:i w:val="0"/>
                <w:iCs/>
                <w:sz w:val="24"/>
                <w:szCs w:val="24"/>
              </w:rPr>
              <w:t xml:space="preserve">Project </w:t>
            </w:r>
            <w:r>
              <w:rPr>
                <w:rFonts w:hint="default" w:ascii="Arial Regular" w:hAnsi="Arial Regular" w:cs="Arial Regular"/>
                <w:b w:val="0"/>
                <w:bCs/>
                <w:i w:val="0"/>
                <w:iCs/>
                <w:sz w:val="24"/>
                <w:szCs w:val="24"/>
                <w:lang w:val="de-DE"/>
              </w:rPr>
              <w:t>C</w:t>
            </w:r>
          </w:p>
        </w:tc>
      </w:tr>
      <w:tr w14:paraId="13F68CDC">
        <w:trPr>
          <w:trHeight w:val="55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A65C28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Year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CD661F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Cash flow (£m)</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332718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Cummulative cash flow (£m)</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906D65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Discounting rate (10%)</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9C1D7C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Present value (£m)</w:t>
            </w:r>
          </w:p>
        </w:tc>
      </w:tr>
      <w:tr w14:paraId="5EF8F286">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B37A42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4C84E19">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-£50.00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F1ADA4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-£50.00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196F34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1703F0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-£50.00</w:t>
            </w:r>
          </w:p>
        </w:tc>
      </w:tr>
      <w:tr w14:paraId="2FC6F3DB">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987A7D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FB2B73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8D5567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-£45.00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61F5919">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0.91</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A226BD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£4.55</w:t>
            </w:r>
          </w:p>
        </w:tc>
      </w:tr>
      <w:tr w14:paraId="6EB2156E">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6E8A16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98296C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7C15A1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-£35.00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93F5F0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0.83</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ED78E7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£8.26</w:t>
            </w:r>
          </w:p>
        </w:tc>
      </w:tr>
      <w:tr w14:paraId="0CE70EDC">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B54EBC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F10FC4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£20.00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CA2848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-£15.00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770358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0.75</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0DB974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£15.03</w:t>
            </w:r>
          </w:p>
        </w:tc>
      </w:tr>
      <w:tr w14:paraId="26D4F647">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1B1A5B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2C1942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£25.00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01A8F1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1E25B47">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0.68</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23CF4D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£17.08</w:t>
            </w:r>
          </w:p>
        </w:tc>
      </w:tr>
      <w:tr w14:paraId="094AD5A6">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5D7C49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DC10F3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£15.00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C5A5BC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£25.00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73EB737">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0.62</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E85105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£9.31</w:t>
            </w:r>
          </w:p>
        </w:tc>
      </w:tr>
      <w:tr w14:paraId="753C83BF">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A04249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NPV</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BEE021A">
            <w:pPr>
              <w:widowControl w:val="0"/>
              <w:spacing w:line="360" w:lineRule="auto"/>
              <w:jc w:val="center"/>
              <w:rPr>
                <w:rFonts w:hint="default" w:ascii="Arial Regular" w:hAnsi="Arial Regular" w:eastAsia="Calibri" w:cs="Arial Regular"/>
                <w:b w:val="0"/>
                <w:bCs/>
                <w:i w:val="0"/>
                <w:iCs/>
                <w:sz w:val="24"/>
                <w:szCs w:val="24"/>
              </w:rPr>
            </w:pP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8FE63EA">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E82C4FA">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F9AB2F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£4.23</w:t>
            </w:r>
          </w:p>
        </w:tc>
      </w:tr>
      <w:tr w14:paraId="3BE302EE">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2AB2EA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Total PV Inflow</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8CE4BA6">
            <w:pPr>
              <w:widowControl w:val="0"/>
              <w:spacing w:line="360" w:lineRule="auto"/>
              <w:jc w:val="center"/>
              <w:rPr>
                <w:rFonts w:hint="default" w:ascii="Arial Regular" w:hAnsi="Arial Regular" w:eastAsia="Calibri" w:cs="Arial Regular"/>
                <w:b w:val="0"/>
                <w:bCs/>
                <w:i w:val="0"/>
                <w:iCs/>
                <w:sz w:val="24"/>
                <w:szCs w:val="24"/>
              </w:rPr>
            </w:pP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27C7DFA">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3863851">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E6CF88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£54.23</w:t>
            </w:r>
          </w:p>
        </w:tc>
      </w:tr>
      <w:tr w14:paraId="7B701BC8">
        <w:trPr>
          <w:trHeight w:val="347"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92F3B4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Payback Period</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873207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3.6</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F73871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 years</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CE2425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7 Months</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E6D720A">
            <w:pPr>
              <w:widowControl w:val="0"/>
              <w:spacing w:line="360" w:lineRule="auto"/>
              <w:jc w:val="center"/>
              <w:rPr>
                <w:rFonts w:hint="default" w:ascii="Arial Regular" w:hAnsi="Arial Regular" w:eastAsia="Calibri" w:cs="Arial Regular"/>
                <w:b w:val="0"/>
                <w:bCs/>
                <w:i w:val="0"/>
                <w:iCs/>
                <w:sz w:val="24"/>
                <w:szCs w:val="24"/>
              </w:rPr>
            </w:pPr>
          </w:p>
        </w:tc>
      </w:tr>
      <w:tr w14:paraId="4879ABAE">
        <w:trPr>
          <w:trHeight w:val="370"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F4C36EB">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Average annual profit</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B57F22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£15.00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BD68557">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4A8E932">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A346952">
            <w:pPr>
              <w:widowControl w:val="0"/>
              <w:spacing w:line="360" w:lineRule="auto"/>
              <w:jc w:val="center"/>
              <w:rPr>
                <w:rFonts w:hint="default" w:ascii="Arial Regular" w:hAnsi="Arial Regular" w:eastAsia="Calibri" w:cs="Arial Regular"/>
                <w:b w:val="0"/>
                <w:bCs/>
                <w:i w:val="0"/>
                <w:iCs/>
                <w:sz w:val="24"/>
                <w:szCs w:val="24"/>
              </w:rPr>
            </w:pPr>
          </w:p>
        </w:tc>
      </w:tr>
      <w:tr w14:paraId="7CFC9E91">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CBBA57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Initial Investment</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7037F9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A731AF1">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C861DA0">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3BCF62C">
            <w:pPr>
              <w:widowControl w:val="0"/>
              <w:spacing w:line="360" w:lineRule="auto"/>
              <w:jc w:val="center"/>
              <w:rPr>
                <w:rFonts w:hint="default" w:ascii="Arial Regular" w:hAnsi="Arial Regular" w:eastAsia="Calibri" w:cs="Arial Regular"/>
                <w:b w:val="0"/>
                <w:bCs/>
                <w:i w:val="0"/>
                <w:iCs/>
                <w:sz w:val="24"/>
                <w:szCs w:val="24"/>
              </w:rPr>
            </w:pPr>
          </w:p>
        </w:tc>
      </w:tr>
      <w:tr w14:paraId="6FF7DAE5">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8B3883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ARR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776DB4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A9A5C3F">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1C9166C">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402E576">
            <w:pPr>
              <w:widowControl w:val="0"/>
              <w:spacing w:line="360" w:lineRule="auto"/>
              <w:jc w:val="center"/>
              <w:rPr>
                <w:rFonts w:hint="default" w:ascii="Arial Regular" w:hAnsi="Arial Regular" w:eastAsia="Calibri" w:cs="Arial Regular"/>
                <w:b w:val="0"/>
                <w:bCs/>
                <w:i w:val="0"/>
                <w:iCs/>
                <w:sz w:val="24"/>
                <w:szCs w:val="24"/>
              </w:rPr>
            </w:pPr>
          </w:p>
        </w:tc>
      </w:tr>
      <w:tr w14:paraId="75ACD5A7">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0558C27">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IRR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513966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12.7%</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D9BB481">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8597BB7">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D3D5590">
            <w:pPr>
              <w:widowControl w:val="0"/>
              <w:spacing w:line="360" w:lineRule="auto"/>
              <w:jc w:val="center"/>
              <w:rPr>
                <w:rFonts w:hint="default" w:ascii="Arial Regular" w:hAnsi="Arial Regular" w:eastAsia="Calibri" w:cs="Arial Regular"/>
                <w:b w:val="0"/>
                <w:bCs/>
                <w:i w:val="0"/>
                <w:iCs/>
                <w:sz w:val="24"/>
                <w:szCs w:val="24"/>
              </w:rPr>
            </w:pPr>
          </w:p>
        </w:tc>
      </w:tr>
      <w:tr w14:paraId="373E2374">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0A4FB6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PI</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DDE6E3F">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1.81</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B9E0255">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895E4C7">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3D2513B">
            <w:pPr>
              <w:widowControl w:val="0"/>
              <w:spacing w:line="360" w:lineRule="auto"/>
              <w:jc w:val="center"/>
              <w:rPr>
                <w:rFonts w:hint="default" w:ascii="Arial Regular" w:hAnsi="Arial Regular" w:eastAsia="Calibri" w:cs="Arial Regular"/>
                <w:b w:val="0"/>
                <w:bCs/>
                <w:i w:val="0"/>
                <w:iCs/>
                <w:sz w:val="24"/>
                <w:szCs w:val="24"/>
              </w:rPr>
            </w:pPr>
          </w:p>
        </w:tc>
      </w:tr>
    </w:tbl>
    <w:p w14:paraId="725CF748">
      <w:pPr>
        <w:spacing w:line="360" w:lineRule="auto"/>
        <w:jc w:val="both"/>
        <w:rPr>
          <w:rFonts w:hint="default" w:ascii="Arial Regular" w:hAnsi="Arial Regular" w:cs="Arial Regular"/>
          <w:sz w:val="24"/>
          <w:szCs w:val="24"/>
          <w:lang w:val="de-DE"/>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Arial Regular">
    <w:panose1 w:val="020B0704020202020204"/>
    <w:charset w:val="00"/>
    <w:family w:val="auto"/>
    <w:pitch w:val="default"/>
    <w:sig w:usb0="E0002AFF" w:usb1="C0007843" w:usb2="00000009" w:usb3="00000000" w:csb0="400001FF" w:csb1="FFFF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Hiragino Sans GB">
    <w:panose1 w:val="020B0300000000000000"/>
    <w:charset w:val="86"/>
    <w:family w:val="auto"/>
    <w:pitch w:val="default"/>
    <w:sig w:usb0="A00002BF" w:usb1="1ACF7CFA" w:usb2="00000016" w:usb3="00000000" w:csb0="00060007" w:csb1="00000000"/>
  </w:font>
  <w:font w:name="黑体-简">
    <w:panose1 w:val="00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A3EFC">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2B822">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mzRMYIgIA&#10;AGAEAAAOAAAAAAAAAAEAIAAAAB8BAABkcnMvZTJvRG9jLnhtbFBLBQYAAAAABgAGAFkBAACzBQAA&#10;AAA=&#10;">
              <v:fill on="f" focussize="0,0"/>
              <v:stroke on="f" weight="0.5pt"/>
              <v:imagedata o:title=""/>
              <o:lock v:ext="edit" aspectratio="f"/>
              <v:textbox inset="0mm,0mm,0mm,0mm" style="mso-fit-shape-to-text:t;">
                <w:txbxContent>
                  <w:p w14:paraId="6A82B822">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1CA57">
    <w:pPr>
      <w:keepNext w:val="0"/>
      <w:keepLines w:val="0"/>
      <w:widowControl/>
      <w:suppressLineNumbers w:val="0"/>
      <w:jc w:val="left"/>
    </w:pPr>
  </w:p>
  <w:p w14:paraId="0B877596">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56B489"/>
    <w:multiLevelType w:val="singleLevel"/>
    <w:tmpl w:val="B756B48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DD7DF526"/>
    <w:multiLevelType w:val="singleLevel"/>
    <w:tmpl w:val="DD7DF526"/>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AF124B"/>
    <w:rsid w:val="397E6C93"/>
    <w:rsid w:val="3F3F1312"/>
    <w:rsid w:val="3FDFE4AD"/>
    <w:rsid w:val="67F3D4EA"/>
    <w:rsid w:val="73AF124B"/>
    <w:rsid w:val="755E7B00"/>
    <w:rsid w:val="7E2EAB97"/>
    <w:rsid w:val="7FBCD55A"/>
    <w:rsid w:val="BF9FAB04"/>
    <w:rsid w:val="DD6FEF78"/>
    <w:rsid w:val="DFBA7446"/>
    <w:rsid w:val="F7F5D390"/>
    <w:rsid w:val="FDB70B9B"/>
    <w:rsid w:val="FFEFDE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9"/>
    <w:pPr>
      <w:keepNext/>
      <w:keepLines/>
      <w:outlineLvl w:val="0"/>
    </w:pPr>
    <w:rPr>
      <w:b/>
      <w:sz w:val="28"/>
      <w:szCs w:val="28"/>
    </w:rPr>
  </w:style>
  <w:style w:type="paragraph" w:styleId="3">
    <w:name w:val="heading 2"/>
    <w:basedOn w:val="1"/>
    <w:next w:val="1"/>
    <w:unhideWhenUsed/>
    <w:qFormat/>
    <w:uiPriority w:val="9"/>
    <w:pPr>
      <w:keepNext/>
      <w:keepLines/>
      <w:outlineLvl w:val="1"/>
    </w:pPr>
    <w:rPr>
      <w:b/>
      <w:i/>
      <w:sz w:val="26"/>
      <w:szCs w:val="26"/>
    </w:rPr>
  </w:style>
  <w:style w:type="paragraph" w:styleId="4">
    <w:name w:val="heading 3"/>
    <w:basedOn w:val="1"/>
    <w:next w:val="1"/>
    <w:link w:val="17"/>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basedOn w:val="1"/>
    <w:next w:val="1"/>
    <w:unhideWhenUsed/>
    <w:qFormat/>
    <w:uiPriority w:val="0"/>
    <w:pPr>
      <w:keepNext/>
      <w:keepLines/>
      <w:spacing w:before="280" w:after="290" w:line="376" w:lineRule="auto"/>
      <w:outlineLvl w:val="3"/>
    </w:pPr>
    <w:rPr>
      <w:b/>
      <w:bCs/>
      <w:sz w:val="28"/>
      <w:szCs w:val="28"/>
    </w:rPr>
  </w:style>
  <w:style w:type="character" w:default="1" w:styleId="6">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character" w:styleId="8">
    <w:name w:val="Emphasis"/>
    <w:basedOn w:val="6"/>
    <w:qFormat/>
    <w:uiPriority w:val="0"/>
    <w:rPr>
      <w:i/>
      <w:iCs/>
    </w:rPr>
  </w:style>
  <w:style w:type="paragraph" w:styleId="9">
    <w:name w:val="footer"/>
    <w:basedOn w:val="1"/>
    <w:uiPriority w:val="0"/>
    <w:pPr>
      <w:tabs>
        <w:tab w:val="center" w:pos="4153"/>
        <w:tab w:val="right" w:pos="8306"/>
      </w:tabs>
      <w:snapToGrid w:val="0"/>
      <w:jc w:val="left"/>
    </w:pPr>
    <w:rPr>
      <w:sz w:val="18"/>
      <w:szCs w:val="18"/>
    </w:rPr>
  </w:style>
  <w:style w:type="paragraph" w:styleId="10">
    <w:name w:val="header"/>
    <w:basedOn w:val="1"/>
    <w:uiPriority w:val="0"/>
    <w:pPr>
      <w:tabs>
        <w:tab w:val="center" w:pos="4153"/>
        <w:tab w:val="right" w:pos="8306"/>
      </w:tabs>
      <w:snapToGrid w:val="0"/>
    </w:pPr>
    <w:rPr>
      <w:sz w:val="18"/>
      <w:szCs w:val="18"/>
    </w:rPr>
  </w:style>
  <w:style w:type="character" w:styleId="11">
    <w:name w:val="Hyperlink"/>
    <w:basedOn w:val="6"/>
    <w:uiPriority w:val="0"/>
    <w:rPr>
      <w:color w:val="0000FF"/>
      <w:u w:val="single"/>
    </w:rPr>
  </w:style>
  <w:style w:type="paragraph" w:styleId="12">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3">
    <w:name w:val="Strong"/>
    <w:basedOn w:val="6"/>
    <w:qFormat/>
    <w:uiPriority w:val="0"/>
    <w:rPr>
      <w:b/>
      <w:bCs/>
    </w:rPr>
  </w:style>
  <w:style w:type="paragraph" w:styleId="14">
    <w:name w:val="toc 1"/>
    <w:basedOn w:val="1"/>
    <w:next w:val="1"/>
    <w:uiPriority w:val="0"/>
  </w:style>
  <w:style w:type="paragraph" w:styleId="15">
    <w:name w:val="toc 2"/>
    <w:basedOn w:val="1"/>
    <w:next w:val="1"/>
    <w:uiPriority w:val="0"/>
    <w:pPr>
      <w:ind w:left="420" w:leftChars="200"/>
    </w:pPr>
  </w:style>
  <w:style w:type="paragraph" w:styleId="16">
    <w:name w:val="toc 3"/>
    <w:basedOn w:val="1"/>
    <w:next w:val="1"/>
    <w:uiPriority w:val="0"/>
    <w:pPr>
      <w:ind w:left="840" w:leftChars="400"/>
    </w:pPr>
  </w:style>
  <w:style w:type="character" w:customStyle="1" w:styleId="17">
    <w:name w:val="Heading 3 Char"/>
    <w:link w:val="4"/>
    <w:uiPriority w:val="0"/>
    <w:rPr>
      <w:rFonts w:hint="eastAsia" w:ascii="SimSun" w:hAnsi="SimSun" w:eastAsia="SimSun" w:cs="SimSun"/>
      <w:b/>
      <w:bCs/>
      <w:kern w:val="0"/>
      <w:sz w:val="27"/>
      <w:szCs w:val="27"/>
      <w:lang w:val="en-US" w:eastAsia="zh-CN" w:bidi="ar"/>
    </w:rPr>
  </w:style>
  <w:style w:type="table" w:customStyle="1" w:styleId="18">
    <w:name w:val="_Style 12"/>
    <w:basedOn w:val="19"/>
    <w:uiPriority w:val="0"/>
  </w:style>
  <w:style w:type="table" w:customStyle="1" w:styleId="19">
    <w:name w:val="TableNormal"/>
    <w:uiPriority w:val="0"/>
    <w:tblPr>
      <w:tblCellMar>
        <w:top w:w="100" w:type="dxa"/>
        <w:left w:w="100" w:type="dxa"/>
        <w:bottom w:w="100" w:type="dxa"/>
        <w:right w:w="100" w:type="dxa"/>
      </w:tblCellMar>
    </w:tblPr>
  </w:style>
  <w:style w:type="table" w:customStyle="1" w:styleId="20">
    <w:name w:val="_Style 13"/>
    <w:basedOn w:val="19"/>
    <w:uiPriority w:val="0"/>
  </w:style>
  <w:style w:type="table" w:customStyle="1" w:styleId="21">
    <w:name w:val="_Style 14"/>
    <w:basedOn w:val="19"/>
    <w:uiPriority w:val="0"/>
  </w:style>
  <w:style w:type="table" w:customStyle="1" w:styleId="22">
    <w:name w:val="_Style 15"/>
    <w:basedOn w:val="19"/>
    <w:uiPriority w:val="0"/>
  </w:style>
  <w:style w:type="paragraph" w:customStyle="1" w:styleId="23">
    <w:name w:val="WPSOffice手动目录 1"/>
    <w:uiPriority w:val="0"/>
    <w:pPr>
      <w:ind w:leftChars="0"/>
    </w:pPr>
    <w:rPr>
      <w:rFonts w:ascii="Times New Roman" w:hAnsi="Times New Roman" w:eastAsia="SimSun" w:cs="Times New Roman"/>
      <w:sz w:val="20"/>
      <w:szCs w:val="20"/>
    </w:rPr>
  </w:style>
  <w:style w:type="paragraph" w:customStyle="1" w:styleId="24">
    <w:name w:val="WPSOffice手动目录 2"/>
    <w:uiPriority w:val="0"/>
    <w:pPr>
      <w:ind w:leftChars="200"/>
    </w:pPr>
    <w:rPr>
      <w:rFonts w:ascii="Times New Roman" w:hAnsi="Times New Roman" w:eastAsia="SimSun" w:cs="Times New Roman"/>
      <w:sz w:val="20"/>
      <w:szCs w:val="20"/>
    </w:rPr>
  </w:style>
  <w:style w:type="paragraph" w:customStyle="1" w:styleId="25">
    <w:name w:val="WPSOffice手动目录 3"/>
    <w:uiPriority w:val="0"/>
    <w:pPr>
      <w:ind w:leftChars="40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7.xml"/><Relationship Id="rId12" Type="http://schemas.openxmlformats.org/officeDocument/2006/relationships/chart" Target="charts/chart6.xml"/><Relationship Id="rId11" Type="http://schemas.openxmlformats.org/officeDocument/2006/relationships/chart" Target="charts/chart5.xml"/><Relationship Id="rId10" Type="http://schemas.openxmlformats.org/officeDocument/2006/relationships/chart" Target="charts/chart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Users/anikaayub/Downloads/Calculat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Users/anikaayub/Downloads/Calculatio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Users/anikaayub/Downloads/Calculation.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Users/anikaayub/Downloads/Calculation.xlsx" TargetMode="External"/></Relationships>
</file>

<file path=word/charts/_rels/chart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oleObject" Target="/Users/anikaayub/Downloads/Calculatio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Users/anikaayub/Downloads/Calculation.xlsx" TargetMode="External"/></Relationships>
</file>

<file path=word/charts/_rels/chart7.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Users/anikaayub/Downloads/Calcul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lvl="0">
              <a:defRPr lang="en-US" sz="1400" b="1" i="0" u="none" strike="noStrike" kern="1200" baseline="0">
                <a:solidFill>
                  <a:schemeClr val="tx1">
                    <a:lumMod val="75000"/>
                    <a:lumOff val="25000"/>
                  </a:schemeClr>
                </a:solidFill>
                <a:latin typeface="+mn-lt"/>
                <a:ea typeface="+mn-ea"/>
                <a:cs typeface="+mn-cs"/>
              </a:defRPr>
            </a:pPr>
            <a:r>
              <a:t>PROFITABILITY RATIOS</a:t>
            </a:r>
          </a:p>
        </c:rich>
      </c:tx>
      <c:layout/>
      <c:overlay val="0"/>
      <c:spPr>
        <a:noFill/>
        <a:ln>
          <a:noFill/>
        </a:ln>
        <a:effectLst/>
      </c:spPr>
    </c:title>
    <c:autoTitleDeleted val="0"/>
    <c:plotArea>
      <c:layout/>
      <c:barChart>
        <c:barDir val="col"/>
        <c:grouping val="clustered"/>
        <c:varyColors val="1"/>
        <c:ser>
          <c:idx val="0"/>
          <c:order val="0"/>
          <c:tx>
            <c:strRef>
              <c:f>"Net Margin"</c:f>
              <c:strCache>
                <c:ptCount val="1"/>
                <c:pt idx="0">
                  <c:v>Net Margin</c:v>
                </c:pt>
              </c:strCache>
            </c:strRef>
          </c:tx>
          <c:spPr>
            <a:gradFill>
              <a:gsLst>
                <a:gs pos="0">
                  <a:schemeClr val="accent1">
                    <a:tint val="65000"/>
                    <a:lumMod val="40000"/>
                    <a:lumOff val="60000"/>
                  </a:schemeClr>
                </a:gs>
                <a:gs pos="90000">
                  <a:schemeClr val="accent1">
                    <a:tint val="65000"/>
                  </a:schemeClr>
                </a:gs>
              </a:gsLst>
              <a:lin ang="5400000" scaled="0"/>
            </a:gradFill>
            <a:ln>
              <a:gradFill>
                <a:gsLst>
                  <a:gs pos="0">
                    <a:schemeClr val="accent1">
                      <a:tint val="65000"/>
                    </a:schemeClr>
                  </a:gs>
                  <a:gs pos="100000">
                    <a:schemeClr val="accent1">
                      <a:tint val="65000"/>
                      <a:lumMod val="75000"/>
                    </a:schemeClr>
                  </a:gs>
                </a:gsLst>
                <a:lin ang="5400000" scaled="1"/>
              </a:gradFill>
            </a:ln>
            <a:effectLst>
              <a:outerShdw blurRad="76200" dist="25400" dir="2700000" algn="tl" rotWithShape="0">
                <a:schemeClr val="accent1">
                  <a:tint val="65000"/>
                  <a:lumMod val="50000"/>
                  <a:alpha val="30000"/>
                </a:schemeClr>
              </a:outerShdw>
            </a:effectLst>
          </c:spPr>
          <c:invertIfNegative val="1"/>
          <c:dLbls>
            <c:delete val="1"/>
          </c:dLbls>
          <c:cat>
            <c:numRef>
              <c:f>'[Calculation.xlsx]Ratio Analysis'!$M$3:$Q$3</c:f>
              <c:numCache>
                <c:formatCode>General</c:formatCode>
                <c:ptCount val="5"/>
                <c:pt idx="0">
                  <c:v>2020</c:v>
                </c:pt>
                <c:pt idx="1">
                  <c:v>2021</c:v>
                </c:pt>
                <c:pt idx="2">
                  <c:v>2022</c:v>
                </c:pt>
                <c:pt idx="3">
                  <c:v>2023</c:v>
                </c:pt>
                <c:pt idx="4">
                  <c:v>2024</c:v>
                </c:pt>
              </c:numCache>
            </c:numRef>
          </c:cat>
          <c:val>
            <c:numRef>
              <c:f>'[Calculation.xlsx]Ratio Analysis'!$M$4:$Q$4</c:f>
              <c:numCache>
                <c:formatCode>0.00%</c:formatCode>
                <c:ptCount val="5"/>
                <c:pt idx="0">
                  <c:v>0.062751350296089</c:v>
                </c:pt>
                <c:pt idx="1">
                  <c:v>0.00881147336611248</c:v>
                </c:pt>
                <c:pt idx="2">
                  <c:v>0.000749883464056262</c:v>
                </c:pt>
                <c:pt idx="3">
                  <c:v>-0.233645771149012</c:v>
                </c:pt>
                <c:pt idx="4">
                  <c:v>-0.0608515519944084</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"Return on Capital Employed (ROCE)"</c:f>
              <c:strCache>
                <c:ptCount val="1"/>
                <c:pt idx="0">
                  <c:v>Return on Capital Employed (ROCE)</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1"/>
          <c:dLbls>
            <c:delete val="1"/>
          </c:dLbls>
          <c:cat>
            <c:numRef>
              <c:f>'[Calculation.xlsx]Ratio Analysis'!$M$3:$Q$3</c:f>
              <c:numCache>
                <c:formatCode>General</c:formatCode>
                <c:ptCount val="5"/>
                <c:pt idx="0">
                  <c:v>2020</c:v>
                </c:pt>
                <c:pt idx="1">
                  <c:v>2021</c:v>
                </c:pt>
                <c:pt idx="2">
                  <c:v>2022</c:v>
                </c:pt>
                <c:pt idx="3">
                  <c:v>2023</c:v>
                </c:pt>
                <c:pt idx="4">
                  <c:v>2024</c:v>
                </c:pt>
              </c:numCache>
            </c:numRef>
          </c:cat>
          <c:val>
            <c:numRef>
              <c:f>'[Calculation.xlsx]Ratio Analysis'!$M$5:$Q$5</c:f>
              <c:numCache>
                <c:formatCode>0.00%</c:formatCode>
                <c:ptCount val="5"/>
                <c:pt idx="0">
                  <c:v>0.112664006288167</c:v>
                </c:pt>
                <c:pt idx="1">
                  <c:v>0.0792101130599773</c:v>
                </c:pt>
                <c:pt idx="2">
                  <c:v>0.0505683200667385</c:v>
                </c:pt>
                <c:pt idx="3">
                  <c:v>-0.43806105051252</c:v>
                </c:pt>
                <c:pt idx="4">
                  <c:v>-0.0926737064030098</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2"/>
          <c:order val="2"/>
          <c:tx>
            <c:strRef>
              <c:f>"Return on Equity"</c:f>
              <c:strCache>
                <c:ptCount val="1"/>
                <c:pt idx="0">
                  <c:v>Return on Equity</c:v>
                </c:pt>
              </c:strCache>
            </c:strRef>
          </c:tx>
          <c:spPr>
            <a:gradFill>
              <a:gsLst>
                <a:gs pos="0">
                  <a:schemeClr val="accent1">
                    <a:shade val="65000"/>
                    <a:lumMod val="40000"/>
                    <a:lumOff val="60000"/>
                  </a:schemeClr>
                </a:gs>
                <a:gs pos="90000">
                  <a:schemeClr val="accent1">
                    <a:shade val="65000"/>
                  </a:schemeClr>
                </a:gs>
              </a:gsLst>
              <a:lin ang="5400000" scaled="0"/>
            </a:gradFill>
            <a:ln>
              <a:gradFill>
                <a:gsLst>
                  <a:gs pos="0">
                    <a:schemeClr val="accent1">
                      <a:shade val="65000"/>
                    </a:schemeClr>
                  </a:gs>
                  <a:gs pos="100000">
                    <a:schemeClr val="accent1">
                      <a:shade val="65000"/>
                      <a:lumMod val="75000"/>
                    </a:schemeClr>
                  </a:gs>
                </a:gsLst>
                <a:lin ang="5400000" scaled="1"/>
              </a:gradFill>
            </a:ln>
            <a:effectLst>
              <a:outerShdw blurRad="76200" dist="25400" dir="2700000" algn="tl" rotWithShape="0">
                <a:schemeClr val="accent1">
                  <a:shade val="65000"/>
                  <a:lumMod val="50000"/>
                  <a:alpha val="30000"/>
                </a:schemeClr>
              </a:outerShdw>
            </a:effectLst>
          </c:spPr>
          <c:invertIfNegative val="1"/>
          <c:dLbls>
            <c:delete val="1"/>
          </c:dLbls>
          <c:cat>
            <c:numRef>
              <c:f>'[Calculation.xlsx]Ratio Analysis'!$M$3:$Q$3</c:f>
              <c:numCache>
                <c:formatCode>General</c:formatCode>
                <c:ptCount val="5"/>
                <c:pt idx="0">
                  <c:v>2020</c:v>
                </c:pt>
                <c:pt idx="1">
                  <c:v>2021</c:v>
                </c:pt>
                <c:pt idx="2">
                  <c:v>2022</c:v>
                </c:pt>
                <c:pt idx="3">
                  <c:v>2023</c:v>
                </c:pt>
                <c:pt idx="4">
                  <c:v>2024</c:v>
                </c:pt>
              </c:numCache>
            </c:numRef>
          </c:cat>
          <c:val>
            <c:numRef>
              <c:f>'[Calculation.xlsx]Ratio Analysis'!$M$6:$Q$6</c:f>
              <c:numCache>
                <c:formatCode>0.00%</c:formatCode>
                <c:ptCount val="5"/>
                <c:pt idx="0">
                  <c:v>0.123114832062458</c:v>
                </c:pt>
                <c:pt idx="1">
                  <c:v>0.0192100714262418</c:v>
                </c:pt>
                <c:pt idx="2">
                  <c:v>0.00151635954486859</c:v>
                </c:pt>
                <c:pt idx="3">
                  <c:v>-0.54906103286385</c:v>
                </c:pt>
                <c:pt idx="4">
                  <c:v>-0.156944580516639</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246"/>
        <c:overlap val="-28"/>
        <c:axId val="269928298"/>
        <c:axId val="1782593658"/>
      </c:barChart>
      <c:catAx>
        <c:axId val="269928298"/>
        <c:scaling>
          <c:orientation val="minMax"/>
        </c:scaling>
        <c:delete val="0"/>
        <c:axPos val="b"/>
        <c:title>
          <c:layout/>
          <c:overlay val="0"/>
          <c:spPr>
            <a:noFill/>
            <a:ln>
              <a:noFill/>
            </a:ln>
            <a:effectLst/>
          </c:spPr>
          <c:tx>
            <c:rich>
              <a:bodyPr/>
              <a:lstStyle/>
              <a:p>
                <a:pPr>
                  <a:defRPr/>
                </a:pPr>
              </a:p>
            </c:rich>
          </c:tx>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782593658"/>
        <c:crosses val="autoZero"/>
        <c:auto val="1"/>
        <c:lblAlgn val="ctr"/>
        <c:lblOffset val="100"/>
        <c:noMultiLvlLbl val="1"/>
      </c:catAx>
      <c:valAx>
        <c:axId val="1782593658"/>
        <c:scaling>
          <c:orientation val="minMax"/>
        </c:scaling>
        <c:delete val="0"/>
        <c:axPos val="l"/>
        <c:majorGridlines>
          <c:spPr>
            <a:ln w="9525" cap="flat" cmpd="sng" algn="ctr">
              <a:solidFill>
                <a:schemeClr val="lt1">
                  <a:lumMod val="90200"/>
                </a:schemeClr>
              </a:solidFill>
              <a:prstDash val="solid"/>
              <a:round/>
            </a:ln>
            <a:effectLst/>
          </c:spPr>
        </c:majorGridlines>
        <c:title>
          <c:layout/>
          <c:overlay val="0"/>
          <c:spPr>
            <a:noFill/>
            <a:ln>
              <a:noFill/>
            </a:ln>
            <a:effectLst/>
          </c:spPr>
          <c:tx>
            <c:rich>
              <a:bodyPr/>
              <a:lstStyle/>
              <a:p>
                <a:pPr>
                  <a:defRPr/>
                </a:pPr>
              </a:p>
            </c:rich>
          </c:tx>
        </c:title>
        <c:numFmt formatCode="0.00%" sourceLinked="1"/>
        <c:majorTickMark val="out"/>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6992829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1"/>
    <c:extLst>
      <c:ext uri="{0b15fc19-7d7d-44ad-8c2d-2c3a37ce22c3}">
        <chartProps xmlns="https://web.wps.cn/et/2018/main" chartId="{0b6d00fa-3268-42d1-aca2-f8b396bdc3f4}"/>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lvl="0">
              <a:defRPr lang="en-US" sz="1400" b="1" i="0" u="none" strike="noStrike" kern="1200" baseline="0">
                <a:solidFill>
                  <a:schemeClr val="tx1">
                    <a:lumMod val="75000"/>
                    <a:lumOff val="25000"/>
                  </a:schemeClr>
                </a:solidFill>
                <a:latin typeface="+mn-lt"/>
                <a:ea typeface="+mn-ea"/>
                <a:cs typeface="+mn-cs"/>
              </a:defRPr>
            </a:pPr>
            <a:r>
              <a:t>LIQUDITY RATIOS</a:t>
            </a:r>
          </a:p>
        </c:rich>
      </c:tx>
      <c:layout/>
      <c:overlay val="0"/>
      <c:spPr>
        <a:noFill/>
        <a:ln>
          <a:noFill/>
        </a:ln>
        <a:effectLst/>
      </c:spPr>
    </c:title>
    <c:autoTitleDeleted val="0"/>
    <c:plotArea>
      <c:layout/>
      <c:barChart>
        <c:barDir val="col"/>
        <c:grouping val="clustered"/>
        <c:varyColors val="1"/>
        <c:ser>
          <c:idx val="0"/>
          <c:order val="0"/>
          <c:tx>
            <c:strRef>
              <c:f>"Current Ratio"</c:f>
              <c:strCache>
                <c:ptCount val="1"/>
                <c:pt idx="0">
                  <c:v>Current Ratio</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1"/>
          <c:dLbls>
            <c:delete val="1"/>
          </c:dLbls>
          <c:cat>
            <c:numRef>
              <c:f>'[Calculation.xlsx]Ratio Analysis'!$L$21:$P$21</c:f>
              <c:numCache>
                <c:formatCode>General</c:formatCode>
                <c:ptCount val="5"/>
                <c:pt idx="0">
                  <c:v>2020</c:v>
                </c:pt>
                <c:pt idx="1">
                  <c:v>2021</c:v>
                </c:pt>
                <c:pt idx="2">
                  <c:v>2022</c:v>
                </c:pt>
                <c:pt idx="3">
                  <c:v>2023</c:v>
                </c:pt>
                <c:pt idx="4">
                  <c:v>2024</c:v>
                </c:pt>
              </c:numCache>
            </c:numRef>
          </c:cat>
          <c:val>
            <c:numRef>
              <c:f>'[Calculation.xlsx]Ratio Analysis'!$L$22:$P$22</c:f>
              <c:numCache>
                <c:formatCode>_(* #,##0.00_);_(* \(#,##0.00\);_(* "-"??_);_(@_)</c:formatCode>
                <c:ptCount val="5"/>
                <c:pt idx="0">
                  <c:v>1.82075093309565</c:v>
                </c:pt>
                <c:pt idx="1">
                  <c:v>1.55519473031132</c:v>
                </c:pt>
                <c:pt idx="2">
                  <c:v>1.56158042804414</c:v>
                </c:pt>
                <c:pt idx="3">
                  <c:v>1.60629359346688</c:v>
                </c:pt>
                <c:pt idx="4">
                  <c:v>1.53195064785743</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"Cash Ratio"</c:f>
              <c:strCache>
                <c:ptCount val="1"/>
                <c:pt idx="0">
                  <c:v>Cash Ratio</c:v>
                </c:pt>
              </c:strCache>
            </c:strRef>
          </c:tx>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invertIfNegative val="1"/>
          <c:dLbls>
            <c:delete val="1"/>
          </c:dLbls>
          <c:cat>
            <c:numRef>
              <c:f>'[Calculation.xlsx]Ratio Analysis'!$L$21:$P$21</c:f>
              <c:numCache>
                <c:formatCode>General</c:formatCode>
                <c:ptCount val="5"/>
                <c:pt idx="0">
                  <c:v>2020</c:v>
                </c:pt>
                <c:pt idx="1">
                  <c:v>2021</c:v>
                </c:pt>
                <c:pt idx="2">
                  <c:v>2022</c:v>
                </c:pt>
                <c:pt idx="3">
                  <c:v>2023</c:v>
                </c:pt>
                <c:pt idx="4">
                  <c:v>2024</c:v>
                </c:pt>
              </c:numCache>
            </c:numRef>
          </c:cat>
          <c:val>
            <c:numRef>
              <c:f>'[Calculation.xlsx]Ratio Analysis'!$L$23:$P$23</c:f>
              <c:numCache>
                <c:formatCode>_(* #,##0.00_);_(* \(#,##0.00\);_(* "-"??_);_(@_)</c:formatCode>
                <c:ptCount val="5"/>
                <c:pt idx="0">
                  <c:v>0.318383376970642</c:v>
                </c:pt>
                <c:pt idx="1">
                  <c:v>0.2805195883517</c:v>
                </c:pt>
                <c:pt idx="2">
                  <c:v>0.308306347673844</c:v>
                </c:pt>
                <c:pt idx="3">
                  <c:v>0.265290292153797</c:v>
                </c:pt>
                <c:pt idx="4">
                  <c:v>0.169201028485511</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2"/>
          <c:order val="2"/>
          <c:tx>
            <c:strRef>
              <c:f>"Quick Ratio"</c:f>
              <c:strCache>
                <c:ptCount val="1"/>
                <c:pt idx="0">
                  <c:v>Quick Ratio</c:v>
                </c:pt>
              </c:strCache>
            </c:strRef>
          </c:tx>
          <c:spPr>
            <a:gradFill>
              <a:gsLst>
                <a:gs pos="0">
                  <a:schemeClr val="accent3">
                    <a:lumMod val="40000"/>
                    <a:lumOff val="60000"/>
                  </a:schemeClr>
                </a:gs>
                <a:gs pos="90000">
                  <a:schemeClr val="accent3"/>
                </a:gs>
              </a:gsLst>
              <a:lin ang="5400000" scaled="0"/>
            </a:gradFill>
            <a:ln>
              <a:gradFill>
                <a:gsLst>
                  <a:gs pos="0">
                    <a:schemeClr val="accent3"/>
                  </a:gs>
                  <a:gs pos="100000">
                    <a:schemeClr val="accent3">
                      <a:lumMod val="75000"/>
                    </a:schemeClr>
                  </a:gs>
                </a:gsLst>
                <a:lin ang="5400000" scaled="1"/>
              </a:gradFill>
            </a:ln>
            <a:effectLst>
              <a:outerShdw blurRad="76200" dist="25400" dir="2700000" algn="tl" rotWithShape="0">
                <a:schemeClr val="accent3">
                  <a:lumMod val="50000"/>
                  <a:alpha val="30000"/>
                </a:schemeClr>
              </a:outerShdw>
            </a:effectLst>
          </c:spPr>
          <c:invertIfNegative val="1"/>
          <c:dLbls>
            <c:delete val="1"/>
          </c:dLbls>
          <c:cat>
            <c:numRef>
              <c:f>'[Calculation.xlsx]Ratio Analysis'!$L$21:$P$21</c:f>
              <c:numCache>
                <c:formatCode>General</c:formatCode>
                <c:ptCount val="5"/>
                <c:pt idx="0">
                  <c:v>2020</c:v>
                </c:pt>
                <c:pt idx="1">
                  <c:v>2021</c:v>
                </c:pt>
                <c:pt idx="2">
                  <c:v>2022</c:v>
                </c:pt>
                <c:pt idx="3">
                  <c:v>2023</c:v>
                </c:pt>
                <c:pt idx="4">
                  <c:v>2024</c:v>
                </c:pt>
              </c:numCache>
            </c:numRef>
          </c:cat>
          <c:val>
            <c:numRef>
              <c:f>'[Calculation.xlsx]Ratio Analysis'!$L$24:$P$24</c:f>
              <c:numCache>
                <c:formatCode>_(* #,##0.00_);_(* \(#,##0.00\);_(* "-"??_);_(@_)</c:formatCode>
                <c:ptCount val="5"/>
                <c:pt idx="0">
                  <c:v>1.14986908807309</c:v>
                </c:pt>
                <c:pt idx="1">
                  <c:v>0.934913071355755</c:v>
                </c:pt>
                <c:pt idx="2">
                  <c:v>0.914012371057822</c:v>
                </c:pt>
                <c:pt idx="3">
                  <c:v>1.05851763596197</c:v>
                </c:pt>
                <c:pt idx="4">
                  <c:v>1.03062713609744</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246"/>
        <c:overlap val="-28"/>
        <c:axId val="668100988"/>
        <c:axId val="1404569614"/>
      </c:barChart>
      <c:catAx>
        <c:axId val="668100988"/>
        <c:scaling>
          <c:orientation val="minMax"/>
        </c:scaling>
        <c:delete val="0"/>
        <c:axPos val="b"/>
        <c:title>
          <c:layout/>
          <c:overlay val="0"/>
          <c:spPr>
            <a:noFill/>
            <a:ln>
              <a:noFill/>
            </a:ln>
            <a:effectLst/>
          </c:spPr>
          <c:tx>
            <c:rich>
              <a:bodyPr/>
              <a:lstStyle/>
              <a:p>
                <a:pPr>
                  <a:defRPr/>
                </a:pPr>
              </a:p>
            </c:rich>
          </c:tx>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404569614"/>
        <c:crosses val="autoZero"/>
        <c:auto val="1"/>
        <c:lblAlgn val="ctr"/>
        <c:lblOffset val="100"/>
        <c:noMultiLvlLbl val="1"/>
      </c:catAx>
      <c:valAx>
        <c:axId val="1404569614"/>
        <c:scaling>
          <c:orientation val="minMax"/>
        </c:scaling>
        <c:delete val="0"/>
        <c:axPos val="l"/>
        <c:majorGridlines>
          <c:spPr>
            <a:ln w="9525" cap="flat" cmpd="sng" algn="ctr">
              <a:solidFill>
                <a:schemeClr val="lt1">
                  <a:lumMod val="90200"/>
                </a:schemeClr>
              </a:solidFill>
              <a:prstDash val="solid"/>
              <a:round/>
            </a:ln>
            <a:effectLst/>
          </c:spPr>
        </c:majorGridlines>
        <c:title>
          <c:layout/>
          <c:overlay val="0"/>
          <c:spPr>
            <a:noFill/>
            <a:ln>
              <a:noFill/>
            </a:ln>
            <a:effectLst/>
          </c:spPr>
          <c:tx>
            <c:rich>
              <a:bodyPr/>
              <a:lstStyle/>
              <a:p>
                <a:pPr>
                  <a:defRPr/>
                </a:pPr>
              </a:p>
            </c:rich>
          </c:tx>
        </c:title>
        <c:numFmt formatCode="_(* #,##0.00_);_(* \(#,##0.00\);_(* &quot;-&quot;??_);_(@_)" sourceLinked="1"/>
        <c:majorTickMark val="out"/>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66810098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1"/>
    <c:extLst>
      <c:ext uri="{0b15fc19-7d7d-44ad-8c2d-2c3a37ce22c3}">
        <chartProps xmlns="https://web.wps.cn/et/2018/main" chartId="{fbb470bf-d6d6-4045-b12c-f973bd071015}"/>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lvl="0">
              <a:defRPr lang="en-US" sz="1400" b="1" i="0" u="none" strike="noStrike" kern="1200" baseline="0">
                <a:solidFill>
                  <a:schemeClr val="tx1">
                    <a:lumMod val="75000"/>
                    <a:lumOff val="25000"/>
                  </a:schemeClr>
                </a:solidFill>
                <a:latin typeface="+mn-lt"/>
                <a:ea typeface="+mn-ea"/>
                <a:cs typeface="+mn-cs"/>
              </a:defRPr>
            </a:pPr>
            <a:r>
              <a:t>EFFICIENCY RATIOS</a:t>
            </a:r>
          </a:p>
        </c:rich>
      </c:tx>
      <c:layout/>
      <c:overlay val="0"/>
      <c:spPr>
        <a:noFill/>
        <a:ln>
          <a:noFill/>
        </a:ln>
        <a:effectLst/>
      </c:spPr>
    </c:title>
    <c:autoTitleDeleted val="0"/>
    <c:plotArea>
      <c:layout/>
      <c:barChart>
        <c:barDir val="col"/>
        <c:grouping val="clustered"/>
        <c:varyColors val="1"/>
        <c:ser>
          <c:idx val="0"/>
          <c:order val="0"/>
          <c:tx>
            <c:strRef>
              <c:f>"Inventory Turnover Days"</c:f>
              <c:strCache>
                <c:ptCount val="1"/>
                <c:pt idx="0">
                  <c:v>Inventory Turnover Days</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1"/>
          <c:dLbls>
            <c:delete val="1"/>
          </c:dLbls>
          <c:cat>
            <c:numRef>
              <c:f>'[Calculation.xlsx]Ratio Analysis'!$L$57:$P$57</c:f>
              <c:numCache>
                <c:formatCode>General</c:formatCode>
                <c:ptCount val="5"/>
                <c:pt idx="0">
                  <c:v>2020</c:v>
                </c:pt>
                <c:pt idx="1">
                  <c:v>2021</c:v>
                </c:pt>
                <c:pt idx="2">
                  <c:v>2022</c:v>
                </c:pt>
                <c:pt idx="3">
                  <c:v>2023</c:v>
                </c:pt>
                <c:pt idx="4">
                  <c:v>2024</c:v>
                </c:pt>
              </c:numCache>
            </c:numRef>
          </c:cat>
          <c:val>
            <c:numRef>
              <c:f>'[Calculation.xlsx]Ratio Analysis'!$L$58:$P$58</c:f>
              <c:numCache>
                <c:formatCode>_(* #,##0_);_(* \(#,##0\);_(* "-"??_);_(@_)</c:formatCode>
                <c:ptCount val="5"/>
                <c:pt idx="0">
                  <c:v>61.9017604236511</c:v>
                </c:pt>
                <c:pt idx="1">
                  <c:v>63.6403312287382</c:v>
                </c:pt>
                <c:pt idx="2">
                  <c:v>70.1537293288156</c:v>
                </c:pt>
                <c:pt idx="3">
                  <c:v>78.9753621123764</c:v>
                </c:pt>
                <c:pt idx="4">
                  <c:v>55.6131690905531</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"Receivables Turnover Days"</c:f>
              <c:strCache>
                <c:ptCount val="1"/>
                <c:pt idx="0">
                  <c:v>Receivables Turnover Days</c:v>
                </c:pt>
              </c:strCache>
            </c:strRef>
          </c:tx>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invertIfNegative val="1"/>
          <c:dLbls>
            <c:delete val="1"/>
          </c:dLbls>
          <c:cat>
            <c:numRef>
              <c:f>'[Calculation.xlsx]Ratio Analysis'!$L$57:$P$57</c:f>
              <c:numCache>
                <c:formatCode>General</c:formatCode>
                <c:ptCount val="5"/>
                <c:pt idx="0">
                  <c:v>2020</c:v>
                </c:pt>
                <c:pt idx="1">
                  <c:v>2021</c:v>
                </c:pt>
                <c:pt idx="2">
                  <c:v>2022</c:v>
                </c:pt>
                <c:pt idx="3">
                  <c:v>2023</c:v>
                </c:pt>
                <c:pt idx="4">
                  <c:v>2024</c:v>
                </c:pt>
              </c:numCache>
            </c:numRef>
          </c:cat>
          <c:val>
            <c:numRef>
              <c:f>'[Calculation.xlsx]Ratio Analysis'!$L$59:$P$59</c:f>
              <c:numCache>
                <c:formatCode>_(* #,##0_);_(* \(#,##0\);_(* "-"??_);_(@_)</c:formatCode>
                <c:ptCount val="5"/>
                <c:pt idx="0">
                  <c:v>81.2770465933494</c:v>
                </c:pt>
                <c:pt idx="1">
                  <c:v>79.005309988996</c:v>
                </c:pt>
                <c:pt idx="2">
                  <c:v>79.8449058592246</c:v>
                </c:pt>
                <c:pt idx="3">
                  <c:v>99.9325495829538</c:v>
                </c:pt>
                <c:pt idx="4">
                  <c:v>99.9158603015101</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2"/>
          <c:order val="2"/>
          <c:tx>
            <c:strRef>
              <c:f>"Payables Turnover Days"</c:f>
              <c:strCache>
                <c:ptCount val="1"/>
                <c:pt idx="0">
                  <c:v>Payables Turnover Days</c:v>
                </c:pt>
              </c:strCache>
            </c:strRef>
          </c:tx>
          <c:spPr>
            <a:gradFill>
              <a:gsLst>
                <a:gs pos="0">
                  <a:schemeClr val="accent3">
                    <a:lumMod val="40000"/>
                    <a:lumOff val="60000"/>
                  </a:schemeClr>
                </a:gs>
                <a:gs pos="90000">
                  <a:schemeClr val="accent3"/>
                </a:gs>
              </a:gsLst>
              <a:lin ang="5400000" scaled="0"/>
            </a:gradFill>
            <a:ln>
              <a:gradFill>
                <a:gsLst>
                  <a:gs pos="0">
                    <a:schemeClr val="accent3"/>
                  </a:gs>
                  <a:gs pos="100000">
                    <a:schemeClr val="accent3">
                      <a:lumMod val="75000"/>
                    </a:schemeClr>
                  </a:gs>
                </a:gsLst>
                <a:lin ang="5400000" scaled="1"/>
              </a:gradFill>
            </a:ln>
            <a:effectLst>
              <a:outerShdw blurRad="76200" dist="25400" dir="2700000" algn="tl" rotWithShape="0">
                <a:schemeClr val="accent3">
                  <a:lumMod val="50000"/>
                  <a:alpha val="30000"/>
                </a:schemeClr>
              </a:outerShdw>
            </a:effectLst>
          </c:spPr>
          <c:invertIfNegative val="1"/>
          <c:dLbls>
            <c:delete val="1"/>
          </c:dLbls>
          <c:cat>
            <c:numRef>
              <c:f>'[Calculation.xlsx]Ratio Analysis'!$L$57:$P$57</c:f>
              <c:numCache>
                <c:formatCode>General</c:formatCode>
                <c:ptCount val="5"/>
                <c:pt idx="0">
                  <c:v>2020</c:v>
                </c:pt>
                <c:pt idx="1">
                  <c:v>2021</c:v>
                </c:pt>
                <c:pt idx="2">
                  <c:v>2022</c:v>
                </c:pt>
                <c:pt idx="3">
                  <c:v>2023</c:v>
                </c:pt>
                <c:pt idx="4">
                  <c:v>2024</c:v>
                </c:pt>
              </c:numCache>
            </c:numRef>
          </c:cat>
          <c:val>
            <c:numRef>
              <c:f>'[Calculation.xlsx]Ratio Analysis'!$L$60:$P$60</c:f>
              <c:numCache>
                <c:formatCode>_(* #,##0_);_(* \(#,##0\);_(* "-"??_);_(@_)</c:formatCode>
                <c:ptCount val="5"/>
                <c:pt idx="0">
                  <c:v>55.3213816554687</c:v>
                </c:pt>
                <c:pt idx="1">
                  <c:v>79.3232396765177</c:v>
                </c:pt>
                <c:pt idx="2">
                  <c:v>53.3189656276331</c:v>
                </c:pt>
                <c:pt idx="3">
                  <c:v>52.3862950104832</c:v>
                </c:pt>
                <c:pt idx="4">
                  <c:v>103.823940402656</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246"/>
        <c:overlap val="-28"/>
        <c:axId val="1494542382"/>
        <c:axId val="713965955"/>
      </c:barChart>
      <c:catAx>
        <c:axId val="1494542382"/>
        <c:scaling>
          <c:orientation val="minMax"/>
        </c:scaling>
        <c:delete val="0"/>
        <c:axPos val="b"/>
        <c:title>
          <c:layout/>
          <c:overlay val="0"/>
          <c:spPr>
            <a:noFill/>
            <a:ln>
              <a:noFill/>
            </a:ln>
            <a:effectLst/>
          </c:spPr>
          <c:tx>
            <c:rich>
              <a:bodyPr/>
              <a:lstStyle/>
              <a:p>
                <a:pPr>
                  <a:defRPr/>
                </a:pPr>
              </a:p>
            </c:rich>
          </c:tx>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713965955"/>
        <c:crosses val="autoZero"/>
        <c:auto val="1"/>
        <c:lblAlgn val="ctr"/>
        <c:lblOffset val="100"/>
        <c:noMultiLvlLbl val="1"/>
      </c:catAx>
      <c:valAx>
        <c:axId val="713965955"/>
        <c:scaling>
          <c:orientation val="minMax"/>
        </c:scaling>
        <c:delete val="0"/>
        <c:axPos val="l"/>
        <c:majorGridlines>
          <c:spPr>
            <a:ln w="9525" cap="flat" cmpd="sng" algn="ctr">
              <a:solidFill>
                <a:schemeClr val="lt1">
                  <a:lumMod val="90200"/>
                </a:schemeClr>
              </a:solidFill>
              <a:prstDash val="solid"/>
              <a:round/>
            </a:ln>
            <a:effectLst/>
          </c:spPr>
        </c:majorGridlines>
        <c:title>
          <c:layout/>
          <c:overlay val="0"/>
          <c:spPr>
            <a:noFill/>
            <a:ln>
              <a:noFill/>
            </a:ln>
            <a:effectLst/>
          </c:spPr>
          <c:tx>
            <c:rich>
              <a:bodyPr/>
              <a:lstStyle/>
              <a:p>
                <a:pPr>
                  <a:defRPr/>
                </a:pPr>
              </a:p>
            </c:rich>
          </c:tx>
        </c:title>
        <c:numFmt formatCode="_(* #,##0_);_(* \(#,##0\);_(* &quot;-&quot;??_);_(@_)" sourceLinked="1"/>
        <c:majorTickMark val="out"/>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49454238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1"/>
    <c:extLst>
      <c:ext uri="{0b15fc19-7d7d-44ad-8c2d-2c3a37ce22c3}">
        <chartProps xmlns="https://web.wps.cn/et/2018/main" chartId="{06b33b16-264e-4b97-80d3-73492ffaea70}"/>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de-DE" altLang="en-US">
                <a:latin typeface="Calibri" panose="020F0502020204030204" pitchFamily="2" charset="0"/>
              </a:rPr>
              <a:t>Gearing Ratio</a:t>
            </a:r>
            <a:endParaRPr lang="de-DE" altLang="en-US">
              <a:latin typeface="Calibri" panose="020F0502020204030204" pitchFamily="2" charset="0"/>
            </a:endParaRPr>
          </a:p>
        </c:rich>
      </c:tx>
      <c:layout/>
      <c:overlay val="0"/>
      <c:spPr>
        <a:noFill/>
        <a:ln>
          <a:noFill/>
        </a:ln>
        <a:effectLst/>
      </c:spPr>
    </c:title>
    <c:autoTitleDeleted val="0"/>
    <c:plotArea>
      <c:layout/>
      <c:barChart>
        <c:barDir val="col"/>
        <c:grouping val="clustered"/>
        <c:varyColors val="0"/>
        <c:ser>
          <c:idx val="0"/>
          <c:order val="0"/>
          <c:tx>
            <c:strRef>
              <c:f>'[Calculation.xlsx]Ratio Analysis'!$B$33:$C$33</c:f>
              <c:strCache>
                <c:ptCount val="1"/>
                <c:pt idx="0">
                  <c:v>Debt/Equity Ratio A/B</c:v>
                </c:pt>
              </c:strCache>
            </c:strRef>
          </c:tx>
          <c:spPr>
            <a:gradFill>
              <a:gsLst>
                <a:gs pos="0">
                  <a:schemeClr val="accent1">
                    <a:shade val="65000"/>
                    <a:lumMod val="40000"/>
                    <a:lumOff val="60000"/>
                  </a:schemeClr>
                </a:gs>
                <a:gs pos="90000">
                  <a:schemeClr val="accent1">
                    <a:shade val="65000"/>
                  </a:schemeClr>
                </a:gs>
              </a:gsLst>
              <a:lin ang="5400000" scaled="0"/>
            </a:gradFill>
            <a:ln>
              <a:gradFill>
                <a:gsLst>
                  <a:gs pos="0">
                    <a:schemeClr val="accent1">
                      <a:shade val="65000"/>
                    </a:schemeClr>
                  </a:gs>
                  <a:gs pos="100000">
                    <a:schemeClr val="accent1">
                      <a:shade val="65000"/>
                      <a:lumMod val="75000"/>
                    </a:schemeClr>
                  </a:gs>
                </a:gsLst>
                <a:lin ang="5400000" scaled="1"/>
              </a:gradFill>
            </a:ln>
            <a:effectLst>
              <a:outerShdw blurRad="76200" dist="25400" dir="2700000" algn="tl" rotWithShape="0">
                <a:schemeClr val="accent1">
                  <a:shade val="65000"/>
                  <a:lumMod val="50000"/>
                  <a:alpha val="30000"/>
                </a:schemeClr>
              </a:outerShdw>
            </a:effectLst>
          </c:spPr>
          <c:invertIfNegative val="0"/>
          <c:dLbls>
            <c:delete val="1"/>
          </c:dLbls>
          <c:val>
            <c:numRef>
              <c:f>'[Calculation.xlsx]Ratio Analysis'!$D$33:$H$33</c:f>
              <c:numCache>
                <c:formatCode>_(* #,##0.00_);_(* \(#,##0.00\);_(* "-"??_);_(@_)</c:formatCode>
                <c:ptCount val="5"/>
                <c:pt idx="0">
                  <c:v>0.62875317984941</c:v>
                </c:pt>
                <c:pt idx="1">
                  <c:v>0.849428698781297</c:v>
                </c:pt>
                <c:pt idx="2">
                  <c:v>0.87835964918817</c:v>
                </c:pt>
                <c:pt idx="3">
                  <c:v>0.989000670690812</c:v>
                </c:pt>
                <c:pt idx="4">
                  <c:v>1.11197544169034</c:v>
                </c:pt>
              </c:numCache>
            </c:numRef>
          </c:val>
        </c:ser>
        <c:ser>
          <c:idx val="1"/>
          <c:order val="1"/>
          <c:tx>
            <c:strRef>
              <c:f>'[Calculation.xlsx]Ratio Analysis'!$B$34:$C$34</c:f>
              <c:strCache>
                <c:ptCount val="1"/>
                <c:pt idx="0">
                  <c:v>Interest Coverage Ratio C/D</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0"/>
          <c:dLbls>
            <c:delete val="1"/>
          </c:dLbls>
          <c:val>
            <c:numRef>
              <c:f>'[Calculation.xlsx]Ratio Analysis'!$D$34:$H$34</c:f>
              <c:numCache>
                <c:formatCode>_(* #,##0.00_);_(* \(#,##0.00\);_(* "-"??_);_(@_)</c:formatCode>
                <c:ptCount val="5"/>
                <c:pt idx="0">
                  <c:v>26.2074542897328</c:v>
                </c:pt>
                <c:pt idx="1">
                  <c:v>41.0830388692579</c:v>
                </c:pt>
                <c:pt idx="2">
                  <c:v>6.61272727272727</c:v>
                </c:pt>
                <c:pt idx="3">
                  <c:v>-19.6909048938135</c:v>
                </c:pt>
                <c:pt idx="4">
                  <c:v>-4.5513240107111</c:v>
                </c:pt>
              </c:numCache>
            </c:numRef>
          </c:val>
        </c:ser>
        <c:ser>
          <c:idx val="2"/>
          <c:order val="2"/>
          <c:tx>
            <c:strRef>
              <c:f>'[Calculation.xlsx]Ratio Analysis'!$B$35:$C$35</c:f>
              <c:strCache>
                <c:ptCount val="1"/>
                <c:pt idx="0">
                  <c:v>Debt/Capital Ratio F/(F+E)</c:v>
                </c:pt>
              </c:strCache>
            </c:strRef>
          </c:tx>
          <c:spPr>
            <a:gradFill>
              <a:gsLst>
                <a:gs pos="0">
                  <a:schemeClr val="accent1">
                    <a:tint val="65000"/>
                    <a:lumMod val="40000"/>
                    <a:lumOff val="60000"/>
                  </a:schemeClr>
                </a:gs>
                <a:gs pos="90000">
                  <a:schemeClr val="accent1">
                    <a:tint val="65000"/>
                  </a:schemeClr>
                </a:gs>
              </a:gsLst>
              <a:lin ang="5400000" scaled="0"/>
            </a:gradFill>
            <a:ln>
              <a:gradFill>
                <a:gsLst>
                  <a:gs pos="0">
                    <a:schemeClr val="accent1">
                      <a:tint val="65000"/>
                    </a:schemeClr>
                  </a:gs>
                  <a:gs pos="100000">
                    <a:schemeClr val="accent1">
                      <a:tint val="65000"/>
                      <a:lumMod val="75000"/>
                    </a:schemeClr>
                  </a:gs>
                </a:gsLst>
                <a:lin ang="5400000" scaled="1"/>
              </a:gradFill>
            </a:ln>
            <a:effectLst>
              <a:outerShdw blurRad="76200" dist="25400" dir="2700000" algn="tl" rotWithShape="0">
                <a:schemeClr val="accent1">
                  <a:tint val="65000"/>
                  <a:lumMod val="50000"/>
                  <a:alpha val="30000"/>
                </a:schemeClr>
              </a:outerShdw>
            </a:effectLst>
          </c:spPr>
          <c:invertIfNegative val="0"/>
          <c:dLbls>
            <c:delete val="1"/>
          </c:dLbls>
          <c:val>
            <c:numRef>
              <c:f>'[Calculation.xlsx]Ratio Analysis'!$D$35:$H$35</c:f>
              <c:numCache>
                <c:formatCode>0.00</c:formatCode>
                <c:ptCount val="5"/>
                <c:pt idx="0">
                  <c:v>0.485376053719144</c:v>
                </c:pt>
                <c:pt idx="1">
                  <c:v>0.562754710762659</c:v>
                </c:pt>
                <c:pt idx="2">
                  <c:v>0.57837574615143</c:v>
                </c:pt>
                <c:pt idx="3">
                  <c:v>0.674034830103499</c:v>
                </c:pt>
                <c:pt idx="4">
                  <c:v>0.70839086918015</c:v>
                </c:pt>
              </c:numCache>
            </c:numRef>
          </c:val>
        </c:ser>
        <c:dLbls>
          <c:showLegendKey val="0"/>
          <c:showVal val="0"/>
          <c:showCatName val="0"/>
          <c:showSerName val="0"/>
          <c:showPercent val="0"/>
          <c:showBubbleSize val="0"/>
        </c:dLbls>
        <c:gapWidth val="246"/>
        <c:overlap val="-28"/>
        <c:axId val="384500250"/>
        <c:axId val="502101674"/>
      </c:barChart>
      <c:catAx>
        <c:axId val="38450025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502101674"/>
        <c:crosses val="autoZero"/>
        <c:auto val="1"/>
        <c:lblAlgn val="ctr"/>
        <c:lblOffset val="100"/>
        <c:noMultiLvlLbl val="0"/>
      </c:catAx>
      <c:valAx>
        <c:axId val="502101674"/>
        <c:scaling>
          <c:orientation val="minMax"/>
        </c:scaling>
        <c:delete val="0"/>
        <c:axPos val="l"/>
        <c:majorGridlines>
          <c:spPr>
            <a:ln w="9525" cap="flat" cmpd="sng" algn="ctr">
              <a:solidFill>
                <a:schemeClr val="lt1">
                  <a:lumMod val="902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8450025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b979776-1d71-4f9c-8329-7d37b60a0862}"/>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lvl="0">
              <a:defRPr lang="en-US" sz="1400" b="1" i="0" u="none" strike="noStrike" kern="1200" baseline="0">
                <a:blipFill>
                  <a:blip r:embed="rId2"/>
                  <a:tile tx="0" ty="0" sx="100000" sy="100000" flip="none" algn="tl"/>
                </a:blipFill>
                <a:latin typeface="+mn-lt"/>
                <a:ea typeface="+mn-ea"/>
                <a:cs typeface="+mn-cs"/>
              </a:defRPr>
            </a:pPr>
            <a:r>
              <a:rPr lang="de-DE" altLang="en-US">
                <a:blipFill>
                  <a:blip r:embed="rId2"/>
                  <a:tile tx="0" ty="0" sx="100000" sy="100000" flip="none" algn="tl"/>
                </a:blipFill>
                <a:latin typeface="Calibri" panose="020F0502020204030204" pitchFamily="2" charset="0"/>
              </a:rPr>
              <a:t>Investment Ratio</a:t>
            </a:r>
            <a:endParaRPr lang="de-DE" altLang="en-US">
              <a:blipFill>
                <a:blip r:embed="rId2"/>
                <a:tile tx="0" ty="0" sx="100000" sy="100000" flip="none" algn="tl"/>
              </a:blipFill>
              <a:latin typeface="Calibri" panose="020F0502020204030204" pitchFamily="2" charset="0"/>
            </a:endParaRPr>
          </a:p>
        </c:rich>
      </c:tx>
      <c:layout/>
      <c:overlay val="0"/>
      <c:spPr>
        <a:noFill/>
        <a:ln>
          <a:noFill/>
        </a:ln>
        <a:effectLst/>
      </c:spPr>
    </c:title>
    <c:autoTitleDeleted val="0"/>
    <c:plotArea>
      <c:layout/>
      <c:barChart>
        <c:barDir val="col"/>
        <c:grouping val="clustered"/>
        <c:varyColors val="1"/>
        <c:ser>
          <c:idx val="0"/>
          <c:order val="0"/>
          <c:tx>
            <c:strRef>
              <c:f>"Earning Per Share"</c:f>
              <c:strCache>
                <c:ptCount val="1"/>
                <c:pt idx="0">
                  <c:v>Earning Per Share</c:v>
                </c:pt>
              </c:strCache>
            </c:strRef>
          </c:tx>
          <c:invertIfNegative val="1"/>
          <c:dPt>
            <c:idx val="0"/>
            <c:invertIfNegative val="1"/>
            <c:bubble3D val="0"/>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dPt>
          <c:dPt>
            <c:idx val="1"/>
            <c:invertIfNegative val="1"/>
            <c:bubble3D val="0"/>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dPt>
          <c:dPt>
            <c:idx val="2"/>
            <c:invertIfNegative val="1"/>
            <c:bubble3D val="0"/>
            <c:spPr>
              <a:gradFill>
                <a:gsLst>
                  <a:gs pos="0">
                    <a:schemeClr val="accent3">
                      <a:lumMod val="40000"/>
                      <a:lumOff val="60000"/>
                    </a:schemeClr>
                  </a:gs>
                  <a:gs pos="90000">
                    <a:schemeClr val="accent3"/>
                  </a:gs>
                </a:gsLst>
                <a:lin ang="5400000" scaled="0"/>
              </a:gradFill>
              <a:ln>
                <a:gradFill>
                  <a:gsLst>
                    <a:gs pos="0">
                      <a:schemeClr val="accent3"/>
                    </a:gs>
                    <a:gs pos="100000">
                      <a:schemeClr val="accent3">
                        <a:lumMod val="75000"/>
                      </a:schemeClr>
                    </a:gs>
                  </a:gsLst>
                  <a:lin ang="5400000" scaled="1"/>
                </a:gradFill>
              </a:ln>
              <a:effectLst>
                <a:outerShdw blurRad="76200" dist="25400" dir="2700000" algn="tl" rotWithShape="0">
                  <a:schemeClr val="accent3">
                    <a:lumMod val="50000"/>
                    <a:alpha val="30000"/>
                  </a:schemeClr>
                </a:outerShdw>
              </a:effectLst>
            </c:spPr>
          </c:dPt>
          <c:dPt>
            <c:idx val="3"/>
            <c:invertIfNegative val="1"/>
            <c:bubble3D val="0"/>
            <c:spPr>
              <a:gradFill>
                <a:gsLst>
                  <a:gs pos="0">
                    <a:schemeClr val="accent4">
                      <a:lumMod val="40000"/>
                      <a:lumOff val="60000"/>
                    </a:schemeClr>
                  </a:gs>
                  <a:gs pos="90000">
                    <a:schemeClr val="accent4"/>
                  </a:gs>
                </a:gsLst>
                <a:lin ang="5400000" scaled="0"/>
              </a:gradFill>
              <a:ln>
                <a:gradFill>
                  <a:gsLst>
                    <a:gs pos="0">
                      <a:schemeClr val="accent4"/>
                    </a:gs>
                    <a:gs pos="100000">
                      <a:schemeClr val="accent4">
                        <a:lumMod val="75000"/>
                      </a:schemeClr>
                    </a:gs>
                  </a:gsLst>
                  <a:lin ang="5400000" scaled="1"/>
                </a:gradFill>
              </a:ln>
              <a:effectLst>
                <a:outerShdw blurRad="76200" dist="25400" dir="2700000" algn="tl" rotWithShape="0">
                  <a:schemeClr val="accent4">
                    <a:lumMod val="50000"/>
                    <a:alpha val="30000"/>
                  </a:schemeClr>
                </a:outerShdw>
              </a:effectLst>
            </c:spPr>
          </c:dPt>
          <c:dPt>
            <c:idx val="4"/>
            <c:invertIfNegative val="1"/>
            <c:bubble3D val="0"/>
            <c:spPr>
              <a:gradFill>
                <a:gsLst>
                  <a:gs pos="0">
                    <a:schemeClr val="accent5">
                      <a:lumMod val="40000"/>
                      <a:lumOff val="60000"/>
                    </a:schemeClr>
                  </a:gs>
                  <a:gs pos="90000">
                    <a:schemeClr val="accent5"/>
                  </a:gs>
                </a:gsLst>
                <a:lin ang="5400000" scaled="0"/>
              </a:gradFill>
              <a:ln>
                <a:gradFill>
                  <a:gsLst>
                    <a:gs pos="0">
                      <a:schemeClr val="accent5"/>
                    </a:gs>
                    <a:gs pos="100000">
                      <a:schemeClr val="accent5">
                        <a:lumMod val="75000"/>
                      </a:schemeClr>
                    </a:gs>
                  </a:gsLst>
                  <a:lin ang="5400000" scaled="1"/>
                </a:gradFill>
              </a:ln>
              <a:effectLst>
                <a:outerShdw blurRad="76200" dist="25400" dir="2700000" algn="tl" rotWithShape="0">
                  <a:schemeClr val="accent5">
                    <a:lumMod val="50000"/>
                    <a:alpha val="30000"/>
                  </a:schemeClr>
                </a:outerShdw>
              </a:effectLst>
            </c:spPr>
          </c:dPt>
          <c:dLbls>
            <c:delete val="1"/>
          </c:dLbls>
          <c:cat>
            <c:numRef>
              <c:f>'[Calculation.xlsx]Ratio Analysis'!$M$70:$Q$70</c:f>
              <c:numCache>
                <c:formatCode>General</c:formatCode>
                <c:ptCount val="5"/>
                <c:pt idx="0">
                  <c:v>2020</c:v>
                </c:pt>
                <c:pt idx="1">
                  <c:v>2021</c:v>
                </c:pt>
                <c:pt idx="2">
                  <c:v>2022</c:v>
                </c:pt>
                <c:pt idx="3">
                  <c:v>2023</c:v>
                </c:pt>
                <c:pt idx="4">
                  <c:v>2024</c:v>
                </c:pt>
              </c:numCache>
            </c:numRef>
          </c:cat>
          <c:val>
            <c:numRef>
              <c:f>'[Calculation.xlsx]Ratio Analysis'!$M$71:$Q$71</c:f>
              <c:numCache>
                <c:formatCode>_(* #,##0.00_);_(* \(#,##0.00\);_(* "-"??_);_(@_)</c:formatCode>
                <c:ptCount val="5"/>
                <c:pt idx="0">
                  <c:v>2.77636219678975</c:v>
                </c:pt>
                <c:pt idx="1">
                  <c:v>0.393687337541775</c:v>
                </c:pt>
                <c:pt idx="2">
                  <c:v>0.0320396756671652</c:v>
                </c:pt>
                <c:pt idx="3">
                  <c:v>-7.64200700116686</c:v>
                </c:pt>
                <c:pt idx="4">
                  <c:v>-1.85423257967436</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246"/>
        <c:overlap val="-28"/>
        <c:axId val="258659202"/>
        <c:axId val="1343280923"/>
      </c:barChart>
      <c:catAx>
        <c:axId val="258659202"/>
        <c:scaling>
          <c:orientation val="minMax"/>
        </c:scaling>
        <c:delete val="0"/>
        <c:axPos val="b"/>
        <c:title>
          <c:layout/>
          <c:overlay val="0"/>
          <c:spPr>
            <a:noFill/>
            <a:ln>
              <a:noFill/>
            </a:ln>
            <a:effectLst/>
          </c:spPr>
          <c:tx>
            <c:rich>
              <a:bodyPr/>
              <a:lstStyle/>
              <a:p>
                <a:pPr>
                  <a:defRPr/>
                </a:pPr>
              </a:p>
            </c:rich>
          </c:tx>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crossAx val="1343280923"/>
        <c:crosses val="autoZero"/>
        <c:auto val="1"/>
        <c:lblAlgn val="ctr"/>
        <c:lblOffset val="100"/>
        <c:noMultiLvlLbl val="1"/>
      </c:catAx>
      <c:valAx>
        <c:axId val="1343280923"/>
        <c:scaling>
          <c:orientation val="minMax"/>
        </c:scaling>
        <c:delete val="0"/>
        <c:axPos val="l"/>
        <c:majorGridlines>
          <c:spPr>
            <a:ln w="9525" cap="flat" cmpd="sng" algn="ctr">
              <a:solidFill>
                <a:schemeClr val="lt1">
                  <a:lumMod val="90200"/>
                </a:schemeClr>
              </a:solidFill>
              <a:prstDash val="solid"/>
              <a:round/>
            </a:ln>
            <a:effectLst/>
          </c:spPr>
        </c:majorGridlines>
        <c:title>
          <c:layout/>
          <c:overlay val="0"/>
          <c:spPr>
            <a:noFill/>
            <a:ln>
              <a:noFill/>
            </a:ln>
            <a:effectLst/>
          </c:spPr>
          <c:tx>
            <c:rich>
              <a:bodyPr/>
              <a:lstStyle/>
              <a:p>
                <a:pPr>
                  <a:defRPr/>
                </a:pPr>
              </a:p>
            </c:rich>
          </c:tx>
        </c:title>
        <c:numFmt formatCode="_(* #,##0.00_);_(* \(#,##0.00\);_(* &quot;-&quot;??_);_(@_)" sourceLinked="1"/>
        <c:majorTickMark val="out"/>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crossAx val="258659202"/>
        <c:crosses val="autoZero"/>
        <c:crossBetween val="between"/>
      </c:valAx>
      <c:spPr>
        <a:noFill/>
        <a:ln>
          <a:noFill/>
        </a:ln>
        <a:effectLst/>
      </c:spPr>
    </c:plotArea>
    <c:legend>
      <c:legendPos val="b"/>
      <c:legendEntry>
        <c:idx val="0"/>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Entry>
      <c:legendEntry>
        <c:idx val="1"/>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Entry>
      <c:legendEntry>
        <c:idx val="2"/>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Entry>
      <c:legendEntry>
        <c:idx val="3"/>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Entry>
      <c:legendEntry>
        <c:idx val="4"/>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
    <c:plotVisOnly val="1"/>
    <c:dispBlanksAs val="zero"/>
    <c:showDLblsOverMax val="1"/>
    <c:extLst>
      <c:ext uri="{0b15fc19-7d7d-44ad-8c2d-2c3a37ce22c3}">
        <chartProps xmlns="https://web.wps.cn/et/2018/main" chartId="{ae74d866-cd09-4371-b9cc-244dd83dc861}"/>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blipFill>
            <a:blip r:embed="rId2"/>
            <a:tile tx="0" ty="0" sx="100000" sy="100000" flip="none" algn="tl"/>
          </a:blipFill>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lvl="0">
              <a:defRPr lang="en-US" sz="1400" b="1" i="0" u="none" strike="noStrike" kern="1200" baseline="0">
                <a:solidFill>
                  <a:schemeClr val="tx1">
                    <a:lumMod val="75000"/>
                    <a:lumOff val="25000"/>
                  </a:schemeClr>
                </a:solidFill>
                <a:latin typeface="+mn-lt"/>
                <a:ea typeface="+mn-ea"/>
                <a:cs typeface="+mn-cs"/>
              </a:defRPr>
            </a:pPr>
            <a:r>
              <a:t>CASH FLOW RATIOS</a:t>
            </a:r>
          </a:p>
        </c:rich>
      </c:tx>
      <c:layout/>
      <c:overlay val="0"/>
      <c:spPr>
        <a:noFill/>
        <a:ln>
          <a:noFill/>
        </a:ln>
        <a:effectLst/>
      </c:spPr>
    </c:title>
    <c:autoTitleDeleted val="0"/>
    <c:plotArea>
      <c:layout/>
      <c:barChart>
        <c:barDir val="col"/>
        <c:grouping val="clustered"/>
        <c:varyColors val="1"/>
        <c:ser>
          <c:idx val="0"/>
          <c:order val="0"/>
          <c:tx>
            <c:strRef>
              <c:f>"Operating Cash Flow Ratio"</c:f>
              <c:strCache>
                <c:ptCount val="1"/>
                <c:pt idx="0">
                  <c:v>Operating Cash Flow Ratio</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1"/>
          <c:dLbls>
            <c:delete val="1"/>
          </c:dLbls>
          <c:cat>
            <c:numRef>
              <c:f>'[Calculation.xlsx]Ratio Analysis'!$C$71:$G$71</c:f>
              <c:numCache>
                <c:formatCode>General</c:formatCode>
                <c:ptCount val="5"/>
                <c:pt idx="0">
                  <c:v>2020</c:v>
                </c:pt>
                <c:pt idx="1">
                  <c:v>2021</c:v>
                </c:pt>
                <c:pt idx="2">
                  <c:v>2022</c:v>
                </c:pt>
                <c:pt idx="3">
                  <c:v>2023</c:v>
                </c:pt>
                <c:pt idx="4">
                  <c:v>2024</c:v>
                </c:pt>
              </c:numCache>
            </c:numRef>
          </c:cat>
          <c:val>
            <c:numRef>
              <c:f>'[Calculation.xlsx]Ratio Analysis'!$C$72:$G$72</c:f>
              <c:numCache>
                <c:formatCode>_(* #,##0.00_);_(* \(#,##0.00\);_(* "-"??_);_(@_)</c:formatCode>
                <c:ptCount val="5"/>
                <c:pt idx="0">
                  <c:v>0.408846303827085</c:v>
                </c:pt>
                <c:pt idx="1">
                  <c:v>0.185818337815459</c:v>
                </c:pt>
                <c:pt idx="2">
                  <c:v>0.0504728072323107</c:v>
                </c:pt>
                <c:pt idx="3">
                  <c:v>0.156315933179438</c:v>
                </c:pt>
                <c:pt idx="4">
                  <c:v>0.0936376673342136</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"Cash Return On Assets"</c:f>
              <c:strCache>
                <c:ptCount val="1"/>
                <c:pt idx="0">
                  <c:v>Cash Return On Assets</c:v>
                </c:pt>
              </c:strCache>
            </c:strRef>
          </c:tx>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invertIfNegative val="1"/>
          <c:dLbls>
            <c:delete val="1"/>
          </c:dLbls>
          <c:cat>
            <c:numRef>
              <c:f>'[Calculation.xlsx]Ratio Analysis'!$C$71:$G$71</c:f>
              <c:numCache>
                <c:formatCode>General</c:formatCode>
                <c:ptCount val="5"/>
                <c:pt idx="0">
                  <c:v>2020</c:v>
                </c:pt>
                <c:pt idx="1">
                  <c:v>2021</c:v>
                </c:pt>
                <c:pt idx="2">
                  <c:v>2022</c:v>
                </c:pt>
                <c:pt idx="3">
                  <c:v>2023</c:v>
                </c:pt>
                <c:pt idx="4">
                  <c:v>2024</c:v>
                </c:pt>
              </c:numCache>
            </c:numRef>
          </c:cat>
          <c:val>
            <c:numRef>
              <c:f>'[Calculation.xlsx]Ratio Analysis'!$C$73:$G$73</c:f>
              <c:numCache>
                <c:formatCode>_(* #,##0.00_);_(* \(#,##0.00\);_(* "-"??_);_(@_)</c:formatCode>
                <c:ptCount val="5"/>
                <c:pt idx="0">
                  <c:v>0.143824100021556</c:v>
                </c:pt>
                <c:pt idx="1">
                  <c:v>0.0789324147444489</c:v>
                </c:pt>
                <c:pt idx="2">
                  <c:v>0.0216715625700418</c:v>
                </c:pt>
                <c:pt idx="3">
                  <c:v>0.0707838773491593</c:v>
                </c:pt>
                <c:pt idx="4">
                  <c:v>0.0458383072422175</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246"/>
        <c:overlap val="-28"/>
        <c:axId val="379249922"/>
        <c:axId val="1144495175"/>
      </c:barChart>
      <c:catAx>
        <c:axId val="379249922"/>
        <c:scaling>
          <c:orientation val="minMax"/>
        </c:scaling>
        <c:delete val="0"/>
        <c:axPos val="b"/>
        <c:title>
          <c:layout/>
          <c:overlay val="0"/>
          <c:spPr>
            <a:noFill/>
            <a:ln>
              <a:noFill/>
            </a:ln>
            <a:effectLst/>
          </c:spPr>
          <c:tx>
            <c:rich>
              <a:bodyPr/>
              <a:lstStyle/>
              <a:p>
                <a:pPr>
                  <a:defRPr/>
                </a:pPr>
              </a:p>
            </c:rich>
          </c:tx>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144495175"/>
        <c:crosses val="autoZero"/>
        <c:auto val="1"/>
        <c:lblAlgn val="ctr"/>
        <c:lblOffset val="100"/>
        <c:noMultiLvlLbl val="1"/>
      </c:catAx>
      <c:valAx>
        <c:axId val="1144495175"/>
        <c:scaling>
          <c:orientation val="minMax"/>
        </c:scaling>
        <c:delete val="0"/>
        <c:axPos val="l"/>
        <c:majorGridlines>
          <c:spPr>
            <a:ln w="9525" cap="flat" cmpd="sng" algn="ctr">
              <a:solidFill>
                <a:schemeClr val="lt1">
                  <a:lumMod val="90200"/>
                </a:schemeClr>
              </a:solidFill>
              <a:prstDash val="solid"/>
              <a:round/>
            </a:ln>
            <a:effectLst/>
          </c:spPr>
        </c:majorGridlines>
        <c:title>
          <c:layout/>
          <c:overlay val="0"/>
          <c:spPr>
            <a:noFill/>
            <a:ln>
              <a:noFill/>
            </a:ln>
            <a:effectLst/>
          </c:spPr>
          <c:tx>
            <c:rich>
              <a:bodyPr/>
              <a:lstStyle/>
              <a:p>
                <a:pPr>
                  <a:defRPr/>
                </a:pPr>
              </a:p>
            </c:rich>
          </c:tx>
        </c:title>
        <c:numFmt formatCode="_(* #,##0.00_);_(* \(#,##0.00\);_(* &quot;-&quot;??_);_(@_)" sourceLinked="1"/>
        <c:majorTickMark val="out"/>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7924992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1"/>
    <c:extLst>
      <c:ext uri="{0b15fc19-7d7d-44ad-8c2d-2c3a37ce22c3}">
        <chartProps xmlns="https://web.wps.cn/et/2018/main" chartId="{97f8c38c-5351-46db-bf5f-89527bff47bb}"/>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t>Z</a:t>
            </a:r>
            <a:r>
              <a:rPr lang="de-DE" altLang="en-US">
                <a:latin typeface="Calibri" panose="020F0502020204030204" pitchFamily="2" charset="0"/>
              </a:rPr>
              <a:t>-S</a:t>
            </a:r>
            <a:r>
              <a:t>core</a:t>
            </a:r>
          </a:p>
        </c:rich>
      </c:tx>
      <c:layout/>
      <c:overlay val="0"/>
      <c:spPr>
        <a:noFill/>
        <a:ln>
          <a:noFill/>
        </a:ln>
        <a:effectLst/>
      </c:spPr>
    </c:title>
    <c:autoTitleDeleted val="0"/>
    <c:plotArea>
      <c:layout/>
      <c:barChart>
        <c:barDir val="col"/>
        <c:grouping val="clustered"/>
        <c:varyColors val="0"/>
        <c:ser>
          <c:idx val="0"/>
          <c:order val="0"/>
          <c:tx>
            <c:strRef>
              <c:f>'[Calculation.xlsx]Ratio Analysis'!$B$76</c:f>
              <c:strCache>
                <c:ptCount val="1"/>
                <c:pt idx="0">
                  <c:v>Z score</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0"/>
          <c:dLbls>
            <c:delete val="1"/>
          </c:dLbls>
          <c:cat>
            <c:numRef>
              <c:f>'[Calculation.xlsx]Ratio Analysis'!$C$71:$G$71</c:f>
              <c:numCache>
                <c:formatCode>General</c:formatCode>
                <c:ptCount val="5"/>
                <c:pt idx="0">
                  <c:v>2020</c:v>
                </c:pt>
                <c:pt idx="1">
                  <c:v>2021</c:v>
                </c:pt>
                <c:pt idx="2">
                  <c:v>2022</c:v>
                </c:pt>
                <c:pt idx="3">
                  <c:v>2023</c:v>
                </c:pt>
                <c:pt idx="4">
                  <c:v>2024</c:v>
                </c:pt>
              </c:numCache>
            </c:numRef>
          </c:cat>
          <c:val>
            <c:numRef>
              <c:f>'[Calculation.xlsx]Ratio Analysis'!$C$76:$G$76</c:f>
              <c:numCache>
                <c:formatCode>General</c:formatCode>
                <c:ptCount val="5"/>
                <c:pt idx="0">
                  <c:v>3.69</c:v>
                </c:pt>
                <c:pt idx="1">
                  <c:v>3.25</c:v>
                </c:pt>
                <c:pt idx="2">
                  <c:v>3.02</c:v>
                </c:pt>
                <c:pt idx="3">
                  <c:v>1.63</c:v>
                </c:pt>
                <c:pt idx="4">
                  <c:v>2.24</c:v>
                </c:pt>
              </c:numCache>
            </c:numRef>
          </c:val>
        </c:ser>
        <c:dLbls>
          <c:showLegendKey val="0"/>
          <c:showVal val="0"/>
          <c:showCatName val="0"/>
          <c:showSerName val="0"/>
          <c:showPercent val="0"/>
          <c:showBubbleSize val="0"/>
        </c:dLbls>
        <c:gapWidth val="246"/>
        <c:overlap val="-28"/>
        <c:axId val="685333938"/>
        <c:axId val="338859456"/>
      </c:barChart>
      <c:catAx>
        <c:axId val="68533393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38859456"/>
        <c:crosses val="autoZero"/>
        <c:auto val="1"/>
        <c:lblAlgn val="ctr"/>
        <c:lblOffset val="100"/>
        <c:noMultiLvlLbl val="0"/>
      </c:catAx>
      <c:valAx>
        <c:axId val="338859456"/>
        <c:scaling>
          <c:orientation val="minMax"/>
        </c:scaling>
        <c:delete val="0"/>
        <c:axPos val="l"/>
        <c:majorGridlines>
          <c:spPr>
            <a:ln w="9525" cap="flat" cmpd="sng" algn="ctr">
              <a:solidFill>
                <a:schemeClr val="lt1">
                  <a:lumMod val="90200"/>
                </a:schemeClr>
              </a:solidFill>
              <a:prstDash val="solid"/>
              <a:round/>
              <a:headEnd type="none"/>
              <a:tailEnd type="none"/>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685333938"/>
        <c:crosses val="autoZero"/>
        <c:crossBetween val="between"/>
      </c:valAx>
      <c:spPr>
        <a:noFill/>
        <a:ln>
          <a:noFill/>
        </a:ln>
        <a:effectLst/>
      </c:spPr>
    </c:plotArea>
    <c:plotVisOnly val="1"/>
    <c:dispBlanksAs val="gap"/>
    <c:showDLblsOverMax val="0"/>
    <c:extLst>
      <c:ext uri="{0b15fc19-7d7d-44ad-8c2d-2c3a37ce22c3}">
        <chartProps xmlns="https://web.wps.cn/et/2018/main" chartId="{11acc4a2-e03b-442d-bb73-3e710d808738}"/>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1000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schemeClr>
          </a:gs>
          <a:gs pos="90000">
            <a:schemeClr val="phClr"/>
          </a:gs>
        </a:gsLst>
        <a:lin ang="5400000" scaled="0"/>
      </a:gradFill>
      <a:ln>
        <a:gradFill>
          <a:gsLst>
            <a:gs pos="0">
              <a:schemeClr val="phClr"/>
            </a:gs>
            <a:gs pos="100000">
              <a:schemeClr val="phClr">
                <a:lumMod val="75000"/>
              </a:schemeClr>
            </a:gs>
          </a:gsLst>
          <a:lin ang="5400000" scaled="1"/>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schemeClr>
          </a:gs>
          <a:gs pos="90000">
            <a:schemeClr val="phClr"/>
          </a:gs>
        </a:gsLst>
        <a:lin ang="5400000" scaled="0"/>
      </a:gradFill>
      <a:ln>
        <a:gradFill>
          <a:gsLst>
            <a:gs pos="0">
              <a:schemeClr val="phClr"/>
            </a:gs>
            <a:gs pos="100000">
              <a:schemeClr val="phClr">
                <a:lumMod val="75000"/>
              </a:schemeClr>
            </a:gs>
          </a:gsLst>
          <a:lin ang="5400000" scaled="1"/>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0</Words>
  <Characters>0</Characters>
  <Lines>0</Lines>
  <Paragraphs>0</Paragraphs>
  <TotalTime>3</TotalTime>
  <ScaleCrop>false</ScaleCrop>
  <LinksUpToDate>false</LinksUpToDate>
  <CharactersWithSpaces>0</CharactersWithSpaces>
  <Application>WPS Office_12.1.23152.23152_F1E327BC-269C-435d-A152-05C5408002CA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2025-12-15T16:54:00Z</dcterms:created>
  <dc:creator>anika ayub</dc:creator>
  <cp:lastModifiedBy>anika ayub</cp:lastModifiedBy>
  <dcterms:modified xsi:type="dcterms:W3CDTF">2025-12-22T10:26:19Z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1033-12.1.23152.23152</vt:lpwstr>
  </property>
  <property fmtid="{D5CDD505-2E9C-101B-9397-08002B2CF9AE}" pid="3" name="ICV">
    <vt:lpwstr>74915E61CB241BCE6D863F698F62DAB8_41</vt:lpwstr>
  </property>
</Properties>
</file>