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CED9AA" w14:textId="77777777" w:rsidR="0008636D" w:rsidRDefault="0008636D" w:rsidP="0008636D">
      <w:pPr>
        <w:rPr>
          <w:b/>
          <w:bCs/>
          <w:sz w:val="23"/>
          <w:szCs w:val="23"/>
          <w:u w:val="single"/>
        </w:rPr>
      </w:pPr>
      <w:r w:rsidRPr="0008636D">
        <w:rPr>
          <w:b/>
          <w:bCs/>
          <w:sz w:val="23"/>
          <w:szCs w:val="23"/>
          <w:u w:val="single"/>
        </w:rPr>
        <w:t xml:space="preserve">Ewan </w:t>
      </w:r>
      <w:proofErr w:type="spellStart"/>
      <w:r w:rsidRPr="0008636D">
        <w:rPr>
          <w:b/>
          <w:bCs/>
          <w:sz w:val="23"/>
          <w:szCs w:val="23"/>
          <w:u w:val="single"/>
        </w:rPr>
        <w:t>Cudlip</w:t>
      </w:r>
      <w:proofErr w:type="spellEnd"/>
    </w:p>
    <w:p w14:paraId="219FA04D" w14:textId="4A93DE95" w:rsidR="0008636D" w:rsidRPr="0008636D" w:rsidRDefault="0008636D" w:rsidP="0008636D">
      <w:pPr>
        <w:rPr>
          <w:rFonts w:ascii="Segoe UI" w:eastAsia="Times New Roman" w:hAnsi="Segoe UI" w:cs="Segoe UI"/>
          <w:b/>
          <w:bCs/>
          <w:color w:val="00090E"/>
          <w:sz w:val="23"/>
          <w:szCs w:val="23"/>
          <w:u w:val="single"/>
          <w:shd w:val="clear" w:color="auto" w:fill="FFFFFF"/>
          <w:lang w:eastAsia="en-GB"/>
        </w:rPr>
      </w:pPr>
      <w:r>
        <w:rPr>
          <w:b/>
          <w:bCs/>
          <w:sz w:val="23"/>
          <w:szCs w:val="23"/>
          <w:u w:val="single"/>
        </w:rPr>
        <w:t xml:space="preserve"> Student Number:</w:t>
      </w:r>
      <w:r w:rsidRPr="0008636D">
        <w:rPr>
          <w:b/>
          <w:bCs/>
          <w:sz w:val="23"/>
          <w:szCs w:val="23"/>
          <w:u w:val="single"/>
        </w:rPr>
        <w:t xml:space="preserve"> </w:t>
      </w:r>
      <w:r>
        <w:rPr>
          <w:b/>
          <w:bCs/>
          <w:sz w:val="23"/>
          <w:szCs w:val="23"/>
          <w:u w:val="single"/>
        </w:rPr>
        <w:t>1502525</w:t>
      </w:r>
    </w:p>
    <w:p w14:paraId="03D55F53" w14:textId="1B062A70" w:rsidR="0008636D" w:rsidRPr="0008636D" w:rsidRDefault="0008636D" w:rsidP="0008636D">
      <w:pPr>
        <w:spacing w:after="100" w:afterAutospacing="1" w:line="240" w:lineRule="auto"/>
        <w:textAlignment w:val="center"/>
        <w:outlineLvl w:val="0"/>
        <w:rPr>
          <w:rFonts w:ascii="inherit" w:eastAsia="Times New Roman" w:hAnsi="inherit" w:cs="Times New Roman"/>
          <w:kern w:val="36"/>
          <w:sz w:val="20"/>
          <w:szCs w:val="20"/>
          <w:lang w:eastAsia="en-GB"/>
        </w:rPr>
      </w:pPr>
      <w:r w:rsidRPr="0008636D">
        <w:rPr>
          <w:rFonts w:ascii="inherit" w:eastAsia="Times New Roman" w:hAnsi="inherit" w:cs="Segoe UI"/>
          <w:color w:val="00090E"/>
          <w:kern w:val="36"/>
          <w:sz w:val="20"/>
          <w:szCs w:val="20"/>
          <w:u w:val="single"/>
          <w:shd w:val="clear" w:color="auto" w:fill="FFFFFF"/>
          <w:lang w:eastAsia="en-GB"/>
        </w:rPr>
        <w:t>Environment, Sustainability and Philosophy (HPPH5016</w:t>
      </w:r>
      <w:r w:rsidRPr="0008636D">
        <w:rPr>
          <w:rFonts w:ascii="inherit" w:eastAsia="Times New Roman" w:hAnsi="inherit" w:cs="Segoe UI"/>
          <w:color w:val="00090E"/>
          <w:kern w:val="36"/>
          <w:sz w:val="20"/>
          <w:szCs w:val="20"/>
          <w:u w:val="single"/>
          <w:shd w:val="clear" w:color="auto" w:fill="FFFFFF"/>
          <w:lang w:eastAsia="en-GB"/>
        </w:rPr>
        <w:t>)</w:t>
      </w:r>
    </w:p>
    <w:p w14:paraId="755C8A45" w14:textId="5696BBEA" w:rsidR="0008636D" w:rsidRDefault="0008636D" w:rsidP="0008636D">
      <w:pPr>
        <w:pStyle w:val="FootnoteText"/>
      </w:pPr>
    </w:p>
    <w:p w14:paraId="255730FA" w14:textId="590AC3A8" w:rsidR="00690213" w:rsidRPr="000F2C55" w:rsidRDefault="00372F79" w:rsidP="000F2C55">
      <w:pPr>
        <w:pStyle w:val="ListParagraph"/>
        <w:numPr>
          <w:ilvl w:val="0"/>
          <w:numId w:val="2"/>
        </w:numPr>
        <w:spacing w:line="360" w:lineRule="auto"/>
        <w:rPr>
          <w:b/>
          <w:sz w:val="28"/>
          <w:szCs w:val="28"/>
        </w:rPr>
      </w:pPr>
      <w:r w:rsidRPr="0008636D">
        <w:rPr>
          <w:b/>
          <w:bCs/>
          <w:sz w:val="28"/>
          <w:szCs w:val="28"/>
        </w:rPr>
        <w:t>I</w:t>
      </w:r>
      <w:r w:rsidRPr="000F2C55">
        <w:rPr>
          <w:b/>
          <w:sz w:val="28"/>
          <w:szCs w:val="28"/>
        </w:rPr>
        <w:t>s sustainable development a useful concept? What might it involve in practice?</w:t>
      </w:r>
    </w:p>
    <w:p w14:paraId="78A945A5" w14:textId="15A9DABF" w:rsidR="00372F79" w:rsidRPr="00372F79" w:rsidRDefault="00372F79" w:rsidP="00372F79">
      <w:pPr>
        <w:spacing w:line="360" w:lineRule="auto"/>
        <w:rPr>
          <w:sz w:val="24"/>
          <w:szCs w:val="24"/>
        </w:rPr>
      </w:pPr>
      <w:r w:rsidRPr="00372F79">
        <w:rPr>
          <w:sz w:val="24"/>
          <w:szCs w:val="24"/>
        </w:rPr>
        <w:t xml:space="preserve">The concept of sustainable development is a rather new interpretation of what constitutes what is popularly, and historically believed to be, reasonable development practices, to which our orthodox economic organisations are only, in the last few decades, seriously considering sustainable development and even implementing some of the varying practices that are economically and developmentally sustainable to us. </w:t>
      </w:r>
    </w:p>
    <w:p w14:paraId="1468DB18" w14:textId="0954621B" w:rsidR="00372F79" w:rsidRPr="00372F79" w:rsidRDefault="00372F79" w:rsidP="00372F79">
      <w:pPr>
        <w:spacing w:line="360" w:lineRule="auto"/>
        <w:rPr>
          <w:sz w:val="24"/>
          <w:szCs w:val="24"/>
        </w:rPr>
      </w:pPr>
      <w:r w:rsidRPr="00372F79">
        <w:rPr>
          <w:sz w:val="24"/>
          <w:szCs w:val="24"/>
        </w:rPr>
        <w:t xml:space="preserve">Considering the phenomena of human advanced climate change and the impact on the general environment of the planet as direct results of our economic and development planning within the arrangements of especially what is known as ‘the developed world’ usually referencing to North America, Western Europe and Japan, but could now also be extended to much of China’s advanced sectors such as cities and factories. The impacts of such historical facts are an increasingly polluted and dangerous environment for both humans and other life as well. The World Geological Society set the start of what is known as The Anthropocene, which means that the planet’s life is currently undergoing a sixth extinction comparable with that of the other five great mass extinction events that we know of in the planet’s history. </w:t>
      </w:r>
    </w:p>
    <w:p w14:paraId="6843016D" w14:textId="6BF6C252" w:rsidR="00161665" w:rsidRDefault="00372F79" w:rsidP="00372F79">
      <w:pPr>
        <w:spacing w:line="360" w:lineRule="auto"/>
        <w:rPr>
          <w:sz w:val="24"/>
          <w:szCs w:val="24"/>
        </w:rPr>
      </w:pPr>
      <w:r w:rsidRPr="00372F79">
        <w:rPr>
          <w:sz w:val="24"/>
          <w:szCs w:val="24"/>
        </w:rPr>
        <w:t xml:space="preserve">The things I have described are all part and parcel of the same package of economic planning and development. Sustainable development on the other hand gives human beings at least several different alternative ways of going about development in the first place. </w:t>
      </w:r>
      <w:r>
        <w:rPr>
          <w:sz w:val="24"/>
          <w:szCs w:val="24"/>
        </w:rPr>
        <w:t>For example, our current economic system does not look forwards more than 50 years into the future and accounts the value measurement to all future humans as zero and therefore negates and responsibility to future generations.</w:t>
      </w:r>
      <w:r w:rsidR="00161665">
        <w:rPr>
          <w:sz w:val="24"/>
          <w:szCs w:val="24"/>
        </w:rPr>
        <w:t xml:space="preserve"> It is through these actions that we have the current challenges to our own survival such as the Anthropocene and mass pollution of water sources with plastics. I would say that the usefulness of sustainable development far outweighs the impracticalities of the continuation of </w:t>
      </w:r>
      <w:proofErr w:type="gramStart"/>
      <w:r w:rsidR="00161665">
        <w:rPr>
          <w:sz w:val="24"/>
          <w:szCs w:val="24"/>
        </w:rPr>
        <w:t>the vast majority of</w:t>
      </w:r>
      <w:proofErr w:type="gramEnd"/>
      <w:r w:rsidR="00161665">
        <w:rPr>
          <w:sz w:val="24"/>
          <w:szCs w:val="24"/>
        </w:rPr>
        <w:t xml:space="preserve"> developmental </w:t>
      </w:r>
      <w:r w:rsidR="00161665">
        <w:rPr>
          <w:sz w:val="24"/>
          <w:szCs w:val="24"/>
        </w:rPr>
        <w:lastRenderedPageBreak/>
        <w:t xml:space="preserve">practices which now actually pose a short to mid-term existential threat to organised human civilisation. Considering this, it will only get worse if we do not change the road that our economic and developmental practices pull us down. </w:t>
      </w:r>
    </w:p>
    <w:p w14:paraId="359FA800" w14:textId="2F94B18D" w:rsidR="00161665" w:rsidRDefault="00161665" w:rsidP="00372F79">
      <w:pPr>
        <w:spacing w:line="360" w:lineRule="auto"/>
        <w:rPr>
          <w:sz w:val="24"/>
          <w:szCs w:val="24"/>
        </w:rPr>
      </w:pPr>
      <w:r>
        <w:rPr>
          <w:sz w:val="24"/>
          <w:szCs w:val="24"/>
        </w:rPr>
        <w:t xml:space="preserve">The clarity that I will attempt to show about what we consider to be development will be to briefly outline the concept of underdevelopment which has the following characteristics: low wages, low life-expectancy, limited or no access to health-care services, extreme exploitation by usually a mixture of governmental practices and trans-national corporations and trade agreements, illiteracy, high mortality rates for infants/elderly people, a majority of the population living in abject poverty, what is seen and described as by more developed countries and their national interests as hotbeds and havens for foreign investors, and limited access to sanitation and the internet due to lack of electricity. So as opposed to underdevelopment, development describes a general improvement of living conditions, education, access to food, water, sanitation and so on, eventually getting to the point where these things are no longer seen as luxuries but rather base-line standards of living that the vast majority of people can expect to have. </w:t>
      </w:r>
    </w:p>
    <w:p w14:paraId="5CC5E951" w14:textId="79BE2643" w:rsidR="00161665" w:rsidRPr="00ED4964" w:rsidRDefault="00161665" w:rsidP="00372F79">
      <w:pPr>
        <w:spacing w:line="360" w:lineRule="auto"/>
        <w:rPr>
          <w:sz w:val="24"/>
          <w:szCs w:val="24"/>
        </w:rPr>
      </w:pPr>
      <w:r>
        <w:rPr>
          <w:sz w:val="24"/>
          <w:szCs w:val="24"/>
        </w:rPr>
        <w:t>When it comes to any obligations to future generations of humans (and other life forms) the orthodox economics that we currently use fall extremely short when</w:t>
      </w:r>
      <w:r w:rsidR="003172FA">
        <w:rPr>
          <w:sz w:val="24"/>
          <w:szCs w:val="24"/>
        </w:rPr>
        <w:t xml:space="preserve"> taking this point into account, especially since it tends to exasperate the situation of underdeveloped nations and in fact tends to further the underdevelopment of other nations through what is known in political science as ‘structural adjustment’ for the sake of an ‘economic miracle’ for foreign investment. So</w:t>
      </w:r>
      <w:r w:rsidR="000F2C55">
        <w:rPr>
          <w:sz w:val="24"/>
          <w:szCs w:val="24"/>
        </w:rPr>
        <w:t>,</w:t>
      </w:r>
      <w:r w:rsidR="003172FA">
        <w:rPr>
          <w:sz w:val="24"/>
          <w:szCs w:val="24"/>
        </w:rPr>
        <w:t xml:space="preserve"> to have a sustainable development scheme that would have any impact it would have to be international in character and scope. Not only that, but it would be classed as strong sustainability as opposed to weak sustainability. </w:t>
      </w:r>
      <w:r w:rsidR="003172FA" w:rsidRPr="00ED4964">
        <w:rPr>
          <w:sz w:val="24"/>
          <w:szCs w:val="24"/>
        </w:rPr>
        <w:t>Weak sustainability is what our economies in the developed world already implement, because of the current increasing practices of global unsustainability practice created through the interpretation that weak sustainability is good, this is the reality of the situation.</w:t>
      </w:r>
    </w:p>
    <w:p w14:paraId="46211B74" w14:textId="20DD2145" w:rsidR="003172FA" w:rsidRDefault="003172FA" w:rsidP="00372F79">
      <w:pPr>
        <w:spacing w:line="360" w:lineRule="auto"/>
        <w:rPr>
          <w:sz w:val="24"/>
          <w:szCs w:val="24"/>
        </w:rPr>
      </w:pPr>
      <w:r>
        <w:rPr>
          <w:sz w:val="24"/>
          <w:szCs w:val="24"/>
        </w:rPr>
        <w:t>I</w:t>
      </w:r>
      <w:r w:rsidRPr="003172FA">
        <w:rPr>
          <w:sz w:val="24"/>
          <w:szCs w:val="24"/>
        </w:rPr>
        <w:t>n Herman E</w:t>
      </w:r>
      <w:r>
        <w:rPr>
          <w:sz w:val="24"/>
          <w:szCs w:val="24"/>
        </w:rPr>
        <w:t>.</w:t>
      </w:r>
      <w:r w:rsidRPr="003172FA">
        <w:rPr>
          <w:sz w:val="24"/>
          <w:szCs w:val="24"/>
        </w:rPr>
        <w:t xml:space="preserve"> Daly’s</w:t>
      </w:r>
      <w:r>
        <w:rPr>
          <w:sz w:val="24"/>
          <w:szCs w:val="24"/>
        </w:rPr>
        <w:t xml:space="preserve"> paper entitled ‘</w:t>
      </w:r>
      <w:r w:rsidR="00785693">
        <w:rPr>
          <w:sz w:val="24"/>
          <w:szCs w:val="24"/>
        </w:rPr>
        <w:t>On Wilfred Becker</w:t>
      </w:r>
      <w:r>
        <w:rPr>
          <w:sz w:val="24"/>
          <w:szCs w:val="24"/>
        </w:rPr>
        <w:t>man’s Critique of Sustainable Development’, s</w:t>
      </w:r>
      <w:r w:rsidRPr="003172FA">
        <w:rPr>
          <w:sz w:val="24"/>
          <w:szCs w:val="24"/>
        </w:rPr>
        <w:t>tron</w:t>
      </w:r>
      <w:r>
        <w:rPr>
          <w:sz w:val="24"/>
          <w:szCs w:val="24"/>
        </w:rPr>
        <w:t xml:space="preserve">g sustainability is explained in the following way: ‘Strong sustainability </w:t>
      </w:r>
      <w:r>
        <w:rPr>
          <w:sz w:val="24"/>
          <w:szCs w:val="24"/>
        </w:rPr>
        <w:lastRenderedPageBreak/>
        <w:t>assumes that manmade and natural capital are basically complements</w:t>
      </w:r>
      <w:r w:rsidR="00785693">
        <w:rPr>
          <w:sz w:val="24"/>
          <w:szCs w:val="24"/>
        </w:rPr>
        <w:t>.’</w:t>
      </w:r>
      <w:r w:rsidR="00785693">
        <w:rPr>
          <w:rStyle w:val="FootnoteReference"/>
          <w:sz w:val="24"/>
          <w:szCs w:val="24"/>
        </w:rPr>
        <w:footnoteReference w:id="1"/>
      </w:r>
      <w:r w:rsidR="00785693">
        <w:rPr>
          <w:sz w:val="24"/>
          <w:szCs w:val="24"/>
        </w:rPr>
        <w:t xml:space="preserve"> This explanation brings into light how a strong sustainable development is one that understands resources as complementary to one another, meaning that there is an implicit understanding that manmade capital relies solely on natural capital, that one cannot have manmade capital without the use of natural capital (resources), to make it in the first place. This advocates the reasoning that all natural and manmade capital is limited and therefore we should reject that old way of thinking about resources as being limitless and worthwhile to exploit for short-term monetary gain. </w:t>
      </w:r>
    </w:p>
    <w:p w14:paraId="10FD3CC6" w14:textId="2EDAAF51" w:rsidR="00785693" w:rsidRDefault="00785693" w:rsidP="00372F79">
      <w:pPr>
        <w:spacing w:line="360" w:lineRule="auto"/>
        <w:rPr>
          <w:sz w:val="24"/>
          <w:szCs w:val="24"/>
        </w:rPr>
      </w:pPr>
      <w:r>
        <w:rPr>
          <w:sz w:val="24"/>
          <w:szCs w:val="24"/>
        </w:rPr>
        <w:t xml:space="preserve">Strong sustainability advocates a very much </w:t>
      </w:r>
      <w:r w:rsidR="000F2C55">
        <w:rPr>
          <w:sz w:val="24"/>
          <w:szCs w:val="24"/>
        </w:rPr>
        <w:t>longer-term</w:t>
      </w:r>
      <w:r>
        <w:rPr>
          <w:sz w:val="24"/>
          <w:szCs w:val="24"/>
        </w:rPr>
        <w:t xml:space="preserve"> view on how to use resources effectively and sustainably for an almost unlimited amount of time into the future to create a sustainable and flourishing environment for future generations to </w:t>
      </w:r>
      <w:r w:rsidR="00ED4964">
        <w:rPr>
          <w:sz w:val="24"/>
          <w:szCs w:val="24"/>
        </w:rPr>
        <w:t xml:space="preserve">benefit from. </w:t>
      </w:r>
    </w:p>
    <w:p w14:paraId="6955D76A" w14:textId="485A0728" w:rsidR="00F131CB" w:rsidRPr="000F2C55" w:rsidRDefault="00F131CB" w:rsidP="00372F79">
      <w:pPr>
        <w:spacing w:line="360" w:lineRule="auto"/>
        <w:rPr>
          <w:b/>
          <w:bCs/>
          <w:sz w:val="28"/>
          <w:szCs w:val="28"/>
        </w:rPr>
      </w:pPr>
    </w:p>
    <w:p w14:paraId="6ABB20E7" w14:textId="67394E17" w:rsidR="00F131CB" w:rsidRPr="00891CAB" w:rsidRDefault="00F131CB" w:rsidP="00891CAB">
      <w:pPr>
        <w:pStyle w:val="ListParagraph"/>
        <w:numPr>
          <w:ilvl w:val="0"/>
          <w:numId w:val="2"/>
        </w:numPr>
        <w:rPr>
          <w:b/>
          <w:bCs/>
          <w:sz w:val="28"/>
          <w:szCs w:val="28"/>
        </w:rPr>
      </w:pPr>
      <w:r w:rsidRPr="00891CAB">
        <w:rPr>
          <w:b/>
          <w:bCs/>
          <w:sz w:val="28"/>
          <w:szCs w:val="28"/>
        </w:rPr>
        <w:t xml:space="preserve">What are the requirements for ‘having moral standing’ and which beings </w:t>
      </w:r>
      <w:bookmarkStart w:id="0" w:name="_GoBack"/>
      <w:bookmarkEnd w:id="0"/>
      <w:r w:rsidRPr="00891CAB">
        <w:rPr>
          <w:b/>
          <w:bCs/>
          <w:sz w:val="28"/>
          <w:szCs w:val="28"/>
        </w:rPr>
        <w:t xml:space="preserve">qualify? </w:t>
      </w:r>
    </w:p>
    <w:p w14:paraId="22B1C6DE" w14:textId="77777777" w:rsidR="00891CAB" w:rsidRPr="00891CAB" w:rsidRDefault="00891CAB" w:rsidP="00891CAB">
      <w:pPr>
        <w:pStyle w:val="ListParagraph"/>
        <w:ind w:left="1080"/>
        <w:rPr>
          <w:b/>
          <w:bCs/>
          <w:sz w:val="28"/>
          <w:szCs w:val="28"/>
        </w:rPr>
      </w:pPr>
    </w:p>
    <w:p w14:paraId="79F1B281" w14:textId="02169E2F" w:rsidR="00F131CB" w:rsidRDefault="00F131CB" w:rsidP="00A24FC4">
      <w:pPr>
        <w:spacing w:line="360" w:lineRule="auto"/>
        <w:rPr>
          <w:sz w:val="24"/>
          <w:szCs w:val="24"/>
        </w:rPr>
      </w:pPr>
      <w:r w:rsidRPr="000F2C55">
        <w:rPr>
          <w:sz w:val="24"/>
          <w:szCs w:val="24"/>
        </w:rPr>
        <w:t>G. J. Warnock on moral standing says ‘A being has moral standing if that being ought to be taken into consideration for itself. Being</w:t>
      </w:r>
      <w:r w:rsidR="007712A3" w:rsidRPr="000F2C55">
        <w:rPr>
          <w:sz w:val="24"/>
          <w:szCs w:val="24"/>
        </w:rPr>
        <w:t>s</w:t>
      </w:r>
      <w:r w:rsidRPr="000F2C55">
        <w:rPr>
          <w:sz w:val="24"/>
          <w:szCs w:val="24"/>
        </w:rPr>
        <w:t xml:space="preserve"> that have moral standing are beings </w:t>
      </w:r>
      <w:r w:rsidR="007712A3" w:rsidRPr="000F2C55">
        <w:rPr>
          <w:sz w:val="24"/>
          <w:szCs w:val="24"/>
        </w:rPr>
        <w:t>‘</w:t>
      </w:r>
      <w:r w:rsidRPr="000F2C55">
        <w:rPr>
          <w:sz w:val="24"/>
          <w:szCs w:val="24"/>
        </w:rPr>
        <w:t>to whom principles of morality apply from</w:t>
      </w:r>
      <w:r w:rsidR="007712A3" w:rsidRPr="000F2C55">
        <w:rPr>
          <w:sz w:val="24"/>
          <w:szCs w:val="24"/>
        </w:rPr>
        <w:t xml:space="preserve">, so </w:t>
      </w:r>
      <w:r w:rsidRPr="000F2C55">
        <w:rPr>
          <w:sz w:val="24"/>
          <w:szCs w:val="24"/>
        </w:rPr>
        <w:t>to speak, the other end – from the standpoint not of the agent but of the “patient”</w:t>
      </w:r>
      <w:r w:rsidR="007712A3" w:rsidRPr="000F2C55">
        <w:rPr>
          <w:sz w:val="24"/>
          <w:szCs w:val="24"/>
        </w:rPr>
        <w:t>.</w:t>
      </w:r>
      <w:r w:rsidR="007712A3" w:rsidRPr="000F2C55">
        <w:rPr>
          <w:rStyle w:val="FootnoteReference"/>
          <w:sz w:val="24"/>
          <w:szCs w:val="24"/>
        </w:rPr>
        <w:footnoteReference w:id="2"/>
      </w:r>
      <w:r w:rsidR="001A6738">
        <w:rPr>
          <w:sz w:val="24"/>
          <w:szCs w:val="24"/>
        </w:rPr>
        <w:t xml:space="preserve"> one way in which this could be interpreted, could be that what Warnock believes to be a patient in a moral circumstance</w:t>
      </w:r>
      <w:r w:rsidR="007576D9">
        <w:rPr>
          <w:sz w:val="24"/>
          <w:szCs w:val="24"/>
        </w:rPr>
        <w:t>,</w:t>
      </w:r>
      <w:r w:rsidR="001A6738">
        <w:rPr>
          <w:sz w:val="24"/>
          <w:szCs w:val="24"/>
        </w:rPr>
        <w:t xml:space="preserve"> would have to be a being whose intelligence allowed them the capacity to feel that if they were in distress or pain for example</w:t>
      </w:r>
      <w:r w:rsidR="007576D9">
        <w:rPr>
          <w:sz w:val="24"/>
          <w:szCs w:val="24"/>
        </w:rPr>
        <w:t>. T</w:t>
      </w:r>
      <w:r w:rsidR="001A6738">
        <w:rPr>
          <w:sz w:val="24"/>
          <w:szCs w:val="24"/>
        </w:rPr>
        <w:t>hen</w:t>
      </w:r>
      <w:r w:rsidR="007576D9">
        <w:rPr>
          <w:sz w:val="24"/>
          <w:szCs w:val="24"/>
        </w:rPr>
        <w:t xml:space="preserve"> they would feel a sense, of obligation towards themselves from others to see them in a moral light. That is having the capacity to seek help from others when in a moral dilemma of one’s own </w:t>
      </w:r>
      <w:proofErr w:type="gramStart"/>
      <w:r w:rsidR="007576D9">
        <w:rPr>
          <w:sz w:val="24"/>
          <w:szCs w:val="24"/>
        </w:rPr>
        <w:t>particular circumstances</w:t>
      </w:r>
      <w:proofErr w:type="gramEnd"/>
      <w:r w:rsidR="007576D9">
        <w:rPr>
          <w:sz w:val="24"/>
          <w:szCs w:val="24"/>
        </w:rPr>
        <w:t xml:space="preserve">. One example that immediately springs to mind in terms of what could be applicable to such an interpretation the only thing that it seems could be proven to have these capacities is a human being, and therefore in this particular way to interpret the remark that Warnock makes would be to see that he could only be talking about human beings. Therefore, this interpretation would be an </w:t>
      </w:r>
      <w:r w:rsidR="007576D9">
        <w:rPr>
          <w:sz w:val="24"/>
          <w:szCs w:val="24"/>
        </w:rPr>
        <w:lastRenderedPageBreak/>
        <w:t xml:space="preserve">anthropocentric one and of course therefore alienates all other beings from that kind of description. However, this is not the only interpretation of what it is to have moral standing. Another interpretation which possibly </w:t>
      </w:r>
      <w:proofErr w:type="gramStart"/>
      <w:r w:rsidR="007576D9">
        <w:rPr>
          <w:sz w:val="24"/>
          <w:szCs w:val="24"/>
        </w:rPr>
        <w:t>has more complications</w:t>
      </w:r>
      <w:proofErr w:type="gramEnd"/>
      <w:r w:rsidR="007576D9">
        <w:rPr>
          <w:sz w:val="24"/>
          <w:szCs w:val="24"/>
        </w:rPr>
        <w:t xml:space="preserve"> but applies to many more living beings is the biocentric view, one specific view of this kind is called biocentric consequentialism in the paper that Robin </w:t>
      </w:r>
      <w:r w:rsidR="00BC1021">
        <w:rPr>
          <w:sz w:val="24"/>
          <w:szCs w:val="24"/>
        </w:rPr>
        <w:t>A</w:t>
      </w:r>
      <w:r w:rsidR="007576D9">
        <w:rPr>
          <w:sz w:val="24"/>
          <w:szCs w:val="24"/>
        </w:rPr>
        <w:t>ttfield wrot</w:t>
      </w:r>
      <w:r w:rsidR="00BC1021">
        <w:rPr>
          <w:sz w:val="24"/>
          <w:szCs w:val="24"/>
        </w:rPr>
        <w:t>e, Can Biocentric Consequentialism meet Pluralist Challenges? he explains, “Biocentric theories recognise the moral standing of all living creatures, and not of humanity alone.”</w:t>
      </w:r>
      <w:r w:rsidR="007F126A">
        <w:rPr>
          <w:rStyle w:val="FootnoteReference"/>
          <w:sz w:val="24"/>
          <w:szCs w:val="24"/>
        </w:rPr>
        <w:footnoteReference w:id="3"/>
      </w:r>
      <w:r w:rsidR="00BC1021">
        <w:rPr>
          <w:sz w:val="24"/>
          <w:szCs w:val="24"/>
        </w:rPr>
        <w:t xml:space="preserve"> One the defining characteristics of biocentrism</w:t>
      </w:r>
      <w:r w:rsidR="006303F1">
        <w:rPr>
          <w:sz w:val="24"/>
          <w:szCs w:val="24"/>
        </w:rPr>
        <w:t xml:space="preserve"> is it describes intrinsic value to all living beings. This intrinsic value is indirect reference to what is called ‘the good’ within these living beings, Alan Carter states, “</w:t>
      </w:r>
      <w:r w:rsidR="00DA599D">
        <w:rPr>
          <w:sz w:val="24"/>
          <w:szCs w:val="24"/>
        </w:rPr>
        <w:t>Attfield argues that whatever as a good of its own as moral standing, and that all living creatures of the good of their own. However, this is not to say that all living beings have equal moral significance.”</w:t>
      </w:r>
      <w:r w:rsidR="00DA599D">
        <w:rPr>
          <w:rStyle w:val="FootnoteReference"/>
          <w:sz w:val="24"/>
          <w:szCs w:val="24"/>
        </w:rPr>
        <w:footnoteReference w:id="4"/>
      </w:r>
      <w:r w:rsidR="000466BD">
        <w:rPr>
          <w:sz w:val="24"/>
          <w:szCs w:val="24"/>
        </w:rPr>
        <w:t xml:space="preserve"> Attfield explained that he takes the intrinsic good of all living things to consist of the flourishing, “development of the capacities essential to their kind”</w:t>
      </w:r>
      <w:r w:rsidR="000466BD">
        <w:rPr>
          <w:rStyle w:val="FootnoteReference"/>
          <w:sz w:val="24"/>
          <w:szCs w:val="24"/>
        </w:rPr>
        <w:footnoteReference w:id="5"/>
      </w:r>
      <w:r w:rsidR="000466BD">
        <w:rPr>
          <w:sz w:val="24"/>
          <w:szCs w:val="24"/>
        </w:rPr>
        <w:t xml:space="preserve"> , he explains that he has used Aristotle’s interpretation of what ‘the good’ may account for</w:t>
      </w:r>
      <w:r w:rsidR="000C4539">
        <w:rPr>
          <w:sz w:val="24"/>
          <w:szCs w:val="24"/>
        </w:rPr>
        <w:t>. He does give Carter his due credit by mentioning in response to his criticism</w:t>
      </w:r>
      <w:r w:rsidR="000C4539">
        <w:t xml:space="preserve"> </w:t>
      </w:r>
      <w:r w:rsidR="000C4539" w:rsidRPr="000C4539">
        <w:rPr>
          <w:sz w:val="24"/>
          <w:szCs w:val="24"/>
        </w:rPr>
        <w:t>of biocentrism</w:t>
      </w:r>
      <w:r w:rsidR="000C4539">
        <w:rPr>
          <w:sz w:val="24"/>
          <w:szCs w:val="24"/>
        </w:rPr>
        <w:t xml:space="preserve"> , a maintaining that the more complex and nuanced different capacities may be, he gives the example of autonomy, could take preference over things of a less complex description of capacities, he says the only time this could be applicable would be when both different descriptions of organisms or beings are both at risk but makes it clear that neither one would take priority over the other if such an event, </w:t>
      </w:r>
      <w:r w:rsidR="000C4539">
        <w:rPr>
          <w:sz w:val="24"/>
          <w:szCs w:val="24"/>
        </w:rPr>
        <w:t>as both beings being at risk</w:t>
      </w:r>
      <w:r w:rsidR="000C4539">
        <w:rPr>
          <w:sz w:val="24"/>
          <w:szCs w:val="24"/>
        </w:rPr>
        <w:t xml:space="preserve"> then the case would be that there is specific circumstances in which a value judgement must be made over beings that of intrinsically valuable. In a strange way this references animal farm in the famous words of, ‘everyone is equal but some more equal than </w:t>
      </w:r>
      <w:proofErr w:type="gramStart"/>
      <w:r w:rsidR="000C4539">
        <w:rPr>
          <w:sz w:val="24"/>
          <w:szCs w:val="24"/>
        </w:rPr>
        <w:t>others’</w:t>
      </w:r>
      <w:proofErr w:type="gramEnd"/>
      <w:r w:rsidR="000C4539">
        <w:rPr>
          <w:sz w:val="24"/>
          <w:szCs w:val="24"/>
        </w:rPr>
        <w:t>. Here I’m not trying to directly criticise Attfield in statement, where I’m essentially saying that he is authoritarian in his discrepancies over the capacities of living beings whom are</w:t>
      </w:r>
      <w:r w:rsidR="00837ADF">
        <w:rPr>
          <w:sz w:val="24"/>
          <w:szCs w:val="24"/>
        </w:rPr>
        <w:t>,</w:t>
      </w:r>
      <w:r w:rsidR="000C4539">
        <w:rPr>
          <w:sz w:val="24"/>
          <w:szCs w:val="24"/>
        </w:rPr>
        <w:t xml:space="preserve"> </w:t>
      </w:r>
      <w:r w:rsidR="00837ADF">
        <w:rPr>
          <w:sz w:val="24"/>
          <w:szCs w:val="24"/>
        </w:rPr>
        <w:t>(</w:t>
      </w:r>
      <w:r w:rsidR="000C4539">
        <w:rPr>
          <w:sz w:val="24"/>
          <w:szCs w:val="24"/>
        </w:rPr>
        <w:t xml:space="preserve">according to his own </w:t>
      </w:r>
      <w:r w:rsidR="000D0871">
        <w:rPr>
          <w:sz w:val="24"/>
          <w:szCs w:val="24"/>
        </w:rPr>
        <w:t>philosophical beliefs</w:t>
      </w:r>
      <w:r w:rsidR="00837ADF">
        <w:rPr>
          <w:sz w:val="24"/>
          <w:szCs w:val="24"/>
        </w:rPr>
        <w:t>)</w:t>
      </w:r>
      <w:r w:rsidR="000D0871">
        <w:rPr>
          <w:sz w:val="24"/>
          <w:szCs w:val="24"/>
        </w:rPr>
        <w:t xml:space="preserve"> </w:t>
      </w:r>
      <w:r w:rsidR="000C4539">
        <w:rPr>
          <w:sz w:val="24"/>
          <w:szCs w:val="24"/>
        </w:rPr>
        <w:t>all intrinsically valuable but</w:t>
      </w:r>
      <w:r w:rsidR="00837ADF">
        <w:rPr>
          <w:sz w:val="24"/>
          <w:szCs w:val="24"/>
        </w:rPr>
        <w:t>,</w:t>
      </w:r>
      <w:r w:rsidR="000C4539">
        <w:rPr>
          <w:sz w:val="24"/>
          <w:szCs w:val="24"/>
        </w:rPr>
        <w:t xml:space="preserve"> rather that</w:t>
      </w:r>
      <w:r w:rsidR="00837ADF">
        <w:rPr>
          <w:sz w:val="24"/>
          <w:szCs w:val="24"/>
        </w:rPr>
        <w:t>,</w:t>
      </w:r>
      <w:r w:rsidR="000C4539">
        <w:rPr>
          <w:sz w:val="24"/>
          <w:szCs w:val="24"/>
        </w:rPr>
        <w:t xml:space="preserve"> the value </w:t>
      </w:r>
      <w:r w:rsidR="000C4539">
        <w:rPr>
          <w:sz w:val="24"/>
          <w:szCs w:val="24"/>
        </w:rPr>
        <w:lastRenderedPageBreak/>
        <w:t>judgement that he is making here is as he puts it himself, “value dependent on their appreciation by conscious observers”</w:t>
      </w:r>
      <w:r w:rsidR="000C4539">
        <w:rPr>
          <w:rStyle w:val="FootnoteReference"/>
          <w:sz w:val="24"/>
          <w:szCs w:val="24"/>
        </w:rPr>
        <w:footnoteReference w:id="6"/>
      </w:r>
      <w:r w:rsidR="00837ADF">
        <w:rPr>
          <w:sz w:val="24"/>
          <w:szCs w:val="24"/>
        </w:rPr>
        <w:t xml:space="preserve"> . The reason why I do not think this is a wholly ironic anthropocentric stance is a recognition of as he puts it, “there immense instrumental value in supporting multitudes of individual bearers of moral standing and making possible there flourishing.”</w:t>
      </w:r>
      <w:r w:rsidR="00837ADF">
        <w:rPr>
          <w:rStyle w:val="FootnoteReference"/>
          <w:sz w:val="24"/>
          <w:szCs w:val="24"/>
        </w:rPr>
        <w:footnoteReference w:id="7"/>
      </w:r>
      <w:r w:rsidR="00837ADF">
        <w:rPr>
          <w:sz w:val="24"/>
          <w:szCs w:val="24"/>
        </w:rPr>
        <w:t xml:space="preserve"> it is here that he argues for the preservation of the largest possible amounts of what he calls biodiversity. It is here I must appreciate the vast interconnectedness of nature when I consider what could be intrinsically valuable in order to have some kind of moral standing in the manner that biocentrism proposes because, it seems that all things, both living and not living are interconnected to one another simultaneously in a holistic nature and functionality. That is to say that,  in order for life to exist in the first place there must be inanimate objects for which there is no life, but simply the possibility of chemical reactions leading to the what may be called, </w:t>
      </w:r>
      <w:r w:rsidR="00837ADF" w:rsidRPr="00837ADF">
        <w:rPr>
          <w:i/>
          <w:iCs/>
          <w:sz w:val="24"/>
          <w:szCs w:val="24"/>
        </w:rPr>
        <w:t xml:space="preserve">emergent properties </w:t>
      </w:r>
      <w:r w:rsidR="00837ADF">
        <w:rPr>
          <w:sz w:val="24"/>
          <w:szCs w:val="24"/>
        </w:rPr>
        <w:t>of such</w:t>
      </w:r>
      <w:r w:rsidR="008B1595">
        <w:rPr>
          <w:sz w:val="24"/>
          <w:szCs w:val="24"/>
        </w:rPr>
        <w:t xml:space="preserve"> a</w:t>
      </w:r>
      <w:r w:rsidR="00837ADF">
        <w:rPr>
          <w:sz w:val="24"/>
          <w:szCs w:val="24"/>
        </w:rPr>
        <w:t xml:space="preserve"> character</w:t>
      </w:r>
      <w:r w:rsidR="008B1595">
        <w:rPr>
          <w:sz w:val="24"/>
          <w:szCs w:val="24"/>
        </w:rPr>
        <w:t xml:space="preserve"> of</w:t>
      </w:r>
      <w:r w:rsidR="00837ADF">
        <w:rPr>
          <w:sz w:val="24"/>
          <w:szCs w:val="24"/>
        </w:rPr>
        <w:t xml:space="preserve"> reaction</w:t>
      </w:r>
      <w:r w:rsidR="008B1595">
        <w:rPr>
          <w:sz w:val="24"/>
          <w:szCs w:val="24"/>
        </w:rPr>
        <w:t>s. I</w:t>
      </w:r>
      <w:r w:rsidR="00837ADF">
        <w:rPr>
          <w:sz w:val="24"/>
          <w:szCs w:val="24"/>
        </w:rPr>
        <w:t>n which case</w:t>
      </w:r>
      <w:r w:rsidR="008B1595">
        <w:rPr>
          <w:sz w:val="24"/>
          <w:szCs w:val="24"/>
        </w:rPr>
        <w:t>, one</w:t>
      </w:r>
      <w:r w:rsidR="00837ADF">
        <w:rPr>
          <w:sz w:val="24"/>
          <w:szCs w:val="24"/>
        </w:rPr>
        <w:t xml:space="preserve"> could say the pre-requisites of life are things</w:t>
      </w:r>
      <w:r w:rsidR="008B1595">
        <w:rPr>
          <w:sz w:val="24"/>
          <w:szCs w:val="24"/>
        </w:rPr>
        <w:t xml:space="preserve"> of</w:t>
      </w:r>
      <w:r w:rsidR="00837ADF">
        <w:rPr>
          <w:sz w:val="24"/>
          <w:szCs w:val="24"/>
        </w:rPr>
        <w:t xml:space="preserve"> that</w:t>
      </w:r>
      <w:r w:rsidR="008B1595">
        <w:rPr>
          <w:sz w:val="24"/>
          <w:szCs w:val="24"/>
        </w:rPr>
        <w:t xml:space="preserve"> which</w:t>
      </w:r>
      <w:r w:rsidR="00837ADF">
        <w:rPr>
          <w:sz w:val="24"/>
          <w:szCs w:val="24"/>
        </w:rPr>
        <w:t xml:space="preserve"> are</w:t>
      </w:r>
      <w:r w:rsidR="008B1595">
        <w:rPr>
          <w:sz w:val="24"/>
          <w:szCs w:val="24"/>
        </w:rPr>
        <w:t xml:space="preserve"> not </w:t>
      </w:r>
      <w:r w:rsidR="00837ADF">
        <w:rPr>
          <w:sz w:val="24"/>
          <w:szCs w:val="24"/>
        </w:rPr>
        <w:t>actually alive which considering Attfield’s position</w:t>
      </w:r>
      <w:r w:rsidR="008B1595">
        <w:rPr>
          <w:sz w:val="24"/>
          <w:szCs w:val="24"/>
        </w:rPr>
        <w:t>,</w:t>
      </w:r>
      <w:r w:rsidR="00837ADF">
        <w:rPr>
          <w:sz w:val="24"/>
          <w:szCs w:val="24"/>
        </w:rPr>
        <w:t xml:space="preserve"> with things being intrinsically valuable because they uphold various parts of an ecosystem one could say that even inanimate objects are intrinsically valuable in of themselves</w:t>
      </w:r>
      <w:r w:rsidR="008B1595">
        <w:rPr>
          <w:sz w:val="24"/>
          <w:szCs w:val="24"/>
        </w:rPr>
        <w:t>,</w:t>
      </w:r>
      <w:r w:rsidR="00837ADF">
        <w:rPr>
          <w:sz w:val="24"/>
          <w:szCs w:val="24"/>
        </w:rPr>
        <w:t xml:space="preserve"> because of their capacity to produce the possibilities of emergent properties such as life</w:t>
      </w:r>
      <w:r w:rsidR="008B1595">
        <w:rPr>
          <w:sz w:val="24"/>
          <w:szCs w:val="24"/>
        </w:rPr>
        <w:t xml:space="preserve"> in the first place and without which there would be no life at all</w:t>
      </w:r>
      <w:r w:rsidR="00837ADF">
        <w:rPr>
          <w:sz w:val="24"/>
          <w:szCs w:val="24"/>
        </w:rPr>
        <w:t>.</w:t>
      </w:r>
      <w:r w:rsidR="008B1595">
        <w:rPr>
          <w:sz w:val="24"/>
          <w:szCs w:val="24"/>
        </w:rPr>
        <w:t xml:space="preserve"> Following this the beings applicable to having moral standing would be all beings as a standardised point however it would have to then expand on the essay question in terms of the fact that it implies the possibility that inanimate objects have intrinsic value also. Therefore the possibility exists that all things are intrinsically valuable and the only way that one could make a judgement of different kinds of values depending on the different situations would be, to make an independent value judgement based on how much one could appreciate that particular thing whether it is thing that is alive or a thing that is not.  One may also say that one might have to have an  intricate knowledge of chemical reactions  and  the specific ch</w:t>
      </w:r>
      <w:r w:rsidR="0008636D">
        <w:rPr>
          <w:sz w:val="24"/>
          <w:szCs w:val="24"/>
        </w:rPr>
        <w:t>emical</w:t>
      </w:r>
      <w:r w:rsidR="008B1595">
        <w:rPr>
          <w:sz w:val="24"/>
          <w:szCs w:val="24"/>
        </w:rPr>
        <w:t xml:space="preserve"> reactions needed  for possibility of the emergent property that we </w:t>
      </w:r>
      <w:r w:rsidR="008B1595">
        <w:rPr>
          <w:sz w:val="24"/>
          <w:szCs w:val="24"/>
        </w:rPr>
        <w:lastRenderedPageBreak/>
        <w:t>call life  because of course there are many chemical reactions  that happened in the universe that  one could say have very little to do with  the possibility of life occurring  in the universe.  there is one other possibility and that is of the possibility of a machine singularity created through mechanical means</w:t>
      </w:r>
      <w:r w:rsidR="0008636D">
        <w:rPr>
          <w:sz w:val="24"/>
          <w:szCs w:val="24"/>
        </w:rPr>
        <w:t>,</w:t>
      </w:r>
      <w:r w:rsidR="008B1595">
        <w:rPr>
          <w:sz w:val="24"/>
          <w:szCs w:val="24"/>
        </w:rPr>
        <w:t xml:space="preserve"> that is to say manmade means</w:t>
      </w:r>
      <w:r w:rsidR="0008636D">
        <w:rPr>
          <w:sz w:val="24"/>
          <w:szCs w:val="24"/>
        </w:rPr>
        <w:t xml:space="preserve"> and therefore gaining a kind of sentience, which course and the possibility of that singularity having sentience as a part of its</w:t>
      </w:r>
      <w:r w:rsidR="008B1595">
        <w:rPr>
          <w:sz w:val="24"/>
          <w:szCs w:val="24"/>
        </w:rPr>
        <w:t xml:space="preserve"> </w:t>
      </w:r>
      <w:r w:rsidR="0008636D">
        <w:rPr>
          <w:sz w:val="24"/>
          <w:szCs w:val="24"/>
        </w:rPr>
        <w:t>characteristics but also therefore the possibility of having a moral standing over itself and its context and also therefore having some kind of possibility of an intrinsic value within that thing.</w:t>
      </w:r>
    </w:p>
    <w:p w14:paraId="38BF2B25" w14:textId="18E6FB85" w:rsidR="0008636D" w:rsidRDefault="0008636D" w:rsidP="00A24FC4">
      <w:pPr>
        <w:spacing w:line="360" w:lineRule="auto"/>
        <w:rPr>
          <w:sz w:val="24"/>
          <w:szCs w:val="24"/>
        </w:rPr>
      </w:pPr>
    </w:p>
    <w:p w14:paraId="704BD5F6" w14:textId="1B1E52D6" w:rsidR="0008636D" w:rsidRPr="0008636D" w:rsidRDefault="0008636D" w:rsidP="00A24FC4">
      <w:pPr>
        <w:spacing w:line="360" w:lineRule="auto"/>
        <w:rPr>
          <w:sz w:val="24"/>
        </w:rPr>
      </w:pPr>
    </w:p>
    <w:sectPr w:rsidR="0008636D" w:rsidRPr="0008636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5C160A" w14:textId="77777777" w:rsidR="00D46AAC" w:rsidRDefault="00D46AAC" w:rsidP="00785693">
      <w:pPr>
        <w:spacing w:after="0" w:line="240" w:lineRule="auto"/>
      </w:pPr>
      <w:r>
        <w:separator/>
      </w:r>
    </w:p>
  </w:endnote>
  <w:endnote w:type="continuationSeparator" w:id="0">
    <w:p w14:paraId="6CF4BE38" w14:textId="77777777" w:rsidR="00D46AAC" w:rsidRDefault="00D46AAC" w:rsidP="007856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6FBD1" w14:textId="77777777" w:rsidR="00D46AAC" w:rsidRDefault="00D46AAC" w:rsidP="00785693">
      <w:pPr>
        <w:spacing w:after="0" w:line="240" w:lineRule="auto"/>
      </w:pPr>
      <w:r>
        <w:separator/>
      </w:r>
    </w:p>
  </w:footnote>
  <w:footnote w:type="continuationSeparator" w:id="0">
    <w:p w14:paraId="372ABE8D" w14:textId="77777777" w:rsidR="00D46AAC" w:rsidRDefault="00D46AAC" w:rsidP="00785693">
      <w:pPr>
        <w:spacing w:after="0" w:line="240" w:lineRule="auto"/>
      </w:pPr>
      <w:r>
        <w:continuationSeparator/>
      </w:r>
    </w:p>
  </w:footnote>
  <w:footnote w:id="1">
    <w:p w14:paraId="15B6B86E" w14:textId="4F908D50" w:rsidR="00785693" w:rsidRDefault="00785693">
      <w:pPr>
        <w:pStyle w:val="FootnoteText"/>
      </w:pPr>
      <w:r>
        <w:rPr>
          <w:rStyle w:val="FootnoteReference"/>
        </w:rPr>
        <w:footnoteRef/>
      </w:r>
      <w:r>
        <w:t xml:space="preserve"> Herman E. Daly, ‘On Wilfred Beckerman’s Critique of Sustainable Development’, Environmental Values 4 (1995): 49-55, p. 49</w:t>
      </w:r>
    </w:p>
  </w:footnote>
  <w:footnote w:id="2">
    <w:p w14:paraId="25CE045D" w14:textId="55EA0CC9" w:rsidR="007712A3" w:rsidRDefault="007712A3">
      <w:pPr>
        <w:pStyle w:val="FootnoteText"/>
      </w:pPr>
      <w:r>
        <w:rPr>
          <w:rStyle w:val="FootnoteReference"/>
        </w:rPr>
        <w:footnoteRef/>
      </w:r>
      <w:r>
        <w:t xml:space="preserve"> G.J Warnock, 1971, p. 148 cited by Kenneth </w:t>
      </w:r>
      <w:proofErr w:type="spellStart"/>
      <w:r>
        <w:t>Goodpaster</w:t>
      </w:r>
      <w:proofErr w:type="spellEnd"/>
      <w:r>
        <w:t>, 1978, p. 308)</w:t>
      </w:r>
      <w:r w:rsidR="008B1595">
        <w:t xml:space="preserve"> at</w:t>
      </w:r>
    </w:p>
  </w:footnote>
  <w:footnote w:id="3">
    <w:p w14:paraId="4D223FDD" w14:textId="09675ED8" w:rsidR="007F126A" w:rsidRDefault="007F126A">
      <w:pPr>
        <w:pStyle w:val="FootnoteText"/>
      </w:pPr>
      <w:r>
        <w:rPr>
          <w:rStyle w:val="FootnoteReference"/>
        </w:rPr>
        <w:footnoteRef/>
      </w:r>
      <w:r>
        <w:t xml:space="preserve"> </w:t>
      </w:r>
      <w:r>
        <w:t>Robin Attfield</w:t>
      </w:r>
      <w:r>
        <w:t>, ‘</w:t>
      </w:r>
      <w:r>
        <w:t>Can Biocentric Consequentialism meet Pluralist Challenges?</w:t>
      </w:r>
      <w:r>
        <w:t xml:space="preserve">’, </w:t>
      </w:r>
      <w:r>
        <w:t>Consequentialism &amp;</w:t>
      </w:r>
      <w:r>
        <w:t xml:space="preserve"> </w:t>
      </w:r>
      <w:r>
        <w:t xml:space="preserve">Environmental Ethics </w:t>
      </w:r>
      <w:r>
        <w:t>(</w:t>
      </w:r>
      <w:r>
        <w:t>2014)</w:t>
      </w:r>
      <w:r>
        <w:t xml:space="preserve"> </w:t>
      </w:r>
      <w:r>
        <w:t>1-45</w:t>
      </w:r>
      <w:r>
        <w:t xml:space="preserve">, p. </w:t>
      </w:r>
      <w:r>
        <w:t>1</w:t>
      </w:r>
    </w:p>
    <w:p w14:paraId="5DAE364B" w14:textId="77777777" w:rsidR="000466BD" w:rsidRDefault="000466BD">
      <w:pPr>
        <w:pStyle w:val="FootnoteText"/>
      </w:pPr>
    </w:p>
  </w:footnote>
  <w:footnote w:id="4">
    <w:p w14:paraId="28C2B024" w14:textId="7F65D36D" w:rsidR="00DA599D" w:rsidRDefault="00DA599D">
      <w:pPr>
        <w:pStyle w:val="FootnoteText"/>
      </w:pPr>
      <w:r>
        <w:rPr>
          <w:rStyle w:val="FootnoteReference"/>
        </w:rPr>
        <w:footnoteRef/>
      </w:r>
      <w:r>
        <w:t xml:space="preserve"> Alan Carter, Review of Robin Attfield, The Ethics of the Global Environment, (1999), in Mind, cx, 2001, p.14</w:t>
      </w:r>
      <w:r w:rsidR="000466BD">
        <w:t>9</w:t>
      </w:r>
    </w:p>
    <w:p w14:paraId="006D0A4B" w14:textId="77777777" w:rsidR="000466BD" w:rsidRDefault="000466BD">
      <w:pPr>
        <w:pStyle w:val="FootnoteText"/>
      </w:pPr>
    </w:p>
  </w:footnote>
  <w:footnote w:id="5">
    <w:p w14:paraId="57AB7661" w14:textId="2C2672D6" w:rsidR="000466BD" w:rsidRDefault="000466BD" w:rsidP="000466BD">
      <w:pPr>
        <w:pStyle w:val="FootnoteText"/>
      </w:pPr>
      <w:r>
        <w:rPr>
          <w:rStyle w:val="FootnoteReference"/>
        </w:rPr>
        <w:footnoteRef/>
      </w:r>
      <w:r>
        <w:t xml:space="preserve"> </w:t>
      </w:r>
      <w:r>
        <w:t xml:space="preserve">Robin Attfield, ‘Can Biocentric Consequentialism meet Pluralist Challenges?’, Consequentialism &amp; Environmental Ethics (2014) 1-45, p. </w:t>
      </w:r>
      <w:r>
        <w:t>3</w:t>
      </w:r>
    </w:p>
    <w:p w14:paraId="67E950A9" w14:textId="77777777" w:rsidR="000466BD" w:rsidRDefault="000466BD" w:rsidP="000466BD">
      <w:pPr>
        <w:pStyle w:val="FootnoteText"/>
      </w:pPr>
    </w:p>
    <w:p w14:paraId="4D978730" w14:textId="70CD5AA2" w:rsidR="000466BD" w:rsidRDefault="000466BD">
      <w:pPr>
        <w:pStyle w:val="FootnoteText"/>
      </w:pPr>
    </w:p>
  </w:footnote>
  <w:footnote w:id="6">
    <w:p w14:paraId="2E74E64F" w14:textId="1D6D5861" w:rsidR="000C4539" w:rsidRDefault="000C4539" w:rsidP="000C4539">
      <w:pPr>
        <w:pStyle w:val="FootnoteText"/>
      </w:pPr>
      <w:r>
        <w:rPr>
          <w:rStyle w:val="FootnoteReference"/>
        </w:rPr>
        <w:footnoteRef/>
      </w:r>
      <w:r>
        <w:t xml:space="preserve"> </w:t>
      </w:r>
      <w:r>
        <w:t xml:space="preserve">Robin Attfield, ‘Can Biocentric Consequentialism meet Pluralist Challenges?’, Consequentialism &amp; Environmental Ethics (2014) 1-45, p. </w:t>
      </w:r>
      <w:r>
        <w:t>3</w:t>
      </w:r>
    </w:p>
    <w:p w14:paraId="55B436E5" w14:textId="77777777" w:rsidR="000C4539" w:rsidRDefault="000C4539" w:rsidP="000C4539">
      <w:pPr>
        <w:pStyle w:val="FootnoteText"/>
      </w:pPr>
    </w:p>
    <w:p w14:paraId="3DF9542C" w14:textId="38F51D61" w:rsidR="000C4539" w:rsidRDefault="000C4539">
      <w:pPr>
        <w:pStyle w:val="FootnoteText"/>
      </w:pPr>
    </w:p>
  </w:footnote>
  <w:footnote w:id="7">
    <w:p w14:paraId="413A2828" w14:textId="5F8B6E63" w:rsidR="00837ADF" w:rsidRDefault="00837ADF" w:rsidP="00837ADF">
      <w:pPr>
        <w:pStyle w:val="FootnoteText"/>
      </w:pPr>
      <w:r>
        <w:rPr>
          <w:rStyle w:val="FootnoteReference"/>
        </w:rPr>
        <w:footnoteRef/>
      </w:r>
      <w:r>
        <w:t xml:space="preserve"> </w:t>
      </w:r>
      <w:r>
        <w:t xml:space="preserve">Robin Attfield, ‘Can Biocentric Consequentialism meet Pluralist Challenges?’, Consequentialism &amp; Environmental Ethics (2014) 1-45, p. </w:t>
      </w:r>
      <w:r>
        <w:t>3</w:t>
      </w:r>
    </w:p>
    <w:p w14:paraId="6F234BEA" w14:textId="77777777" w:rsidR="00837ADF" w:rsidRDefault="00837ADF" w:rsidP="00837ADF">
      <w:pPr>
        <w:pStyle w:val="FootnoteText"/>
      </w:pPr>
    </w:p>
    <w:p w14:paraId="36990187" w14:textId="374A876D" w:rsidR="00837ADF" w:rsidRDefault="00837ADF">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078FA"/>
    <w:multiLevelType w:val="hybridMultilevel"/>
    <w:tmpl w:val="A7D41160"/>
    <w:lvl w:ilvl="0" w:tplc="51884FEC">
      <w:start w:val="1"/>
      <w:numFmt w:val="decimal"/>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475426DD"/>
    <w:multiLevelType w:val="hybridMultilevel"/>
    <w:tmpl w:val="88B29584"/>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0C1719F6-26F7-4677-91CA-E399D58CAAD4}"/>
    <w:docVar w:name="dgnword-eventsink" w:val="369082912"/>
  </w:docVars>
  <w:rsids>
    <w:rsidRoot w:val="00F17867"/>
    <w:rsid w:val="00000CB8"/>
    <w:rsid w:val="00001D8E"/>
    <w:rsid w:val="00021038"/>
    <w:rsid w:val="0004221D"/>
    <w:rsid w:val="000443F6"/>
    <w:rsid w:val="000466BD"/>
    <w:rsid w:val="00047A7D"/>
    <w:rsid w:val="00052FC4"/>
    <w:rsid w:val="00054570"/>
    <w:rsid w:val="00061603"/>
    <w:rsid w:val="00076F3E"/>
    <w:rsid w:val="00080045"/>
    <w:rsid w:val="00080F19"/>
    <w:rsid w:val="00084808"/>
    <w:rsid w:val="0008636D"/>
    <w:rsid w:val="00087C50"/>
    <w:rsid w:val="00097D16"/>
    <w:rsid w:val="000A39F1"/>
    <w:rsid w:val="000C4539"/>
    <w:rsid w:val="000D0871"/>
    <w:rsid w:val="000D401C"/>
    <w:rsid w:val="000D59AE"/>
    <w:rsid w:val="000E72A9"/>
    <w:rsid w:val="000F0F54"/>
    <w:rsid w:val="000F2C55"/>
    <w:rsid w:val="000F2D0E"/>
    <w:rsid w:val="000F33F3"/>
    <w:rsid w:val="00127BEE"/>
    <w:rsid w:val="00161665"/>
    <w:rsid w:val="001657A5"/>
    <w:rsid w:val="00170477"/>
    <w:rsid w:val="0017126C"/>
    <w:rsid w:val="00175AD9"/>
    <w:rsid w:val="00180CFB"/>
    <w:rsid w:val="00184B3D"/>
    <w:rsid w:val="001A6738"/>
    <w:rsid w:val="001B650A"/>
    <w:rsid w:val="001C4279"/>
    <w:rsid w:val="001C67AF"/>
    <w:rsid w:val="001E42F9"/>
    <w:rsid w:val="001F263F"/>
    <w:rsid w:val="001F4126"/>
    <w:rsid w:val="001F63D4"/>
    <w:rsid w:val="001F79DC"/>
    <w:rsid w:val="00216594"/>
    <w:rsid w:val="002222BA"/>
    <w:rsid w:val="00232B36"/>
    <w:rsid w:val="00235A35"/>
    <w:rsid w:val="00243E93"/>
    <w:rsid w:val="00245C22"/>
    <w:rsid w:val="0025244D"/>
    <w:rsid w:val="0025645E"/>
    <w:rsid w:val="002570B9"/>
    <w:rsid w:val="00257ED0"/>
    <w:rsid w:val="00272289"/>
    <w:rsid w:val="0028311C"/>
    <w:rsid w:val="00283B16"/>
    <w:rsid w:val="002911FA"/>
    <w:rsid w:val="002947FE"/>
    <w:rsid w:val="002A24CF"/>
    <w:rsid w:val="002B165E"/>
    <w:rsid w:val="002C4242"/>
    <w:rsid w:val="002C570C"/>
    <w:rsid w:val="002D542B"/>
    <w:rsid w:val="002F1F83"/>
    <w:rsid w:val="003014EE"/>
    <w:rsid w:val="003172FA"/>
    <w:rsid w:val="0032218E"/>
    <w:rsid w:val="00330E23"/>
    <w:rsid w:val="003408B2"/>
    <w:rsid w:val="0034344E"/>
    <w:rsid w:val="00346967"/>
    <w:rsid w:val="00346DB4"/>
    <w:rsid w:val="00361313"/>
    <w:rsid w:val="00371F09"/>
    <w:rsid w:val="00372F79"/>
    <w:rsid w:val="00373AB0"/>
    <w:rsid w:val="00374AB2"/>
    <w:rsid w:val="00384A1D"/>
    <w:rsid w:val="00390789"/>
    <w:rsid w:val="003918A4"/>
    <w:rsid w:val="003B2BA6"/>
    <w:rsid w:val="003B2C6A"/>
    <w:rsid w:val="003C2FBE"/>
    <w:rsid w:val="003E0FA9"/>
    <w:rsid w:val="003E16DE"/>
    <w:rsid w:val="003E6514"/>
    <w:rsid w:val="00402D22"/>
    <w:rsid w:val="004214EC"/>
    <w:rsid w:val="004248FB"/>
    <w:rsid w:val="00425197"/>
    <w:rsid w:val="0043073D"/>
    <w:rsid w:val="004442CA"/>
    <w:rsid w:val="00452566"/>
    <w:rsid w:val="00460F53"/>
    <w:rsid w:val="00466784"/>
    <w:rsid w:val="00472E59"/>
    <w:rsid w:val="00491FD5"/>
    <w:rsid w:val="00492AB9"/>
    <w:rsid w:val="004A1115"/>
    <w:rsid w:val="004A2EA2"/>
    <w:rsid w:val="004A2FCF"/>
    <w:rsid w:val="004A4B8F"/>
    <w:rsid w:val="004B1116"/>
    <w:rsid w:val="004B5796"/>
    <w:rsid w:val="004E0297"/>
    <w:rsid w:val="004E044A"/>
    <w:rsid w:val="004F661C"/>
    <w:rsid w:val="00542900"/>
    <w:rsid w:val="00551B93"/>
    <w:rsid w:val="005558E6"/>
    <w:rsid w:val="0055733C"/>
    <w:rsid w:val="00557B55"/>
    <w:rsid w:val="005766F8"/>
    <w:rsid w:val="00581509"/>
    <w:rsid w:val="005A15D3"/>
    <w:rsid w:val="005A3651"/>
    <w:rsid w:val="005D3C4A"/>
    <w:rsid w:val="005D7F56"/>
    <w:rsid w:val="005E3571"/>
    <w:rsid w:val="005F549E"/>
    <w:rsid w:val="005F5999"/>
    <w:rsid w:val="005F7C6C"/>
    <w:rsid w:val="00602861"/>
    <w:rsid w:val="0060322D"/>
    <w:rsid w:val="006038AC"/>
    <w:rsid w:val="00613659"/>
    <w:rsid w:val="006217AB"/>
    <w:rsid w:val="00624BE8"/>
    <w:rsid w:val="006303F1"/>
    <w:rsid w:val="006312BA"/>
    <w:rsid w:val="00636714"/>
    <w:rsid w:val="0064119B"/>
    <w:rsid w:val="00651866"/>
    <w:rsid w:val="00655CE1"/>
    <w:rsid w:val="00656CB5"/>
    <w:rsid w:val="00664AAD"/>
    <w:rsid w:val="006710E5"/>
    <w:rsid w:val="00677495"/>
    <w:rsid w:val="006863AC"/>
    <w:rsid w:val="00690213"/>
    <w:rsid w:val="006965B0"/>
    <w:rsid w:val="006A6BFE"/>
    <w:rsid w:val="006B0EC8"/>
    <w:rsid w:val="006B2C42"/>
    <w:rsid w:val="006C021A"/>
    <w:rsid w:val="006C17F7"/>
    <w:rsid w:val="006E073D"/>
    <w:rsid w:val="0070049E"/>
    <w:rsid w:val="007133D6"/>
    <w:rsid w:val="00720560"/>
    <w:rsid w:val="00737273"/>
    <w:rsid w:val="00744210"/>
    <w:rsid w:val="00747C78"/>
    <w:rsid w:val="00752776"/>
    <w:rsid w:val="007576D9"/>
    <w:rsid w:val="007600D1"/>
    <w:rsid w:val="00761003"/>
    <w:rsid w:val="00767AFF"/>
    <w:rsid w:val="00767C54"/>
    <w:rsid w:val="007712A3"/>
    <w:rsid w:val="007726BA"/>
    <w:rsid w:val="0077777A"/>
    <w:rsid w:val="00782FC0"/>
    <w:rsid w:val="00785693"/>
    <w:rsid w:val="007867F0"/>
    <w:rsid w:val="007A5492"/>
    <w:rsid w:val="007B4607"/>
    <w:rsid w:val="007B52CA"/>
    <w:rsid w:val="007D335C"/>
    <w:rsid w:val="007D3CDF"/>
    <w:rsid w:val="007E093C"/>
    <w:rsid w:val="007E0A9F"/>
    <w:rsid w:val="007E2047"/>
    <w:rsid w:val="007F126A"/>
    <w:rsid w:val="007F1A4B"/>
    <w:rsid w:val="007F1C9B"/>
    <w:rsid w:val="00806F9A"/>
    <w:rsid w:val="00810979"/>
    <w:rsid w:val="00817FB7"/>
    <w:rsid w:val="00837ADF"/>
    <w:rsid w:val="0085579D"/>
    <w:rsid w:val="00857DF6"/>
    <w:rsid w:val="00860C8E"/>
    <w:rsid w:val="00862580"/>
    <w:rsid w:val="0086281F"/>
    <w:rsid w:val="008663EF"/>
    <w:rsid w:val="00866810"/>
    <w:rsid w:val="008736E6"/>
    <w:rsid w:val="0088312C"/>
    <w:rsid w:val="00891BB3"/>
    <w:rsid w:val="00891CAB"/>
    <w:rsid w:val="00893BC1"/>
    <w:rsid w:val="008A0C86"/>
    <w:rsid w:val="008A195C"/>
    <w:rsid w:val="008A6F63"/>
    <w:rsid w:val="008B1595"/>
    <w:rsid w:val="008B6287"/>
    <w:rsid w:val="008C3E16"/>
    <w:rsid w:val="008D5561"/>
    <w:rsid w:val="009150FC"/>
    <w:rsid w:val="00916703"/>
    <w:rsid w:val="009258F7"/>
    <w:rsid w:val="0093284C"/>
    <w:rsid w:val="00933CC2"/>
    <w:rsid w:val="00934B22"/>
    <w:rsid w:val="00934E07"/>
    <w:rsid w:val="00944D22"/>
    <w:rsid w:val="009507DC"/>
    <w:rsid w:val="00951841"/>
    <w:rsid w:val="00960EC5"/>
    <w:rsid w:val="00965503"/>
    <w:rsid w:val="00980BFD"/>
    <w:rsid w:val="0098151E"/>
    <w:rsid w:val="00982ED9"/>
    <w:rsid w:val="009860ED"/>
    <w:rsid w:val="009B5150"/>
    <w:rsid w:val="009F3707"/>
    <w:rsid w:val="00A0333B"/>
    <w:rsid w:val="00A24FC4"/>
    <w:rsid w:val="00A3064B"/>
    <w:rsid w:val="00A32216"/>
    <w:rsid w:val="00A33BBF"/>
    <w:rsid w:val="00A34362"/>
    <w:rsid w:val="00A406E1"/>
    <w:rsid w:val="00A60AEB"/>
    <w:rsid w:val="00A67221"/>
    <w:rsid w:val="00A873B0"/>
    <w:rsid w:val="00AA0F52"/>
    <w:rsid w:val="00AA53E6"/>
    <w:rsid w:val="00AB0B8F"/>
    <w:rsid w:val="00AB140D"/>
    <w:rsid w:val="00AC0606"/>
    <w:rsid w:val="00AF2383"/>
    <w:rsid w:val="00AF4942"/>
    <w:rsid w:val="00AF5AF5"/>
    <w:rsid w:val="00B13B9A"/>
    <w:rsid w:val="00B2441C"/>
    <w:rsid w:val="00B34C80"/>
    <w:rsid w:val="00B44D5C"/>
    <w:rsid w:val="00B63C28"/>
    <w:rsid w:val="00B67553"/>
    <w:rsid w:val="00BA5CCE"/>
    <w:rsid w:val="00BC1021"/>
    <w:rsid w:val="00BC5773"/>
    <w:rsid w:val="00BF28B7"/>
    <w:rsid w:val="00C067E9"/>
    <w:rsid w:val="00C15740"/>
    <w:rsid w:val="00C174D8"/>
    <w:rsid w:val="00C235E1"/>
    <w:rsid w:val="00C30972"/>
    <w:rsid w:val="00C30E91"/>
    <w:rsid w:val="00C40084"/>
    <w:rsid w:val="00C40883"/>
    <w:rsid w:val="00C41FA8"/>
    <w:rsid w:val="00C54678"/>
    <w:rsid w:val="00C5571C"/>
    <w:rsid w:val="00C66157"/>
    <w:rsid w:val="00C73764"/>
    <w:rsid w:val="00C74826"/>
    <w:rsid w:val="00C753D7"/>
    <w:rsid w:val="00C76366"/>
    <w:rsid w:val="00C8295E"/>
    <w:rsid w:val="00CA181A"/>
    <w:rsid w:val="00CB02F6"/>
    <w:rsid w:val="00CB11F7"/>
    <w:rsid w:val="00CB2EA3"/>
    <w:rsid w:val="00CB7627"/>
    <w:rsid w:val="00CB7BFA"/>
    <w:rsid w:val="00CD5081"/>
    <w:rsid w:val="00CF1180"/>
    <w:rsid w:val="00CF461B"/>
    <w:rsid w:val="00CF5074"/>
    <w:rsid w:val="00D03DD7"/>
    <w:rsid w:val="00D07A88"/>
    <w:rsid w:val="00D2088B"/>
    <w:rsid w:val="00D24C93"/>
    <w:rsid w:val="00D276DB"/>
    <w:rsid w:val="00D46AAC"/>
    <w:rsid w:val="00D51067"/>
    <w:rsid w:val="00D7069A"/>
    <w:rsid w:val="00D70FB4"/>
    <w:rsid w:val="00D76919"/>
    <w:rsid w:val="00D8020E"/>
    <w:rsid w:val="00D81580"/>
    <w:rsid w:val="00D86BC3"/>
    <w:rsid w:val="00DA4DAF"/>
    <w:rsid w:val="00DA599D"/>
    <w:rsid w:val="00DB14C4"/>
    <w:rsid w:val="00DB3983"/>
    <w:rsid w:val="00DB52A4"/>
    <w:rsid w:val="00DC7D0F"/>
    <w:rsid w:val="00E10C22"/>
    <w:rsid w:val="00E417EC"/>
    <w:rsid w:val="00E6122F"/>
    <w:rsid w:val="00E64765"/>
    <w:rsid w:val="00E66F1C"/>
    <w:rsid w:val="00E76494"/>
    <w:rsid w:val="00E84F39"/>
    <w:rsid w:val="00E9001E"/>
    <w:rsid w:val="00E90633"/>
    <w:rsid w:val="00E92487"/>
    <w:rsid w:val="00EA1192"/>
    <w:rsid w:val="00EA61B9"/>
    <w:rsid w:val="00EA7E43"/>
    <w:rsid w:val="00EB2567"/>
    <w:rsid w:val="00EB5400"/>
    <w:rsid w:val="00EC1B95"/>
    <w:rsid w:val="00ED066D"/>
    <w:rsid w:val="00ED099E"/>
    <w:rsid w:val="00ED4964"/>
    <w:rsid w:val="00EE39B0"/>
    <w:rsid w:val="00EE682B"/>
    <w:rsid w:val="00EF7ADE"/>
    <w:rsid w:val="00F03DC1"/>
    <w:rsid w:val="00F131CB"/>
    <w:rsid w:val="00F17867"/>
    <w:rsid w:val="00F22EC1"/>
    <w:rsid w:val="00F25D19"/>
    <w:rsid w:val="00F26B35"/>
    <w:rsid w:val="00F31BC4"/>
    <w:rsid w:val="00F34EB1"/>
    <w:rsid w:val="00F46073"/>
    <w:rsid w:val="00F54458"/>
    <w:rsid w:val="00F623F1"/>
    <w:rsid w:val="00F94A34"/>
    <w:rsid w:val="00FA1D89"/>
    <w:rsid w:val="00FB3013"/>
    <w:rsid w:val="00FC3AEF"/>
    <w:rsid w:val="00FC47F2"/>
    <w:rsid w:val="00FE53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18DFC7"/>
  <w15:chartTrackingRefBased/>
  <w15:docId w15:val="{E37A6C75-2A8B-4E88-93A1-0B1C6CADF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63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85693"/>
    <w:pPr>
      <w:spacing w:after="0" w:line="240" w:lineRule="auto"/>
    </w:pPr>
    <w:rPr>
      <w:sz w:val="20"/>
      <w:szCs w:val="20"/>
    </w:rPr>
  </w:style>
  <w:style w:type="character" w:customStyle="1" w:styleId="FootnoteTextChar">
    <w:name w:val="Footnote Text Char"/>
    <w:basedOn w:val="DefaultParagraphFont"/>
    <w:link w:val="FootnoteText"/>
    <w:uiPriority w:val="99"/>
    <w:rsid w:val="00785693"/>
    <w:rPr>
      <w:sz w:val="20"/>
      <w:szCs w:val="20"/>
    </w:rPr>
  </w:style>
  <w:style w:type="character" w:styleId="FootnoteReference">
    <w:name w:val="footnote reference"/>
    <w:basedOn w:val="DefaultParagraphFont"/>
    <w:uiPriority w:val="99"/>
    <w:semiHidden/>
    <w:unhideWhenUsed/>
    <w:rsid w:val="00785693"/>
    <w:rPr>
      <w:vertAlign w:val="superscript"/>
    </w:rPr>
  </w:style>
  <w:style w:type="paragraph" w:styleId="ListParagraph">
    <w:name w:val="List Paragraph"/>
    <w:basedOn w:val="Normal"/>
    <w:uiPriority w:val="34"/>
    <w:qFormat/>
    <w:rsid w:val="000F2C55"/>
    <w:pPr>
      <w:ind w:left="720"/>
      <w:contextualSpacing/>
    </w:pPr>
  </w:style>
  <w:style w:type="character" w:customStyle="1" w:styleId="Heading1Char">
    <w:name w:val="Heading 1 Char"/>
    <w:basedOn w:val="DefaultParagraphFont"/>
    <w:link w:val="Heading1"/>
    <w:uiPriority w:val="9"/>
    <w:rsid w:val="0008636D"/>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semiHidden/>
    <w:unhideWhenUsed/>
    <w:rsid w:val="0008636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1749490">
      <w:bodyDiv w:val="1"/>
      <w:marLeft w:val="0"/>
      <w:marRight w:val="0"/>
      <w:marTop w:val="0"/>
      <w:marBottom w:val="0"/>
      <w:divBdr>
        <w:top w:val="none" w:sz="0" w:space="0" w:color="auto"/>
        <w:left w:val="none" w:sz="0" w:space="0" w:color="auto"/>
        <w:bottom w:val="none" w:sz="0" w:space="0" w:color="auto"/>
        <w:right w:val="none" w:sz="0" w:space="0" w:color="auto"/>
      </w:divBdr>
      <w:divsChild>
        <w:div w:id="1270821602">
          <w:marLeft w:val="0"/>
          <w:marRight w:val="0"/>
          <w:marTop w:val="0"/>
          <w:marBottom w:val="0"/>
          <w:divBdr>
            <w:top w:val="none" w:sz="0" w:space="0" w:color="auto"/>
            <w:left w:val="none" w:sz="0" w:space="0" w:color="auto"/>
            <w:bottom w:val="none" w:sz="0" w:space="0" w:color="auto"/>
            <w:right w:val="none" w:sz="0" w:space="0" w:color="auto"/>
          </w:divBdr>
          <w:divsChild>
            <w:div w:id="22481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F27122A-237D-48A8-9FEE-B868DD685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6</Pages>
  <Words>1825</Words>
  <Characters>10406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Butler</dc:creator>
  <cp:keywords/>
  <dc:description/>
  <cp:lastModifiedBy>Student</cp:lastModifiedBy>
  <cp:revision>11</cp:revision>
  <dcterms:created xsi:type="dcterms:W3CDTF">2019-06-06T17:12:00Z</dcterms:created>
  <dcterms:modified xsi:type="dcterms:W3CDTF">2019-06-06T19:31:00Z</dcterms:modified>
</cp:coreProperties>
</file>