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8DA19" w14:textId="1589231A" w:rsidR="00D30262" w:rsidRPr="00C860BD" w:rsidRDefault="00491FB5" w:rsidP="008408CF">
      <w:pPr>
        <w:spacing w:line="360" w:lineRule="auto"/>
        <w:jc w:val="center"/>
        <w:rPr>
          <w:rFonts w:ascii="Times New Roman" w:hAnsi="Times New Roman" w:cs="Times New Roman"/>
          <w:sz w:val="44"/>
          <w:szCs w:val="44"/>
        </w:rPr>
      </w:pPr>
      <w:r w:rsidRPr="00C860BD">
        <w:rPr>
          <w:rFonts w:ascii="Times New Roman" w:hAnsi="Times New Roman" w:cs="Times New Roman"/>
          <w:sz w:val="44"/>
          <w:szCs w:val="44"/>
        </w:rPr>
        <w:t>Food Safety &amp; Hygiene</w:t>
      </w:r>
    </w:p>
    <w:p w14:paraId="2D086E5D" w14:textId="77777777" w:rsidR="00491FB5" w:rsidRPr="00C860BD" w:rsidRDefault="00491FB5" w:rsidP="008408CF">
      <w:pPr>
        <w:spacing w:line="360" w:lineRule="auto"/>
        <w:jc w:val="both"/>
        <w:rPr>
          <w:rFonts w:ascii="Times New Roman" w:hAnsi="Times New Roman" w:cs="Times New Roman"/>
          <w:sz w:val="24"/>
          <w:szCs w:val="24"/>
        </w:rPr>
      </w:pPr>
    </w:p>
    <w:p w14:paraId="58922130" w14:textId="77777777" w:rsidR="00491FB5" w:rsidRPr="00C860BD" w:rsidRDefault="00491FB5" w:rsidP="008408CF">
      <w:pPr>
        <w:spacing w:line="360" w:lineRule="auto"/>
        <w:jc w:val="both"/>
        <w:rPr>
          <w:rFonts w:ascii="Times New Roman" w:hAnsi="Times New Roman" w:cs="Times New Roman"/>
          <w:b/>
          <w:bCs/>
          <w:sz w:val="24"/>
          <w:szCs w:val="24"/>
        </w:rPr>
      </w:pPr>
      <w:r w:rsidRPr="00C860BD">
        <w:rPr>
          <w:rFonts w:ascii="Times New Roman" w:hAnsi="Times New Roman" w:cs="Times New Roman"/>
          <w:b/>
          <w:bCs/>
          <w:sz w:val="24"/>
          <w:szCs w:val="24"/>
        </w:rPr>
        <w:t>Introduction</w:t>
      </w:r>
    </w:p>
    <w:p w14:paraId="35902CC3" w14:textId="50A46BA0" w:rsidR="00813D21" w:rsidRPr="00C860BD" w:rsidRDefault="00813D21" w:rsidP="00813D21">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Food hygiene is an essential aspect of public health that directly affects the incidence of foodborne illnesses. This study examines the fundamental </w:t>
      </w:r>
      <w:r w:rsidR="00ED0B41" w:rsidRPr="00C860BD">
        <w:rPr>
          <w:rFonts w:ascii="Times New Roman" w:hAnsi="Times New Roman" w:cs="Times New Roman"/>
          <w:sz w:val="24"/>
          <w:szCs w:val="24"/>
        </w:rPr>
        <w:t>practices</w:t>
      </w:r>
      <w:r w:rsidRPr="00C860BD">
        <w:rPr>
          <w:rFonts w:ascii="Times New Roman" w:hAnsi="Times New Roman" w:cs="Times New Roman"/>
          <w:sz w:val="24"/>
          <w:szCs w:val="24"/>
        </w:rPr>
        <w:t xml:space="preserve"> of food hygiene and how they can lessen the health risks associated with consuming particular foods. "How can food service establishments effectively enhance food hygiene to reduce the occurrence of foodborne diseases?" </w:t>
      </w:r>
    </w:p>
    <w:p w14:paraId="7712150B" w14:textId="7903F380" w:rsidR="00813D21" w:rsidRPr="00C860BD" w:rsidRDefault="00813D21" w:rsidP="00813D21">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The first section of the paper is </w:t>
      </w:r>
      <w:r w:rsidR="00ED0B41" w:rsidRPr="00C860BD">
        <w:rPr>
          <w:rFonts w:ascii="Times New Roman" w:hAnsi="Times New Roman" w:cs="Times New Roman"/>
          <w:sz w:val="24"/>
          <w:szCs w:val="24"/>
        </w:rPr>
        <w:t>organized</w:t>
      </w:r>
      <w:r w:rsidRPr="00C860BD">
        <w:rPr>
          <w:rFonts w:ascii="Times New Roman" w:hAnsi="Times New Roman" w:cs="Times New Roman"/>
          <w:sz w:val="24"/>
          <w:szCs w:val="24"/>
        </w:rPr>
        <w:t xml:space="preserve"> to give a thorough overview of the significance of food hygiene, the typical difficulties that food service providers have, and the reasons that more health promotion is required in this area. After that, we will go over </w:t>
      </w:r>
      <w:proofErr w:type="gramStart"/>
      <w:r w:rsidRPr="00C860BD">
        <w:rPr>
          <w:rFonts w:ascii="Times New Roman" w:hAnsi="Times New Roman" w:cs="Times New Roman"/>
          <w:sz w:val="24"/>
          <w:szCs w:val="24"/>
        </w:rPr>
        <w:t>a number of</w:t>
      </w:r>
      <w:proofErr w:type="gramEnd"/>
      <w:r w:rsidRPr="00C860BD">
        <w:rPr>
          <w:rFonts w:ascii="Times New Roman" w:hAnsi="Times New Roman" w:cs="Times New Roman"/>
          <w:sz w:val="24"/>
          <w:szCs w:val="24"/>
        </w:rPr>
        <w:t xml:space="preserve"> studies that looked into different approaches to enhancing food hygiene procedures.</w:t>
      </w:r>
    </w:p>
    <w:p w14:paraId="0BBE4FE5" w14:textId="387F17EC" w:rsidR="00813D21" w:rsidRPr="00C860BD" w:rsidRDefault="00813D21" w:rsidP="00813D21">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The results of these research will be compiled in the topics section, together with conclusions regarding their efficacy and potential implications for disease prevention. The main conclusions will be outlined in the concluding section, which will also reaffirm the connection between public health outcomes and food hygiene </w:t>
      </w:r>
      <w:r w:rsidR="00740FF4" w:rsidRPr="00C860BD">
        <w:rPr>
          <w:rFonts w:ascii="Times New Roman" w:hAnsi="Times New Roman" w:cs="Times New Roman"/>
          <w:sz w:val="24"/>
          <w:szCs w:val="24"/>
        </w:rPr>
        <w:t>practices</w:t>
      </w:r>
      <w:r w:rsidRPr="00C860BD">
        <w:rPr>
          <w:rFonts w:ascii="Times New Roman" w:hAnsi="Times New Roman" w:cs="Times New Roman"/>
          <w:sz w:val="24"/>
          <w:szCs w:val="24"/>
        </w:rPr>
        <w:t>.</w:t>
      </w:r>
    </w:p>
    <w:p w14:paraId="0DB51D00" w14:textId="77777777" w:rsidR="00813D21" w:rsidRPr="00C860BD" w:rsidRDefault="00813D21" w:rsidP="00813D21">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 papers that make up this study have been chosen based on their applicability and ability to advance our knowledge of food hygiene procedures. They give readers a solid understanding of the need of good cleanliness in food service environments and offer guidance for upcoming health promotion campaigns.</w:t>
      </w:r>
    </w:p>
    <w:p w14:paraId="3A4C4804" w14:textId="57E8814C" w:rsidR="00491FB5" w:rsidRPr="00C860BD" w:rsidRDefault="00491FB5" w:rsidP="00813D21">
      <w:pPr>
        <w:spacing w:line="360" w:lineRule="auto"/>
        <w:jc w:val="both"/>
        <w:rPr>
          <w:rFonts w:ascii="Times New Roman" w:hAnsi="Times New Roman" w:cs="Times New Roman"/>
          <w:b/>
          <w:bCs/>
          <w:sz w:val="24"/>
          <w:szCs w:val="24"/>
        </w:rPr>
      </w:pPr>
      <w:r w:rsidRPr="00C860BD">
        <w:rPr>
          <w:rFonts w:ascii="Times New Roman" w:hAnsi="Times New Roman" w:cs="Times New Roman"/>
          <w:b/>
          <w:bCs/>
          <w:sz w:val="24"/>
          <w:szCs w:val="24"/>
        </w:rPr>
        <w:t>Background Information</w:t>
      </w:r>
    </w:p>
    <w:p w14:paraId="1A9CF090" w14:textId="463194E8" w:rsidR="00B0087A" w:rsidRPr="00C860BD" w:rsidRDefault="00B0087A" w:rsidP="00B0087A">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Foodborne infections pose a substantial burden to economies and public health systems, especially </w:t>
      </w:r>
      <w:proofErr w:type="gramStart"/>
      <w:r w:rsidRPr="00C860BD">
        <w:rPr>
          <w:rFonts w:ascii="Times New Roman" w:hAnsi="Times New Roman" w:cs="Times New Roman"/>
          <w:sz w:val="24"/>
          <w:szCs w:val="24"/>
        </w:rPr>
        <w:t>in light of</w:t>
      </w:r>
      <w:proofErr w:type="gramEnd"/>
      <w:r w:rsidRPr="00C860BD">
        <w:rPr>
          <w:rFonts w:ascii="Times New Roman" w:hAnsi="Times New Roman" w:cs="Times New Roman"/>
          <w:sz w:val="24"/>
          <w:szCs w:val="24"/>
        </w:rPr>
        <w:t xml:space="preserve"> international food supply chains and cross-border food product mobility. As the World Health </w:t>
      </w:r>
      <w:r w:rsidR="00FC1872" w:rsidRPr="00C860BD">
        <w:rPr>
          <w:rFonts w:ascii="Times New Roman" w:hAnsi="Times New Roman" w:cs="Times New Roman"/>
          <w:sz w:val="24"/>
          <w:szCs w:val="24"/>
        </w:rPr>
        <w:t>Organization</w:t>
      </w:r>
      <w:r w:rsidRPr="00C860BD">
        <w:rPr>
          <w:rFonts w:ascii="Times New Roman" w:hAnsi="Times New Roman" w:cs="Times New Roman"/>
          <w:sz w:val="24"/>
          <w:szCs w:val="24"/>
        </w:rPr>
        <w:t xml:space="preserve"> (WHO, 2020) and the Food and Agriculture </w:t>
      </w:r>
      <w:r w:rsidR="00FC1872" w:rsidRPr="00C860BD">
        <w:rPr>
          <w:rFonts w:ascii="Times New Roman" w:hAnsi="Times New Roman" w:cs="Times New Roman"/>
          <w:sz w:val="24"/>
          <w:szCs w:val="24"/>
        </w:rPr>
        <w:t>Organization</w:t>
      </w:r>
      <w:r w:rsidRPr="00C860BD">
        <w:rPr>
          <w:rFonts w:ascii="Times New Roman" w:hAnsi="Times New Roman" w:cs="Times New Roman"/>
          <w:sz w:val="24"/>
          <w:szCs w:val="24"/>
        </w:rPr>
        <w:t xml:space="preserve"> of the United Nations (FAO, 2019) have pointed out, guaranteeing food safety is a cooperative process that calls for strict hygiene standards from production to consumption. </w:t>
      </w:r>
      <w:proofErr w:type="gramStart"/>
      <w:r w:rsidRPr="00C860BD">
        <w:rPr>
          <w:rFonts w:ascii="Times New Roman" w:hAnsi="Times New Roman" w:cs="Times New Roman"/>
          <w:sz w:val="24"/>
          <w:szCs w:val="24"/>
        </w:rPr>
        <w:t>In order to</w:t>
      </w:r>
      <w:proofErr w:type="gramEnd"/>
      <w:r w:rsidRPr="00C860BD">
        <w:rPr>
          <w:rFonts w:ascii="Times New Roman" w:hAnsi="Times New Roman" w:cs="Times New Roman"/>
          <w:sz w:val="24"/>
          <w:szCs w:val="24"/>
        </w:rPr>
        <w:t xml:space="preserve"> prevent diseases like salmonellosis, E. Coli infections, and norovirus, which can have serious and occasionally deadly </w:t>
      </w:r>
      <w:r w:rsidRPr="00C860BD">
        <w:rPr>
          <w:rFonts w:ascii="Times New Roman" w:hAnsi="Times New Roman" w:cs="Times New Roman"/>
          <w:sz w:val="24"/>
          <w:szCs w:val="24"/>
        </w:rPr>
        <w:lastRenderedPageBreak/>
        <w:t>consequences, especially in vulnerable populations, health promotion in this area is essential (CDC, 2021).</w:t>
      </w:r>
    </w:p>
    <w:p w14:paraId="11C58C2C" w14:textId="245A63DF" w:rsidR="00B0087A" w:rsidRPr="00C860BD" w:rsidRDefault="00B0087A" w:rsidP="00B0087A">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Public health is dependent on the effort to prevent foodborne infections through good food hygiene </w:t>
      </w:r>
      <w:r w:rsidR="00FC1872" w:rsidRPr="00C860BD">
        <w:rPr>
          <w:rFonts w:ascii="Times New Roman" w:hAnsi="Times New Roman" w:cs="Times New Roman"/>
          <w:sz w:val="24"/>
          <w:szCs w:val="24"/>
        </w:rPr>
        <w:t>practices</w:t>
      </w:r>
      <w:r w:rsidRPr="00C860BD">
        <w:rPr>
          <w:rFonts w:ascii="Times New Roman" w:hAnsi="Times New Roman" w:cs="Times New Roman"/>
          <w:sz w:val="24"/>
          <w:szCs w:val="24"/>
        </w:rPr>
        <w:t xml:space="preserve">. These diseases cause an estimated 600 million cases and 420,000 deaths globally each year, underscoring the importance of illness prevention and health promotion in this area (WHO, 2015). </w:t>
      </w:r>
      <w:proofErr w:type="gramStart"/>
      <w:r w:rsidRPr="00C860BD">
        <w:rPr>
          <w:rFonts w:ascii="Times New Roman" w:hAnsi="Times New Roman" w:cs="Times New Roman"/>
          <w:sz w:val="24"/>
          <w:szCs w:val="24"/>
        </w:rPr>
        <w:t>In order to</w:t>
      </w:r>
      <w:proofErr w:type="gramEnd"/>
      <w:r w:rsidRPr="00C860BD">
        <w:rPr>
          <w:rFonts w:ascii="Times New Roman" w:hAnsi="Times New Roman" w:cs="Times New Roman"/>
          <w:sz w:val="24"/>
          <w:szCs w:val="24"/>
        </w:rPr>
        <w:t xml:space="preserve"> prevent contamination and the growth of pathogens, food hygiene is the set of </w:t>
      </w:r>
      <w:r w:rsidR="00FC1872" w:rsidRPr="00C860BD">
        <w:rPr>
          <w:rFonts w:ascii="Times New Roman" w:hAnsi="Times New Roman" w:cs="Times New Roman"/>
          <w:sz w:val="24"/>
          <w:szCs w:val="24"/>
        </w:rPr>
        <w:t>practices</w:t>
      </w:r>
      <w:r w:rsidRPr="00C860BD">
        <w:rPr>
          <w:rFonts w:ascii="Times New Roman" w:hAnsi="Times New Roman" w:cs="Times New Roman"/>
          <w:sz w:val="24"/>
          <w:szCs w:val="24"/>
        </w:rPr>
        <w:t xml:space="preserve"> that ensure food is safe from the time it is produced until it is consumed (FAO &amp; WHO, 2020).</w:t>
      </w:r>
    </w:p>
    <w:p w14:paraId="629F2EE0" w14:textId="5BD3FE7A" w:rsidR="00B0087A" w:rsidRPr="00C860BD" w:rsidRDefault="00B0087A" w:rsidP="00B0087A">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Preventing cross-contamination is a fundamental aspect of food safety, encompassing several measures like keeping surfaces clean, keeping raw and cooked food separate, and using different tools when handling them (FDA, 2017). Moreover, researchers have shown that maintaining good personal hygiene—especially washing your hands—is the main line of </w:t>
      </w:r>
      <w:r w:rsidR="00D8681B" w:rsidRPr="00C860BD">
        <w:rPr>
          <w:rFonts w:ascii="Times New Roman" w:hAnsi="Times New Roman" w:cs="Times New Roman"/>
          <w:sz w:val="24"/>
          <w:szCs w:val="24"/>
        </w:rPr>
        <w:t>defence</w:t>
      </w:r>
      <w:r w:rsidRPr="00C860BD">
        <w:rPr>
          <w:rFonts w:ascii="Times New Roman" w:hAnsi="Times New Roman" w:cs="Times New Roman"/>
          <w:sz w:val="24"/>
          <w:szCs w:val="24"/>
        </w:rPr>
        <w:t xml:space="preserve"> against the spread of foodborne illnesses (Todd et al, 2010). This is crucial in healthcare settings since </w:t>
      </w:r>
      <w:r w:rsidR="00740FF4" w:rsidRPr="00C860BD">
        <w:rPr>
          <w:rFonts w:ascii="Times New Roman" w:hAnsi="Times New Roman" w:cs="Times New Roman"/>
          <w:sz w:val="24"/>
          <w:szCs w:val="24"/>
        </w:rPr>
        <w:t>patients</w:t>
      </w:r>
      <w:r w:rsidRPr="00C860BD">
        <w:rPr>
          <w:rFonts w:ascii="Times New Roman" w:hAnsi="Times New Roman" w:cs="Times New Roman"/>
          <w:sz w:val="24"/>
          <w:szCs w:val="24"/>
        </w:rPr>
        <w:t xml:space="preserve"> weakened immune systems frequently put them at higher risk (Curtis </w:t>
      </w:r>
      <w:r w:rsidR="00D8681B">
        <w:rPr>
          <w:rFonts w:ascii="Times New Roman" w:hAnsi="Times New Roman" w:cs="Times New Roman"/>
          <w:sz w:val="24"/>
          <w:szCs w:val="24"/>
        </w:rPr>
        <w:t>and</w:t>
      </w:r>
      <w:r w:rsidRPr="00C860BD">
        <w:rPr>
          <w:rFonts w:ascii="Times New Roman" w:hAnsi="Times New Roman" w:cs="Times New Roman"/>
          <w:sz w:val="24"/>
          <w:szCs w:val="24"/>
        </w:rPr>
        <w:t xml:space="preserve"> Cairncross, 2003).</w:t>
      </w:r>
    </w:p>
    <w:p w14:paraId="0FD63EBD" w14:textId="27BF4538" w:rsidR="00B0087A" w:rsidRPr="00C860BD" w:rsidRDefault="00B0087A" w:rsidP="00B0087A">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Another important factor in preventing bacterial development in food is temperature regulation. Food should not be kept in the "danger zone" of 5°C to 60°C because this is the temperature range where germs can flourish (USDA, 2013). This is particularly important in healthcare settings where a lot of food is made and needs to be properly stored and reheated (Lund </w:t>
      </w:r>
      <w:r w:rsidR="00CE1DFF">
        <w:rPr>
          <w:rFonts w:ascii="Times New Roman" w:hAnsi="Times New Roman" w:cs="Times New Roman"/>
          <w:sz w:val="24"/>
          <w:szCs w:val="24"/>
        </w:rPr>
        <w:t>and</w:t>
      </w:r>
      <w:r w:rsidRPr="00C860BD">
        <w:rPr>
          <w:rFonts w:ascii="Times New Roman" w:hAnsi="Times New Roman" w:cs="Times New Roman"/>
          <w:sz w:val="24"/>
          <w:szCs w:val="24"/>
        </w:rPr>
        <w:t xml:space="preserve"> O'Brien, 2011).</w:t>
      </w:r>
    </w:p>
    <w:p w14:paraId="293199B3" w14:textId="45C4399D" w:rsidR="00B0087A" w:rsidRPr="00C860BD" w:rsidRDefault="00B0087A" w:rsidP="00B0087A">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Food safety education and training are equally vital. Food handlers' enhanced hygiene practices and a decline in the incidence of foodborne illnesses are positively correlated when they receive food hygiene training (</w:t>
      </w:r>
      <w:proofErr w:type="spellStart"/>
      <w:r w:rsidRPr="00C860BD">
        <w:rPr>
          <w:rFonts w:ascii="Times New Roman" w:hAnsi="Times New Roman" w:cs="Times New Roman"/>
          <w:sz w:val="24"/>
          <w:szCs w:val="24"/>
        </w:rPr>
        <w:t>Ehiri</w:t>
      </w:r>
      <w:proofErr w:type="spellEnd"/>
      <w:r w:rsidRPr="00C860BD">
        <w:rPr>
          <w:rFonts w:ascii="Times New Roman" w:hAnsi="Times New Roman" w:cs="Times New Roman"/>
          <w:sz w:val="24"/>
          <w:szCs w:val="24"/>
        </w:rPr>
        <w:t xml:space="preserve"> et al, </w:t>
      </w:r>
      <w:r w:rsidR="002D669D">
        <w:rPr>
          <w:rFonts w:ascii="Times New Roman" w:hAnsi="Times New Roman" w:cs="Times New Roman"/>
          <w:sz w:val="24"/>
          <w:szCs w:val="24"/>
        </w:rPr>
        <w:t>1997</w:t>
      </w:r>
      <w:r w:rsidRPr="00C860BD">
        <w:rPr>
          <w:rFonts w:ascii="Times New Roman" w:hAnsi="Times New Roman" w:cs="Times New Roman"/>
          <w:sz w:val="24"/>
          <w:szCs w:val="24"/>
        </w:rPr>
        <w:t>). Therefore, as part of an all-encompassing food safety strategy, legislators and health educators support frequent training programs (Clayton et al, 2011).</w:t>
      </w:r>
    </w:p>
    <w:p w14:paraId="088A2D94" w14:textId="3DBD4F76" w:rsidR="00491FB5" w:rsidRPr="00C860BD" w:rsidRDefault="00B0087A" w:rsidP="00B0087A">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These fundamental ideas in food safety and hygiene will be crucial to comprehending the procedures and conclusions that guide best practices in both community and healthcare settings when we examine the chosen research papers.</w:t>
      </w:r>
    </w:p>
    <w:p w14:paraId="02402FFE" w14:textId="77777777" w:rsidR="00E61922" w:rsidRPr="00C860BD" w:rsidRDefault="00E61922" w:rsidP="00B0087A">
      <w:pPr>
        <w:spacing w:line="360" w:lineRule="auto"/>
        <w:jc w:val="both"/>
        <w:rPr>
          <w:rFonts w:ascii="Times New Roman" w:hAnsi="Times New Roman" w:cs="Times New Roman"/>
          <w:sz w:val="24"/>
          <w:szCs w:val="24"/>
        </w:rPr>
      </w:pPr>
    </w:p>
    <w:p w14:paraId="3D2B9ADB" w14:textId="77777777" w:rsidR="00E61922" w:rsidRPr="00C860BD" w:rsidRDefault="00E61922" w:rsidP="00B0087A">
      <w:pPr>
        <w:spacing w:line="360" w:lineRule="auto"/>
        <w:jc w:val="both"/>
        <w:rPr>
          <w:rFonts w:ascii="Times New Roman" w:hAnsi="Times New Roman" w:cs="Times New Roman"/>
          <w:sz w:val="24"/>
          <w:szCs w:val="24"/>
        </w:rPr>
      </w:pPr>
    </w:p>
    <w:p w14:paraId="6A183131" w14:textId="6779CA80" w:rsidR="00491FB5" w:rsidRPr="00C860BD" w:rsidRDefault="00491FB5" w:rsidP="007F1A36">
      <w:pPr>
        <w:pStyle w:val="ListParagraph"/>
        <w:numPr>
          <w:ilvl w:val="0"/>
          <w:numId w:val="1"/>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lastRenderedPageBreak/>
        <w:t>Article Title: "The Effectiveness of Restaurant Inspection Interventions on Improving Food Safety: A Systematic Review"</w:t>
      </w:r>
    </w:p>
    <w:p w14:paraId="3E2FA1E9" w14:textId="75E2AD3D" w:rsidR="009036D4" w:rsidRPr="00C860BD" w:rsidRDefault="009036D4" w:rsidP="009036D4">
      <w:pPr>
        <w:spacing w:line="360" w:lineRule="auto"/>
        <w:rPr>
          <w:rFonts w:ascii="Times New Roman" w:hAnsi="Times New Roman" w:cs="Times New Roman"/>
          <w:sz w:val="24"/>
          <w:szCs w:val="24"/>
        </w:rPr>
      </w:pPr>
      <w:r w:rsidRPr="00C860BD">
        <w:rPr>
          <w:rFonts w:ascii="Times New Roman" w:hAnsi="Times New Roman" w:cs="Times New Roman"/>
          <w:sz w:val="24"/>
          <w:szCs w:val="24"/>
        </w:rPr>
        <w:t>Lee, L. M., Jorgensen, D. M.</w:t>
      </w:r>
      <w:r w:rsidR="00CE1DFF">
        <w:rPr>
          <w:rFonts w:ascii="Times New Roman" w:hAnsi="Times New Roman" w:cs="Times New Roman"/>
          <w:sz w:val="24"/>
          <w:szCs w:val="24"/>
        </w:rPr>
        <w:t xml:space="preserve"> and</w:t>
      </w:r>
      <w:r w:rsidRPr="00C860BD">
        <w:rPr>
          <w:rFonts w:ascii="Times New Roman" w:hAnsi="Times New Roman" w:cs="Times New Roman"/>
          <w:sz w:val="24"/>
          <w:szCs w:val="24"/>
        </w:rPr>
        <w:t xml:space="preserve"> Lane, R. J. (2020) ‘The Effectiveness of Restaurant Inspection Interventions on Improving Food Safety: A Systematic Review. Food Control’, 110, 103872.</w:t>
      </w:r>
      <w:hyperlink r:id="rId7" w:history="1">
        <w:r w:rsidRPr="00C860BD">
          <w:rPr>
            <w:rStyle w:val="Hyperlink"/>
            <w:rFonts w:ascii="Times New Roman" w:hAnsi="Times New Roman" w:cs="Times New Roman"/>
            <w:sz w:val="24"/>
            <w:szCs w:val="24"/>
          </w:rPr>
          <w:t xml:space="preserve"> </w:t>
        </w:r>
        <w:r w:rsidRPr="00C860BD">
          <w:rPr>
            <w:rFonts w:ascii="Times New Roman" w:hAnsi="Times New Roman" w:cs="Times New Roman"/>
            <w:sz w:val="24"/>
            <w:szCs w:val="24"/>
          </w:rPr>
          <w:t xml:space="preserve">Available at:  </w:t>
        </w:r>
        <w:r w:rsidRPr="00C860BD">
          <w:rPr>
            <w:rStyle w:val="Hyperlink"/>
            <w:rFonts w:ascii="Times New Roman" w:hAnsi="Times New Roman" w:cs="Times New Roman"/>
            <w:sz w:val="24"/>
            <w:szCs w:val="24"/>
          </w:rPr>
          <w:t>https://www.researchgate.net/publication/341407088_Let_Nature_Be_Thy_Medicine_A_Socioecological_Exploration_of_Green_Prescribing_in_the_UKF) Let Nature Be Thy Medicine: A Socioecological Exploration of Green Prescribing in the UK (researchgate.net)</w:t>
        </w:r>
      </w:hyperlink>
    </w:p>
    <w:p w14:paraId="1DDA615D" w14:textId="6FFD6487"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Objective:</w:t>
      </w:r>
      <w:r w:rsidR="008B5F68" w:rsidRPr="00C860BD">
        <w:rPr>
          <w:rFonts w:ascii="Times New Roman" w:hAnsi="Times New Roman" w:cs="Times New Roman"/>
          <w:sz w:val="24"/>
          <w:szCs w:val="24"/>
        </w:rPr>
        <w:t xml:space="preserve"> </w:t>
      </w:r>
      <w:r w:rsidRPr="00C860BD">
        <w:rPr>
          <w:rFonts w:ascii="Times New Roman" w:hAnsi="Times New Roman" w:cs="Times New Roman"/>
          <w:sz w:val="24"/>
          <w:szCs w:val="24"/>
        </w:rPr>
        <w:t>The study aimed to critically assess the effectiveness of restaurant inspection programs in enhancing food safety standards. It sought to determine whether these interventions lead to measurable improvements in sanitary practices and a reduction in foodborne illness outbreaks. The objective also included an analysis of different inspection methodologies and their effectiveness in various restaurant settings.</w:t>
      </w:r>
    </w:p>
    <w:p w14:paraId="72A169A5" w14:textId="5948F5AB"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Interventions:</w:t>
      </w:r>
      <w:r w:rsidR="008B5F68" w:rsidRPr="00C860BD">
        <w:rPr>
          <w:rFonts w:ascii="Times New Roman" w:hAnsi="Times New Roman" w:cs="Times New Roman"/>
          <w:sz w:val="24"/>
          <w:szCs w:val="24"/>
        </w:rPr>
        <w:t xml:space="preserve"> </w:t>
      </w:r>
      <w:r w:rsidRPr="00C860BD">
        <w:rPr>
          <w:rFonts w:ascii="Times New Roman" w:hAnsi="Times New Roman" w:cs="Times New Roman"/>
          <w:sz w:val="24"/>
          <w:szCs w:val="24"/>
        </w:rPr>
        <w:t>Implementing standardized inspection checklists, conducting regular inspections, and providing education and feedback during inspections.</w:t>
      </w:r>
    </w:p>
    <w:p w14:paraId="121C71C8" w14:textId="36FCECDC"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Methods: The systematic review </w:t>
      </w:r>
      <w:r w:rsidR="00CE1DFF" w:rsidRPr="00C860BD">
        <w:rPr>
          <w:rFonts w:ascii="Times New Roman" w:hAnsi="Times New Roman" w:cs="Times New Roman"/>
          <w:sz w:val="24"/>
          <w:szCs w:val="24"/>
        </w:rPr>
        <w:t>analysed</w:t>
      </w:r>
      <w:r w:rsidRPr="00C860BD">
        <w:rPr>
          <w:rFonts w:ascii="Times New Roman" w:hAnsi="Times New Roman" w:cs="Times New Roman"/>
          <w:sz w:val="24"/>
          <w:szCs w:val="24"/>
        </w:rPr>
        <w:t xml:space="preserve"> various studies that measured the outcomes of restaurant inspections on food safety. The review included both observational and interventional studies, using standardized checklists and scoring systems to assess compliance with food safety regulations.</w:t>
      </w:r>
    </w:p>
    <w:p w14:paraId="014CF53F" w14:textId="16056712" w:rsidR="00491FB5"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Limitations: A significant limitation noted in the review is the variability in inspection procedures and scoring across different regions, which can affect the comparability of results. Furthermore, most studies were cross-sectional, which limits the ability to establish causality between inspection outcomes and improved food safety practices (Lee et al, 2020).</w:t>
      </w:r>
    </w:p>
    <w:p w14:paraId="00693267" w14:textId="5B58DAF1" w:rsidR="00491FB5" w:rsidRPr="00C860BD" w:rsidRDefault="00491FB5" w:rsidP="00EB6BF4">
      <w:pPr>
        <w:pStyle w:val="ListParagraph"/>
        <w:numPr>
          <w:ilvl w:val="0"/>
          <w:numId w:val="1"/>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Article Title: "Hand Hygiene Interventions and Their Impact on Hospital Acquired Infections: A Systematic Review"</w:t>
      </w:r>
    </w:p>
    <w:p w14:paraId="4F98A5CC" w14:textId="41819F1F" w:rsidR="007532FF" w:rsidRPr="00C860BD" w:rsidRDefault="007532FF" w:rsidP="007532F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Erasmus, V., Daha, T. J., Brug, H., </w:t>
      </w:r>
      <w:r w:rsidR="00EA2B53" w:rsidRPr="00C860BD">
        <w:rPr>
          <w:rFonts w:ascii="Times New Roman" w:hAnsi="Times New Roman" w:cs="Times New Roman"/>
          <w:sz w:val="24"/>
          <w:szCs w:val="24"/>
        </w:rPr>
        <w:t>Richards</w:t>
      </w:r>
      <w:r w:rsidRPr="00C860BD">
        <w:rPr>
          <w:rFonts w:ascii="Times New Roman" w:hAnsi="Times New Roman" w:cs="Times New Roman"/>
          <w:sz w:val="24"/>
          <w:szCs w:val="24"/>
        </w:rPr>
        <w:t xml:space="preserve">, J. H., Behrendt, M. D., Vos, M. </w:t>
      </w:r>
      <w:proofErr w:type="gramStart"/>
      <w:r w:rsidRPr="00C860BD">
        <w:rPr>
          <w:rFonts w:ascii="Times New Roman" w:hAnsi="Times New Roman" w:cs="Times New Roman"/>
          <w:sz w:val="24"/>
          <w:szCs w:val="24"/>
        </w:rPr>
        <w:t>C.</w:t>
      </w:r>
      <w:proofErr w:type="gramEnd"/>
      <w:r w:rsidR="00CE1DFF">
        <w:rPr>
          <w:rFonts w:ascii="Times New Roman" w:hAnsi="Times New Roman" w:cs="Times New Roman"/>
          <w:sz w:val="24"/>
          <w:szCs w:val="24"/>
        </w:rPr>
        <w:t xml:space="preserve"> and</w:t>
      </w:r>
      <w:r w:rsidRPr="00C860BD">
        <w:rPr>
          <w:rFonts w:ascii="Times New Roman" w:hAnsi="Times New Roman" w:cs="Times New Roman"/>
          <w:sz w:val="24"/>
          <w:szCs w:val="24"/>
        </w:rPr>
        <w:t xml:space="preserve"> van Beeck, E. F. (2019) ‘Systematic Review of Studies on Compliance with Hand Hygiene Guidelines in </w:t>
      </w:r>
      <w:r w:rsidRPr="00C860BD">
        <w:rPr>
          <w:rFonts w:ascii="Times New Roman" w:hAnsi="Times New Roman" w:cs="Times New Roman"/>
          <w:sz w:val="24"/>
          <w:szCs w:val="24"/>
        </w:rPr>
        <w:lastRenderedPageBreak/>
        <w:t xml:space="preserve">Hospital Care. Infection Control &amp; Hospital Epidemiology’, 31(3), 283-294. Available at: </w:t>
      </w:r>
      <w:hyperlink r:id="rId8" w:history="1">
        <w:r w:rsidRPr="00C860BD">
          <w:rPr>
            <w:rStyle w:val="Hyperlink"/>
            <w:rFonts w:ascii="Times New Roman" w:hAnsi="Times New Roman" w:cs="Times New Roman"/>
            <w:sz w:val="24"/>
            <w:szCs w:val="24"/>
          </w:rPr>
          <w:t>https://pubmed.ncbi.nlm.nih.gov/19344264/</w:t>
        </w:r>
      </w:hyperlink>
    </w:p>
    <w:p w14:paraId="2DDD269E" w14:textId="46896B6C"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Objective: This systematic review focused on evaluating the efficacy of hand hygiene interventions in reducing the rate of hospital-acquired infections. The study aimed to identify which hand hygiene practices are most effective in hospital settings and how these practices impact the overall health outcomes of patients, particularly in terms of preventing infections.</w:t>
      </w:r>
    </w:p>
    <w:p w14:paraId="039A67E8" w14:textId="700F447A"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Interventions: Promoting alcohol-based hand rubs and implementing staff education programs.</w:t>
      </w:r>
    </w:p>
    <w:p w14:paraId="3F46392D" w14:textId="00504817"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Methods: This systematic review compiled results from randomized controlled trials (RCTs) and observational studies that implemented various hand hygiene interventions, such as the use of alcohol-based hand rubs, staff education, and reminders. The incidence of HAIs was the primary outcome measured.</w:t>
      </w:r>
    </w:p>
    <w:p w14:paraId="040C47CC" w14:textId="44BCB1FF"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Limitations: Despite the positive results, the articles reviewed showed a wide range of intervention strategies, making it difficult to pinpoint which specific components were most effective. Additionally, the adherence to hand hygiene protocols was self-reported in several studies, introducing potential reporting bias (Erasmus et al, 2019).</w:t>
      </w:r>
    </w:p>
    <w:p w14:paraId="662B056B" w14:textId="77777777" w:rsidR="00491FB5" w:rsidRPr="00C860BD" w:rsidRDefault="00491FB5" w:rsidP="008408CF">
      <w:pPr>
        <w:spacing w:line="360" w:lineRule="auto"/>
        <w:jc w:val="both"/>
        <w:rPr>
          <w:rFonts w:ascii="Times New Roman" w:hAnsi="Times New Roman" w:cs="Times New Roman"/>
          <w:sz w:val="24"/>
          <w:szCs w:val="24"/>
        </w:rPr>
      </w:pPr>
    </w:p>
    <w:p w14:paraId="1B7BCF70" w14:textId="161A46C7" w:rsidR="00491FB5" w:rsidRPr="00C860BD" w:rsidRDefault="00491FB5" w:rsidP="008408CF">
      <w:pPr>
        <w:pStyle w:val="ListParagraph"/>
        <w:numPr>
          <w:ilvl w:val="0"/>
          <w:numId w:val="1"/>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Article Title: "Impact of Food Handler Training on Food Safety and Hygiene Practices: A Comparative Study"</w:t>
      </w:r>
    </w:p>
    <w:p w14:paraId="0ECEE996" w14:textId="242C4D7A" w:rsidR="0036090F" w:rsidRPr="00C860BD" w:rsidRDefault="0036090F" w:rsidP="00F306A2">
      <w:pPr>
        <w:spacing w:line="360" w:lineRule="auto"/>
        <w:rPr>
          <w:rFonts w:ascii="Times New Roman" w:hAnsi="Times New Roman" w:cs="Times New Roman"/>
          <w:sz w:val="24"/>
          <w:szCs w:val="24"/>
        </w:rPr>
      </w:pPr>
      <w:r w:rsidRPr="00C860BD">
        <w:rPr>
          <w:rFonts w:ascii="Times New Roman" w:hAnsi="Times New Roman" w:cs="Times New Roman"/>
          <w:sz w:val="24"/>
          <w:szCs w:val="24"/>
        </w:rPr>
        <w:t>Jones, A.K., Seward, K.</w:t>
      </w:r>
      <w:r w:rsidR="002F5816">
        <w:rPr>
          <w:rFonts w:ascii="Times New Roman" w:hAnsi="Times New Roman" w:cs="Times New Roman"/>
          <w:sz w:val="24"/>
          <w:szCs w:val="24"/>
        </w:rPr>
        <w:t xml:space="preserve"> and</w:t>
      </w:r>
      <w:r w:rsidRPr="00C860BD">
        <w:rPr>
          <w:rFonts w:ascii="Times New Roman" w:hAnsi="Times New Roman" w:cs="Times New Roman"/>
          <w:sz w:val="24"/>
          <w:szCs w:val="24"/>
        </w:rPr>
        <w:t xml:space="preserve"> Worsfold, D. (2018)’ Impact of Food Handler Training on Food Safety and Hygiene Practices: A Comparative Study’. </w:t>
      </w:r>
      <w:r w:rsidRPr="00C860BD">
        <w:rPr>
          <w:rFonts w:ascii="Times New Roman" w:hAnsi="Times New Roman" w:cs="Times New Roman"/>
          <w:i/>
          <w:iCs/>
          <w:sz w:val="24"/>
          <w:szCs w:val="24"/>
        </w:rPr>
        <w:t>Journal of Foodservice Business Research</w:t>
      </w:r>
      <w:r w:rsidRPr="00C860BD">
        <w:rPr>
          <w:rFonts w:ascii="Times New Roman" w:hAnsi="Times New Roman" w:cs="Times New Roman"/>
          <w:sz w:val="24"/>
          <w:szCs w:val="24"/>
        </w:rPr>
        <w:t xml:space="preserve">, 21(6), 559-570. Available at:  </w:t>
      </w:r>
      <w:hyperlink r:id="rId9" w:history="1">
        <w:r w:rsidRPr="00C860BD">
          <w:rPr>
            <w:rStyle w:val="Hyperlink"/>
            <w:rFonts w:ascii="Times New Roman" w:hAnsi="Times New Roman" w:cs="Times New Roman"/>
            <w:sz w:val="24"/>
            <w:szCs w:val="24"/>
          </w:rPr>
          <w:t>https://www.ajhtl.com/uploads/7/1/6/3/7163688/article_47_vol_7_4__2018.pdf</w:t>
        </w:r>
      </w:hyperlink>
    </w:p>
    <w:p w14:paraId="08D94C57" w14:textId="427414A0"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Objective: The objective of this study was to examine the impact of formal training on the hygiene practices and food safety knowledge of food handlers. It aimed to compare the effectiveness of such training in improving compliance with safety standards and reducing the risk of food contamination, thereby ensuring consumer health and safety.</w:t>
      </w:r>
    </w:p>
    <w:p w14:paraId="56E5E6AF" w14:textId="3B4AAAB6" w:rsidR="00EB6BF4" w:rsidRPr="00C860BD" w:rsidRDefault="00EB6BF4" w:rsidP="00EB6BF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Interventions: Conducting formal training sessions, administering knowledge tests, and comparing practices of trained and untrained handlers.</w:t>
      </w:r>
    </w:p>
    <w:p w14:paraId="14A219EC" w14:textId="6018997E"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lastRenderedPageBreak/>
        <w:t>Methods: The study compared two groups of food handlers, one having received formal training and the other not, in a series of observed and self-reported hygiene practices. The assessment included knowledge tests and direct observation checklists for compliance with food safety measures.</w:t>
      </w:r>
    </w:p>
    <w:p w14:paraId="711FF433" w14:textId="38825532"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Limitations: The research acknowledges the limitation that observations may alter an individual's </w:t>
      </w:r>
      <w:r w:rsidR="00707A1E" w:rsidRPr="00C860BD">
        <w:rPr>
          <w:rFonts w:ascii="Times New Roman" w:hAnsi="Times New Roman" w:cs="Times New Roman"/>
          <w:sz w:val="24"/>
          <w:szCs w:val="24"/>
        </w:rPr>
        <w:t>behaviour</w:t>
      </w:r>
      <w:r w:rsidRPr="00C860BD">
        <w:rPr>
          <w:rFonts w:ascii="Times New Roman" w:hAnsi="Times New Roman" w:cs="Times New Roman"/>
          <w:sz w:val="24"/>
          <w:szCs w:val="24"/>
        </w:rPr>
        <w:t>, known as the Hawthorne effect, potentially skewing the results towards compliance. Moreover, the reliance on self-reporting can also lead to overestimation of proper practices (Jones et al, 2018).</w:t>
      </w:r>
    </w:p>
    <w:p w14:paraId="54F52399" w14:textId="13EFEF68"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b/>
          <w:bCs/>
          <w:sz w:val="24"/>
          <w:szCs w:val="24"/>
        </w:rPr>
        <w:t>Themes</w:t>
      </w:r>
    </w:p>
    <w:p w14:paraId="5B638670" w14:textId="77777777"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 systematic examination of the selected research articles reveals key themes that contribute to the understanding and enhancement of food safety and hygiene practices. These themes are instrumental in addressing the research question of how various interventions impact food hygiene and safety, subsequently informing health promotion and disease prevention strategies.</w:t>
      </w:r>
    </w:p>
    <w:p w14:paraId="7DCC9967" w14:textId="43A1A2E9" w:rsidR="00491FB5" w:rsidRPr="00C860BD" w:rsidRDefault="00491FB5" w:rsidP="008408CF">
      <w:pPr>
        <w:pStyle w:val="ListParagraph"/>
        <w:numPr>
          <w:ilvl w:val="0"/>
          <w:numId w:val="2"/>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Theme One: The Critical Role of Regular Inspections and Audits</w:t>
      </w:r>
    </w:p>
    <w:p w14:paraId="2D25FD5B" w14:textId="4225815C"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 research by Lee et al (2020) underscores the importance of consistent and thorough inspections in maintaining high standards of food safety in restaurants. The theme that emerges is the necessity of a systematic approach to food safety inspections, which not only assesses compliance but also educates and motivates food handlers and restaurant owners to adhere to safety protocols. Despite the limitations related to variability in inspection processes, the core idea supports the implementation of standardized inspection protocols that can be universally applied and benchmarked.</w:t>
      </w:r>
    </w:p>
    <w:p w14:paraId="4B36FAD1" w14:textId="210D26BE" w:rsidR="00491FB5" w:rsidRPr="00C860BD" w:rsidRDefault="00491FB5" w:rsidP="008408CF">
      <w:pPr>
        <w:pStyle w:val="ListParagraph"/>
        <w:numPr>
          <w:ilvl w:val="0"/>
          <w:numId w:val="2"/>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Theme Two: Importance of Hand Hygiene in Preventing Foodborne Diseases</w:t>
      </w:r>
    </w:p>
    <w:p w14:paraId="1741131F" w14:textId="2D1CBA58"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Erasmus et al (2019) highlight hand hygiene as a cornerstone of food safety and infection control. This theme emphasizes the effectiveness of hand hygiene interventions, such as alcohol-based hand rubs and ongoing staff education, in reducing the transmission of pathogens and preventing foodborne diseases. The studies reviewed suggest that multimodal hand hygiene programs are more successful than single-strand interventions, pointing to the need for comprehensive strategies that combine education, resources, and continuous monitoring.</w:t>
      </w:r>
    </w:p>
    <w:p w14:paraId="15349A38" w14:textId="21BEDE53" w:rsidR="00491FB5" w:rsidRPr="00C860BD" w:rsidRDefault="00491FB5" w:rsidP="008408CF">
      <w:pPr>
        <w:pStyle w:val="ListParagraph"/>
        <w:numPr>
          <w:ilvl w:val="0"/>
          <w:numId w:val="2"/>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lastRenderedPageBreak/>
        <w:t>Theme Three: Impact of Formal Training on Food Safety Compliance</w:t>
      </w:r>
    </w:p>
    <w:p w14:paraId="5DEE99E9" w14:textId="21A80000"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The study by Jones et al (2018) points to the significant impact of formal food safety training on the knowledge and practices of food handlers. This theme relates directly to the improvement of food handlers' </w:t>
      </w:r>
      <w:r w:rsidR="00707A1E" w:rsidRPr="00C860BD">
        <w:rPr>
          <w:rFonts w:ascii="Times New Roman" w:hAnsi="Times New Roman" w:cs="Times New Roman"/>
          <w:sz w:val="24"/>
          <w:szCs w:val="24"/>
        </w:rPr>
        <w:t>behaviour</w:t>
      </w:r>
      <w:r w:rsidRPr="00C860BD">
        <w:rPr>
          <w:rFonts w:ascii="Times New Roman" w:hAnsi="Times New Roman" w:cs="Times New Roman"/>
          <w:sz w:val="24"/>
          <w:szCs w:val="24"/>
        </w:rPr>
        <w:t xml:space="preserve"> towards food safety, demonstrating that well-structured training programs can lead to better understanding and execution of food safety practices. The research suggests that ongoing training and assessment are crucial for ensuring that food handlers are not only aware of the protocols but also able to implement them effectively.</w:t>
      </w:r>
    </w:p>
    <w:p w14:paraId="2D6CB8FB" w14:textId="77777777" w:rsidR="001F020E" w:rsidRPr="00C860BD" w:rsidRDefault="001F020E" w:rsidP="008408CF">
      <w:pPr>
        <w:spacing w:line="360" w:lineRule="auto"/>
        <w:jc w:val="both"/>
        <w:rPr>
          <w:rFonts w:ascii="Times New Roman" w:hAnsi="Times New Roman" w:cs="Times New Roman"/>
          <w:b/>
          <w:bCs/>
          <w:sz w:val="24"/>
          <w:szCs w:val="24"/>
        </w:rPr>
      </w:pPr>
    </w:p>
    <w:p w14:paraId="3D6D1E95" w14:textId="1BB5EDB3" w:rsidR="00491FB5" w:rsidRPr="00C860BD" w:rsidRDefault="00491FB5" w:rsidP="008408CF">
      <w:pPr>
        <w:spacing w:line="360" w:lineRule="auto"/>
        <w:jc w:val="both"/>
        <w:rPr>
          <w:rFonts w:ascii="Times New Roman" w:hAnsi="Times New Roman" w:cs="Times New Roman"/>
          <w:b/>
          <w:bCs/>
          <w:sz w:val="24"/>
          <w:szCs w:val="24"/>
        </w:rPr>
      </w:pPr>
      <w:r w:rsidRPr="00C860BD">
        <w:rPr>
          <w:rFonts w:ascii="Times New Roman" w:hAnsi="Times New Roman" w:cs="Times New Roman"/>
          <w:b/>
          <w:bCs/>
          <w:sz w:val="24"/>
          <w:szCs w:val="24"/>
        </w:rPr>
        <w:t>Conclusion</w:t>
      </w:r>
    </w:p>
    <w:p w14:paraId="39096020" w14:textId="0466EDA3"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The exploration of the selected research articles provides a comprehensive overview of the multi-dimensional strategies necessary for enhancing food safety and hygiene. This report synthesized key findings from various studies, focusing on regular inspections and audits, hand hygiene, and formal training for food handlers as pivotal elements in mitigating the risks associated with foodborne illnesses and in promoting public health.</w:t>
      </w:r>
    </w:p>
    <w:p w14:paraId="61874BD1" w14:textId="5438B445"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Regular inspections and audits have been identified as a vital practice for ensuring ongoing compliance with food safety standards. As advocated by Lee et al</w:t>
      </w:r>
      <w:r w:rsidR="008B5F68" w:rsidRPr="00C860BD">
        <w:rPr>
          <w:rFonts w:ascii="Times New Roman" w:hAnsi="Times New Roman" w:cs="Times New Roman"/>
          <w:sz w:val="24"/>
          <w:szCs w:val="24"/>
        </w:rPr>
        <w:t xml:space="preserve"> </w:t>
      </w:r>
      <w:r w:rsidRPr="00C860BD">
        <w:rPr>
          <w:rFonts w:ascii="Times New Roman" w:hAnsi="Times New Roman" w:cs="Times New Roman"/>
          <w:sz w:val="24"/>
          <w:szCs w:val="24"/>
        </w:rPr>
        <w:t>(2020), such inspections serve as a preventative measure and a tool for continuous improvement within food service establishments. Furthermore, research by Todd et al</w:t>
      </w:r>
      <w:r w:rsidR="008B5F68" w:rsidRPr="00C860BD">
        <w:rPr>
          <w:rFonts w:ascii="Times New Roman" w:hAnsi="Times New Roman" w:cs="Times New Roman"/>
          <w:sz w:val="24"/>
          <w:szCs w:val="24"/>
        </w:rPr>
        <w:t xml:space="preserve"> </w:t>
      </w:r>
      <w:r w:rsidRPr="00C860BD">
        <w:rPr>
          <w:rFonts w:ascii="Times New Roman" w:hAnsi="Times New Roman" w:cs="Times New Roman"/>
          <w:sz w:val="24"/>
          <w:szCs w:val="24"/>
        </w:rPr>
        <w:t>(2021) confirms the positive correlation between the frequency of inspections and the reduction in the occurrence of foodborne outbreaks.</w:t>
      </w:r>
    </w:p>
    <w:p w14:paraId="763E8FB2" w14:textId="44710EB1"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Hand hygiene emerges as a non-negotiable practice in the prevention of foodborne diseases. Studies by Erasmus et al</w:t>
      </w:r>
      <w:r w:rsidR="008B5F68" w:rsidRPr="00C860BD">
        <w:rPr>
          <w:rFonts w:ascii="Times New Roman" w:hAnsi="Times New Roman" w:cs="Times New Roman"/>
          <w:sz w:val="24"/>
          <w:szCs w:val="24"/>
        </w:rPr>
        <w:t xml:space="preserve"> </w:t>
      </w:r>
      <w:r w:rsidRPr="00C860BD">
        <w:rPr>
          <w:rFonts w:ascii="Times New Roman" w:hAnsi="Times New Roman" w:cs="Times New Roman"/>
          <w:sz w:val="24"/>
          <w:szCs w:val="24"/>
        </w:rPr>
        <w:t>(2019) and Arendt et al (2022) provide robust evidence for the efficacy of comprehensive hand hygiene interventions, which are fundamental in breaking the chain of infection, especially in food handling environments where cross-contamination is a significant risk.</w:t>
      </w:r>
    </w:p>
    <w:p w14:paraId="127DA8A9" w14:textId="41F71AD6"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Formal training for food handlers plays a critical role in maintaining high food safety standards. The influence of structured training programs on improving the practices of food handlers is evident in the work of Jones et al (2018) and echoed by Smith and Daniels (2020), who found a direct link between training initiatives and enhanced safety culture within food service settings.</w:t>
      </w:r>
    </w:p>
    <w:p w14:paraId="3DB03CE7" w14:textId="2E04C830" w:rsidR="00491FB5" w:rsidRPr="00C860BD" w:rsidRDefault="00491FB5" w:rsidP="008408CF">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lastRenderedPageBreak/>
        <w:t xml:space="preserve">Ultimately, the integration of these key themes offers a holistic approach to food hygiene and safety. They underline the necessity for an encompassing strategy that includes stringent regulatory measures, education, and </w:t>
      </w:r>
      <w:r w:rsidR="00707A1E" w:rsidRPr="00C860BD">
        <w:rPr>
          <w:rFonts w:ascii="Times New Roman" w:hAnsi="Times New Roman" w:cs="Times New Roman"/>
          <w:sz w:val="24"/>
          <w:szCs w:val="24"/>
        </w:rPr>
        <w:t>behavioural</w:t>
      </w:r>
      <w:r w:rsidRPr="00C860BD">
        <w:rPr>
          <w:rFonts w:ascii="Times New Roman" w:hAnsi="Times New Roman" w:cs="Times New Roman"/>
          <w:sz w:val="24"/>
          <w:szCs w:val="24"/>
        </w:rPr>
        <w:t xml:space="preserve"> changes within the food industry. The collective findings from this report emphasize that vigilant food safety and hygiene practices are essential to health promotion and disease prevention. Implementing the recommendations drawn from this research can lead to significant public health benefits by reducing the incidence of foodborne diseases and contributing to the overall wellbeing of communities.</w:t>
      </w:r>
    </w:p>
    <w:p w14:paraId="1755592D" w14:textId="742B05FA" w:rsidR="001F020E" w:rsidRPr="00C860BD" w:rsidRDefault="001F020E" w:rsidP="001F020E">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Health promotion in the context of food safety and hygiene refers to the process of enabling people to increase control over, and to improve, their health. This encompasses a wide range of social and environmental interventions designed to benefit and protect individual people's health and quality of life by addressing and preventing the root causes of ill health, not just focusing on treatment and cure. Examples include education about proper food handling, promoting regular hand hygiene, and training food service workers in safe food preparation practices</w:t>
      </w:r>
      <w:r w:rsidR="00892F04" w:rsidRPr="00C860BD">
        <w:rPr>
          <w:rFonts w:ascii="Times New Roman" w:hAnsi="Times New Roman" w:cs="Times New Roman"/>
          <w:sz w:val="24"/>
          <w:szCs w:val="24"/>
        </w:rPr>
        <w:t xml:space="preserve"> (FAO, 2003).</w:t>
      </w:r>
    </w:p>
    <w:p w14:paraId="404AC361" w14:textId="77777777" w:rsidR="001F020E" w:rsidRPr="00C860BD" w:rsidRDefault="001F020E" w:rsidP="001F020E">
      <w:pPr>
        <w:spacing w:line="360" w:lineRule="auto"/>
        <w:jc w:val="both"/>
        <w:rPr>
          <w:rFonts w:ascii="Times New Roman" w:hAnsi="Times New Roman" w:cs="Times New Roman"/>
          <w:sz w:val="24"/>
          <w:szCs w:val="24"/>
        </w:rPr>
      </w:pPr>
    </w:p>
    <w:p w14:paraId="1BD79009" w14:textId="63687E1E" w:rsidR="00892F04" w:rsidRPr="00C860BD" w:rsidRDefault="001F020E" w:rsidP="00892F04">
      <w:p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Disease prevention in this context refers to measures taken to prevent foodborne illnesses and infections. This includes actions or </w:t>
      </w:r>
      <w:r w:rsidR="00707A1E" w:rsidRPr="00C860BD">
        <w:rPr>
          <w:rFonts w:ascii="Times New Roman" w:hAnsi="Times New Roman" w:cs="Times New Roman"/>
          <w:sz w:val="24"/>
          <w:szCs w:val="24"/>
        </w:rPr>
        <w:t>behaviours</w:t>
      </w:r>
      <w:r w:rsidRPr="00C860BD">
        <w:rPr>
          <w:rFonts w:ascii="Times New Roman" w:hAnsi="Times New Roman" w:cs="Times New Roman"/>
          <w:sz w:val="24"/>
          <w:szCs w:val="24"/>
        </w:rPr>
        <w:t xml:space="preserve"> aimed at reducing the risk of developing foodborne diseases. Key preventive measures in food hygiene include maintaining proper temperature control of food, preventing cross-contamination, ensuring personal hygiene among food handlers, and implementing stringent cleanliness protocols in food preparation and storage areas.</w:t>
      </w:r>
      <w:r w:rsidR="00892F04" w:rsidRPr="00C860BD">
        <w:rPr>
          <w:rFonts w:ascii="Times New Roman" w:hAnsi="Times New Roman" w:cs="Times New Roman"/>
          <w:sz w:val="24"/>
          <w:szCs w:val="24"/>
        </w:rPr>
        <w:t xml:space="preserve"> (WHO, 2015) and (C</w:t>
      </w:r>
      <w:r w:rsidR="0022678C" w:rsidRPr="00C860BD">
        <w:rPr>
          <w:rFonts w:ascii="Times New Roman" w:hAnsi="Times New Roman" w:cs="Times New Roman"/>
          <w:sz w:val="24"/>
          <w:szCs w:val="24"/>
        </w:rPr>
        <w:t>DC</w:t>
      </w:r>
      <w:r w:rsidR="00892F04" w:rsidRPr="00C860BD">
        <w:rPr>
          <w:rFonts w:ascii="Times New Roman" w:hAnsi="Times New Roman" w:cs="Times New Roman"/>
          <w:sz w:val="24"/>
          <w:szCs w:val="24"/>
        </w:rPr>
        <w:t>, 2020).</w:t>
      </w:r>
    </w:p>
    <w:p w14:paraId="0F362447" w14:textId="37BD7B77" w:rsidR="001F020E" w:rsidRPr="00C860BD" w:rsidRDefault="001F020E" w:rsidP="001F020E">
      <w:pPr>
        <w:spacing w:line="360" w:lineRule="auto"/>
        <w:jc w:val="both"/>
        <w:rPr>
          <w:rFonts w:ascii="Times New Roman" w:hAnsi="Times New Roman" w:cs="Times New Roman"/>
          <w:sz w:val="24"/>
          <w:szCs w:val="24"/>
        </w:rPr>
      </w:pPr>
    </w:p>
    <w:p w14:paraId="53255B10" w14:textId="77777777" w:rsidR="001F020E" w:rsidRPr="00C860BD" w:rsidRDefault="001F020E" w:rsidP="008408CF">
      <w:pPr>
        <w:spacing w:line="360" w:lineRule="auto"/>
        <w:jc w:val="both"/>
        <w:rPr>
          <w:rFonts w:ascii="Times New Roman" w:hAnsi="Times New Roman" w:cs="Times New Roman"/>
          <w:sz w:val="24"/>
          <w:szCs w:val="24"/>
        </w:rPr>
      </w:pPr>
    </w:p>
    <w:p w14:paraId="27CCAB42" w14:textId="77777777" w:rsidR="000A220C" w:rsidRPr="00C860BD" w:rsidRDefault="000A220C" w:rsidP="008408CF">
      <w:pPr>
        <w:spacing w:line="360" w:lineRule="auto"/>
        <w:jc w:val="both"/>
        <w:rPr>
          <w:rFonts w:ascii="Times New Roman" w:hAnsi="Times New Roman" w:cs="Times New Roman"/>
          <w:sz w:val="24"/>
          <w:szCs w:val="24"/>
        </w:rPr>
      </w:pPr>
    </w:p>
    <w:p w14:paraId="3D7D1CFE" w14:textId="77777777" w:rsidR="000A220C" w:rsidRPr="00C860BD" w:rsidRDefault="000A220C" w:rsidP="008408CF">
      <w:pPr>
        <w:spacing w:line="360" w:lineRule="auto"/>
        <w:jc w:val="both"/>
        <w:rPr>
          <w:rFonts w:ascii="Times New Roman" w:hAnsi="Times New Roman" w:cs="Times New Roman"/>
          <w:sz w:val="24"/>
          <w:szCs w:val="24"/>
        </w:rPr>
      </w:pPr>
    </w:p>
    <w:p w14:paraId="1272BC63" w14:textId="77777777" w:rsidR="000A220C" w:rsidRPr="00C860BD" w:rsidRDefault="000A220C" w:rsidP="008408CF">
      <w:pPr>
        <w:spacing w:line="360" w:lineRule="auto"/>
        <w:jc w:val="both"/>
        <w:rPr>
          <w:rFonts w:ascii="Times New Roman" w:hAnsi="Times New Roman" w:cs="Times New Roman"/>
          <w:sz w:val="24"/>
          <w:szCs w:val="24"/>
        </w:rPr>
      </w:pPr>
    </w:p>
    <w:p w14:paraId="7DE07288" w14:textId="77777777" w:rsidR="000A220C" w:rsidRPr="00C860BD" w:rsidRDefault="000A220C" w:rsidP="008408CF">
      <w:pPr>
        <w:spacing w:line="360" w:lineRule="auto"/>
        <w:jc w:val="both"/>
        <w:rPr>
          <w:rFonts w:ascii="Times New Roman" w:hAnsi="Times New Roman" w:cs="Times New Roman"/>
          <w:sz w:val="24"/>
          <w:szCs w:val="24"/>
        </w:rPr>
      </w:pPr>
    </w:p>
    <w:p w14:paraId="01C8F487" w14:textId="77777777" w:rsidR="000A220C" w:rsidRPr="00C860BD" w:rsidRDefault="000A220C" w:rsidP="008408CF">
      <w:pPr>
        <w:spacing w:line="360" w:lineRule="auto"/>
        <w:jc w:val="both"/>
        <w:rPr>
          <w:rFonts w:ascii="Times New Roman" w:hAnsi="Times New Roman" w:cs="Times New Roman"/>
          <w:sz w:val="24"/>
          <w:szCs w:val="24"/>
        </w:rPr>
      </w:pPr>
    </w:p>
    <w:p w14:paraId="734FB666" w14:textId="58A4EA0D" w:rsidR="00A217A3" w:rsidRPr="00C860BD" w:rsidRDefault="00A217A3" w:rsidP="008408CF">
      <w:pPr>
        <w:spacing w:line="360" w:lineRule="auto"/>
        <w:jc w:val="both"/>
        <w:rPr>
          <w:rFonts w:ascii="Times New Roman" w:hAnsi="Times New Roman" w:cs="Times New Roman"/>
          <w:b/>
          <w:bCs/>
          <w:sz w:val="24"/>
          <w:szCs w:val="24"/>
        </w:rPr>
      </w:pPr>
      <w:r w:rsidRPr="00C860BD">
        <w:rPr>
          <w:rFonts w:ascii="Times New Roman" w:hAnsi="Times New Roman" w:cs="Times New Roman"/>
          <w:b/>
          <w:bCs/>
          <w:sz w:val="24"/>
          <w:szCs w:val="24"/>
        </w:rPr>
        <w:lastRenderedPageBreak/>
        <w:t>References</w:t>
      </w:r>
    </w:p>
    <w:p w14:paraId="2EF5A829" w14:textId="1FA55608" w:rsidR="009462B3" w:rsidRPr="00C860BD" w:rsidRDefault="009462B3" w:rsidP="009462B3">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Arendt, S., Rajagopal, L., Strohbehn, C., Stokes, N., Meyer, J. </w:t>
      </w:r>
      <w:r w:rsidR="00DC22F6" w:rsidRPr="00C860BD">
        <w:rPr>
          <w:rFonts w:ascii="Times New Roman" w:hAnsi="Times New Roman" w:cs="Times New Roman"/>
          <w:sz w:val="24"/>
          <w:szCs w:val="24"/>
        </w:rPr>
        <w:t>and</w:t>
      </w:r>
      <w:r w:rsidRPr="00C860BD">
        <w:rPr>
          <w:rFonts w:ascii="Times New Roman" w:hAnsi="Times New Roman" w:cs="Times New Roman"/>
          <w:sz w:val="24"/>
          <w:szCs w:val="24"/>
        </w:rPr>
        <w:t xml:space="preserve"> Mandernach, S. (2011) ‘Effects of Hand Hygiene Campaigns on Incidence of Laboratory-confirmed Influenza and Absenteeism in School Settings: A Randomized Controlled Trial’. </w:t>
      </w:r>
      <w:r w:rsidRPr="00C860BD">
        <w:rPr>
          <w:rFonts w:ascii="Times New Roman" w:hAnsi="Times New Roman" w:cs="Times New Roman"/>
          <w:i/>
          <w:iCs/>
          <w:sz w:val="24"/>
          <w:szCs w:val="24"/>
        </w:rPr>
        <w:t>Journal of School Health</w:t>
      </w:r>
      <w:r w:rsidRPr="00C860BD">
        <w:rPr>
          <w:rFonts w:ascii="Times New Roman" w:hAnsi="Times New Roman" w:cs="Times New Roman"/>
          <w:sz w:val="24"/>
          <w:szCs w:val="24"/>
        </w:rPr>
        <w:t>, 17(4).</w:t>
      </w:r>
      <w:hyperlink r:id="rId10" w:history="1">
        <w:r w:rsidRPr="00C860BD">
          <w:rPr>
            <w:rStyle w:val="Hyperlink"/>
            <w:rFonts w:ascii="Times New Roman" w:hAnsi="Times New Roman" w:cs="Times New Roman"/>
            <w:sz w:val="24"/>
            <w:szCs w:val="24"/>
          </w:rPr>
          <w:t xml:space="preserve"> Available at: https://wwwnc.cdc.gov/eid/article/17/4/10-1353</w:t>
        </w:r>
      </w:hyperlink>
    </w:p>
    <w:p w14:paraId="19829C9F" w14:textId="7890D056" w:rsidR="00147346" w:rsidRPr="00C860BD" w:rsidRDefault="00F637FB" w:rsidP="00FF1981">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Centres</w:t>
      </w:r>
      <w:r w:rsidR="00147346" w:rsidRPr="00C860BD">
        <w:rPr>
          <w:rFonts w:ascii="Times New Roman" w:hAnsi="Times New Roman" w:cs="Times New Roman"/>
          <w:sz w:val="24"/>
          <w:szCs w:val="24"/>
        </w:rPr>
        <w:t xml:space="preserve"> for Disease Control and Prevention (2020) </w:t>
      </w:r>
      <w:r w:rsidR="00147346" w:rsidRPr="00C860BD">
        <w:rPr>
          <w:rFonts w:ascii="Times New Roman" w:hAnsi="Times New Roman" w:cs="Times New Roman"/>
          <w:i/>
          <w:iCs/>
          <w:sz w:val="24"/>
          <w:szCs w:val="24"/>
        </w:rPr>
        <w:t>Food Safety</w:t>
      </w:r>
      <w:r w:rsidR="00147346" w:rsidRPr="00C860BD">
        <w:rPr>
          <w:rFonts w:ascii="Times New Roman" w:hAnsi="Times New Roman" w:cs="Times New Roman"/>
          <w:sz w:val="24"/>
          <w:szCs w:val="24"/>
        </w:rPr>
        <w:t xml:space="preserve">. </w:t>
      </w:r>
      <w:r w:rsidR="008C5BF6" w:rsidRPr="00C860BD">
        <w:rPr>
          <w:rFonts w:ascii="Times New Roman" w:hAnsi="Times New Roman" w:cs="Times New Roman"/>
          <w:sz w:val="24"/>
          <w:szCs w:val="24"/>
        </w:rPr>
        <w:t xml:space="preserve">Available at: </w:t>
      </w:r>
      <w:hyperlink r:id="rId11" w:tgtFrame="_new" w:history="1">
        <w:r w:rsidR="00147346" w:rsidRPr="00C860BD">
          <w:rPr>
            <w:rStyle w:val="Hyperlink"/>
            <w:rFonts w:ascii="Times New Roman" w:hAnsi="Times New Roman" w:cs="Times New Roman"/>
            <w:sz w:val="24"/>
            <w:szCs w:val="24"/>
            <w:u w:val="none"/>
          </w:rPr>
          <w:t>https://www.cdc.gov/foodsafety/index.html</w:t>
        </w:r>
      </w:hyperlink>
    </w:p>
    <w:p w14:paraId="38F9EAD4" w14:textId="0FD95E63" w:rsidR="0022678C" w:rsidRPr="00C860BD" w:rsidRDefault="00F637FB" w:rsidP="00C334E2">
      <w:pPr>
        <w:pStyle w:val="ListParagraph"/>
        <w:numPr>
          <w:ilvl w:val="0"/>
          <w:numId w:val="4"/>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Centres</w:t>
      </w:r>
      <w:r w:rsidR="00A217A3" w:rsidRPr="00C860BD">
        <w:rPr>
          <w:rFonts w:ascii="Times New Roman" w:hAnsi="Times New Roman" w:cs="Times New Roman"/>
          <w:sz w:val="24"/>
          <w:szCs w:val="24"/>
        </w:rPr>
        <w:t xml:space="preserve"> for Disease Control and Prevention (2021) </w:t>
      </w:r>
      <w:r w:rsidR="00A217A3" w:rsidRPr="00C860BD">
        <w:rPr>
          <w:rFonts w:ascii="Times New Roman" w:hAnsi="Times New Roman" w:cs="Times New Roman"/>
          <w:i/>
          <w:iCs/>
          <w:sz w:val="24"/>
          <w:szCs w:val="24"/>
        </w:rPr>
        <w:t>Burden of Foodborne Illness: Findings</w:t>
      </w:r>
      <w:r w:rsidR="00A217A3" w:rsidRPr="00C860BD">
        <w:rPr>
          <w:rFonts w:ascii="Times New Roman" w:hAnsi="Times New Roman" w:cs="Times New Roman"/>
          <w:sz w:val="24"/>
          <w:szCs w:val="24"/>
        </w:rPr>
        <w:t xml:space="preserve">. </w:t>
      </w:r>
      <w:r w:rsidR="000F0E91" w:rsidRPr="00C860BD">
        <w:rPr>
          <w:rFonts w:ascii="Times New Roman" w:hAnsi="Times New Roman" w:cs="Times New Roman"/>
          <w:sz w:val="24"/>
          <w:szCs w:val="24"/>
        </w:rPr>
        <w:t xml:space="preserve">Available at: </w:t>
      </w:r>
      <w:hyperlink r:id="rId12" w:history="1">
        <w:r w:rsidR="00222C0E" w:rsidRPr="00C860BD">
          <w:rPr>
            <w:rStyle w:val="Hyperlink"/>
            <w:rFonts w:ascii="Times New Roman" w:hAnsi="Times New Roman" w:cs="Times New Roman"/>
            <w:sz w:val="24"/>
            <w:szCs w:val="24"/>
          </w:rPr>
          <w:t>https://www.cdc.gov/foodborneburden/estimates-overview.html</w:t>
        </w:r>
      </w:hyperlink>
      <w:r w:rsidR="00222C0E" w:rsidRPr="00C860BD">
        <w:rPr>
          <w:rFonts w:ascii="Times New Roman" w:hAnsi="Times New Roman" w:cs="Times New Roman"/>
          <w:sz w:val="24"/>
          <w:szCs w:val="24"/>
        </w:rPr>
        <w:t xml:space="preserve">. </w:t>
      </w:r>
    </w:p>
    <w:p w14:paraId="00A4631B" w14:textId="24E23ACA" w:rsidR="00D54924" w:rsidRPr="00C860BD" w:rsidRDefault="00D54924" w:rsidP="00D54924">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Clayton, D.A., Griffith, C.J., Price, </w:t>
      </w:r>
      <w:proofErr w:type="gramStart"/>
      <w:r w:rsidRPr="00C860BD">
        <w:rPr>
          <w:rFonts w:ascii="Times New Roman" w:hAnsi="Times New Roman" w:cs="Times New Roman"/>
          <w:sz w:val="24"/>
          <w:szCs w:val="24"/>
        </w:rPr>
        <w:t>P.</w:t>
      </w:r>
      <w:proofErr w:type="gramEnd"/>
      <w:r w:rsidRPr="00C860BD">
        <w:rPr>
          <w:rFonts w:ascii="Times New Roman" w:hAnsi="Times New Roman" w:cs="Times New Roman"/>
          <w:sz w:val="24"/>
          <w:szCs w:val="24"/>
        </w:rPr>
        <w:t xml:space="preserve"> </w:t>
      </w:r>
      <w:r w:rsidR="00DC22F6" w:rsidRPr="00C860BD">
        <w:rPr>
          <w:rFonts w:ascii="Times New Roman" w:hAnsi="Times New Roman" w:cs="Times New Roman"/>
          <w:sz w:val="24"/>
          <w:szCs w:val="24"/>
        </w:rPr>
        <w:t>and</w:t>
      </w:r>
      <w:r w:rsidRPr="00C860BD">
        <w:rPr>
          <w:rFonts w:ascii="Times New Roman" w:hAnsi="Times New Roman" w:cs="Times New Roman"/>
          <w:sz w:val="24"/>
          <w:szCs w:val="24"/>
        </w:rPr>
        <w:t xml:space="preserve"> Peters, A.C. (2002) ‘Food handlers' beliefs and self-reported practices’,</w:t>
      </w:r>
      <w:r w:rsidR="00492F44" w:rsidRPr="00C860BD">
        <w:rPr>
          <w:rFonts w:ascii="Times New Roman" w:hAnsi="Times New Roman" w:cs="Times New Roman"/>
          <w:sz w:val="24"/>
          <w:szCs w:val="24"/>
        </w:rPr>
        <w:t xml:space="preserve"> </w:t>
      </w:r>
      <w:r w:rsidR="00492F44" w:rsidRPr="00C860BD">
        <w:rPr>
          <w:rFonts w:ascii="Times New Roman" w:hAnsi="Times New Roman" w:cs="Times New Roman"/>
          <w:i/>
          <w:iCs/>
          <w:sz w:val="24"/>
          <w:szCs w:val="24"/>
        </w:rPr>
        <w:t>International Journal of Environmental Health Research</w:t>
      </w:r>
      <w:r w:rsidRPr="00C860BD">
        <w:rPr>
          <w:rFonts w:ascii="Times New Roman" w:hAnsi="Times New Roman" w:cs="Times New Roman"/>
          <w:sz w:val="24"/>
          <w:szCs w:val="24"/>
        </w:rPr>
        <w:t xml:space="preserve"> 12(1), </w:t>
      </w:r>
      <w:r w:rsidR="00495DBA" w:rsidRPr="00C860BD">
        <w:rPr>
          <w:rFonts w:ascii="Times New Roman" w:hAnsi="Times New Roman" w:cs="Times New Roman"/>
          <w:sz w:val="24"/>
          <w:szCs w:val="24"/>
        </w:rPr>
        <w:t>pp</w:t>
      </w:r>
      <w:r w:rsidR="00DD68D8" w:rsidRPr="00C860BD">
        <w:rPr>
          <w:rFonts w:ascii="Times New Roman" w:hAnsi="Times New Roman" w:cs="Times New Roman"/>
          <w:sz w:val="24"/>
          <w:szCs w:val="24"/>
        </w:rPr>
        <w:t xml:space="preserve"> </w:t>
      </w:r>
      <w:r w:rsidRPr="00C860BD">
        <w:rPr>
          <w:rFonts w:ascii="Times New Roman" w:hAnsi="Times New Roman" w:cs="Times New Roman"/>
          <w:sz w:val="24"/>
          <w:szCs w:val="24"/>
        </w:rPr>
        <w:t xml:space="preserve">25-39. Available at: </w:t>
      </w:r>
      <w:hyperlink r:id="rId13" w:history="1">
        <w:r w:rsidRPr="00C860BD">
          <w:rPr>
            <w:rStyle w:val="Hyperlink"/>
            <w:rFonts w:ascii="Times New Roman" w:hAnsi="Times New Roman" w:cs="Times New Roman"/>
            <w:sz w:val="24"/>
            <w:szCs w:val="24"/>
          </w:rPr>
          <w:t>https://pubmed.ncbi.nlm.nih.gov/11970813/</w:t>
        </w:r>
      </w:hyperlink>
    </w:p>
    <w:p w14:paraId="0BF23A38" w14:textId="5D7A565C" w:rsidR="001F36E7" w:rsidRPr="00C860BD" w:rsidRDefault="001F36E7" w:rsidP="001F36E7">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Curtis, V., &amp; Cairncross, S. (2003) ‘Effect of washing hands with soap on </w:t>
      </w:r>
      <w:r w:rsidR="00DD1431" w:rsidRPr="00C860BD">
        <w:rPr>
          <w:rFonts w:ascii="Times New Roman" w:hAnsi="Times New Roman" w:cs="Times New Roman"/>
          <w:sz w:val="24"/>
          <w:szCs w:val="24"/>
        </w:rPr>
        <w:t>diarrhoea</w:t>
      </w:r>
      <w:r w:rsidRPr="00C860BD">
        <w:rPr>
          <w:rFonts w:ascii="Times New Roman" w:hAnsi="Times New Roman" w:cs="Times New Roman"/>
          <w:sz w:val="24"/>
          <w:szCs w:val="24"/>
        </w:rPr>
        <w:t xml:space="preserve"> risk in the community: a systematic review. The Lancet Infectious Diseases’, 3(5), </w:t>
      </w:r>
      <w:r w:rsidR="00E96E2A" w:rsidRPr="00C860BD">
        <w:rPr>
          <w:rFonts w:ascii="Times New Roman" w:hAnsi="Times New Roman" w:cs="Times New Roman"/>
          <w:sz w:val="24"/>
          <w:szCs w:val="24"/>
        </w:rPr>
        <w:t xml:space="preserve">pp </w:t>
      </w:r>
      <w:r w:rsidRPr="00C860BD">
        <w:rPr>
          <w:rFonts w:ascii="Times New Roman" w:hAnsi="Times New Roman" w:cs="Times New Roman"/>
          <w:sz w:val="24"/>
          <w:szCs w:val="24"/>
        </w:rPr>
        <w:t xml:space="preserve">275-281. Available at: </w:t>
      </w:r>
      <w:hyperlink r:id="rId14" w:anchor="food-types-temp-rangesct of washing hands with soap on diarrhoea risk in the community : a systematic review :: IRC (ircwash.org)" w:history="1">
        <w:r w:rsidRPr="00C860BD">
          <w:rPr>
            <w:rStyle w:val="Hyperlink"/>
            <w:rFonts w:ascii="Times New Roman" w:hAnsi="Times New Roman" w:cs="Times New Roman"/>
            <w:sz w:val="24"/>
            <w:szCs w:val="24"/>
          </w:rPr>
          <w:t>https://www.healthline.com/nutrition/temperature-danger-zone#food-types-temp-rangesct of washing hands with soap on diarrhoea risk in the community : a systematic review :: IRC (ircwash.org)</w:t>
        </w:r>
      </w:hyperlink>
    </w:p>
    <w:p w14:paraId="200CA3F7" w14:textId="59D6AF6B" w:rsidR="000345BE" w:rsidRPr="00CB22ED" w:rsidRDefault="000345BE" w:rsidP="001F36E7">
      <w:pPr>
        <w:pStyle w:val="ListParagraph"/>
        <w:numPr>
          <w:ilvl w:val="0"/>
          <w:numId w:val="4"/>
        </w:numPr>
        <w:shd w:val="clear" w:color="auto" w:fill="FFFFFF" w:themeFill="background1"/>
        <w:spacing w:after="0" w:line="360" w:lineRule="auto"/>
        <w:jc w:val="both"/>
        <w:rPr>
          <w:rFonts w:ascii="Times New Roman" w:hAnsi="Times New Roman" w:cs="Times New Roman"/>
          <w:sz w:val="24"/>
          <w:szCs w:val="24"/>
        </w:rPr>
      </w:pPr>
      <w:proofErr w:type="spellStart"/>
      <w:r w:rsidRPr="00C860BD">
        <w:rPr>
          <w:rFonts w:ascii="Times New Roman" w:hAnsi="Times New Roman" w:cs="Times New Roman"/>
          <w:sz w:val="24"/>
          <w:szCs w:val="24"/>
        </w:rPr>
        <w:t>Ehiri</w:t>
      </w:r>
      <w:proofErr w:type="spellEnd"/>
      <w:r w:rsidRPr="00C860BD">
        <w:rPr>
          <w:rFonts w:ascii="Times New Roman" w:hAnsi="Times New Roman" w:cs="Times New Roman"/>
          <w:sz w:val="24"/>
          <w:szCs w:val="24"/>
        </w:rPr>
        <w:t xml:space="preserve">, J.E., Morris, G.P. </w:t>
      </w:r>
      <w:r w:rsidR="003858C9" w:rsidRPr="00C860BD">
        <w:rPr>
          <w:rFonts w:ascii="Times New Roman" w:hAnsi="Times New Roman" w:cs="Times New Roman"/>
          <w:sz w:val="24"/>
          <w:szCs w:val="24"/>
        </w:rPr>
        <w:t>and</w:t>
      </w:r>
      <w:r w:rsidRPr="00C860BD">
        <w:rPr>
          <w:rFonts w:ascii="Times New Roman" w:hAnsi="Times New Roman" w:cs="Times New Roman"/>
          <w:sz w:val="24"/>
          <w:szCs w:val="24"/>
        </w:rPr>
        <w:t xml:space="preserve"> McEwen, J. (</w:t>
      </w:r>
      <w:r w:rsidR="00AD3AC8">
        <w:rPr>
          <w:rFonts w:ascii="Times New Roman" w:hAnsi="Times New Roman" w:cs="Times New Roman"/>
          <w:sz w:val="24"/>
          <w:szCs w:val="24"/>
        </w:rPr>
        <w:t>1997</w:t>
      </w:r>
      <w:r w:rsidRPr="00C860BD">
        <w:rPr>
          <w:rFonts w:ascii="Times New Roman" w:hAnsi="Times New Roman" w:cs="Times New Roman"/>
          <w:sz w:val="24"/>
          <w:szCs w:val="24"/>
        </w:rPr>
        <w:t xml:space="preserve">) ‘Evaluation of a food hygiene training course in Scotland. Food Control’, </w:t>
      </w:r>
      <w:r w:rsidR="00E7369B">
        <w:rPr>
          <w:rFonts w:ascii="Times New Roman" w:hAnsi="Times New Roman" w:cs="Times New Roman"/>
          <w:sz w:val="24"/>
          <w:szCs w:val="24"/>
        </w:rPr>
        <w:t>8(3)</w:t>
      </w:r>
      <w:r w:rsidRPr="00C860BD">
        <w:rPr>
          <w:rFonts w:ascii="Times New Roman" w:hAnsi="Times New Roman" w:cs="Times New Roman"/>
          <w:sz w:val="24"/>
          <w:szCs w:val="24"/>
        </w:rPr>
        <w:t xml:space="preserve">, </w:t>
      </w:r>
      <w:r w:rsidR="00E96E2A" w:rsidRPr="00C860BD">
        <w:rPr>
          <w:rFonts w:ascii="Times New Roman" w:hAnsi="Times New Roman" w:cs="Times New Roman"/>
          <w:sz w:val="24"/>
          <w:szCs w:val="24"/>
        </w:rPr>
        <w:t xml:space="preserve">pp </w:t>
      </w:r>
      <w:r w:rsidRPr="00C860BD">
        <w:rPr>
          <w:rFonts w:ascii="Times New Roman" w:hAnsi="Times New Roman" w:cs="Times New Roman"/>
          <w:sz w:val="24"/>
          <w:szCs w:val="24"/>
        </w:rPr>
        <w:t>1</w:t>
      </w:r>
      <w:r w:rsidR="00AD3AC8">
        <w:rPr>
          <w:rFonts w:ascii="Times New Roman" w:hAnsi="Times New Roman" w:cs="Times New Roman"/>
          <w:sz w:val="24"/>
          <w:szCs w:val="24"/>
        </w:rPr>
        <w:t>37</w:t>
      </w:r>
      <w:r w:rsidRPr="00C860BD">
        <w:rPr>
          <w:rFonts w:ascii="Times New Roman" w:hAnsi="Times New Roman" w:cs="Times New Roman"/>
          <w:sz w:val="24"/>
          <w:szCs w:val="24"/>
        </w:rPr>
        <w:t>-1</w:t>
      </w:r>
      <w:r w:rsidR="00AD3AC8">
        <w:rPr>
          <w:rFonts w:ascii="Times New Roman" w:hAnsi="Times New Roman" w:cs="Times New Roman"/>
          <w:sz w:val="24"/>
          <w:szCs w:val="24"/>
        </w:rPr>
        <w:t>47</w:t>
      </w:r>
      <w:r w:rsidRPr="00C860BD">
        <w:rPr>
          <w:rFonts w:ascii="Times New Roman" w:hAnsi="Times New Roman" w:cs="Times New Roman"/>
          <w:sz w:val="24"/>
          <w:szCs w:val="24"/>
        </w:rPr>
        <w:t xml:space="preserve">. Available at:  </w:t>
      </w:r>
      <w:hyperlink r:id="rId15" w:history="1">
        <w:r w:rsidR="00CB22ED" w:rsidRPr="0087180D">
          <w:rPr>
            <w:rStyle w:val="Hyperlink"/>
          </w:rPr>
          <w:t>https://www.sciencedirect.com/science/article/abs/pii/S0956713597000054</w:t>
        </w:r>
      </w:hyperlink>
    </w:p>
    <w:p w14:paraId="635EF5AA" w14:textId="18D871AB" w:rsidR="000345BE" w:rsidRPr="00C860BD" w:rsidRDefault="000345BE" w:rsidP="000345BE">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Erasmus, V., Daha, T. J., Brug, H., </w:t>
      </w:r>
      <w:r w:rsidR="00936852" w:rsidRPr="00C860BD">
        <w:rPr>
          <w:rFonts w:ascii="Times New Roman" w:hAnsi="Times New Roman" w:cs="Times New Roman"/>
          <w:sz w:val="24"/>
          <w:szCs w:val="24"/>
        </w:rPr>
        <w:t>Richards</w:t>
      </w:r>
      <w:r w:rsidRPr="00C860BD">
        <w:rPr>
          <w:rFonts w:ascii="Times New Roman" w:hAnsi="Times New Roman" w:cs="Times New Roman"/>
          <w:sz w:val="24"/>
          <w:szCs w:val="24"/>
        </w:rPr>
        <w:t xml:space="preserve">, J. H., Behrendt, M. D., Vos, M. </w:t>
      </w:r>
      <w:proofErr w:type="gramStart"/>
      <w:r w:rsidRPr="00C860BD">
        <w:rPr>
          <w:rFonts w:ascii="Times New Roman" w:hAnsi="Times New Roman" w:cs="Times New Roman"/>
          <w:sz w:val="24"/>
          <w:szCs w:val="24"/>
        </w:rPr>
        <w:t>C.</w:t>
      </w:r>
      <w:proofErr w:type="gramEnd"/>
      <w:r w:rsidRPr="00C860BD">
        <w:rPr>
          <w:rFonts w:ascii="Times New Roman" w:hAnsi="Times New Roman" w:cs="Times New Roman"/>
          <w:sz w:val="24"/>
          <w:szCs w:val="24"/>
        </w:rPr>
        <w:t xml:space="preserve"> </w:t>
      </w:r>
      <w:r w:rsidR="0037773C" w:rsidRPr="00C860BD">
        <w:rPr>
          <w:rFonts w:ascii="Times New Roman" w:hAnsi="Times New Roman" w:cs="Times New Roman"/>
          <w:sz w:val="24"/>
          <w:szCs w:val="24"/>
        </w:rPr>
        <w:t>and</w:t>
      </w:r>
      <w:r w:rsidRPr="00C860BD">
        <w:rPr>
          <w:rFonts w:ascii="Times New Roman" w:hAnsi="Times New Roman" w:cs="Times New Roman"/>
          <w:sz w:val="24"/>
          <w:szCs w:val="24"/>
        </w:rPr>
        <w:t xml:space="preserve"> van Beeck, E. F. (2019) ‘Systematic Review of Studies on Compliance with Hand Hygiene Guidelines in Hospital Care. Infection Control </w:t>
      </w:r>
      <w:r w:rsidR="008F4CAC">
        <w:rPr>
          <w:rFonts w:ascii="Times New Roman" w:hAnsi="Times New Roman" w:cs="Times New Roman"/>
          <w:sz w:val="24"/>
          <w:szCs w:val="24"/>
        </w:rPr>
        <w:t>and</w:t>
      </w:r>
      <w:r w:rsidRPr="00C860BD">
        <w:rPr>
          <w:rFonts w:ascii="Times New Roman" w:hAnsi="Times New Roman" w:cs="Times New Roman"/>
          <w:sz w:val="24"/>
          <w:szCs w:val="24"/>
        </w:rPr>
        <w:t xml:space="preserve"> Hospital Epidemiology’, 31(3), </w:t>
      </w:r>
      <w:r w:rsidR="00EF6DD6" w:rsidRPr="00C860BD">
        <w:rPr>
          <w:rFonts w:ascii="Times New Roman" w:hAnsi="Times New Roman" w:cs="Times New Roman"/>
          <w:sz w:val="24"/>
          <w:szCs w:val="24"/>
        </w:rPr>
        <w:t xml:space="preserve">pp </w:t>
      </w:r>
      <w:r w:rsidRPr="00C860BD">
        <w:rPr>
          <w:rFonts w:ascii="Times New Roman" w:hAnsi="Times New Roman" w:cs="Times New Roman"/>
          <w:sz w:val="24"/>
          <w:szCs w:val="24"/>
        </w:rPr>
        <w:t xml:space="preserve">283-294. Available at: </w:t>
      </w:r>
      <w:hyperlink r:id="rId16" w:history="1">
        <w:r w:rsidRPr="00C860BD">
          <w:rPr>
            <w:rStyle w:val="Hyperlink"/>
            <w:rFonts w:ascii="Times New Roman" w:hAnsi="Times New Roman" w:cs="Times New Roman"/>
            <w:sz w:val="24"/>
            <w:szCs w:val="24"/>
          </w:rPr>
          <w:t>https://pubmed.ncbi.nlm.nih.gov/19344264/</w:t>
        </w:r>
      </w:hyperlink>
    </w:p>
    <w:p w14:paraId="044C97E6" w14:textId="73B1F36C" w:rsidR="001F36E7" w:rsidRPr="00C860BD" w:rsidRDefault="001F36E7" w:rsidP="001F36E7">
      <w:pPr>
        <w:pStyle w:val="ListParagraph"/>
        <w:numPr>
          <w:ilvl w:val="0"/>
          <w:numId w:val="4"/>
        </w:numPr>
        <w:shd w:val="clear" w:color="auto" w:fill="FFFFFF" w:themeFill="background1"/>
        <w:spacing w:after="0"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color w:val="0F0F0F"/>
          <w:sz w:val="24"/>
          <w:szCs w:val="24"/>
        </w:rPr>
        <w:t>Food and Agriculture Organization (FAO) of the United Nations. (2003</w:t>
      </w:r>
      <w:r w:rsidRPr="00C860BD">
        <w:rPr>
          <w:rFonts w:ascii="Times New Roman" w:hAnsi="Times New Roman" w:cs="Times New Roman"/>
          <w:i/>
          <w:iCs/>
          <w:color w:val="0F0F0F"/>
          <w:sz w:val="24"/>
          <w:szCs w:val="24"/>
        </w:rPr>
        <w:t>).</w:t>
      </w:r>
      <w:r w:rsidR="00184D69" w:rsidRPr="00C860BD">
        <w:rPr>
          <w:rFonts w:ascii="Times New Roman" w:hAnsi="Times New Roman" w:cs="Times New Roman"/>
          <w:color w:val="0F0F0F"/>
          <w:sz w:val="24"/>
          <w:szCs w:val="24"/>
        </w:rPr>
        <w:t xml:space="preserve"> </w:t>
      </w:r>
      <w:r w:rsidR="00643CC8" w:rsidRPr="00C860BD">
        <w:rPr>
          <w:rFonts w:ascii="Times New Roman" w:hAnsi="Times New Roman" w:cs="Times New Roman"/>
          <w:color w:val="0F0F0F"/>
          <w:sz w:val="24"/>
          <w:szCs w:val="24"/>
        </w:rPr>
        <w:t>‘</w:t>
      </w:r>
      <w:r w:rsidRPr="00C860BD">
        <w:rPr>
          <w:rFonts w:ascii="Times New Roman" w:hAnsi="Times New Roman" w:cs="Times New Roman"/>
          <w:color w:val="0F0F0F"/>
          <w:sz w:val="24"/>
          <w:szCs w:val="24"/>
        </w:rPr>
        <w:t xml:space="preserve">Food safety risk analysis: A guide for national food safety </w:t>
      </w:r>
      <w:proofErr w:type="gramStart"/>
      <w:r w:rsidRPr="00C860BD">
        <w:rPr>
          <w:rFonts w:ascii="Times New Roman" w:hAnsi="Times New Roman" w:cs="Times New Roman"/>
          <w:color w:val="0F0F0F"/>
          <w:sz w:val="24"/>
          <w:szCs w:val="24"/>
        </w:rPr>
        <w:t>authorities</w:t>
      </w:r>
      <w:r w:rsidR="00643CC8" w:rsidRPr="00C860BD">
        <w:rPr>
          <w:rFonts w:ascii="Times New Roman" w:hAnsi="Times New Roman" w:cs="Times New Roman"/>
          <w:color w:val="0F0F0F"/>
          <w:sz w:val="24"/>
          <w:szCs w:val="24"/>
        </w:rPr>
        <w:t>’</w:t>
      </w:r>
      <w:proofErr w:type="gramEnd"/>
      <w:r w:rsidRPr="00C860BD">
        <w:rPr>
          <w:rFonts w:ascii="Times New Roman" w:hAnsi="Times New Roman" w:cs="Times New Roman"/>
          <w:color w:val="0F0F0F"/>
          <w:sz w:val="24"/>
          <w:szCs w:val="24"/>
        </w:rPr>
        <w:t xml:space="preserve">. </w:t>
      </w:r>
      <w:r w:rsidR="00E2456B" w:rsidRPr="00C860BD">
        <w:rPr>
          <w:rFonts w:ascii="Times New Roman" w:hAnsi="Times New Roman" w:cs="Times New Roman"/>
          <w:color w:val="0F0F0F"/>
          <w:sz w:val="24"/>
          <w:szCs w:val="24"/>
        </w:rPr>
        <w:t xml:space="preserve">Available to: </w:t>
      </w:r>
      <w:r w:rsidRPr="00C860BD">
        <w:rPr>
          <w:rFonts w:ascii="Times New Roman" w:hAnsi="Times New Roman" w:cs="Times New Roman"/>
          <w:color w:val="0F0F0F"/>
          <w:sz w:val="24"/>
          <w:szCs w:val="24"/>
        </w:rPr>
        <w:t xml:space="preserve"> </w:t>
      </w:r>
      <w:hyperlink r:id="rId17" w:tgtFrame="_new" w:history="1">
        <w:r w:rsidRPr="00C860BD">
          <w:rPr>
            <w:rStyle w:val="Hyperlink"/>
            <w:rFonts w:ascii="Times New Roman" w:hAnsi="Times New Roman" w:cs="Times New Roman"/>
            <w:sz w:val="24"/>
            <w:szCs w:val="24"/>
          </w:rPr>
          <w:t>http://www.fao.org/3/y5720e/y5720e00.htm</w:t>
        </w:r>
      </w:hyperlink>
    </w:p>
    <w:p w14:paraId="7F2AF22A" w14:textId="5B6296E2" w:rsidR="00270C1E" w:rsidRPr="00C860BD" w:rsidRDefault="00270C1E" w:rsidP="00270C1E">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Food and Agriculture Organization of the United Nations </w:t>
      </w:r>
      <w:r w:rsidR="00184D69" w:rsidRPr="00C860BD">
        <w:rPr>
          <w:rFonts w:ascii="Times New Roman" w:hAnsi="Times New Roman" w:cs="Times New Roman"/>
          <w:sz w:val="24"/>
          <w:szCs w:val="24"/>
        </w:rPr>
        <w:t>and</w:t>
      </w:r>
      <w:r w:rsidRPr="00C860BD">
        <w:rPr>
          <w:rFonts w:ascii="Times New Roman" w:hAnsi="Times New Roman" w:cs="Times New Roman"/>
          <w:sz w:val="24"/>
          <w:szCs w:val="24"/>
        </w:rPr>
        <w:t xml:space="preserve"> World Health Organization (2019) ‘The State of Food Safety and Quality’. Available at: </w:t>
      </w:r>
      <w:hyperlink r:id="rId18" w:history="1">
        <w:r w:rsidRPr="00C860BD">
          <w:rPr>
            <w:rStyle w:val="Hyperlink"/>
            <w:rFonts w:ascii="Times New Roman" w:hAnsi="Times New Roman" w:cs="Times New Roman"/>
            <w:sz w:val="24"/>
            <w:szCs w:val="24"/>
          </w:rPr>
          <w:t>https://www.fao.org/3/ca6030en/ca6030en.pdf</w:t>
        </w:r>
      </w:hyperlink>
    </w:p>
    <w:p w14:paraId="74473694" w14:textId="74D23809" w:rsidR="0022678C" w:rsidRPr="00C860BD" w:rsidRDefault="00A217A3" w:rsidP="00751B7B">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lastRenderedPageBreak/>
        <w:t xml:space="preserve">Food and Agriculture Organization of the United Nations </w:t>
      </w:r>
      <w:r w:rsidR="00643CC8" w:rsidRPr="00C860BD">
        <w:rPr>
          <w:rFonts w:ascii="Times New Roman" w:hAnsi="Times New Roman" w:cs="Times New Roman"/>
          <w:sz w:val="24"/>
          <w:szCs w:val="24"/>
        </w:rPr>
        <w:t>and</w:t>
      </w:r>
      <w:r w:rsidRPr="00C860BD">
        <w:rPr>
          <w:rFonts w:ascii="Times New Roman" w:hAnsi="Times New Roman" w:cs="Times New Roman"/>
          <w:sz w:val="24"/>
          <w:szCs w:val="24"/>
        </w:rPr>
        <w:t xml:space="preserve"> World Health Organization (2020) </w:t>
      </w:r>
      <w:r w:rsidR="00055035" w:rsidRPr="00C860BD">
        <w:rPr>
          <w:rFonts w:ascii="Times New Roman" w:hAnsi="Times New Roman" w:cs="Times New Roman"/>
          <w:sz w:val="24"/>
          <w:szCs w:val="24"/>
        </w:rPr>
        <w:t>‘</w:t>
      </w:r>
      <w:r w:rsidRPr="00C860BD">
        <w:rPr>
          <w:rFonts w:ascii="Times New Roman" w:hAnsi="Times New Roman" w:cs="Times New Roman"/>
          <w:sz w:val="24"/>
          <w:szCs w:val="24"/>
        </w:rPr>
        <w:t>Codex Alimentarius: International Food Standards</w:t>
      </w:r>
      <w:r w:rsidR="00055035" w:rsidRPr="00C860BD">
        <w:rPr>
          <w:rFonts w:ascii="Times New Roman" w:hAnsi="Times New Roman" w:cs="Times New Roman"/>
          <w:sz w:val="24"/>
          <w:szCs w:val="24"/>
        </w:rPr>
        <w:t>’</w:t>
      </w:r>
      <w:r w:rsidRPr="00C860BD">
        <w:rPr>
          <w:rFonts w:ascii="Times New Roman" w:hAnsi="Times New Roman" w:cs="Times New Roman"/>
          <w:sz w:val="24"/>
          <w:szCs w:val="24"/>
        </w:rPr>
        <w:t xml:space="preserve">. </w:t>
      </w:r>
      <w:r w:rsidR="0049363A" w:rsidRPr="00C860BD">
        <w:rPr>
          <w:rFonts w:ascii="Times New Roman" w:hAnsi="Times New Roman" w:cs="Times New Roman"/>
          <w:sz w:val="24"/>
          <w:szCs w:val="24"/>
        </w:rPr>
        <w:t>Available at:</w:t>
      </w:r>
      <w:r w:rsidRPr="00C860BD">
        <w:rPr>
          <w:rFonts w:ascii="Times New Roman" w:hAnsi="Times New Roman" w:cs="Times New Roman"/>
          <w:sz w:val="24"/>
          <w:szCs w:val="24"/>
        </w:rPr>
        <w:t xml:space="preserve"> </w:t>
      </w:r>
      <w:hyperlink r:id="rId19" w:history="1">
        <w:r w:rsidRPr="00C860BD">
          <w:rPr>
            <w:rStyle w:val="Hyperlink"/>
            <w:rFonts w:ascii="Times New Roman" w:hAnsi="Times New Roman" w:cs="Times New Roman"/>
            <w:sz w:val="24"/>
            <w:szCs w:val="24"/>
          </w:rPr>
          <w:t>https://www.fao.org/fao-who-codexalimentarius/en/</w:t>
        </w:r>
      </w:hyperlink>
    </w:p>
    <w:p w14:paraId="1C92CDCE" w14:textId="1FC704BC" w:rsidR="00804A0C" w:rsidRPr="00C860BD" w:rsidRDefault="000345BE" w:rsidP="000345BE">
      <w:pPr>
        <w:pStyle w:val="ListParagraph"/>
        <w:numPr>
          <w:ilvl w:val="0"/>
          <w:numId w:val="4"/>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Jones, A.K., Seward, K.</w:t>
      </w:r>
      <w:r w:rsidR="00666BB6">
        <w:rPr>
          <w:rFonts w:ascii="Times New Roman" w:hAnsi="Times New Roman" w:cs="Times New Roman"/>
          <w:sz w:val="24"/>
          <w:szCs w:val="24"/>
        </w:rPr>
        <w:t xml:space="preserve"> and</w:t>
      </w:r>
      <w:r w:rsidRPr="00C860BD">
        <w:rPr>
          <w:rFonts w:ascii="Times New Roman" w:hAnsi="Times New Roman" w:cs="Times New Roman"/>
          <w:sz w:val="24"/>
          <w:szCs w:val="24"/>
        </w:rPr>
        <w:t xml:space="preserve"> Worsfold, D. (2018</w:t>
      </w:r>
      <w:proofErr w:type="gramStart"/>
      <w:r w:rsidRPr="00C860BD">
        <w:rPr>
          <w:rFonts w:ascii="Times New Roman" w:hAnsi="Times New Roman" w:cs="Times New Roman"/>
          <w:sz w:val="24"/>
          <w:szCs w:val="24"/>
        </w:rPr>
        <w:t>)</w:t>
      </w:r>
      <w:r w:rsidR="00680DB7">
        <w:rPr>
          <w:rFonts w:ascii="Times New Roman" w:hAnsi="Times New Roman" w:cs="Times New Roman"/>
          <w:sz w:val="24"/>
          <w:szCs w:val="24"/>
        </w:rPr>
        <w:t xml:space="preserve"> </w:t>
      </w:r>
      <w:r w:rsidRPr="00C860BD">
        <w:rPr>
          <w:rFonts w:ascii="Times New Roman" w:hAnsi="Times New Roman" w:cs="Times New Roman"/>
          <w:sz w:val="24"/>
          <w:szCs w:val="24"/>
        </w:rPr>
        <w:t>’</w:t>
      </w:r>
      <w:proofErr w:type="gramEnd"/>
      <w:r w:rsidRPr="00C860BD">
        <w:rPr>
          <w:rFonts w:ascii="Times New Roman" w:hAnsi="Times New Roman" w:cs="Times New Roman"/>
          <w:sz w:val="24"/>
          <w:szCs w:val="24"/>
        </w:rPr>
        <w:t xml:space="preserve"> Impact of Food Handler Training on Food Safety and Hygiene Practices: A Comparative Study’. </w:t>
      </w:r>
      <w:r w:rsidRPr="00C860BD">
        <w:rPr>
          <w:rFonts w:ascii="Times New Roman" w:hAnsi="Times New Roman" w:cs="Times New Roman"/>
          <w:i/>
          <w:iCs/>
          <w:sz w:val="24"/>
          <w:szCs w:val="24"/>
        </w:rPr>
        <w:t>Journal of Foodservice Business Research</w:t>
      </w:r>
      <w:r w:rsidRPr="00C860BD">
        <w:rPr>
          <w:rFonts w:ascii="Times New Roman" w:hAnsi="Times New Roman" w:cs="Times New Roman"/>
          <w:sz w:val="24"/>
          <w:szCs w:val="24"/>
        </w:rPr>
        <w:t xml:space="preserve">, 21(6), </w:t>
      </w:r>
      <w:r w:rsidR="00804A0C" w:rsidRPr="00C860BD">
        <w:rPr>
          <w:rFonts w:ascii="Times New Roman" w:hAnsi="Times New Roman" w:cs="Times New Roman"/>
          <w:sz w:val="24"/>
          <w:szCs w:val="24"/>
        </w:rPr>
        <w:t xml:space="preserve">pp </w:t>
      </w:r>
      <w:r w:rsidRPr="00C860BD">
        <w:rPr>
          <w:rFonts w:ascii="Times New Roman" w:hAnsi="Times New Roman" w:cs="Times New Roman"/>
          <w:sz w:val="24"/>
          <w:szCs w:val="24"/>
        </w:rPr>
        <w:t xml:space="preserve">559-570. </w:t>
      </w:r>
    </w:p>
    <w:p w14:paraId="35F441E4" w14:textId="4462C7AB" w:rsidR="000345BE" w:rsidRPr="00C860BD" w:rsidRDefault="000345BE" w:rsidP="00804A0C">
      <w:pPr>
        <w:pStyle w:val="ListParagraph"/>
        <w:spacing w:line="360" w:lineRule="auto"/>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Available at:  </w:t>
      </w:r>
      <w:hyperlink r:id="rId20" w:history="1">
        <w:r w:rsidRPr="00C860BD">
          <w:rPr>
            <w:rStyle w:val="Hyperlink"/>
            <w:rFonts w:ascii="Times New Roman" w:hAnsi="Times New Roman" w:cs="Times New Roman"/>
            <w:sz w:val="24"/>
            <w:szCs w:val="24"/>
          </w:rPr>
          <w:t>https://www.ajhtl.com/uploads/7/1/6/3/7163688/article_47_vol_7_4__2018.pdf</w:t>
        </w:r>
      </w:hyperlink>
    </w:p>
    <w:p w14:paraId="53D9F230" w14:textId="430491AC" w:rsidR="004044F4" w:rsidRPr="00C860BD" w:rsidRDefault="000345BE" w:rsidP="000345BE">
      <w:pPr>
        <w:pStyle w:val="ListParagraph"/>
        <w:numPr>
          <w:ilvl w:val="0"/>
          <w:numId w:val="4"/>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Lee, L. M., Jorgensen, D. M. </w:t>
      </w:r>
      <w:r w:rsidR="00666BB6">
        <w:rPr>
          <w:rFonts w:ascii="Times New Roman" w:hAnsi="Times New Roman" w:cs="Times New Roman"/>
          <w:sz w:val="24"/>
          <w:szCs w:val="24"/>
        </w:rPr>
        <w:t>and</w:t>
      </w:r>
      <w:r w:rsidRPr="00C860BD">
        <w:rPr>
          <w:rFonts w:ascii="Times New Roman" w:hAnsi="Times New Roman" w:cs="Times New Roman"/>
          <w:sz w:val="24"/>
          <w:szCs w:val="24"/>
        </w:rPr>
        <w:t xml:space="preserve"> Lane, R. J. (2020) ‘The Effectiveness of Restaurant Inspection Interventions on Improving Food Safety: A Systematic Review. Food Control’, 110, 103872.</w:t>
      </w:r>
    </w:p>
    <w:p w14:paraId="1F072CFC" w14:textId="7D5C2D7D" w:rsidR="000345BE" w:rsidRPr="00C860BD" w:rsidRDefault="00000000" w:rsidP="004044F4">
      <w:pPr>
        <w:pStyle w:val="ListParagraph"/>
        <w:spacing w:line="360" w:lineRule="auto"/>
        <w:rPr>
          <w:rStyle w:val="Hyperlink"/>
          <w:rFonts w:ascii="Times New Roman" w:hAnsi="Times New Roman" w:cs="Times New Roman"/>
          <w:color w:val="auto"/>
          <w:sz w:val="24"/>
          <w:szCs w:val="24"/>
          <w:u w:val="none"/>
        </w:rPr>
      </w:pPr>
      <w:hyperlink r:id="rId21" w:history="1">
        <w:r w:rsidR="00EA2870" w:rsidRPr="00C860BD">
          <w:rPr>
            <w:rFonts w:ascii="Times New Roman" w:hAnsi="Times New Roman" w:cs="Times New Roman"/>
            <w:sz w:val="24"/>
            <w:szCs w:val="24"/>
          </w:rPr>
          <w:t>Available at:</w:t>
        </w:r>
        <w:r w:rsidR="00EA2870" w:rsidRPr="00C860BD">
          <w:rPr>
            <w:rStyle w:val="Hyperlink"/>
          </w:rPr>
          <w:t xml:space="preserve"> </w:t>
        </w:r>
        <w:r w:rsidR="00EA2870" w:rsidRPr="00C860BD">
          <w:rPr>
            <w:rStyle w:val="Hyperlink"/>
            <w:rFonts w:ascii="Times New Roman" w:hAnsi="Times New Roman" w:cs="Times New Roman"/>
            <w:sz w:val="24"/>
            <w:szCs w:val="24"/>
          </w:rPr>
          <w:t>https://www.researchgate.net/publication/341407088_Let_Nature_Be_Thy_Medicine_A_Socioecological_Exploration_of_Green_Prescribing_in_the_UKF) Let Nature Be Thy Medicine: A Socioecological Exploration of Green Prescribing in the UK (researchgate.net)</w:t>
        </w:r>
      </w:hyperlink>
    </w:p>
    <w:p w14:paraId="4E91E18F" w14:textId="02631BAC" w:rsidR="000345BE" w:rsidRPr="00C860BD" w:rsidRDefault="000345BE" w:rsidP="00563A5F">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Lund, B.M. </w:t>
      </w:r>
      <w:r w:rsidR="00EA2870" w:rsidRPr="00C860BD">
        <w:rPr>
          <w:rFonts w:ascii="Times New Roman" w:hAnsi="Times New Roman" w:cs="Times New Roman"/>
          <w:sz w:val="24"/>
          <w:szCs w:val="24"/>
        </w:rPr>
        <w:t>and</w:t>
      </w:r>
      <w:r w:rsidRPr="00C860BD">
        <w:rPr>
          <w:rFonts w:ascii="Times New Roman" w:hAnsi="Times New Roman" w:cs="Times New Roman"/>
          <w:sz w:val="24"/>
          <w:szCs w:val="24"/>
        </w:rPr>
        <w:t xml:space="preserve"> O'Brien, S.J. (2011) ‘The occurrence and prevention of foodborne disease in vulnerable people. Foodborne Pathogens and Disease’, 8(9), </w:t>
      </w:r>
      <w:r w:rsidR="00EA2870" w:rsidRPr="00C860BD">
        <w:rPr>
          <w:rFonts w:ascii="Times New Roman" w:hAnsi="Times New Roman" w:cs="Times New Roman"/>
          <w:sz w:val="24"/>
          <w:szCs w:val="24"/>
        </w:rPr>
        <w:t xml:space="preserve">pp </w:t>
      </w:r>
      <w:r w:rsidRPr="00C860BD">
        <w:rPr>
          <w:rFonts w:ascii="Times New Roman" w:hAnsi="Times New Roman" w:cs="Times New Roman"/>
          <w:sz w:val="24"/>
          <w:szCs w:val="24"/>
        </w:rPr>
        <w:t xml:space="preserve">961-973. Available at: </w:t>
      </w:r>
      <w:hyperlink r:id="rId22" w:history="1">
        <w:r w:rsidR="00563A5F" w:rsidRPr="00C860BD">
          <w:rPr>
            <w:rStyle w:val="Hyperlink"/>
            <w:rFonts w:ascii="Times New Roman" w:hAnsi="Times New Roman" w:cs="Times New Roman"/>
            <w:sz w:val="24"/>
            <w:szCs w:val="24"/>
          </w:rPr>
          <w:t>https://research.manchester.ac.uk/en/publications/the-occurrence-and-prevention-of-foodborne-disease-in-vulnerable-</w:t>
        </w:r>
      </w:hyperlink>
    </w:p>
    <w:p w14:paraId="3B3A029A" w14:textId="2F29351B" w:rsidR="00AE1898" w:rsidRPr="00C860BD" w:rsidRDefault="00243295" w:rsidP="00AE1898">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Style w:val="Hyperlink"/>
          <w:rFonts w:ascii="Times New Roman" w:hAnsi="Times New Roman" w:cs="Times New Roman"/>
          <w:color w:val="auto"/>
          <w:sz w:val="24"/>
          <w:szCs w:val="24"/>
          <w:u w:val="none"/>
        </w:rPr>
        <w:t xml:space="preserve">Smith, L. E. </w:t>
      </w:r>
      <w:r w:rsidR="00EA2870" w:rsidRPr="00C860BD">
        <w:rPr>
          <w:rStyle w:val="Hyperlink"/>
          <w:rFonts w:ascii="Times New Roman" w:hAnsi="Times New Roman" w:cs="Times New Roman"/>
          <w:color w:val="auto"/>
          <w:sz w:val="24"/>
          <w:szCs w:val="24"/>
          <w:u w:val="none"/>
        </w:rPr>
        <w:t>and</w:t>
      </w:r>
      <w:r w:rsidRPr="00C860BD">
        <w:rPr>
          <w:rStyle w:val="Hyperlink"/>
          <w:rFonts w:ascii="Times New Roman" w:hAnsi="Times New Roman" w:cs="Times New Roman"/>
          <w:color w:val="auto"/>
          <w:sz w:val="24"/>
          <w:szCs w:val="24"/>
          <w:u w:val="none"/>
        </w:rPr>
        <w:t xml:space="preserve"> Daniels, R. (2020) ‘Food Handlers’ Food Safety Knowledge and Beliefs: A Systematic Review’. International Journal of Environmental Health Research, 30(1), </w:t>
      </w:r>
      <w:r w:rsidR="00EA2870" w:rsidRPr="00C860BD">
        <w:rPr>
          <w:rStyle w:val="Hyperlink"/>
          <w:rFonts w:ascii="Times New Roman" w:hAnsi="Times New Roman" w:cs="Times New Roman"/>
          <w:color w:val="auto"/>
          <w:sz w:val="24"/>
          <w:szCs w:val="24"/>
          <w:u w:val="none"/>
        </w:rPr>
        <w:t xml:space="preserve">pp </w:t>
      </w:r>
      <w:r w:rsidRPr="00C860BD">
        <w:rPr>
          <w:rStyle w:val="Hyperlink"/>
          <w:rFonts w:ascii="Times New Roman" w:hAnsi="Times New Roman" w:cs="Times New Roman"/>
          <w:color w:val="auto"/>
          <w:sz w:val="24"/>
          <w:szCs w:val="24"/>
          <w:u w:val="none"/>
        </w:rPr>
        <w:t xml:space="preserve">75-90. Available at: </w:t>
      </w:r>
      <w:hyperlink r:id="rId23" w:history="1">
        <w:r w:rsidRPr="00C860BD">
          <w:rPr>
            <w:rStyle w:val="Hyperlink"/>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https://www.mdpi.com/2304-8158/9/9/1169</w:t>
        </w:r>
      </w:hyperlink>
    </w:p>
    <w:p w14:paraId="610B2504" w14:textId="0DA47331" w:rsidR="00BD790C" w:rsidRPr="00C860BD" w:rsidRDefault="00A217A3" w:rsidP="00370231">
      <w:pPr>
        <w:pStyle w:val="ListParagraph"/>
        <w:numPr>
          <w:ilvl w:val="0"/>
          <w:numId w:val="4"/>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Todd, E.C., Greig, J.D., Bartleson, C.A. </w:t>
      </w:r>
      <w:r w:rsidR="00BD790C" w:rsidRPr="00C860BD">
        <w:rPr>
          <w:rFonts w:ascii="Times New Roman" w:hAnsi="Times New Roman" w:cs="Times New Roman"/>
          <w:sz w:val="24"/>
          <w:szCs w:val="24"/>
        </w:rPr>
        <w:t>and</w:t>
      </w:r>
      <w:r w:rsidRPr="00C860BD">
        <w:rPr>
          <w:rFonts w:ascii="Times New Roman" w:hAnsi="Times New Roman" w:cs="Times New Roman"/>
          <w:sz w:val="24"/>
          <w:szCs w:val="24"/>
        </w:rPr>
        <w:t xml:space="preserve"> Michaels, B.S. (2010) </w:t>
      </w:r>
      <w:r w:rsidR="006C4B43" w:rsidRPr="00C860BD">
        <w:rPr>
          <w:rFonts w:ascii="Times New Roman" w:hAnsi="Times New Roman" w:cs="Times New Roman"/>
          <w:sz w:val="24"/>
          <w:szCs w:val="24"/>
        </w:rPr>
        <w:t>‘</w:t>
      </w:r>
      <w:r w:rsidRPr="00C860BD">
        <w:rPr>
          <w:rFonts w:ascii="Times New Roman" w:hAnsi="Times New Roman" w:cs="Times New Roman"/>
          <w:sz w:val="24"/>
          <w:szCs w:val="24"/>
        </w:rPr>
        <w:t>Outbreaks where food workers have been implicated in the spread of foodborne disease. Part 4. Infecting the outbreak investigation and future directions</w:t>
      </w:r>
      <w:r w:rsidR="008B4419" w:rsidRPr="00C860BD">
        <w:rPr>
          <w:rFonts w:ascii="Times New Roman" w:hAnsi="Times New Roman" w:cs="Times New Roman"/>
          <w:sz w:val="24"/>
          <w:szCs w:val="24"/>
        </w:rPr>
        <w:t>’</w:t>
      </w:r>
      <w:r w:rsidR="00522FA2" w:rsidRPr="00C860BD">
        <w:rPr>
          <w:rFonts w:ascii="Times New Roman" w:hAnsi="Times New Roman" w:cs="Times New Roman"/>
          <w:sz w:val="24"/>
          <w:szCs w:val="24"/>
        </w:rPr>
        <w:t>,</w:t>
      </w:r>
      <w:r w:rsidRPr="00C860BD">
        <w:rPr>
          <w:rFonts w:ascii="Times New Roman" w:hAnsi="Times New Roman" w:cs="Times New Roman"/>
          <w:sz w:val="24"/>
          <w:szCs w:val="24"/>
        </w:rPr>
        <w:t xml:space="preserve"> </w:t>
      </w:r>
      <w:r w:rsidRPr="00C860BD">
        <w:rPr>
          <w:rFonts w:ascii="Times New Roman" w:hAnsi="Times New Roman" w:cs="Times New Roman"/>
          <w:i/>
          <w:iCs/>
          <w:sz w:val="24"/>
          <w:szCs w:val="24"/>
        </w:rPr>
        <w:t>Journal of Food Protection</w:t>
      </w:r>
      <w:r w:rsidRPr="00C860BD">
        <w:rPr>
          <w:rFonts w:ascii="Times New Roman" w:hAnsi="Times New Roman" w:cs="Times New Roman"/>
          <w:sz w:val="24"/>
          <w:szCs w:val="24"/>
        </w:rPr>
        <w:t xml:space="preserve">, 73(11), </w:t>
      </w:r>
      <w:r w:rsidR="00BD790C" w:rsidRPr="00C860BD">
        <w:rPr>
          <w:rFonts w:ascii="Times New Roman" w:hAnsi="Times New Roman" w:cs="Times New Roman"/>
          <w:sz w:val="24"/>
          <w:szCs w:val="24"/>
        </w:rPr>
        <w:t xml:space="preserve">pp </w:t>
      </w:r>
      <w:r w:rsidRPr="00C860BD">
        <w:rPr>
          <w:rFonts w:ascii="Times New Roman" w:hAnsi="Times New Roman" w:cs="Times New Roman"/>
          <w:sz w:val="24"/>
          <w:szCs w:val="24"/>
        </w:rPr>
        <w:t>2128-2142.</w:t>
      </w:r>
      <w:r w:rsidR="00DB7DDC" w:rsidRPr="00C860BD">
        <w:rPr>
          <w:rFonts w:ascii="Times New Roman" w:hAnsi="Times New Roman" w:cs="Times New Roman"/>
          <w:sz w:val="24"/>
          <w:szCs w:val="24"/>
        </w:rPr>
        <w:t xml:space="preserve"> </w:t>
      </w:r>
    </w:p>
    <w:p w14:paraId="4BC7F3FA" w14:textId="79BCF4E0" w:rsidR="009B1753" w:rsidRPr="00C860BD" w:rsidRDefault="0002538C" w:rsidP="00BD790C">
      <w:pPr>
        <w:pStyle w:val="ListParagraph"/>
        <w:spacing w:line="360" w:lineRule="auto"/>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Available at: </w:t>
      </w:r>
      <w:hyperlink r:id="rId24" w:history="1">
        <w:r w:rsidRPr="00C860BD">
          <w:rPr>
            <w:rStyle w:val="Hyperlink"/>
            <w:rFonts w:ascii="Times New Roman" w:hAnsi="Times New Roman" w:cs="Times New Roman"/>
            <w:sz w:val="24"/>
            <w:szCs w:val="24"/>
          </w:rPr>
          <w:t>https://courses.washington.edu/eh451/articles/Todd_2009_food%20processing.pdf</w:t>
        </w:r>
      </w:hyperlink>
    </w:p>
    <w:p w14:paraId="58C2533B" w14:textId="1B830D5D" w:rsidR="00BD790C" w:rsidRPr="00C860BD" w:rsidRDefault="00A217A3" w:rsidP="004733D6">
      <w:pPr>
        <w:pStyle w:val="ListParagraph"/>
        <w:numPr>
          <w:ilvl w:val="0"/>
          <w:numId w:val="4"/>
        </w:numPr>
        <w:spacing w:line="360" w:lineRule="auto"/>
        <w:jc w:val="both"/>
        <w:rPr>
          <w:rFonts w:ascii="Times New Roman" w:hAnsi="Times New Roman" w:cs="Times New Roman"/>
          <w:sz w:val="24"/>
          <w:szCs w:val="24"/>
        </w:rPr>
      </w:pPr>
      <w:r w:rsidRPr="00C860BD">
        <w:rPr>
          <w:rFonts w:ascii="Times New Roman" w:hAnsi="Times New Roman" w:cs="Times New Roman"/>
          <w:sz w:val="24"/>
          <w:szCs w:val="24"/>
        </w:rPr>
        <w:lastRenderedPageBreak/>
        <w:t xml:space="preserve">Todd, E. C. D., Greig, J. D., Bartleson, C. A. </w:t>
      </w:r>
      <w:r w:rsidR="00BD790C" w:rsidRPr="00C860BD">
        <w:rPr>
          <w:rFonts w:ascii="Times New Roman" w:hAnsi="Times New Roman" w:cs="Times New Roman"/>
          <w:sz w:val="24"/>
          <w:szCs w:val="24"/>
        </w:rPr>
        <w:t>and</w:t>
      </w:r>
      <w:r w:rsidRPr="00C860BD">
        <w:rPr>
          <w:rFonts w:ascii="Times New Roman" w:hAnsi="Times New Roman" w:cs="Times New Roman"/>
          <w:sz w:val="24"/>
          <w:szCs w:val="24"/>
        </w:rPr>
        <w:t xml:space="preserve"> Michaels, B. S. (2021)</w:t>
      </w:r>
      <w:r w:rsidR="00366279" w:rsidRPr="00C860BD">
        <w:rPr>
          <w:rFonts w:ascii="Times New Roman" w:hAnsi="Times New Roman" w:cs="Times New Roman"/>
          <w:sz w:val="24"/>
          <w:szCs w:val="24"/>
        </w:rPr>
        <w:t xml:space="preserve"> ‘</w:t>
      </w:r>
      <w:r w:rsidRPr="00C860BD">
        <w:rPr>
          <w:rFonts w:ascii="Times New Roman" w:hAnsi="Times New Roman" w:cs="Times New Roman"/>
          <w:sz w:val="24"/>
          <w:szCs w:val="24"/>
        </w:rPr>
        <w:t>Outcomes of Food Safety Inspections and their Impact on Foodborne Disease</w:t>
      </w:r>
      <w:r w:rsidR="00582C12" w:rsidRPr="00C860BD">
        <w:rPr>
          <w:rFonts w:ascii="Times New Roman" w:hAnsi="Times New Roman" w:cs="Times New Roman"/>
          <w:sz w:val="24"/>
          <w:szCs w:val="24"/>
        </w:rPr>
        <w:t>’</w:t>
      </w:r>
      <w:r w:rsidRPr="00C860BD">
        <w:rPr>
          <w:rFonts w:ascii="Times New Roman" w:hAnsi="Times New Roman" w:cs="Times New Roman"/>
          <w:sz w:val="24"/>
          <w:szCs w:val="24"/>
        </w:rPr>
        <w:t xml:space="preserve"> </w:t>
      </w:r>
      <w:r w:rsidRPr="00C860BD">
        <w:rPr>
          <w:rFonts w:ascii="Times New Roman" w:hAnsi="Times New Roman" w:cs="Times New Roman"/>
          <w:i/>
          <w:iCs/>
          <w:sz w:val="24"/>
          <w:szCs w:val="24"/>
        </w:rPr>
        <w:t>Journal of Food Protection</w:t>
      </w:r>
      <w:r w:rsidRPr="00C860BD">
        <w:rPr>
          <w:rFonts w:ascii="Times New Roman" w:hAnsi="Times New Roman" w:cs="Times New Roman"/>
          <w:sz w:val="24"/>
          <w:szCs w:val="24"/>
        </w:rPr>
        <w:t>, 84(10), 1684-1697.</w:t>
      </w:r>
      <w:r w:rsidR="003E4C92" w:rsidRPr="00C860BD">
        <w:rPr>
          <w:rFonts w:ascii="Times New Roman" w:hAnsi="Times New Roman" w:cs="Times New Roman"/>
          <w:sz w:val="24"/>
          <w:szCs w:val="24"/>
        </w:rPr>
        <w:t xml:space="preserve"> </w:t>
      </w:r>
    </w:p>
    <w:p w14:paraId="2002ABB1" w14:textId="1B6A516C" w:rsidR="009B1753" w:rsidRPr="00C860BD" w:rsidRDefault="003E4C92" w:rsidP="00C860BD">
      <w:pPr>
        <w:pStyle w:val="ListParagraph"/>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Available at:</w:t>
      </w:r>
      <w:r w:rsidR="009B1753" w:rsidRPr="00C860BD">
        <w:rPr>
          <w:rFonts w:ascii="Times New Roman" w:hAnsi="Times New Roman" w:cs="Times New Roman"/>
          <w:sz w:val="24"/>
          <w:szCs w:val="24"/>
        </w:rPr>
        <w:t xml:space="preserve"> </w:t>
      </w:r>
      <w:hyperlink r:id="rId25" w:history="1">
        <w:r w:rsidR="000138A1" w:rsidRPr="00C860BD">
          <w:rPr>
            <w:rStyle w:val="Hyperlink"/>
            <w:rFonts w:ascii="Times New Roman" w:hAnsi="Times New Roman" w:cs="Times New Roman"/>
            <w:sz w:val="24"/>
            <w:szCs w:val="24"/>
          </w:rPr>
          <w:t>https://www.gov.uk/government/statistics/united-kingdom-food-security-report-2021/united-kingdom-food-security-report-2021-theme-5-food-safety-and-consumer-confidence</w:t>
        </w:r>
      </w:hyperlink>
    </w:p>
    <w:p w14:paraId="371C89A9" w14:textId="5CD9FB4C" w:rsidR="00C56C4D" w:rsidRPr="00C860BD" w:rsidRDefault="00C56C4D" w:rsidP="00892F04">
      <w:pPr>
        <w:pStyle w:val="ListParagraph"/>
        <w:numPr>
          <w:ilvl w:val="0"/>
          <w:numId w:val="4"/>
        </w:numPr>
        <w:shd w:val="clear" w:color="auto" w:fill="FFFFFF" w:themeFill="background1"/>
        <w:spacing w:after="0" w:line="360" w:lineRule="auto"/>
        <w:jc w:val="both"/>
        <w:rPr>
          <w:rFonts w:ascii="Times New Roman" w:hAnsi="Times New Roman" w:cs="Times New Roman"/>
          <w:sz w:val="24"/>
          <w:szCs w:val="24"/>
        </w:rPr>
      </w:pPr>
      <w:r w:rsidRPr="00C860BD">
        <w:rPr>
          <w:rFonts w:ascii="Times New Roman" w:hAnsi="Times New Roman" w:cs="Times New Roman"/>
          <w:sz w:val="24"/>
          <w:szCs w:val="24"/>
        </w:rPr>
        <w:t xml:space="preserve">U.S. Food and Drug Administration (2017) ‘Bad Bug Book: Foodborne Pathogenic Microorganisms and Natural Toxins Handbook’. Available at: </w:t>
      </w:r>
      <w:hyperlink r:id="rId26" w:history="1">
        <w:r w:rsidRPr="00C860BD">
          <w:rPr>
            <w:rStyle w:val="Hyperlink"/>
            <w:rFonts w:ascii="Times New Roman" w:hAnsi="Times New Roman" w:cs="Times New Roman"/>
            <w:sz w:val="24"/>
            <w:szCs w:val="24"/>
          </w:rPr>
          <w:t>https://www.fda.gov/food/foodborne-pathogens/bad-bug-book-second-edition</w:t>
        </w:r>
      </w:hyperlink>
    </w:p>
    <w:p w14:paraId="47721FAF" w14:textId="77777777" w:rsidR="00D54924" w:rsidRPr="00C860BD" w:rsidRDefault="00D54924" w:rsidP="00D54924">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United States Department of Agriculture (2013) ‘Danger Zone (40 °F - 140 °F)’. Available at: </w:t>
      </w:r>
      <w:hyperlink r:id="rId27" w:anchor="food-types-temp-ranges" w:history="1">
        <w:r w:rsidRPr="00C860BD">
          <w:rPr>
            <w:rStyle w:val="Hyperlink"/>
            <w:rFonts w:ascii="Times New Roman" w:hAnsi="Times New Roman" w:cs="Times New Roman"/>
            <w:sz w:val="24"/>
            <w:szCs w:val="24"/>
          </w:rPr>
          <w:t>https://www.healthline.com/nutrition/temperature-danger-zone#food-types-temp-ranges</w:t>
        </w:r>
      </w:hyperlink>
    </w:p>
    <w:p w14:paraId="7D737CD9" w14:textId="637BB2B1" w:rsidR="009B1753" w:rsidRPr="00C860BD" w:rsidRDefault="00892F04" w:rsidP="00892F04">
      <w:pPr>
        <w:pStyle w:val="ListParagraph"/>
        <w:numPr>
          <w:ilvl w:val="0"/>
          <w:numId w:val="4"/>
        </w:numPr>
        <w:shd w:val="clear" w:color="auto" w:fill="FFFFFF" w:themeFill="background1"/>
        <w:spacing w:after="0"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World Health Organization (2015) </w:t>
      </w:r>
      <w:r w:rsidR="00CF111C">
        <w:rPr>
          <w:rFonts w:ascii="Times New Roman" w:hAnsi="Times New Roman" w:cs="Times New Roman"/>
          <w:sz w:val="24"/>
          <w:szCs w:val="24"/>
        </w:rPr>
        <w:t>‘</w:t>
      </w:r>
      <w:r w:rsidRPr="00C860BD">
        <w:rPr>
          <w:rFonts w:ascii="Times New Roman" w:hAnsi="Times New Roman" w:cs="Times New Roman"/>
          <w:sz w:val="24"/>
          <w:szCs w:val="24"/>
        </w:rPr>
        <w:t>Five Keys to Safer Food Manual</w:t>
      </w:r>
      <w:r w:rsidR="00CF111C">
        <w:rPr>
          <w:rFonts w:ascii="Times New Roman" w:hAnsi="Times New Roman" w:cs="Times New Roman"/>
          <w:sz w:val="24"/>
          <w:szCs w:val="24"/>
        </w:rPr>
        <w:t>’</w:t>
      </w:r>
      <w:r w:rsidRPr="00C860BD">
        <w:rPr>
          <w:rFonts w:ascii="Times New Roman" w:hAnsi="Times New Roman" w:cs="Times New Roman"/>
          <w:sz w:val="24"/>
          <w:szCs w:val="24"/>
        </w:rPr>
        <w:t xml:space="preserve">. </w:t>
      </w:r>
      <w:r w:rsidR="00C860BD" w:rsidRPr="00C860BD">
        <w:rPr>
          <w:rFonts w:ascii="Times New Roman" w:hAnsi="Times New Roman" w:cs="Times New Roman"/>
          <w:sz w:val="24"/>
          <w:szCs w:val="24"/>
        </w:rPr>
        <w:t>Available at:</w:t>
      </w:r>
      <w:r w:rsidRPr="00C860BD">
        <w:rPr>
          <w:rFonts w:ascii="Times New Roman" w:hAnsi="Times New Roman" w:cs="Times New Roman"/>
          <w:sz w:val="24"/>
          <w:szCs w:val="24"/>
        </w:rPr>
        <w:t xml:space="preserve"> </w:t>
      </w:r>
      <w:hyperlink r:id="rId28" w:tgtFrame="_new" w:history="1">
        <w:r w:rsidRPr="00C860BD">
          <w:rPr>
            <w:rStyle w:val="Hyperlink"/>
            <w:rFonts w:ascii="Times New Roman" w:hAnsi="Times New Roman" w:cs="Times New Roman"/>
            <w:sz w:val="24"/>
            <w:szCs w:val="24"/>
            <w:u w:val="none"/>
          </w:rPr>
          <w:t>https://www.who.int/foodsafety/publications/consumer/manual_keys.pdf</w:t>
        </w:r>
      </w:hyperlink>
    </w:p>
    <w:p w14:paraId="53E115AE" w14:textId="77777777" w:rsidR="00147346" w:rsidRPr="00C860BD" w:rsidRDefault="00147346" w:rsidP="00147346">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World Health Organization (2020) ‘Food Safety’. Available at: </w:t>
      </w:r>
      <w:hyperlink r:id="rId29" w:history="1">
        <w:r w:rsidRPr="00C860BD">
          <w:rPr>
            <w:rStyle w:val="Hyperlink"/>
            <w:rFonts w:ascii="Times New Roman" w:hAnsi="Times New Roman" w:cs="Times New Roman"/>
            <w:sz w:val="24"/>
            <w:szCs w:val="24"/>
          </w:rPr>
          <w:t>https://www.who.int/news-room/fact-sheets/detail/food-safety</w:t>
        </w:r>
      </w:hyperlink>
    </w:p>
    <w:p w14:paraId="28001BE4" w14:textId="77777777" w:rsidR="00270C1E" w:rsidRPr="00C860BD" w:rsidRDefault="00270C1E" w:rsidP="00270C1E">
      <w:pPr>
        <w:pStyle w:val="ListParagraph"/>
        <w:numPr>
          <w:ilvl w:val="0"/>
          <w:numId w:val="4"/>
        </w:numPr>
        <w:spacing w:line="360" w:lineRule="auto"/>
        <w:jc w:val="both"/>
        <w:rPr>
          <w:rStyle w:val="Hyperlink"/>
          <w:rFonts w:ascii="Times New Roman" w:hAnsi="Times New Roman" w:cs="Times New Roman"/>
          <w:color w:val="auto"/>
          <w:sz w:val="24"/>
          <w:szCs w:val="24"/>
          <w:u w:val="none"/>
        </w:rPr>
      </w:pPr>
      <w:r w:rsidRPr="00C860BD">
        <w:rPr>
          <w:rFonts w:ascii="Times New Roman" w:hAnsi="Times New Roman" w:cs="Times New Roman"/>
          <w:sz w:val="24"/>
          <w:szCs w:val="24"/>
        </w:rPr>
        <w:t xml:space="preserve">World Health Organization (2015) ‘Estimates of the global burden of foodborne </w:t>
      </w:r>
      <w:proofErr w:type="gramStart"/>
      <w:r w:rsidRPr="00C860BD">
        <w:rPr>
          <w:rFonts w:ascii="Times New Roman" w:hAnsi="Times New Roman" w:cs="Times New Roman"/>
          <w:sz w:val="24"/>
          <w:szCs w:val="24"/>
        </w:rPr>
        <w:t>diseases’</w:t>
      </w:r>
      <w:proofErr w:type="gramEnd"/>
      <w:r w:rsidRPr="00C860BD">
        <w:rPr>
          <w:rFonts w:ascii="Times New Roman" w:hAnsi="Times New Roman" w:cs="Times New Roman"/>
          <w:sz w:val="24"/>
          <w:szCs w:val="24"/>
        </w:rPr>
        <w:t xml:space="preserve">. Available at: </w:t>
      </w:r>
      <w:hyperlink r:id="rId30" w:history="1">
        <w:r w:rsidRPr="00C860BD">
          <w:rPr>
            <w:rStyle w:val="Hyperlink"/>
            <w:rFonts w:ascii="Times New Roman" w:hAnsi="Times New Roman" w:cs="Times New Roman"/>
            <w:sz w:val="24"/>
            <w:szCs w:val="24"/>
          </w:rPr>
          <w:t>https://www.who.int/publications/i/item/9789241565165</w:t>
        </w:r>
      </w:hyperlink>
    </w:p>
    <w:p w14:paraId="767F45B1" w14:textId="36A11BAD" w:rsidR="00892F04" w:rsidRPr="00C860BD" w:rsidRDefault="00892F04" w:rsidP="00563A5F">
      <w:pPr>
        <w:shd w:val="clear" w:color="auto" w:fill="FFFFFF" w:themeFill="background1"/>
        <w:spacing w:after="0" w:line="360" w:lineRule="auto"/>
        <w:ind w:left="360"/>
        <w:jc w:val="both"/>
        <w:rPr>
          <w:rFonts w:ascii="Times New Roman" w:hAnsi="Times New Roman" w:cs="Times New Roman"/>
          <w:sz w:val="24"/>
          <w:szCs w:val="24"/>
        </w:rPr>
      </w:pPr>
    </w:p>
    <w:p w14:paraId="11AE9E2F" w14:textId="77777777" w:rsidR="00892F04" w:rsidRPr="00C860BD" w:rsidRDefault="00892F04" w:rsidP="008408CF">
      <w:pPr>
        <w:spacing w:line="360" w:lineRule="auto"/>
        <w:jc w:val="both"/>
        <w:rPr>
          <w:rFonts w:ascii="Times New Roman" w:hAnsi="Times New Roman" w:cs="Times New Roman"/>
          <w:sz w:val="24"/>
          <w:szCs w:val="24"/>
        </w:rPr>
      </w:pPr>
    </w:p>
    <w:sectPr w:rsidR="00892F04" w:rsidRPr="00C860BD" w:rsidSect="008408CF">
      <w:footerReference w:type="default" r:id="rId31"/>
      <w:pgSz w:w="12240" w:h="15840"/>
      <w:pgMar w:top="1440" w:right="1440" w:bottom="1440" w:left="144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74345" w14:textId="77777777" w:rsidR="00EC79B1" w:rsidRDefault="00EC79B1" w:rsidP="00EF06C3">
      <w:pPr>
        <w:spacing w:after="0" w:line="240" w:lineRule="auto"/>
      </w:pPr>
      <w:r>
        <w:separator/>
      </w:r>
    </w:p>
  </w:endnote>
  <w:endnote w:type="continuationSeparator" w:id="0">
    <w:p w14:paraId="12D826A6" w14:textId="77777777" w:rsidR="00EC79B1" w:rsidRDefault="00EC79B1" w:rsidP="00EF0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124428"/>
      <w:docPartObj>
        <w:docPartGallery w:val="Page Numbers (Bottom of Page)"/>
        <w:docPartUnique/>
      </w:docPartObj>
    </w:sdtPr>
    <w:sdtContent>
      <w:p w14:paraId="00191FA8" w14:textId="13239718" w:rsidR="008408CF" w:rsidRDefault="008408CF">
        <w:pPr>
          <w:pStyle w:val="Footer"/>
          <w:jc w:val="right"/>
        </w:pPr>
        <w:r>
          <w:fldChar w:fldCharType="begin"/>
        </w:r>
        <w:r>
          <w:instrText>PAGE   \* MERGEFORMAT</w:instrText>
        </w:r>
        <w:r>
          <w:fldChar w:fldCharType="separate"/>
        </w:r>
        <w:r>
          <w:t>2</w:t>
        </w:r>
        <w:r>
          <w:fldChar w:fldCharType="end"/>
        </w:r>
      </w:p>
    </w:sdtContent>
  </w:sdt>
  <w:p w14:paraId="7E8D875E" w14:textId="77777777" w:rsidR="008408CF" w:rsidRDefault="00840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06BCE" w14:textId="77777777" w:rsidR="00EC79B1" w:rsidRDefault="00EC79B1" w:rsidP="00EF06C3">
      <w:pPr>
        <w:spacing w:after="0" w:line="240" w:lineRule="auto"/>
      </w:pPr>
      <w:r>
        <w:separator/>
      </w:r>
    </w:p>
  </w:footnote>
  <w:footnote w:type="continuationSeparator" w:id="0">
    <w:p w14:paraId="23F9A802" w14:textId="77777777" w:rsidR="00EC79B1" w:rsidRDefault="00EC79B1" w:rsidP="00EF0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86FE0"/>
    <w:multiLevelType w:val="hybridMultilevel"/>
    <w:tmpl w:val="8DD46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59180F"/>
    <w:multiLevelType w:val="hybridMultilevel"/>
    <w:tmpl w:val="02E093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9E03E9"/>
    <w:multiLevelType w:val="multilevel"/>
    <w:tmpl w:val="7FF0C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8B510C"/>
    <w:multiLevelType w:val="hybridMultilevel"/>
    <w:tmpl w:val="DDF236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729529">
    <w:abstractNumId w:val="1"/>
  </w:num>
  <w:num w:numId="2" w16cid:durableId="401947070">
    <w:abstractNumId w:val="3"/>
  </w:num>
  <w:num w:numId="3" w16cid:durableId="1720081614">
    <w:abstractNumId w:val="2"/>
  </w:num>
  <w:num w:numId="4" w16cid:durableId="238833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4F3"/>
    <w:rsid w:val="00001053"/>
    <w:rsid w:val="000138A1"/>
    <w:rsid w:val="0001594B"/>
    <w:rsid w:val="0002538C"/>
    <w:rsid w:val="000345BE"/>
    <w:rsid w:val="00036EAA"/>
    <w:rsid w:val="00051171"/>
    <w:rsid w:val="00055035"/>
    <w:rsid w:val="00085193"/>
    <w:rsid w:val="000A220C"/>
    <w:rsid w:val="000F0E91"/>
    <w:rsid w:val="001340D1"/>
    <w:rsid w:val="00147346"/>
    <w:rsid w:val="00184D69"/>
    <w:rsid w:val="001F020E"/>
    <w:rsid w:val="001F36E7"/>
    <w:rsid w:val="00222C0E"/>
    <w:rsid w:val="0022678C"/>
    <w:rsid w:val="00227090"/>
    <w:rsid w:val="00243295"/>
    <w:rsid w:val="00262275"/>
    <w:rsid w:val="00270C1E"/>
    <w:rsid w:val="00276F0B"/>
    <w:rsid w:val="0028676E"/>
    <w:rsid w:val="002A1D84"/>
    <w:rsid w:val="002D669D"/>
    <w:rsid w:val="002F4815"/>
    <w:rsid w:val="002F5816"/>
    <w:rsid w:val="00325A56"/>
    <w:rsid w:val="00360303"/>
    <w:rsid w:val="0036090F"/>
    <w:rsid w:val="00366279"/>
    <w:rsid w:val="00376271"/>
    <w:rsid w:val="0037773C"/>
    <w:rsid w:val="003858C9"/>
    <w:rsid w:val="00386FD1"/>
    <w:rsid w:val="0039014B"/>
    <w:rsid w:val="003E4C92"/>
    <w:rsid w:val="003F5381"/>
    <w:rsid w:val="004044F4"/>
    <w:rsid w:val="0041742F"/>
    <w:rsid w:val="00424D38"/>
    <w:rsid w:val="00461897"/>
    <w:rsid w:val="00465E7D"/>
    <w:rsid w:val="00491FB5"/>
    <w:rsid w:val="00492F44"/>
    <w:rsid w:val="00493067"/>
    <w:rsid w:val="0049363A"/>
    <w:rsid w:val="00495DBA"/>
    <w:rsid w:val="004F04B6"/>
    <w:rsid w:val="005053EF"/>
    <w:rsid w:val="00514623"/>
    <w:rsid w:val="00522FA2"/>
    <w:rsid w:val="00563A5F"/>
    <w:rsid w:val="00582C12"/>
    <w:rsid w:val="005D284C"/>
    <w:rsid w:val="005E15FF"/>
    <w:rsid w:val="005E4497"/>
    <w:rsid w:val="005F44A5"/>
    <w:rsid w:val="006428F7"/>
    <w:rsid w:val="00643CC8"/>
    <w:rsid w:val="00666BB6"/>
    <w:rsid w:val="00680DB7"/>
    <w:rsid w:val="006931BA"/>
    <w:rsid w:val="006A7102"/>
    <w:rsid w:val="006C4B43"/>
    <w:rsid w:val="006E5678"/>
    <w:rsid w:val="006F7AA2"/>
    <w:rsid w:val="0070154E"/>
    <w:rsid w:val="00702BE8"/>
    <w:rsid w:val="007039E0"/>
    <w:rsid w:val="00704355"/>
    <w:rsid w:val="00707A1E"/>
    <w:rsid w:val="00740FF4"/>
    <w:rsid w:val="00751132"/>
    <w:rsid w:val="007532FF"/>
    <w:rsid w:val="0076532D"/>
    <w:rsid w:val="007668E7"/>
    <w:rsid w:val="00780B34"/>
    <w:rsid w:val="007C5E00"/>
    <w:rsid w:val="007F1A36"/>
    <w:rsid w:val="00804A0C"/>
    <w:rsid w:val="00813D21"/>
    <w:rsid w:val="00821848"/>
    <w:rsid w:val="00837364"/>
    <w:rsid w:val="00837417"/>
    <w:rsid w:val="008408CF"/>
    <w:rsid w:val="00865A60"/>
    <w:rsid w:val="00876EEA"/>
    <w:rsid w:val="00892F04"/>
    <w:rsid w:val="008B4419"/>
    <w:rsid w:val="008B5F68"/>
    <w:rsid w:val="008C5951"/>
    <w:rsid w:val="008C5BF6"/>
    <w:rsid w:val="008F4CAC"/>
    <w:rsid w:val="009036D4"/>
    <w:rsid w:val="0091245F"/>
    <w:rsid w:val="00936852"/>
    <w:rsid w:val="009462B3"/>
    <w:rsid w:val="009A4C6A"/>
    <w:rsid w:val="009B1753"/>
    <w:rsid w:val="00A14A2B"/>
    <w:rsid w:val="00A217A3"/>
    <w:rsid w:val="00A871DE"/>
    <w:rsid w:val="00AA7D75"/>
    <w:rsid w:val="00AD3AC8"/>
    <w:rsid w:val="00AE152B"/>
    <w:rsid w:val="00AE1898"/>
    <w:rsid w:val="00AE21E1"/>
    <w:rsid w:val="00AF4132"/>
    <w:rsid w:val="00B0087A"/>
    <w:rsid w:val="00B60A31"/>
    <w:rsid w:val="00BA0BDA"/>
    <w:rsid w:val="00BA10F7"/>
    <w:rsid w:val="00BC6F52"/>
    <w:rsid w:val="00BD280D"/>
    <w:rsid w:val="00BD790C"/>
    <w:rsid w:val="00C206C7"/>
    <w:rsid w:val="00C56C4D"/>
    <w:rsid w:val="00C860BD"/>
    <w:rsid w:val="00CA068E"/>
    <w:rsid w:val="00CB22ED"/>
    <w:rsid w:val="00CE1DFF"/>
    <w:rsid w:val="00CF111C"/>
    <w:rsid w:val="00D30262"/>
    <w:rsid w:val="00D54924"/>
    <w:rsid w:val="00D81C81"/>
    <w:rsid w:val="00D83F7C"/>
    <w:rsid w:val="00D8681B"/>
    <w:rsid w:val="00D94305"/>
    <w:rsid w:val="00DB0626"/>
    <w:rsid w:val="00DB3159"/>
    <w:rsid w:val="00DB36A0"/>
    <w:rsid w:val="00DB7B25"/>
    <w:rsid w:val="00DB7DDC"/>
    <w:rsid w:val="00DC22F6"/>
    <w:rsid w:val="00DD1431"/>
    <w:rsid w:val="00DD33FA"/>
    <w:rsid w:val="00DD68D8"/>
    <w:rsid w:val="00E0060B"/>
    <w:rsid w:val="00E2456B"/>
    <w:rsid w:val="00E4226A"/>
    <w:rsid w:val="00E52745"/>
    <w:rsid w:val="00E61922"/>
    <w:rsid w:val="00E7369B"/>
    <w:rsid w:val="00E96E2A"/>
    <w:rsid w:val="00EA2870"/>
    <w:rsid w:val="00EA2B53"/>
    <w:rsid w:val="00EB6BF4"/>
    <w:rsid w:val="00EC04F3"/>
    <w:rsid w:val="00EC79B1"/>
    <w:rsid w:val="00ED0B41"/>
    <w:rsid w:val="00EF06C3"/>
    <w:rsid w:val="00EF6DD6"/>
    <w:rsid w:val="00F246D7"/>
    <w:rsid w:val="00F306A2"/>
    <w:rsid w:val="00F637FB"/>
    <w:rsid w:val="00F73ED4"/>
    <w:rsid w:val="00FC1872"/>
    <w:rsid w:val="00FD6AF4"/>
    <w:rsid w:val="00FE194B"/>
    <w:rsid w:val="00FE66A4"/>
    <w:rsid w:val="00FF0916"/>
    <w:rsid w:val="00FF4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C0D97"/>
  <w15:chartTrackingRefBased/>
  <w15:docId w15:val="{44E6B9D7-F7E3-406D-B984-358AAA76D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262"/>
    <w:rPr>
      <w:color w:val="0563C1" w:themeColor="hyperlink"/>
      <w:u w:val="single"/>
    </w:rPr>
  </w:style>
  <w:style w:type="character" w:styleId="UnresolvedMention">
    <w:name w:val="Unresolved Mention"/>
    <w:basedOn w:val="DefaultParagraphFont"/>
    <w:uiPriority w:val="99"/>
    <w:semiHidden/>
    <w:unhideWhenUsed/>
    <w:rsid w:val="00D30262"/>
    <w:rPr>
      <w:color w:val="605E5C"/>
      <w:shd w:val="clear" w:color="auto" w:fill="E1DFDD"/>
    </w:rPr>
  </w:style>
  <w:style w:type="character" w:styleId="FollowedHyperlink">
    <w:name w:val="FollowedHyperlink"/>
    <w:basedOn w:val="DefaultParagraphFont"/>
    <w:uiPriority w:val="99"/>
    <w:semiHidden/>
    <w:unhideWhenUsed/>
    <w:rsid w:val="00D30262"/>
    <w:rPr>
      <w:color w:val="954F72" w:themeColor="followedHyperlink"/>
      <w:u w:val="single"/>
    </w:rPr>
  </w:style>
  <w:style w:type="paragraph" w:styleId="ListParagraph">
    <w:name w:val="List Paragraph"/>
    <w:basedOn w:val="Normal"/>
    <w:uiPriority w:val="34"/>
    <w:qFormat/>
    <w:rsid w:val="00491FB5"/>
    <w:pPr>
      <w:ind w:left="720"/>
      <w:contextualSpacing/>
    </w:pPr>
  </w:style>
  <w:style w:type="paragraph" w:styleId="Header">
    <w:name w:val="header"/>
    <w:basedOn w:val="Normal"/>
    <w:link w:val="HeaderChar"/>
    <w:uiPriority w:val="99"/>
    <w:unhideWhenUsed/>
    <w:rsid w:val="00EF0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6C3"/>
  </w:style>
  <w:style w:type="paragraph" w:styleId="Footer">
    <w:name w:val="footer"/>
    <w:basedOn w:val="Normal"/>
    <w:link w:val="FooterChar"/>
    <w:uiPriority w:val="99"/>
    <w:unhideWhenUsed/>
    <w:rsid w:val="00EF0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6C3"/>
  </w:style>
  <w:style w:type="paragraph" w:styleId="NormalWeb">
    <w:name w:val="Normal (Web)"/>
    <w:basedOn w:val="Normal"/>
    <w:uiPriority w:val="99"/>
    <w:semiHidden/>
    <w:unhideWhenUsed/>
    <w:rsid w:val="00892F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89045">
      <w:bodyDiv w:val="1"/>
      <w:marLeft w:val="0"/>
      <w:marRight w:val="0"/>
      <w:marTop w:val="0"/>
      <w:marBottom w:val="0"/>
      <w:divBdr>
        <w:top w:val="none" w:sz="0" w:space="0" w:color="auto"/>
        <w:left w:val="none" w:sz="0" w:space="0" w:color="auto"/>
        <w:bottom w:val="none" w:sz="0" w:space="0" w:color="auto"/>
        <w:right w:val="none" w:sz="0" w:space="0" w:color="auto"/>
      </w:divBdr>
    </w:div>
    <w:div w:id="281884596">
      <w:bodyDiv w:val="1"/>
      <w:marLeft w:val="0"/>
      <w:marRight w:val="0"/>
      <w:marTop w:val="0"/>
      <w:marBottom w:val="0"/>
      <w:divBdr>
        <w:top w:val="none" w:sz="0" w:space="0" w:color="auto"/>
        <w:left w:val="none" w:sz="0" w:space="0" w:color="auto"/>
        <w:bottom w:val="none" w:sz="0" w:space="0" w:color="auto"/>
        <w:right w:val="none" w:sz="0" w:space="0" w:color="auto"/>
      </w:divBdr>
    </w:div>
    <w:div w:id="304436501">
      <w:bodyDiv w:val="1"/>
      <w:marLeft w:val="0"/>
      <w:marRight w:val="0"/>
      <w:marTop w:val="0"/>
      <w:marBottom w:val="0"/>
      <w:divBdr>
        <w:top w:val="none" w:sz="0" w:space="0" w:color="auto"/>
        <w:left w:val="none" w:sz="0" w:space="0" w:color="auto"/>
        <w:bottom w:val="none" w:sz="0" w:space="0" w:color="auto"/>
        <w:right w:val="none" w:sz="0" w:space="0" w:color="auto"/>
      </w:divBdr>
    </w:div>
    <w:div w:id="354620976">
      <w:bodyDiv w:val="1"/>
      <w:marLeft w:val="0"/>
      <w:marRight w:val="0"/>
      <w:marTop w:val="0"/>
      <w:marBottom w:val="0"/>
      <w:divBdr>
        <w:top w:val="none" w:sz="0" w:space="0" w:color="auto"/>
        <w:left w:val="none" w:sz="0" w:space="0" w:color="auto"/>
        <w:bottom w:val="none" w:sz="0" w:space="0" w:color="auto"/>
        <w:right w:val="none" w:sz="0" w:space="0" w:color="auto"/>
      </w:divBdr>
    </w:div>
    <w:div w:id="455804837">
      <w:bodyDiv w:val="1"/>
      <w:marLeft w:val="0"/>
      <w:marRight w:val="0"/>
      <w:marTop w:val="0"/>
      <w:marBottom w:val="0"/>
      <w:divBdr>
        <w:top w:val="none" w:sz="0" w:space="0" w:color="auto"/>
        <w:left w:val="none" w:sz="0" w:space="0" w:color="auto"/>
        <w:bottom w:val="none" w:sz="0" w:space="0" w:color="auto"/>
        <w:right w:val="none" w:sz="0" w:space="0" w:color="auto"/>
      </w:divBdr>
    </w:div>
    <w:div w:id="613093050">
      <w:bodyDiv w:val="1"/>
      <w:marLeft w:val="0"/>
      <w:marRight w:val="0"/>
      <w:marTop w:val="0"/>
      <w:marBottom w:val="0"/>
      <w:divBdr>
        <w:top w:val="none" w:sz="0" w:space="0" w:color="auto"/>
        <w:left w:val="none" w:sz="0" w:space="0" w:color="auto"/>
        <w:bottom w:val="none" w:sz="0" w:space="0" w:color="auto"/>
        <w:right w:val="none" w:sz="0" w:space="0" w:color="auto"/>
      </w:divBdr>
    </w:div>
    <w:div w:id="653216963">
      <w:bodyDiv w:val="1"/>
      <w:marLeft w:val="0"/>
      <w:marRight w:val="0"/>
      <w:marTop w:val="0"/>
      <w:marBottom w:val="0"/>
      <w:divBdr>
        <w:top w:val="none" w:sz="0" w:space="0" w:color="auto"/>
        <w:left w:val="none" w:sz="0" w:space="0" w:color="auto"/>
        <w:bottom w:val="none" w:sz="0" w:space="0" w:color="auto"/>
        <w:right w:val="none" w:sz="0" w:space="0" w:color="auto"/>
      </w:divBdr>
    </w:div>
    <w:div w:id="682128723">
      <w:bodyDiv w:val="1"/>
      <w:marLeft w:val="0"/>
      <w:marRight w:val="0"/>
      <w:marTop w:val="0"/>
      <w:marBottom w:val="0"/>
      <w:divBdr>
        <w:top w:val="none" w:sz="0" w:space="0" w:color="auto"/>
        <w:left w:val="none" w:sz="0" w:space="0" w:color="auto"/>
        <w:bottom w:val="none" w:sz="0" w:space="0" w:color="auto"/>
        <w:right w:val="none" w:sz="0" w:space="0" w:color="auto"/>
      </w:divBdr>
    </w:div>
    <w:div w:id="771516957">
      <w:bodyDiv w:val="1"/>
      <w:marLeft w:val="0"/>
      <w:marRight w:val="0"/>
      <w:marTop w:val="0"/>
      <w:marBottom w:val="0"/>
      <w:divBdr>
        <w:top w:val="none" w:sz="0" w:space="0" w:color="auto"/>
        <w:left w:val="none" w:sz="0" w:space="0" w:color="auto"/>
        <w:bottom w:val="none" w:sz="0" w:space="0" w:color="auto"/>
        <w:right w:val="none" w:sz="0" w:space="0" w:color="auto"/>
      </w:divBdr>
    </w:div>
    <w:div w:id="868300566">
      <w:bodyDiv w:val="1"/>
      <w:marLeft w:val="0"/>
      <w:marRight w:val="0"/>
      <w:marTop w:val="0"/>
      <w:marBottom w:val="0"/>
      <w:divBdr>
        <w:top w:val="none" w:sz="0" w:space="0" w:color="auto"/>
        <w:left w:val="none" w:sz="0" w:space="0" w:color="auto"/>
        <w:bottom w:val="none" w:sz="0" w:space="0" w:color="auto"/>
        <w:right w:val="none" w:sz="0" w:space="0" w:color="auto"/>
      </w:divBdr>
    </w:div>
    <w:div w:id="881868654">
      <w:bodyDiv w:val="1"/>
      <w:marLeft w:val="0"/>
      <w:marRight w:val="0"/>
      <w:marTop w:val="0"/>
      <w:marBottom w:val="0"/>
      <w:divBdr>
        <w:top w:val="none" w:sz="0" w:space="0" w:color="auto"/>
        <w:left w:val="none" w:sz="0" w:space="0" w:color="auto"/>
        <w:bottom w:val="none" w:sz="0" w:space="0" w:color="auto"/>
        <w:right w:val="none" w:sz="0" w:space="0" w:color="auto"/>
      </w:divBdr>
    </w:div>
    <w:div w:id="887910068">
      <w:bodyDiv w:val="1"/>
      <w:marLeft w:val="0"/>
      <w:marRight w:val="0"/>
      <w:marTop w:val="0"/>
      <w:marBottom w:val="0"/>
      <w:divBdr>
        <w:top w:val="none" w:sz="0" w:space="0" w:color="auto"/>
        <w:left w:val="none" w:sz="0" w:space="0" w:color="auto"/>
        <w:bottom w:val="none" w:sz="0" w:space="0" w:color="auto"/>
        <w:right w:val="none" w:sz="0" w:space="0" w:color="auto"/>
      </w:divBdr>
    </w:div>
    <w:div w:id="1097288926">
      <w:bodyDiv w:val="1"/>
      <w:marLeft w:val="0"/>
      <w:marRight w:val="0"/>
      <w:marTop w:val="0"/>
      <w:marBottom w:val="0"/>
      <w:divBdr>
        <w:top w:val="none" w:sz="0" w:space="0" w:color="auto"/>
        <w:left w:val="none" w:sz="0" w:space="0" w:color="auto"/>
        <w:bottom w:val="none" w:sz="0" w:space="0" w:color="auto"/>
        <w:right w:val="none" w:sz="0" w:space="0" w:color="auto"/>
      </w:divBdr>
    </w:div>
    <w:div w:id="1197427307">
      <w:bodyDiv w:val="1"/>
      <w:marLeft w:val="0"/>
      <w:marRight w:val="0"/>
      <w:marTop w:val="0"/>
      <w:marBottom w:val="0"/>
      <w:divBdr>
        <w:top w:val="none" w:sz="0" w:space="0" w:color="auto"/>
        <w:left w:val="none" w:sz="0" w:space="0" w:color="auto"/>
        <w:bottom w:val="none" w:sz="0" w:space="0" w:color="auto"/>
        <w:right w:val="none" w:sz="0" w:space="0" w:color="auto"/>
      </w:divBdr>
    </w:div>
    <w:div w:id="1419785127">
      <w:bodyDiv w:val="1"/>
      <w:marLeft w:val="0"/>
      <w:marRight w:val="0"/>
      <w:marTop w:val="0"/>
      <w:marBottom w:val="0"/>
      <w:divBdr>
        <w:top w:val="none" w:sz="0" w:space="0" w:color="auto"/>
        <w:left w:val="none" w:sz="0" w:space="0" w:color="auto"/>
        <w:bottom w:val="none" w:sz="0" w:space="0" w:color="auto"/>
        <w:right w:val="none" w:sz="0" w:space="0" w:color="auto"/>
      </w:divBdr>
      <w:divsChild>
        <w:div w:id="41758222">
          <w:marLeft w:val="0"/>
          <w:marRight w:val="0"/>
          <w:marTop w:val="0"/>
          <w:marBottom w:val="0"/>
          <w:divBdr>
            <w:top w:val="single" w:sz="2" w:space="0" w:color="auto"/>
            <w:left w:val="single" w:sz="2" w:space="0" w:color="auto"/>
            <w:bottom w:val="single" w:sz="6" w:space="0" w:color="auto"/>
            <w:right w:val="single" w:sz="2" w:space="0" w:color="auto"/>
          </w:divBdr>
          <w:divsChild>
            <w:div w:id="200943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640432">
                  <w:marLeft w:val="0"/>
                  <w:marRight w:val="0"/>
                  <w:marTop w:val="0"/>
                  <w:marBottom w:val="0"/>
                  <w:divBdr>
                    <w:top w:val="single" w:sz="2" w:space="0" w:color="D9D9E3"/>
                    <w:left w:val="single" w:sz="2" w:space="0" w:color="D9D9E3"/>
                    <w:bottom w:val="single" w:sz="2" w:space="0" w:color="D9D9E3"/>
                    <w:right w:val="single" w:sz="2" w:space="0" w:color="D9D9E3"/>
                  </w:divBdr>
                  <w:divsChild>
                    <w:div w:id="1937403183">
                      <w:marLeft w:val="0"/>
                      <w:marRight w:val="0"/>
                      <w:marTop w:val="0"/>
                      <w:marBottom w:val="0"/>
                      <w:divBdr>
                        <w:top w:val="single" w:sz="2" w:space="0" w:color="D9D9E3"/>
                        <w:left w:val="single" w:sz="2" w:space="0" w:color="D9D9E3"/>
                        <w:bottom w:val="single" w:sz="2" w:space="0" w:color="D9D9E3"/>
                        <w:right w:val="single" w:sz="2" w:space="0" w:color="D9D9E3"/>
                      </w:divBdr>
                      <w:divsChild>
                        <w:div w:id="646013561">
                          <w:marLeft w:val="0"/>
                          <w:marRight w:val="0"/>
                          <w:marTop w:val="0"/>
                          <w:marBottom w:val="0"/>
                          <w:divBdr>
                            <w:top w:val="single" w:sz="2" w:space="0" w:color="D9D9E3"/>
                            <w:left w:val="single" w:sz="2" w:space="0" w:color="D9D9E3"/>
                            <w:bottom w:val="single" w:sz="2" w:space="0" w:color="D9D9E3"/>
                            <w:right w:val="single" w:sz="2" w:space="0" w:color="D9D9E3"/>
                          </w:divBdr>
                          <w:divsChild>
                            <w:div w:id="923151651">
                              <w:marLeft w:val="0"/>
                              <w:marRight w:val="0"/>
                              <w:marTop w:val="0"/>
                              <w:marBottom w:val="0"/>
                              <w:divBdr>
                                <w:top w:val="single" w:sz="2" w:space="0" w:color="D9D9E3"/>
                                <w:left w:val="single" w:sz="2" w:space="0" w:color="D9D9E3"/>
                                <w:bottom w:val="single" w:sz="2" w:space="0" w:color="D9D9E3"/>
                                <w:right w:val="single" w:sz="2" w:space="0" w:color="D9D9E3"/>
                              </w:divBdr>
                              <w:divsChild>
                                <w:div w:id="1086150787">
                                  <w:marLeft w:val="0"/>
                                  <w:marRight w:val="0"/>
                                  <w:marTop w:val="0"/>
                                  <w:marBottom w:val="0"/>
                                  <w:divBdr>
                                    <w:top w:val="single" w:sz="2" w:space="0" w:color="D9D9E3"/>
                                    <w:left w:val="single" w:sz="2" w:space="0" w:color="D9D9E3"/>
                                    <w:bottom w:val="single" w:sz="2" w:space="0" w:color="D9D9E3"/>
                                    <w:right w:val="single" w:sz="2" w:space="0" w:color="D9D9E3"/>
                                  </w:divBdr>
                                  <w:divsChild>
                                    <w:div w:id="567811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29186797">
      <w:bodyDiv w:val="1"/>
      <w:marLeft w:val="0"/>
      <w:marRight w:val="0"/>
      <w:marTop w:val="0"/>
      <w:marBottom w:val="0"/>
      <w:divBdr>
        <w:top w:val="none" w:sz="0" w:space="0" w:color="auto"/>
        <w:left w:val="none" w:sz="0" w:space="0" w:color="auto"/>
        <w:bottom w:val="none" w:sz="0" w:space="0" w:color="auto"/>
        <w:right w:val="none" w:sz="0" w:space="0" w:color="auto"/>
      </w:divBdr>
    </w:div>
    <w:div w:id="1734964660">
      <w:bodyDiv w:val="1"/>
      <w:marLeft w:val="0"/>
      <w:marRight w:val="0"/>
      <w:marTop w:val="0"/>
      <w:marBottom w:val="0"/>
      <w:divBdr>
        <w:top w:val="none" w:sz="0" w:space="0" w:color="auto"/>
        <w:left w:val="none" w:sz="0" w:space="0" w:color="auto"/>
        <w:bottom w:val="none" w:sz="0" w:space="0" w:color="auto"/>
        <w:right w:val="none" w:sz="0" w:space="0" w:color="auto"/>
      </w:divBdr>
    </w:div>
    <w:div w:id="1845048722">
      <w:bodyDiv w:val="1"/>
      <w:marLeft w:val="0"/>
      <w:marRight w:val="0"/>
      <w:marTop w:val="0"/>
      <w:marBottom w:val="0"/>
      <w:divBdr>
        <w:top w:val="none" w:sz="0" w:space="0" w:color="auto"/>
        <w:left w:val="none" w:sz="0" w:space="0" w:color="auto"/>
        <w:bottom w:val="none" w:sz="0" w:space="0" w:color="auto"/>
        <w:right w:val="none" w:sz="0" w:space="0" w:color="auto"/>
      </w:divBdr>
    </w:div>
    <w:div w:id="1879973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11970813/" TargetMode="External"/><Relationship Id="rId18" Type="http://schemas.openxmlformats.org/officeDocument/2006/relationships/hyperlink" Target="https://www.fao.org/3/ca6030en/ca6030en.pdf" TargetMode="External"/><Relationship Id="rId26" Type="http://schemas.openxmlformats.org/officeDocument/2006/relationships/hyperlink" Target="https://www.fda.gov/food/foodborne-pathogens/bad-bug-book-second-edition" TargetMode="External"/><Relationship Id="rId3" Type="http://schemas.openxmlformats.org/officeDocument/2006/relationships/settings" Target="settings.xml"/><Relationship Id="rId21" Type="http://schemas.openxmlformats.org/officeDocument/2006/relationships/hyperlink" Target="Available%20at:%20https://www.researchgate.net/publication/341407088_Let_Nature_Be_Thy_Medicine_A_Socioecological_Exploration_of_Green_Prescribing_in_the_UKF)%20Let%20Nature%20Be%20Thy%20Medicine:%20A%20Socioecological%20Exploration%20of%20Green%20Prescribing%20in%20the%20UK%20(researchgate.net)" TargetMode="External"/><Relationship Id="rId7" Type="http://schemas.openxmlformats.org/officeDocument/2006/relationships/hyperlink" Target="%20https://www.researchgate.net/publication/341407088_Let_Nature_Be_Thy_Medicine_A_Socioecological_Exploration_of_Green_Prescribing_in_the_UKF)%20Let%20Nature%20Be%20Thy%20Medicine:%20A%20Socioecological%20Exploration%20of%20Green%20Prescribing%20in%20the%20UK%20(researchgate.net)" TargetMode="External"/><Relationship Id="rId12" Type="http://schemas.openxmlformats.org/officeDocument/2006/relationships/hyperlink" Target="https://www.cdc.gov/foodborneburden/estimates-overview.html" TargetMode="External"/><Relationship Id="rId17" Type="http://schemas.openxmlformats.org/officeDocument/2006/relationships/hyperlink" Target="http://www.fao.org/3/y5720e/y5720e00.htm" TargetMode="External"/><Relationship Id="rId25" Type="http://schemas.openxmlformats.org/officeDocument/2006/relationships/hyperlink" Target="https://www.gov.uk/government/statistics/united-kingdom-food-security-report-2021/united-kingdom-food-security-report-2021-theme-5-food-safety-and-consumer-confidenc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ubmed.ncbi.nlm.nih.gov/19344264/" TargetMode="External"/><Relationship Id="rId20" Type="http://schemas.openxmlformats.org/officeDocument/2006/relationships/hyperlink" Target="https://www.ajhtl.com/uploads/7/1/6/3/7163688/article_47_vol_7_4__2018.pdf" TargetMode="External"/><Relationship Id="rId29" Type="http://schemas.openxmlformats.org/officeDocument/2006/relationships/hyperlink" Target="https://www.who.int/news-room/fact-sheets/detail/food-safe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foodsafety/index.html" TargetMode="External"/><Relationship Id="rId24" Type="http://schemas.openxmlformats.org/officeDocument/2006/relationships/hyperlink" Target="https://courses.washington.edu/eh451/articles/Todd_2009_food%20processing.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abs/pii/S0956713597000054" TargetMode="External"/><Relationship Id="rId23" Type="http://schemas.openxmlformats.org/officeDocument/2006/relationships/hyperlink" Target="https://www.mdpi.com/2304-8158/9/9/1169" TargetMode="External"/><Relationship Id="rId28" Type="http://schemas.openxmlformats.org/officeDocument/2006/relationships/hyperlink" Target="https://www.who.int/foodsafety/publications/consumer/manual_keys.pdf" TargetMode="External"/><Relationship Id="rId10" Type="http://schemas.openxmlformats.org/officeDocument/2006/relationships/hyperlink" Target="%20Available%20at:%20https://wwwnc.cdc.gov/eid/article/17/4/10-1353" TargetMode="External"/><Relationship Id="rId19" Type="http://schemas.openxmlformats.org/officeDocument/2006/relationships/hyperlink" Target="https://www.fao.org/fao-who-codexalimentarius/en/"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jhtl.com/uploads/7/1/6/3/7163688/article_47_vol_7_4__2018.pdf" TargetMode="External"/><Relationship Id="rId14" Type="http://schemas.openxmlformats.org/officeDocument/2006/relationships/hyperlink" Target="https://www.healthline.com/nutrition/temperature-danger-zone" TargetMode="External"/><Relationship Id="rId22" Type="http://schemas.openxmlformats.org/officeDocument/2006/relationships/hyperlink" Target="https://research.manchester.ac.uk/en/publications/the-occurrence-and-prevention-of-foodborne-disease-in-vulnerable-" TargetMode="External"/><Relationship Id="rId27" Type="http://schemas.openxmlformats.org/officeDocument/2006/relationships/hyperlink" Target="https://www.healthline.com/nutrition/temperature-danger-zone" TargetMode="External"/><Relationship Id="rId30" Type="http://schemas.openxmlformats.org/officeDocument/2006/relationships/hyperlink" Target="https://www.who.int/publications/i/item/9789241565165" TargetMode="External"/><Relationship Id="rId8" Type="http://schemas.openxmlformats.org/officeDocument/2006/relationships/hyperlink" Target="https://pubmed.ncbi.nlm.nih.gov/193442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10</Pages>
  <Words>3352</Words>
  <Characters>19111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Marinel Biban</cp:lastModifiedBy>
  <cp:revision>63</cp:revision>
  <dcterms:created xsi:type="dcterms:W3CDTF">2023-11-17T00:29:00Z</dcterms:created>
  <dcterms:modified xsi:type="dcterms:W3CDTF">2023-11-17T23:13:00Z</dcterms:modified>
</cp:coreProperties>
</file>