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7A55" w14:textId="318FE8B8" w:rsidR="007455B4" w:rsidRDefault="007455B4">
      <w:r>
        <w:t>Criminal Law</w:t>
      </w:r>
    </w:p>
    <w:p w14:paraId="37EA1D58" w14:textId="77777777" w:rsidR="007455B4" w:rsidRDefault="007455B4">
      <w:r>
        <w:t>BMLW4005</w:t>
      </w:r>
    </w:p>
    <w:p w14:paraId="6B08A305" w14:textId="77777777" w:rsidR="007455B4" w:rsidRDefault="007455B4">
      <w:r>
        <w:t xml:space="preserve">Anton Imbrea </w:t>
      </w:r>
    </w:p>
    <w:p w14:paraId="1A12E877" w14:textId="3856B0BD" w:rsidR="00E72CED" w:rsidRPr="007455B4" w:rsidRDefault="007455B4">
      <w:r>
        <w:t>Student number 2125640</w:t>
      </w:r>
      <w:r w:rsidR="00E72CED">
        <w:br w:type="page"/>
      </w:r>
    </w:p>
    <w:sdt>
      <w:sdtPr>
        <w:rPr>
          <w:rFonts w:asciiTheme="minorHAnsi" w:eastAsiaTheme="minorHAnsi" w:hAnsiTheme="minorHAnsi" w:cstheme="minorBidi"/>
          <w:b w:val="0"/>
          <w:bCs w:val="0"/>
          <w:color w:val="auto"/>
          <w:sz w:val="22"/>
          <w:szCs w:val="22"/>
        </w:rPr>
        <w:id w:val="1620075600"/>
        <w:docPartObj>
          <w:docPartGallery w:val="Table of Contents"/>
          <w:docPartUnique/>
        </w:docPartObj>
      </w:sdtPr>
      <w:sdtContent>
        <w:p w14:paraId="626CE83B" w14:textId="77777777" w:rsidR="00E72CED" w:rsidRPr="00E72CED" w:rsidRDefault="00E72CED">
          <w:pPr>
            <w:pStyle w:val="TOCHeading"/>
            <w:rPr>
              <w:rFonts w:ascii="Times New Roman" w:hAnsi="Times New Roman" w:cs="Times New Roman"/>
              <w:sz w:val="24"/>
              <w:szCs w:val="24"/>
            </w:rPr>
          </w:pPr>
          <w:r w:rsidRPr="00E72CED">
            <w:rPr>
              <w:rFonts w:ascii="Times New Roman" w:hAnsi="Times New Roman" w:cs="Times New Roman"/>
              <w:sz w:val="24"/>
              <w:szCs w:val="24"/>
            </w:rPr>
            <w:t>Table of Contents</w:t>
          </w:r>
        </w:p>
        <w:p w14:paraId="071618D2" w14:textId="77777777" w:rsidR="00E72CED" w:rsidRPr="00E72CED" w:rsidRDefault="00E72CED">
          <w:pPr>
            <w:pStyle w:val="TOC1"/>
            <w:tabs>
              <w:tab w:val="right" w:leader="dot" w:pos="9350"/>
            </w:tabs>
            <w:rPr>
              <w:rFonts w:ascii="Times New Roman" w:hAnsi="Times New Roman" w:cs="Times New Roman"/>
              <w:noProof/>
              <w:sz w:val="24"/>
              <w:szCs w:val="24"/>
            </w:rPr>
          </w:pPr>
          <w:r w:rsidRPr="00E72CED">
            <w:rPr>
              <w:rFonts w:ascii="Times New Roman" w:hAnsi="Times New Roman" w:cs="Times New Roman"/>
              <w:sz w:val="24"/>
              <w:szCs w:val="24"/>
            </w:rPr>
            <w:fldChar w:fldCharType="begin"/>
          </w:r>
          <w:r w:rsidRPr="00E72CED">
            <w:rPr>
              <w:rFonts w:ascii="Times New Roman" w:hAnsi="Times New Roman" w:cs="Times New Roman"/>
              <w:sz w:val="24"/>
              <w:szCs w:val="24"/>
            </w:rPr>
            <w:instrText xml:space="preserve"> TOC \o "1-3" \h \z \u </w:instrText>
          </w:r>
          <w:r w:rsidRPr="00E72CED">
            <w:rPr>
              <w:rFonts w:ascii="Times New Roman" w:hAnsi="Times New Roman" w:cs="Times New Roman"/>
              <w:sz w:val="24"/>
              <w:szCs w:val="24"/>
            </w:rPr>
            <w:fldChar w:fldCharType="separate"/>
          </w:r>
          <w:hyperlink w:anchor="_Toc123887932" w:history="1">
            <w:r w:rsidRPr="00E72CED">
              <w:rPr>
                <w:rStyle w:val="Hyperlink"/>
                <w:rFonts w:ascii="Times New Roman" w:hAnsi="Times New Roman" w:cs="Times New Roman"/>
                <w:noProof/>
                <w:sz w:val="24"/>
                <w:szCs w:val="24"/>
              </w:rPr>
              <w:t>Part A</w:t>
            </w:r>
            <w:r w:rsidRPr="00E72CED">
              <w:rPr>
                <w:rFonts w:ascii="Times New Roman" w:hAnsi="Times New Roman" w:cs="Times New Roman"/>
                <w:noProof/>
                <w:webHidden/>
                <w:sz w:val="24"/>
                <w:szCs w:val="24"/>
              </w:rPr>
              <w:tab/>
            </w:r>
            <w:r w:rsidRPr="00E72CED">
              <w:rPr>
                <w:rFonts w:ascii="Times New Roman" w:hAnsi="Times New Roman" w:cs="Times New Roman"/>
                <w:noProof/>
                <w:webHidden/>
                <w:sz w:val="24"/>
                <w:szCs w:val="24"/>
              </w:rPr>
              <w:fldChar w:fldCharType="begin"/>
            </w:r>
            <w:r w:rsidRPr="00E72CED">
              <w:rPr>
                <w:rFonts w:ascii="Times New Roman" w:hAnsi="Times New Roman" w:cs="Times New Roman"/>
                <w:noProof/>
                <w:webHidden/>
                <w:sz w:val="24"/>
                <w:szCs w:val="24"/>
              </w:rPr>
              <w:instrText xml:space="preserve"> PAGEREF _Toc123887932 \h </w:instrText>
            </w:r>
            <w:r w:rsidRPr="00E72CED">
              <w:rPr>
                <w:rFonts w:ascii="Times New Roman" w:hAnsi="Times New Roman" w:cs="Times New Roman"/>
                <w:noProof/>
                <w:webHidden/>
                <w:sz w:val="24"/>
                <w:szCs w:val="24"/>
              </w:rPr>
            </w:r>
            <w:r w:rsidRPr="00E72CED">
              <w:rPr>
                <w:rFonts w:ascii="Times New Roman" w:hAnsi="Times New Roman" w:cs="Times New Roman"/>
                <w:noProof/>
                <w:webHidden/>
                <w:sz w:val="24"/>
                <w:szCs w:val="24"/>
              </w:rPr>
              <w:fldChar w:fldCharType="separate"/>
            </w:r>
            <w:r w:rsidRPr="00E72CED">
              <w:rPr>
                <w:rFonts w:ascii="Times New Roman" w:hAnsi="Times New Roman" w:cs="Times New Roman"/>
                <w:noProof/>
                <w:webHidden/>
                <w:sz w:val="24"/>
                <w:szCs w:val="24"/>
              </w:rPr>
              <w:t>2</w:t>
            </w:r>
            <w:r w:rsidRPr="00E72CED">
              <w:rPr>
                <w:rFonts w:ascii="Times New Roman" w:hAnsi="Times New Roman" w:cs="Times New Roman"/>
                <w:noProof/>
                <w:webHidden/>
                <w:sz w:val="24"/>
                <w:szCs w:val="24"/>
              </w:rPr>
              <w:fldChar w:fldCharType="end"/>
            </w:r>
          </w:hyperlink>
        </w:p>
        <w:p w14:paraId="75C2EDA7" w14:textId="77777777" w:rsidR="00E72CED" w:rsidRPr="00E72CED" w:rsidRDefault="00000000">
          <w:pPr>
            <w:pStyle w:val="TOC1"/>
            <w:tabs>
              <w:tab w:val="right" w:leader="dot" w:pos="9350"/>
            </w:tabs>
            <w:rPr>
              <w:rFonts w:ascii="Times New Roman" w:hAnsi="Times New Roman" w:cs="Times New Roman"/>
              <w:noProof/>
              <w:sz w:val="24"/>
              <w:szCs w:val="24"/>
            </w:rPr>
          </w:pPr>
          <w:hyperlink w:anchor="_Toc123887933" w:history="1">
            <w:r w:rsidR="00E72CED" w:rsidRPr="00E72CED">
              <w:rPr>
                <w:rStyle w:val="Hyperlink"/>
                <w:rFonts w:ascii="Times New Roman" w:hAnsi="Times New Roman" w:cs="Times New Roman"/>
                <w:noProof/>
                <w:sz w:val="24"/>
                <w:szCs w:val="24"/>
              </w:rPr>
              <w:t>Part B</w:t>
            </w:r>
            <w:r w:rsidR="00E72CED" w:rsidRPr="00E72CED">
              <w:rPr>
                <w:rFonts w:ascii="Times New Roman" w:hAnsi="Times New Roman" w:cs="Times New Roman"/>
                <w:noProof/>
                <w:webHidden/>
                <w:sz w:val="24"/>
                <w:szCs w:val="24"/>
              </w:rPr>
              <w:tab/>
            </w:r>
            <w:r w:rsidR="00E72CED" w:rsidRPr="00E72CED">
              <w:rPr>
                <w:rFonts w:ascii="Times New Roman" w:hAnsi="Times New Roman" w:cs="Times New Roman"/>
                <w:noProof/>
                <w:webHidden/>
                <w:sz w:val="24"/>
                <w:szCs w:val="24"/>
              </w:rPr>
              <w:fldChar w:fldCharType="begin"/>
            </w:r>
            <w:r w:rsidR="00E72CED" w:rsidRPr="00E72CED">
              <w:rPr>
                <w:rFonts w:ascii="Times New Roman" w:hAnsi="Times New Roman" w:cs="Times New Roman"/>
                <w:noProof/>
                <w:webHidden/>
                <w:sz w:val="24"/>
                <w:szCs w:val="24"/>
              </w:rPr>
              <w:instrText xml:space="preserve"> PAGEREF _Toc123887933 \h </w:instrText>
            </w:r>
            <w:r w:rsidR="00E72CED" w:rsidRPr="00E72CED">
              <w:rPr>
                <w:rFonts w:ascii="Times New Roman" w:hAnsi="Times New Roman" w:cs="Times New Roman"/>
                <w:noProof/>
                <w:webHidden/>
                <w:sz w:val="24"/>
                <w:szCs w:val="24"/>
              </w:rPr>
            </w:r>
            <w:r w:rsidR="00E72CED" w:rsidRPr="00E72CED">
              <w:rPr>
                <w:rFonts w:ascii="Times New Roman" w:hAnsi="Times New Roman" w:cs="Times New Roman"/>
                <w:noProof/>
                <w:webHidden/>
                <w:sz w:val="24"/>
                <w:szCs w:val="24"/>
              </w:rPr>
              <w:fldChar w:fldCharType="separate"/>
            </w:r>
            <w:r w:rsidR="00E72CED" w:rsidRPr="00E72CED">
              <w:rPr>
                <w:rFonts w:ascii="Times New Roman" w:hAnsi="Times New Roman" w:cs="Times New Roman"/>
                <w:noProof/>
                <w:webHidden/>
                <w:sz w:val="24"/>
                <w:szCs w:val="24"/>
              </w:rPr>
              <w:t>3</w:t>
            </w:r>
            <w:r w:rsidR="00E72CED" w:rsidRPr="00E72CED">
              <w:rPr>
                <w:rFonts w:ascii="Times New Roman" w:hAnsi="Times New Roman" w:cs="Times New Roman"/>
                <w:noProof/>
                <w:webHidden/>
                <w:sz w:val="24"/>
                <w:szCs w:val="24"/>
              </w:rPr>
              <w:fldChar w:fldCharType="end"/>
            </w:r>
          </w:hyperlink>
        </w:p>
        <w:p w14:paraId="522416CE" w14:textId="77777777" w:rsidR="00E72CED" w:rsidRPr="00E72CED" w:rsidRDefault="00000000">
          <w:pPr>
            <w:pStyle w:val="TOC1"/>
            <w:tabs>
              <w:tab w:val="right" w:leader="dot" w:pos="9350"/>
            </w:tabs>
            <w:rPr>
              <w:rFonts w:ascii="Times New Roman" w:hAnsi="Times New Roman" w:cs="Times New Roman"/>
              <w:noProof/>
              <w:sz w:val="24"/>
              <w:szCs w:val="24"/>
            </w:rPr>
          </w:pPr>
          <w:hyperlink w:anchor="_Toc123887934" w:history="1">
            <w:r w:rsidR="00E72CED" w:rsidRPr="00E72CED">
              <w:rPr>
                <w:rStyle w:val="Hyperlink"/>
                <w:rFonts w:ascii="Times New Roman" w:hAnsi="Times New Roman" w:cs="Times New Roman"/>
                <w:noProof/>
                <w:sz w:val="24"/>
                <w:szCs w:val="24"/>
              </w:rPr>
              <w:t>References</w:t>
            </w:r>
            <w:r w:rsidR="00E72CED" w:rsidRPr="00E72CED">
              <w:rPr>
                <w:rFonts w:ascii="Times New Roman" w:hAnsi="Times New Roman" w:cs="Times New Roman"/>
                <w:noProof/>
                <w:webHidden/>
                <w:sz w:val="24"/>
                <w:szCs w:val="24"/>
              </w:rPr>
              <w:tab/>
            </w:r>
            <w:r w:rsidR="00E72CED" w:rsidRPr="00E72CED">
              <w:rPr>
                <w:rFonts w:ascii="Times New Roman" w:hAnsi="Times New Roman" w:cs="Times New Roman"/>
                <w:noProof/>
                <w:webHidden/>
                <w:sz w:val="24"/>
                <w:szCs w:val="24"/>
              </w:rPr>
              <w:fldChar w:fldCharType="begin"/>
            </w:r>
            <w:r w:rsidR="00E72CED" w:rsidRPr="00E72CED">
              <w:rPr>
                <w:rFonts w:ascii="Times New Roman" w:hAnsi="Times New Roman" w:cs="Times New Roman"/>
                <w:noProof/>
                <w:webHidden/>
                <w:sz w:val="24"/>
                <w:szCs w:val="24"/>
              </w:rPr>
              <w:instrText xml:space="preserve"> PAGEREF _Toc123887934 \h </w:instrText>
            </w:r>
            <w:r w:rsidR="00E72CED" w:rsidRPr="00E72CED">
              <w:rPr>
                <w:rFonts w:ascii="Times New Roman" w:hAnsi="Times New Roman" w:cs="Times New Roman"/>
                <w:noProof/>
                <w:webHidden/>
                <w:sz w:val="24"/>
                <w:szCs w:val="24"/>
              </w:rPr>
            </w:r>
            <w:r w:rsidR="00E72CED" w:rsidRPr="00E72CED">
              <w:rPr>
                <w:rFonts w:ascii="Times New Roman" w:hAnsi="Times New Roman" w:cs="Times New Roman"/>
                <w:noProof/>
                <w:webHidden/>
                <w:sz w:val="24"/>
                <w:szCs w:val="24"/>
              </w:rPr>
              <w:fldChar w:fldCharType="separate"/>
            </w:r>
            <w:r w:rsidR="00E72CED" w:rsidRPr="00E72CED">
              <w:rPr>
                <w:rFonts w:ascii="Times New Roman" w:hAnsi="Times New Roman" w:cs="Times New Roman"/>
                <w:noProof/>
                <w:webHidden/>
                <w:sz w:val="24"/>
                <w:szCs w:val="24"/>
              </w:rPr>
              <w:t>6</w:t>
            </w:r>
            <w:r w:rsidR="00E72CED" w:rsidRPr="00E72CED">
              <w:rPr>
                <w:rFonts w:ascii="Times New Roman" w:hAnsi="Times New Roman" w:cs="Times New Roman"/>
                <w:noProof/>
                <w:webHidden/>
                <w:sz w:val="24"/>
                <w:szCs w:val="24"/>
              </w:rPr>
              <w:fldChar w:fldCharType="end"/>
            </w:r>
          </w:hyperlink>
        </w:p>
        <w:p w14:paraId="4D8BAF7B" w14:textId="77777777" w:rsidR="00E72CED" w:rsidRDefault="00E72CED">
          <w:r w:rsidRPr="00E72CED">
            <w:rPr>
              <w:rFonts w:ascii="Times New Roman" w:hAnsi="Times New Roman" w:cs="Times New Roman"/>
              <w:sz w:val="24"/>
              <w:szCs w:val="24"/>
            </w:rPr>
            <w:fldChar w:fldCharType="end"/>
          </w:r>
        </w:p>
      </w:sdtContent>
    </w:sdt>
    <w:p w14:paraId="02D7E8F0" w14:textId="77777777" w:rsidR="00E72CED" w:rsidRDefault="00E72CED" w:rsidP="00E72CED">
      <w:pPr>
        <w:pStyle w:val="Heading1"/>
      </w:pPr>
    </w:p>
    <w:p w14:paraId="300FFE34" w14:textId="77777777" w:rsidR="00E72CED" w:rsidRDefault="00E72CED">
      <w:pPr>
        <w:rPr>
          <w:rFonts w:asciiTheme="majorHAnsi" w:eastAsiaTheme="majorEastAsia" w:hAnsiTheme="majorHAnsi" w:cstheme="majorBidi"/>
          <w:b/>
          <w:bCs/>
          <w:color w:val="365F91" w:themeColor="accent1" w:themeShade="BF"/>
          <w:sz w:val="28"/>
          <w:szCs w:val="28"/>
        </w:rPr>
      </w:pPr>
      <w:bookmarkStart w:id="0" w:name="_Toc123887932"/>
      <w:r>
        <w:br w:type="page"/>
      </w:r>
    </w:p>
    <w:p w14:paraId="7097E183" w14:textId="77777777" w:rsidR="00E725FC" w:rsidRDefault="00A3213C" w:rsidP="00E72CED">
      <w:pPr>
        <w:pStyle w:val="Heading1"/>
      </w:pPr>
      <w:r>
        <w:lastRenderedPageBreak/>
        <w:t xml:space="preserve">Part </w:t>
      </w:r>
      <w:r w:rsidR="00E72CED">
        <w:t>A</w:t>
      </w:r>
      <w:bookmarkEnd w:id="0"/>
    </w:p>
    <w:p w14:paraId="0DB36085" w14:textId="337148D7" w:rsidR="00A3213C" w:rsidRDefault="00A3213C" w:rsidP="00E626C6">
      <w:pPr>
        <w:jc w:val="both"/>
      </w:pPr>
      <w:r>
        <w:t xml:space="preserve">In the present context, Hedley intended to steal the Bucci trainers </w:t>
      </w:r>
      <w:r w:rsidR="007455B4">
        <w:t>belonging to</w:t>
      </w:r>
      <w:r>
        <w:t xml:space="preserve"> Ronen. With an intention to steal, Hedley trespassed into the property of Ronen. He get into the house and reached at the dressing room of Ronen, however, the Bucci trainer was not present in the dressing room and instead of that, Hedley found the </w:t>
      </w:r>
      <w:r w:rsidR="003541C9">
        <w:t>‘</w:t>
      </w:r>
      <w:proofErr w:type="spellStart"/>
      <w:r w:rsidR="003541C9">
        <w:t>K</w:t>
      </w:r>
      <w:r w:rsidR="007455B4">
        <w:t>olex</w:t>
      </w:r>
      <w:proofErr w:type="spellEnd"/>
      <w:r w:rsidR="003541C9">
        <w:t>’</w:t>
      </w:r>
      <w:r>
        <w:t xml:space="preserve"> watch of Ronen, which was stolen by Hedley and he also poured after shave in the bin of the dressing room and set it on fire before he left the house. It is important to ascertain the offences committed by Hedley which attract criminal liability. </w:t>
      </w:r>
    </w:p>
    <w:p w14:paraId="358A8098" w14:textId="15974157" w:rsidR="004F658C" w:rsidRDefault="00A3213C" w:rsidP="00E626C6">
      <w:pPr>
        <w:jc w:val="both"/>
      </w:pPr>
      <w:r>
        <w:t xml:space="preserve">Considering the present case, it can be stated that Hadley has committed three different acts, namely trespassing into the building </w:t>
      </w:r>
      <w:r w:rsidR="002B24CB">
        <w:t xml:space="preserve">of Ronan, secondly he stole the </w:t>
      </w:r>
      <w:r w:rsidR="003541C9">
        <w:t>‘</w:t>
      </w:r>
      <w:proofErr w:type="spellStart"/>
      <w:r w:rsidR="003541C9">
        <w:t>K</w:t>
      </w:r>
      <w:r w:rsidR="007455B4">
        <w:t>olex</w:t>
      </w:r>
      <w:proofErr w:type="spellEnd"/>
      <w:r w:rsidR="003541C9">
        <w:t>’</w:t>
      </w:r>
      <w:r w:rsidR="002B24CB">
        <w:t xml:space="preserve"> watch of Ronen and thirdly, Hadley criminally damaged the property of Ronen.</w:t>
      </w:r>
      <w:r w:rsidR="004F658C">
        <w:t xml:space="preserve"> In the context of the present scenario, it can be regarded as a clear instance of burglary as stated in section 9(1)(a), which states that, burglary has been committed by the defendant, if it is found that the defendant has entered into a building or a part of a building in the form of a trespasser, with the intention to do the following:</w:t>
      </w:r>
    </w:p>
    <w:p w14:paraId="1D741C7D" w14:textId="77777777" w:rsidR="004F658C" w:rsidRDefault="004F658C" w:rsidP="00E626C6">
      <w:pPr>
        <w:pStyle w:val="ListParagraph"/>
        <w:numPr>
          <w:ilvl w:val="0"/>
          <w:numId w:val="1"/>
        </w:numPr>
        <w:jc w:val="both"/>
      </w:pPr>
      <w:r>
        <w:t>Steal anything from such building</w:t>
      </w:r>
    </w:p>
    <w:p w14:paraId="0A75B603" w14:textId="77777777" w:rsidR="004F658C" w:rsidRDefault="004F658C" w:rsidP="00E626C6">
      <w:pPr>
        <w:pStyle w:val="ListParagraph"/>
        <w:numPr>
          <w:ilvl w:val="0"/>
          <w:numId w:val="1"/>
        </w:numPr>
        <w:jc w:val="both"/>
      </w:pPr>
      <w:r>
        <w:t>Inflict grievous bodily harm to any individual present in such building</w:t>
      </w:r>
    </w:p>
    <w:p w14:paraId="60D45952" w14:textId="77777777" w:rsidR="004F658C" w:rsidRDefault="004F658C" w:rsidP="00E626C6">
      <w:pPr>
        <w:pStyle w:val="ListParagraph"/>
        <w:numPr>
          <w:ilvl w:val="0"/>
          <w:numId w:val="1"/>
        </w:numPr>
        <w:jc w:val="both"/>
      </w:pPr>
      <w:r>
        <w:t>Make unlawful damage to the building</w:t>
      </w:r>
    </w:p>
    <w:p w14:paraId="4D737C86" w14:textId="73B9E7F2" w:rsidR="004F658C" w:rsidRDefault="004F658C" w:rsidP="00E626C6">
      <w:pPr>
        <w:jc w:val="both"/>
      </w:pPr>
      <w:r>
        <w:t xml:space="preserve">Hence, the following elements are required to be established in </w:t>
      </w:r>
      <w:r w:rsidR="007455B4">
        <w:t>order</w:t>
      </w:r>
      <w:r>
        <w:t xml:space="preserve"> to prove that a burglary has been committed:</w:t>
      </w:r>
    </w:p>
    <w:p w14:paraId="627D036F" w14:textId="77777777" w:rsidR="004F658C" w:rsidRDefault="004F658C" w:rsidP="00E626C6">
      <w:pPr>
        <w:jc w:val="both"/>
      </w:pPr>
      <w:r>
        <w:t>Actus reus:</w:t>
      </w:r>
    </w:p>
    <w:p w14:paraId="70F9A299" w14:textId="77777777" w:rsidR="004F658C" w:rsidRDefault="004F658C" w:rsidP="00E626C6">
      <w:pPr>
        <w:jc w:val="both"/>
      </w:pPr>
      <w:r>
        <w:t>Enters:</w:t>
      </w:r>
    </w:p>
    <w:p w14:paraId="33DFA94A" w14:textId="77777777" w:rsidR="004F658C" w:rsidRDefault="004F658C" w:rsidP="00E626C6">
      <w:pPr>
        <w:jc w:val="both"/>
      </w:pPr>
      <w:r>
        <w:t xml:space="preserve">It is important to establish that the defendant should enter into a building .  It is not necessary that entry must be substantial, even if a part of the body enters into the building the same will be considered as an entry. </w:t>
      </w:r>
      <w:r w:rsidR="001169C7">
        <w:t xml:space="preserve"> In case of </w:t>
      </w:r>
      <w:r w:rsidR="001169C7" w:rsidRPr="00E72CED">
        <w:rPr>
          <w:b/>
          <w:i/>
        </w:rPr>
        <w:t>R v Ryan (1996)</w:t>
      </w:r>
      <w:r w:rsidR="001169C7">
        <w:t>, it was found that the defendant has been able to manage his head and right arm inside the property, which was held has sufficient by the court.</w:t>
      </w:r>
    </w:p>
    <w:p w14:paraId="266E5054" w14:textId="77777777" w:rsidR="001169C7" w:rsidRDefault="001169C7" w:rsidP="00E626C6">
      <w:pPr>
        <w:jc w:val="both"/>
      </w:pPr>
      <w:r>
        <w:t>Building or part of building:</w:t>
      </w:r>
    </w:p>
    <w:p w14:paraId="710C7530" w14:textId="77777777" w:rsidR="001169C7" w:rsidRDefault="001169C7" w:rsidP="00E626C6">
      <w:pPr>
        <w:jc w:val="both"/>
      </w:pPr>
      <w:r>
        <w:t>It is important to prove that the defendant has entered into a building or part of a building. There is no statutory definition of building in the Theft Act 1968, hence the ordinary meaning of the word should be considered. Section 9(4) of the Act states that even a vehicle or vessel which is inhibited should also be considered as a building such as a caravan.</w:t>
      </w:r>
    </w:p>
    <w:p w14:paraId="05F8A801" w14:textId="77777777" w:rsidR="001169C7" w:rsidRDefault="001169C7" w:rsidP="00E626C6">
      <w:pPr>
        <w:jc w:val="both"/>
      </w:pPr>
      <w:r>
        <w:t>Part of a building:</w:t>
      </w:r>
    </w:p>
    <w:p w14:paraId="2F51E1B1" w14:textId="77777777" w:rsidR="001169C7" w:rsidRDefault="001169C7" w:rsidP="00E626C6">
      <w:pPr>
        <w:jc w:val="both"/>
      </w:pPr>
      <w:r>
        <w:t xml:space="preserve">This can be considered as a part of the building where entry is prohibited. In the case of </w:t>
      </w:r>
      <w:r w:rsidRPr="00E72CED">
        <w:rPr>
          <w:b/>
          <w:i/>
        </w:rPr>
        <w:t>R v Walkington (1979)</w:t>
      </w:r>
      <w:r>
        <w:t>, it was stated that a part of the building should be separated from the main building which can be stated as the part of the building.</w:t>
      </w:r>
    </w:p>
    <w:p w14:paraId="734C0708" w14:textId="77777777" w:rsidR="001169C7" w:rsidRDefault="001169C7" w:rsidP="00E626C6">
      <w:pPr>
        <w:jc w:val="both"/>
      </w:pPr>
      <w:r>
        <w:t>Trespasser:</w:t>
      </w:r>
    </w:p>
    <w:p w14:paraId="46B6C5E7" w14:textId="77777777" w:rsidR="001169C7" w:rsidRDefault="001169C7" w:rsidP="00E626C6">
      <w:pPr>
        <w:jc w:val="both"/>
      </w:pPr>
      <w:r>
        <w:lastRenderedPageBreak/>
        <w:t xml:space="preserve">It means entering into the building of another person without the permission of the owner. </w:t>
      </w:r>
      <w:r w:rsidR="00E72CED">
        <w:t>Trespassing</w:t>
      </w:r>
      <w:r>
        <w:t xml:space="preserve"> can also considered as entering in a building with the permission of the owner, however, to do an activity which has not been permitted</w:t>
      </w:r>
      <w:r w:rsidR="001372B9">
        <w:t xml:space="preserve">. In case of </w:t>
      </w:r>
      <w:r w:rsidR="001372B9" w:rsidRPr="00E72CED">
        <w:rPr>
          <w:b/>
          <w:i/>
        </w:rPr>
        <w:t>R v Jones &amp; Smith (1976)</w:t>
      </w:r>
      <w:r w:rsidR="001372B9">
        <w:t xml:space="preserve"> it was found that there were two defendants entered into a building which belonged to the father of one of the defendants. They stole two televisions from the building as a result of that they were made liable for burglary. It was found that the father of the defendant provided permission to enter into the building, however, the activity they committed inside the property exceeds the permission, hence, the same has been held as trespassing.</w:t>
      </w:r>
    </w:p>
    <w:p w14:paraId="6CD2FC77" w14:textId="654BB3B7" w:rsidR="001372B9" w:rsidRDefault="007455B4" w:rsidP="00E626C6">
      <w:pPr>
        <w:jc w:val="both"/>
      </w:pPr>
      <w:proofErr w:type="spellStart"/>
      <w:r>
        <w:t>Mens</w:t>
      </w:r>
      <w:proofErr w:type="spellEnd"/>
      <w:r>
        <w:t xml:space="preserve"> </w:t>
      </w:r>
      <w:r w:rsidR="001372B9">
        <w:t>Rea:</w:t>
      </w:r>
    </w:p>
    <w:p w14:paraId="752C615B" w14:textId="77777777" w:rsidR="001372B9" w:rsidRDefault="001372B9" w:rsidP="00E626C6">
      <w:pPr>
        <w:jc w:val="both"/>
      </w:pPr>
      <w:r>
        <w:t>Intent upon entry:</w:t>
      </w:r>
    </w:p>
    <w:p w14:paraId="429FD147" w14:textId="77777777" w:rsidR="001372B9" w:rsidRDefault="001372B9" w:rsidP="00E626C6">
      <w:pPr>
        <w:jc w:val="both"/>
      </w:pPr>
      <w:r>
        <w:t>It is important to establish that the defendant had intent to steal, inflicting grievous bodily harm to any person in the bui</w:t>
      </w:r>
      <w:r w:rsidR="007A5CB2">
        <w:t xml:space="preserve">lding or committing criminal damage, </w:t>
      </w:r>
      <w:r>
        <w:t xml:space="preserve"> while he was entering into the building or part of a building as a trespasser. It is necessary to consider that the intent was developed at the point of entry. </w:t>
      </w:r>
    </w:p>
    <w:p w14:paraId="082C55F5" w14:textId="77777777" w:rsidR="007A5CB2" w:rsidRDefault="007A5CB2" w:rsidP="00E626C6">
      <w:pPr>
        <w:jc w:val="both"/>
      </w:pPr>
      <w:r>
        <w:t>Section 1(3) of the Criminal Damage Act 1971 states that</w:t>
      </w:r>
      <w:r w:rsidR="00E626C6">
        <w:t>,</w:t>
      </w:r>
      <w:r>
        <w:t xml:space="preserve"> an individual should be charged for criminal damage by arson if such individual destroys or damages the property with fire. </w:t>
      </w:r>
      <w:r w:rsidR="005A32BC">
        <w:t xml:space="preserve">Considering damage caused to the property by fire, the </w:t>
      </w:r>
      <w:proofErr w:type="spellStart"/>
      <w:r w:rsidR="005A32BC">
        <w:t>mens</w:t>
      </w:r>
      <w:proofErr w:type="spellEnd"/>
      <w:r w:rsidR="005A32BC">
        <w:t xml:space="preserve"> rea should be an intention to damage the property or recklessness to damage the property.</w:t>
      </w:r>
    </w:p>
    <w:p w14:paraId="27EA3E38" w14:textId="77777777" w:rsidR="00E626C6" w:rsidRDefault="00E626C6" w:rsidP="00E626C6">
      <w:pPr>
        <w:jc w:val="both"/>
      </w:pPr>
      <w:r>
        <w:t xml:space="preserve">In the present case the first two acts committed by Hadley namely, trespassing and stealing will be considered as burglary under section 9(1)(a) of the Theft Act 1968, however, he had no intention to do criminal damage to the property at the time of entering into the building, hence, the </w:t>
      </w:r>
      <w:proofErr w:type="spellStart"/>
      <w:r>
        <w:t>sme</w:t>
      </w:r>
      <w:proofErr w:type="spellEnd"/>
      <w:r>
        <w:t xml:space="preserve"> should not be covered under this Act. However, the act of damaging the property with fire will be considered as a criminal act under section 1(3) of Criminal Damage Act 1971.</w:t>
      </w:r>
    </w:p>
    <w:p w14:paraId="6061B63F" w14:textId="77777777" w:rsidR="00E626C6" w:rsidRDefault="00E626C6" w:rsidP="00E72CED">
      <w:pPr>
        <w:pStyle w:val="Heading1"/>
      </w:pPr>
      <w:bookmarkStart w:id="1" w:name="_Toc123887933"/>
      <w:r>
        <w:t>Part B</w:t>
      </w:r>
      <w:bookmarkEnd w:id="1"/>
    </w:p>
    <w:p w14:paraId="1F9968CE" w14:textId="77777777" w:rsidR="00955623" w:rsidRDefault="000816FF" w:rsidP="00E626C6">
      <w:pPr>
        <w:jc w:val="both"/>
      </w:pPr>
      <w:r>
        <w:t xml:space="preserve">In the existing scenario, it has been found that Freya and her friend Nicky went to the foam party where they consumed alcohol. After returning to the student’s hall Freya started vomiting and when Nicky found her Freya was experiencing a seizure attack. In order to control the situation, Nicky called Mike for support. When Mike tried to support Freya she punched him in the face which caused a black eye to Mike. </w:t>
      </w:r>
      <w:r w:rsidR="00981570">
        <w:t>Freya was diagnosed with epilepsy when she was a child and she has not experienced any seizures in the last ten years as a result of that she sto</w:t>
      </w:r>
      <w:r w:rsidR="00506663">
        <w:t>p</w:t>
      </w:r>
      <w:r w:rsidR="00981570">
        <w:t xml:space="preserve">ped taking the medicines for epilepsy. The issue associated with the present context is that whether Freya will be able to take the </w:t>
      </w:r>
      <w:proofErr w:type="spellStart"/>
      <w:r w:rsidR="00981570">
        <w:t>defence</w:t>
      </w:r>
      <w:proofErr w:type="spellEnd"/>
      <w:r w:rsidR="00981570">
        <w:t xml:space="preserve"> of intoxication and automatism</w:t>
      </w:r>
      <w:r w:rsidR="00506663">
        <w:t>, if a charge is brought against her under section 47 of Offence Against the Person Act 1861.</w:t>
      </w:r>
    </w:p>
    <w:p w14:paraId="5B56591D" w14:textId="77777777" w:rsidR="00506663" w:rsidRDefault="00506663" w:rsidP="00E626C6">
      <w:pPr>
        <w:jc w:val="both"/>
      </w:pPr>
      <w:r>
        <w:t xml:space="preserve">Section 47 of the Offence Against the Person Act 1861states that an individual will be charged with criminal liability if he/she assaults another person thereby occasioning bodily harm (ABH). The offence according to section 47 of the Offence Against the Person Act 1861 covers both assault and battery that can cause actual bodily harm to the innocent person who is the victim. </w:t>
      </w:r>
      <w:r w:rsidR="00147B44">
        <w:t xml:space="preserve">In case of </w:t>
      </w:r>
      <w:r w:rsidR="00147B44" w:rsidRPr="00E72CED">
        <w:rPr>
          <w:b/>
          <w:i/>
        </w:rPr>
        <w:t>DPP v Smith (2006)</w:t>
      </w:r>
      <w:r w:rsidR="00147B44">
        <w:t xml:space="preserve"> the defendant cut the ponytail hair of the victim, it was held by the court that hair is a part of the body and hence, the </w:t>
      </w:r>
      <w:proofErr w:type="spellStart"/>
      <w:r w:rsidR="00147B44">
        <w:t>sme</w:t>
      </w:r>
      <w:proofErr w:type="spellEnd"/>
      <w:r w:rsidR="00147B44">
        <w:t xml:space="preserve"> can also be harmed, therefore it was held that damaging the hair of another person would </w:t>
      </w:r>
      <w:r w:rsidR="00147B44">
        <w:lastRenderedPageBreak/>
        <w:t xml:space="preserve">constitute ABH. In the case of </w:t>
      </w:r>
      <w:r w:rsidR="00147B44" w:rsidRPr="00E72CED">
        <w:rPr>
          <w:b/>
          <w:i/>
        </w:rPr>
        <w:t>Donovan (1934)</w:t>
      </w:r>
      <w:r w:rsidR="00147B44">
        <w:t>, the court defined ABH, where it stated that ABH includes and hurt or injury done specifically to interfere with the health and comfort of the victim.</w:t>
      </w:r>
    </w:p>
    <w:p w14:paraId="1AA582CE" w14:textId="77777777" w:rsidR="00310D70" w:rsidRDefault="00765CA9" w:rsidP="00E626C6">
      <w:pPr>
        <w:jc w:val="both"/>
      </w:pPr>
      <w:r>
        <w:t xml:space="preserve">Automatism </w:t>
      </w:r>
      <w:r w:rsidR="00450BA9">
        <w:t xml:space="preserve">is regarded as an action done by the body muscles, where there is no control exercised by the mind. The </w:t>
      </w:r>
      <w:proofErr w:type="spellStart"/>
      <w:r w:rsidR="00450BA9">
        <w:t>defence</w:t>
      </w:r>
      <w:proofErr w:type="spellEnd"/>
      <w:r w:rsidR="00450BA9">
        <w:t xml:space="preserve"> of automatism is applicable to the defendant, if it is found that the defendant has committed the actus reus involuntarily and at the same time the </w:t>
      </w:r>
      <w:proofErr w:type="spellStart"/>
      <w:r w:rsidR="00450BA9">
        <w:t>mens</w:t>
      </w:r>
      <w:proofErr w:type="spellEnd"/>
      <w:r w:rsidR="00450BA9">
        <w:t xml:space="preserve"> rea is absent in the offence. It can be considered that the defendant has committed the actus reus voluntarily when it is found that the automatism is </w:t>
      </w:r>
      <w:proofErr w:type="spellStart"/>
      <w:r w:rsidR="00450BA9">
        <w:t>self induced</w:t>
      </w:r>
      <w:proofErr w:type="spellEnd"/>
      <w:r w:rsidR="00450BA9">
        <w:t xml:space="preserve">. It is considered as a condition where the defendant is aware of the fact that the actions taken by the defendant would </w:t>
      </w:r>
      <w:r w:rsidR="00310D70">
        <w:t>put the defendant in an automatic state. In such cas</w:t>
      </w:r>
      <w:r w:rsidR="00E72CED">
        <w:t>e</w:t>
      </w:r>
      <w:r w:rsidR="00310D70">
        <w:t xml:space="preserve"> no </w:t>
      </w:r>
      <w:proofErr w:type="spellStart"/>
      <w:r w:rsidR="00310D70">
        <w:t>defence</w:t>
      </w:r>
      <w:proofErr w:type="spellEnd"/>
      <w:r w:rsidR="00310D70">
        <w:t xml:space="preserve"> will be available for the defendant.</w:t>
      </w:r>
    </w:p>
    <w:p w14:paraId="5A97E76F" w14:textId="77777777" w:rsidR="00310D70" w:rsidRDefault="00310D70" w:rsidP="00E626C6">
      <w:pPr>
        <w:jc w:val="both"/>
      </w:pPr>
      <w:r>
        <w:t xml:space="preserve">Secondly, the application of </w:t>
      </w:r>
      <w:proofErr w:type="spellStart"/>
      <w:r>
        <w:t>defence</w:t>
      </w:r>
      <w:proofErr w:type="spellEnd"/>
      <w:r>
        <w:t xml:space="preserve"> varies in terms of offences of basic intent and offences of specific intent. Offences of specific intent are considered as those offences where </w:t>
      </w:r>
      <w:proofErr w:type="spellStart"/>
      <w:r>
        <w:t>mens</w:t>
      </w:r>
      <w:proofErr w:type="spellEnd"/>
      <w:r>
        <w:t xml:space="preserve"> rea is necessary, such as murder. For instance grievous bodily injury as covered under section 18 of the Offence Against the Person Act 1861 can be regarded as offence of specific intent. On the other hand, offences of basic intent include offences that are made recklessly.</w:t>
      </w:r>
    </w:p>
    <w:p w14:paraId="10967BEC" w14:textId="77777777" w:rsidR="00310D70" w:rsidRDefault="00310D70" w:rsidP="00E626C6">
      <w:pPr>
        <w:jc w:val="both"/>
      </w:pPr>
      <w:r>
        <w:t xml:space="preserve">Self-induced automatism can be a </w:t>
      </w:r>
      <w:proofErr w:type="spellStart"/>
      <w:r>
        <w:t>defence</w:t>
      </w:r>
      <w:proofErr w:type="spellEnd"/>
      <w:r>
        <w:t xml:space="preserve"> in case of offences of specific intent, in case there is lack of </w:t>
      </w:r>
      <w:proofErr w:type="spellStart"/>
      <w:r>
        <w:t>mens</w:t>
      </w:r>
      <w:proofErr w:type="spellEnd"/>
      <w:r>
        <w:t xml:space="preserve"> rea present. Considering commission of offence of basic intent, the </w:t>
      </w:r>
      <w:proofErr w:type="spellStart"/>
      <w:r>
        <w:t>defence</w:t>
      </w:r>
      <w:proofErr w:type="spellEnd"/>
      <w:r>
        <w:t xml:space="preserve"> of automatism will not be applicable if the defendant has entered into the automatic state recklessly, such as the automatic state has been developed through consumption of alcohol or drugs, the same can be found in the case of </w:t>
      </w:r>
      <w:r w:rsidRPr="00E72CED">
        <w:rPr>
          <w:b/>
          <w:i/>
        </w:rPr>
        <w:t>DPP v Majewski (1977)</w:t>
      </w:r>
      <w:r>
        <w:t>.</w:t>
      </w:r>
    </w:p>
    <w:p w14:paraId="781CC41A" w14:textId="77777777" w:rsidR="00310D70" w:rsidRDefault="00310D70" w:rsidP="00E626C6">
      <w:pPr>
        <w:jc w:val="both"/>
      </w:pPr>
      <w:r>
        <w:t xml:space="preserve">The same principle is also applicable to </w:t>
      </w:r>
      <w:proofErr w:type="spellStart"/>
      <w:r>
        <w:t>defence</w:t>
      </w:r>
      <w:proofErr w:type="spellEnd"/>
      <w:r>
        <w:t xml:space="preserve"> of intoxication. The </w:t>
      </w:r>
      <w:proofErr w:type="spellStart"/>
      <w:r>
        <w:t>defnece</w:t>
      </w:r>
      <w:proofErr w:type="spellEnd"/>
      <w:r>
        <w:t xml:space="preserve"> will be applicable to the defendant in case of </w:t>
      </w:r>
      <w:r w:rsidR="00676AD4">
        <w:t xml:space="preserve">offence of specific intent, where </w:t>
      </w:r>
      <w:proofErr w:type="spellStart"/>
      <w:r w:rsidR="00676AD4">
        <w:t>mens</w:t>
      </w:r>
      <w:proofErr w:type="spellEnd"/>
      <w:r w:rsidR="00676AD4">
        <w:t xml:space="preserve"> rea is missing. However, for offences of basic intent, voluntary intoxication cannot be considered as a </w:t>
      </w:r>
      <w:proofErr w:type="spellStart"/>
      <w:r w:rsidR="00676AD4">
        <w:t>defence</w:t>
      </w:r>
      <w:proofErr w:type="spellEnd"/>
      <w:r w:rsidR="00676AD4">
        <w:t xml:space="preserve">, as the defendant has chosen to be intoxicated recklessly. In case of </w:t>
      </w:r>
      <w:r w:rsidR="00676AD4" w:rsidRPr="00E72CED">
        <w:rPr>
          <w:b/>
          <w:i/>
        </w:rPr>
        <w:t>R v Lipman (1970)</w:t>
      </w:r>
      <w:r w:rsidR="00676AD4">
        <w:t xml:space="preserve"> the defendant got intoxicated voluntarily and he had an illusion that he was being attacked by snakes, in order to fight with the snakes he hit victim, which caused the death of the victim. The court rejected the </w:t>
      </w:r>
      <w:proofErr w:type="spellStart"/>
      <w:r w:rsidR="00676AD4">
        <w:t>defence</w:t>
      </w:r>
      <w:proofErr w:type="spellEnd"/>
      <w:r w:rsidR="00676AD4">
        <w:t xml:space="preserve"> of intoxication.</w:t>
      </w:r>
    </w:p>
    <w:p w14:paraId="029C2291" w14:textId="77777777" w:rsidR="00676AD4" w:rsidRDefault="00676AD4" w:rsidP="00E626C6">
      <w:pPr>
        <w:jc w:val="both"/>
      </w:pPr>
      <w:r>
        <w:t xml:space="preserve">In the present case, Freya will not be able to take the protection of intoxication and automatism as she was intoxicated voluntarily and this triggered the seizure, hence, it can be considered that this is a case of self-induced automatism. The offence committed by Freya was of basic intent and it was done recklessly. Hence, neither of the </w:t>
      </w:r>
      <w:proofErr w:type="spellStart"/>
      <w:r>
        <w:t>defences</w:t>
      </w:r>
      <w:proofErr w:type="spellEnd"/>
      <w:r>
        <w:t xml:space="preserve"> will be applicable to her if she is charged under section 47 of the Offence Against the Person Act 1861.</w:t>
      </w:r>
    </w:p>
    <w:p w14:paraId="3AE6D7BD" w14:textId="77777777" w:rsidR="00676AD4" w:rsidRDefault="00676AD4">
      <w:r>
        <w:br w:type="page"/>
      </w:r>
    </w:p>
    <w:p w14:paraId="44EF36F1" w14:textId="77777777" w:rsidR="00676AD4" w:rsidRDefault="00676AD4" w:rsidP="00E72CED">
      <w:pPr>
        <w:pStyle w:val="Heading1"/>
      </w:pPr>
      <w:bookmarkStart w:id="2" w:name="_Toc123887934"/>
      <w:r>
        <w:lastRenderedPageBreak/>
        <w:t>References</w:t>
      </w:r>
      <w:bookmarkEnd w:id="2"/>
    </w:p>
    <w:p w14:paraId="281B9EC2" w14:textId="77777777" w:rsidR="00676AD4" w:rsidRDefault="00E72CED" w:rsidP="00E626C6">
      <w:pPr>
        <w:jc w:val="both"/>
      </w:pPr>
      <w:r>
        <w:t>Legislations:</w:t>
      </w:r>
    </w:p>
    <w:p w14:paraId="46A63ED6" w14:textId="77777777" w:rsidR="00E72CED" w:rsidRDefault="00E72CED" w:rsidP="00E626C6">
      <w:pPr>
        <w:jc w:val="both"/>
      </w:pPr>
      <w:r>
        <w:t>Criminal Damage Act 1971</w:t>
      </w:r>
    </w:p>
    <w:p w14:paraId="72C560B8" w14:textId="77777777" w:rsidR="00E72CED" w:rsidRDefault="00E72CED" w:rsidP="00E626C6">
      <w:pPr>
        <w:jc w:val="both"/>
      </w:pPr>
      <w:r>
        <w:t>Offence Against the Person Act 1861</w:t>
      </w:r>
    </w:p>
    <w:p w14:paraId="191C6FE7" w14:textId="77777777" w:rsidR="00E72CED" w:rsidRDefault="00E72CED" w:rsidP="00E626C6">
      <w:pPr>
        <w:jc w:val="both"/>
      </w:pPr>
      <w:r>
        <w:t>Theft Act 1968</w:t>
      </w:r>
    </w:p>
    <w:p w14:paraId="72FDAA89" w14:textId="77777777" w:rsidR="00E72CED" w:rsidRDefault="00E72CED" w:rsidP="00E626C6">
      <w:pPr>
        <w:jc w:val="both"/>
      </w:pPr>
      <w:r>
        <w:t>Case laws:</w:t>
      </w:r>
    </w:p>
    <w:p w14:paraId="08843DC3" w14:textId="77777777" w:rsidR="00E72CED" w:rsidRDefault="00E72CED" w:rsidP="00E72CED">
      <w:r>
        <w:t>Donovan (1934) 2 KB 498</w:t>
      </w:r>
    </w:p>
    <w:p w14:paraId="54421C35" w14:textId="77777777" w:rsidR="00E72CED" w:rsidRDefault="00E72CED" w:rsidP="00E72CED">
      <w:r>
        <w:t>DPP v Majewski (1977) AC 142</w:t>
      </w:r>
    </w:p>
    <w:p w14:paraId="07410A34" w14:textId="77777777" w:rsidR="00E72CED" w:rsidRDefault="00E72CED" w:rsidP="00E72CED">
      <w:r>
        <w:t>DPP v Smith (2006) 1 WLR 157</w:t>
      </w:r>
    </w:p>
    <w:p w14:paraId="65312469" w14:textId="77777777" w:rsidR="00E72CED" w:rsidRDefault="00E72CED" w:rsidP="00E72CED">
      <w:r>
        <w:t xml:space="preserve">R v Jones &amp; Smith (1976) 1 WLR 672 </w:t>
      </w:r>
    </w:p>
    <w:p w14:paraId="294EC0D7" w14:textId="77777777" w:rsidR="00E72CED" w:rsidRDefault="00E72CED" w:rsidP="00E72CED">
      <w:r>
        <w:t xml:space="preserve">R v Lipman (1970) 1 QB 152 </w:t>
      </w:r>
    </w:p>
    <w:p w14:paraId="4D48B2C6" w14:textId="77777777" w:rsidR="00E72CED" w:rsidRDefault="00E72CED" w:rsidP="00E72CED">
      <w:r>
        <w:t>R v Ryan (1996) Crim LR 320</w:t>
      </w:r>
    </w:p>
    <w:p w14:paraId="78FF3862" w14:textId="77777777" w:rsidR="00E72CED" w:rsidRDefault="00E72CED" w:rsidP="00E72CED">
      <w:r>
        <w:t>R v Walkington (1979) 1 WLR 1169</w:t>
      </w:r>
    </w:p>
    <w:p w14:paraId="7222FB5D" w14:textId="77777777" w:rsidR="00E72CED" w:rsidRDefault="00E72CED" w:rsidP="00E626C6">
      <w:pPr>
        <w:jc w:val="both"/>
      </w:pPr>
    </w:p>
    <w:p w14:paraId="4312110D" w14:textId="77777777" w:rsidR="00450BA9" w:rsidRDefault="00450BA9" w:rsidP="00E626C6">
      <w:pPr>
        <w:jc w:val="both"/>
      </w:pPr>
    </w:p>
    <w:p w14:paraId="2724F9B7" w14:textId="77777777" w:rsidR="00E626C6" w:rsidRDefault="00E626C6" w:rsidP="00E626C6">
      <w:pPr>
        <w:jc w:val="both"/>
      </w:pPr>
    </w:p>
    <w:sectPr w:rsidR="00E626C6" w:rsidSect="003E388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40BDC" w14:textId="77777777" w:rsidR="00CD74B6" w:rsidRDefault="00CD74B6" w:rsidP="00E72CED">
      <w:pPr>
        <w:spacing w:after="0" w:line="240" w:lineRule="auto"/>
      </w:pPr>
      <w:r>
        <w:separator/>
      </w:r>
    </w:p>
  </w:endnote>
  <w:endnote w:type="continuationSeparator" w:id="0">
    <w:p w14:paraId="7C1068EC" w14:textId="77777777" w:rsidR="00CD74B6" w:rsidRDefault="00CD74B6" w:rsidP="00E72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075602"/>
      <w:docPartObj>
        <w:docPartGallery w:val="Page Numbers (Bottom of Page)"/>
        <w:docPartUnique/>
      </w:docPartObj>
    </w:sdtPr>
    <w:sdtContent>
      <w:p w14:paraId="09A0E8D0" w14:textId="77777777" w:rsidR="00E72CED" w:rsidRDefault="00000000">
        <w:pPr>
          <w:pStyle w:val="Footer"/>
          <w:jc w:val="right"/>
        </w:pPr>
        <w:r>
          <w:fldChar w:fldCharType="begin"/>
        </w:r>
        <w:r>
          <w:instrText xml:space="preserve"> PAGE   \* MERGEFORMAT </w:instrText>
        </w:r>
        <w:r>
          <w:fldChar w:fldCharType="separate"/>
        </w:r>
        <w:r w:rsidR="00E72CED">
          <w:rPr>
            <w:noProof/>
          </w:rPr>
          <w:t>2</w:t>
        </w:r>
        <w:r>
          <w:rPr>
            <w:noProof/>
          </w:rPr>
          <w:fldChar w:fldCharType="end"/>
        </w:r>
      </w:p>
    </w:sdtContent>
  </w:sdt>
  <w:p w14:paraId="7D101F9E" w14:textId="77777777" w:rsidR="00E72CED" w:rsidRDefault="00E72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85D94" w14:textId="77777777" w:rsidR="00CD74B6" w:rsidRDefault="00CD74B6" w:rsidP="00E72CED">
      <w:pPr>
        <w:spacing w:after="0" w:line="240" w:lineRule="auto"/>
      </w:pPr>
      <w:r>
        <w:separator/>
      </w:r>
    </w:p>
  </w:footnote>
  <w:footnote w:type="continuationSeparator" w:id="0">
    <w:p w14:paraId="26562D0E" w14:textId="77777777" w:rsidR="00CD74B6" w:rsidRDefault="00CD74B6" w:rsidP="00E72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82D89"/>
    <w:multiLevelType w:val="hybridMultilevel"/>
    <w:tmpl w:val="CA70BCD8"/>
    <w:lvl w:ilvl="0" w:tplc="699AAE8C">
      <w:start w:val="4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793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13C"/>
    <w:rsid w:val="000816FF"/>
    <w:rsid w:val="001169C7"/>
    <w:rsid w:val="001372B9"/>
    <w:rsid w:val="00147B44"/>
    <w:rsid w:val="002B24CB"/>
    <w:rsid w:val="00310D70"/>
    <w:rsid w:val="003541C9"/>
    <w:rsid w:val="003E3882"/>
    <w:rsid w:val="00450BA9"/>
    <w:rsid w:val="004F658C"/>
    <w:rsid w:val="00506663"/>
    <w:rsid w:val="00565C15"/>
    <w:rsid w:val="005A32BC"/>
    <w:rsid w:val="005F496C"/>
    <w:rsid w:val="00676AD4"/>
    <w:rsid w:val="006B1589"/>
    <w:rsid w:val="007455B4"/>
    <w:rsid w:val="00765CA9"/>
    <w:rsid w:val="007A5CB2"/>
    <w:rsid w:val="008A335D"/>
    <w:rsid w:val="00955623"/>
    <w:rsid w:val="00981570"/>
    <w:rsid w:val="00A3213C"/>
    <w:rsid w:val="00CD74B6"/>
    <w:rsid w:val="00E626C6"/>
    <w:rsid w:val="00E725FC"/>
    <w:rsid w:val="00E72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3417"/>
  <w15:docId w15:val="{589FDB7C-93D7-44F1-9E3B-56E434FF9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882"/>
  </w:style>
  <w:style w:type="paragraph" w:styleId="Heading1">
    <w:name w:val="heading 1"/>
    <w:basedOn w:val="Normal"/>
    <w:next w:val="Normal"/>
    <w:link w:val="Heading1Char"/>
    <w:uiPriority w:val="9"/>
    <w:qFormat/>
    <w:rsid w:val="00E72C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58C"/>
    <w:pPr>
      <w:ind w:left="720"/>
      <w:contextualSpacing/>
    </w:pPr>
  </w:style>
  <w:style w:type="character" w:customStyle="1" w:styleId="Heading1Char">
    <w:name w:val="Heading 1 Char"/>
    <w:basedOn w:val="DefaultParagraphFont"/>
    <w:link w:val="Heading1"/>
    <w:uiPriority w:val="9"/>
    <w:rsid w:val="00E72CE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72CED"/>
    <w:pPr>
      <w:outlineLvl w:val="9"/>
    </w:pPr>
  </w:style>
  <w:style w:type="paragraph" w:styleId="TOC1">
    <w:name w:val="toc 1"/>
    <w:basedOn w:val="Normal"/>
    <w:next w:val="Normal"/>
    <w:autoRedefine/>
    <w:uiPriority w:val="39"/>
    <w:unhideWhenUsed/>
    <w:rsid w:val="00E72CED"/>
    <w:pPr>
      <w:spacing w:after="100"/>
    </w:pPr>
  </w:style>
  <w:style w:type="character" w:styleId="Hyperlink">
    <w:name w:val="Hyperlink"/>
    <w:basedOn w:val="DefaultParagraphFont"/>
    <w:uiPriority w:val="99"/>
    <w:unhideWhenUsed/>
    <w:rsid w:val="00E72CED"/>
    <w:rPr>
      <w:color w:val="0000FF" w:themeColor="hyperlink"/>
      <w:u w:val="single"/>
    </w:rPr>
  </w:style>
  <w:style w:type="paragraph" w:styleId="BalloonText">
    <w:name w:val="Balloon Text"/>
    <w:basedOn w:val="Normal"/>
    <w:link w:val="BalloonTextChar"/>
    <w:uiPriority w:val="99"/>
    <w:semiHidden/>
    <w:unhideWhenUsed/>
    <w:rsid w:val="00E72C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CED"/>
    <w:rPr>
      <w:rFonts w:ascii="Tahoma" w:hAnsi="Tahoma" w:cs="Tahoma"/>
      <w:sz w:val="16"/>
      <w:szCs w:val="16"/>
    </w:rPr>
  </w:style>
  <w:style w:type="paragraph" w:styleId="Header">
    <w:name w:val="header"/>
    <w:basedOn w:val="Normal"/>
    <w:link w:val="HeaderChar"/>
    <w:uiPriority w:val="99"/>
    <w:semiHidden/>
    <w:unhideWhenUsed/>
    <w:rsid w:val="00E72C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2CED"/>
  </w:style>
  <w:style w:type="paragraph" w:styleId="Footer">
    <w:name w:val="footer"/>
    <w:basedOn w:val="Normal"/>
    <w:link w:val="FooterChar"/>
    <w:uiPriority w:val="99"/>
    <w:unhideWhenUsed/>
    <w:rsid w:val="00E72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699F2-E958-41D3-A6CD-D9D51B9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Madalina Imbrea (2127378)</cp:lastModifiedBy>
  <cp:revision>3</cp:revision>
  <dcterms:created xsi:type="dcterms:W3CDTF">2023-01-12T13:13:00Z</dcterms:created>
  <dcterms:modified xsi:type="dcterms:W3CDTF">2023-01-12T13:20:00Z</dcterms:modified>
</cp:coreProperties>
</file>