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EB614AE" w14:textId="77777777" w:rsidR="001F1D8C" w:rsidRPr="008A4667" w:rsidRDefault="001F1D8C" w:rsidP="001F1D8C">
      <w:pPr>
        <w:spacing w:after="200" w:line="276" w:lineRule="auto"/>
        <w:jc w:val="center"/>
        <w:rPr>
          <w:rFonts w:eastAsiaTheme="minorEastAsia"/>
        </w:rPr>
      </w:pPr>
    </w:p>
    <w:p w14:paraId="6A443C23" w14:textId="77777777" w:rsidR="001F1D8C" w:rsidRPr="008A4667" w:rsidRDefault="001F1D8C" w:rsidP="001F1D8C">
      <w:pPr>
        <w:spacing w:after="200" w:line="276" w:lineRule="auto"/>
        <w:jc w:val="center"/>
        <w:rPr>
          <w:rFonts w:eastAsiaTheme="minorEastAsia"/>
        </w:rPr>
      </w:pPr>
      <w:r w:rsidRPr="008A4667">
        <w:rPr>
          <w:rFonts w:eastAsiaTheme="minorEastAsia"/>
          <w:noProof/>
        </w:rPr>
        <w:drawing>
          <wp:inline distT="0" distB="0" distL="0" distR="0" wp14:anchorId="375DA917" wp14:editId="1F2CA150">
            <wp:extent cx="2286000" cy="818810"/>
            <wp:effectExtent l="0" t="0" r="0" b="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8"/>
                    <a:stretch>
                      <a:fillRect/>
                    </a:stretch>
                  </pic:blipFill>
                  <pic:spPr>
                    <a:xfrm>
                      <a:off x="0" y="0"/>
                      <a:ext cx="2286000" cy="818810"/>
                    </a:xfrm>
                    <a:prstGeom prst="rect">
                      <a:avLst/>
                    </a:prstGeom>
                  </pic:spPr>
                </pic:pic>
              </a:graphicData>
            </a:graphic>
          </wp:inline>
        </w:drawing>
      </w:r>
    </w:p>
    <w:p w14:paraId="56C3FE41" w14:textId="77777777" w:rsidR="001F1D8C" w:rsidRPr="008A4667" w:rsidRDefault="001F1D8C" w:rsidP="001F1D8C">
      <w:pPr>
        <w:spacing w:after="200" w:line="276" w:lineRule="auto"/>
        <w:rPr>
          <w:rFonts w:eastAsiaTheme="minorEastAsia"/>
        </w:rPr>
      </w:pPr>
    </w:p>
    <w:p w14:paraId="37FDE0E6" w14:textId="77777777" w:rsidR="001F1D8C" w:rsidRPr="008A4667" w:rsidRDefault="001F1D8C" w:rsidP="001F1D8C">
      <w:pPr>
        <w:spacing w:after="200" w:line="276" w:lineRule="auto"/>
        <w:jc w:val="center"/>
        <w:rPr>
          <w:rFonts w:eastAsiaTheme="minorEastAsia"/>
        </w:rPr>
      </w:pPr>
      <w:r w:rsidRPr="008A4667">
        <w:rPr>
          <w:rFonts w:ascii="Calibri" w:eastAsiaTheme="minorEastAsia" w:hAnsi="Calibri"/>
          <w:b/>
          <w:sz w:val="32"/>
        </w:rPr>
        <w:t>University of Wales Trinity Saint David</w:t>
      </w:r>
    </w:p>
    <w:p w14:paraId="21A9B6DE" w14:textId="77777777" w:rsidR="001F1D8C" w:rsidRPr="008A4667" w:rsidRDefault="001F1D8C" w:rsidP="001F1D8C">
      <w:pPr>
        <w:spacing w:after="200" w:line="276" w:lineRule="auto"/>
        <w:jc w:val="center"/>
        <w:rPr>
          <w:rFonts w:eastAsiaTheme="minorEastAsia"/>
        </w:rPr>
      </w:pPr>
      <w:r w:rsidRPr="008A4667">
        <w:rPr>
          <w:rFonts w:ascii="Calibri" w:eastAsiaTheme="minorEastAsia" w:hAnsi="Calibri"/>
          <w:i/>
          <w:sz w:val="26"/>
        </w:rPr>
        <w:t>Wales Institute of Science &amp; Art</w:t>
      </w:r>
    </w:p>
    <w:p w14:paraId="06D917ED" w14:textId="77777777" w:rsidR="001F1D8C" w:rsidRPr="008A4667" w:rsidRDefault="001F1D8C" w:rsidP="001F1D8C">
      <w:pPr>
        <w:spacing w:after="200" w:line="276" w:lineRule="auto"/>
        <w:rPr>
          <w:rFonts w:eastAsiaTheme="minorEastAsia"/>
        </w:rPr>
      </w:pPr>
    </w:p>
    <w:p w14:paraId="51779831" w14:textId="77777777" w:rsidR="001F1D8C" w:rsidRPr="008A4667" w:rsidRDefault="001F1D8C" w:rsidP="001F1D8C">
      <w:pPr>
        <w:spacing w:after="200" w:line="276" w:lineRule="auto"/>
        <w:rPr>
          <w:rFonts w:eastAsiaTheme="minorEastAsia"/>
        </w:rPr>
      </w:pPr>
    </w:p>
    <w:p w14:paraId="7416795F" w14:textId="034338B7" w:rsidR="001F1D8C" w:rsidRPr="008A4667" w:rsidRDefault="001F1D8C" w:rsidP="001F1D8C">
      <w:pPr>
        <w:spacing w:after="200" w:line="276" w:lineRule="auto"/>
        <w:jc w:val="center"/>
        <w:rPr>
          <w:rFonts w:eastAsiaTheme="minorEastAsia"/>
        </w:rPr>
      </w:pPr>
      <w:bookmarkStart w:id="0" w:name="_Hlk218796134"/>
      <w:r w:rsidRPr="008A4667">
        <w:rPr>
          <w:rFonts w:ascii="Calibri" w:eastAsiaTheme="minorEastAsia" w:hAnsi="Calibri"/>
          <w:b/>
          <w:sz w:val="28"/>
        </w:rPr>
        <w:t>ACMA</w:t>
      </w:r>
      <w:r>
        <w:rPr>
          <w:rFonts w:ascii="Calibri" w:eastAsiaTheme="minorEastAsia" w:hAnsi="Calibri"/>
          <w:b/>
          <w:sz w:val="28"/>
        </w:rPr>
        <w:t>6000</w:t>
      </w:r>
      <w:r w:rsidRPr="008A4667">
        <w:rPr>
          <w:rFonts w:ascii="Calibri" w:eastAsiaTheme="minorEastAsia" w:hAnsi="Calibri"/>
          <w:b/>
          <w:sz w:val="28"/>
        </w:rPr>
        <w:t xml:space="preserve"> – </w:t>
      </w:r>
      <w:r>
        <w:rPr>
          <w:rFonts w:ascii="Calibri" w:eastAsiaTheme="minorEastAsia" w:hAnsi="Calibri"/>
          <w:b/>
          <w:sz w:val="28"/>
        </w:rPr>
        <w:t>Advanced Processes &amp; Materials</w:t>
      </w:r>
    </w:p>
    <w:bookmarkEnd w:id="0"/>
    <w:p w14:paraId="1D3B2F18" w14:textId="77777777" w:rsidR="001F1D8C" w:rsidRPr="008A4667" w:rsidRDefault="001F1D8C" w:rsidP="001F1D8C">
      <w:pPr>
        <w:spacing w:after="200" w:line="276" w:lineRule="auto"/>
        <w:rPr>
          <w:rFonts w:eastAsiaTheme="minorEastAsia"/>
        </w:rPr>
      </w:pPr>
    </w:p>
    <w:p w14:paraId="028A6FAF" w14:textId="77777777" w:rsidR="001F1D8C" w:rsidRPr="008A4667" w:rsidRDefault="001F1D8C" w:rsidP="001F1D8C">
      <w:pPr>
        <w:spacing w:after="200" w:line="276" w:lineRule="auto"/>
        <w:rPr>
          <w:rFonts w:eastAsiaTheme="minorEastAsia"/>
        </w:rPr>
      </w:pPr>
    </w:p>
    <w:p w14:paraId="13EB3663" w14:textId="193FCBA6" w:rsidR="001F1D8C" w:rsidRPr="008A4667" w:rsidRDefault="001F1D8C" w:rsidP="001F1D8C">
      <w:pPr>
        <w:spacing w:after="200" w:line="276" w:lineRule="auto"/>
        <w:jc w:val="center"/>
        <w:rPr>
          <w:rFonts w:eastAsiaTheme="minorEastAsia"/>
        </w:rPr>
      </w:pPr>
      <w:r>
        <w:rPr>
          <w:rFonts w:ascii="Calibri" w:eastAsiaTheme="minorEastAsia" w:hAnsi="Calibri"/>
          <w:b/>
          <w:sz w:val="28"/>
        </w:rPr>
        <w:t>Manufacture of a Wind Turbine Blade</w:t>
      </w:r>
    </w:p>
    <w:p w14:paraId="41923515" w14:textId="77777777"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Student Name: </w:t>
      </w:r>
      <w:r w:rsidRPr="008A4667">
        <w:rPr>
          <w:rFonts w:ascii="Calibri" w:eastAsiaTheme="minorEastAsia" w:hAnsi="Calibri"/>
        </w:rPr>
        <w:t>Antony Gwilym Pugh</w:t>
      </w:r>
    </w:p>
    <w:p w14:paraId="210B2B31" w14:textId="77777777"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Student Number: </w:t>
      </w:r>
      <w:r w:rsidRPr="008A4667">
        <w:rPr>
          <w:rFonts w:ascii="Calibri" w:eastAsiaTheme="minorEastAsia" w:hAnsi="Calibri"/>
        </w:rPr>
        <w:t>2221728</w:t>
      </w:r>
    </w:p>
    <w:p w14:paraId="4484B1FF" w14:textId="77777777"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Programme: </w:t>
      </w:r>
      <w:r w:rsidRPr="008A4667">
        <w:rPr>
          <w:rFonts w:ascii="Calibri" w:eastAsiaTheme="minorEastAsia" w:hAnsi="Calibri"/>
        </w:rPr>
        <w:t>BEng (Hons) Mechanical Engineering</w:t>
      </w:r>
    </w:p>
    <w:p w14:paraId="31AD4A25" w14:textId="3FA80AF9"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Lecturer: </w:t>
      </w:r>
      <w:r>
        <w:rPr>
          <w:rFonts w:ascii="Calibri" w:eastAsiaTheme="minorEastAsia" w:hAnsi="Calibri"/>
          <w:bCs/>
        </w:rPr>
        <w:t>Dr Mohamed Gabr / Dr Phil Holden</w:t>
      </w:r>
    </w:p>
    <w:p w14:paraId="6002445B" w14:textId="29E18D8F"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Internal Verifier: </w:t>
      </w:r>
      <w:r>
        <w:rPr>
          <w:rFonts w:ascii="Calibri" w:eastAsiaTheme="minorEastAsia" w:hAnsi="Calibri"/>
          <w:bCs/>
        </w:rPr>
        <w:t xml:space="preserve">Dr Jordan Jenkins </w:t>
      </w:r>
    </w:p>
    <w:p w14:paraId="52054BDF" w14:textId="632B9FB2"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Submission Date: </w:t>
      </w:r>
      <w:r w:rsidR="003C279E">
        <w:rPr>
          <w:rFonts w:ascii="Calibri" w:eastAsiaTheme="minorEastAsia" w:hAnsi="Calibri"/>
        </w:rPr>
        <w:t>7</w:t>
      </w:r>
      <w:r w:rsidRPr="008A4667">
        <w:rPr>
          <w:rFonts w:ascii="Calibri" w:eastAsiaTheme="minorEastAsia" w:hAnsi="Calibri"/>
          <w:vertAlign w:val="superscript"/>
        </w:rPr>
        <w:t>th</w:t>
      </w:r>
      <w:r w:rsidRPr="008A4667">
        <w:rPr>
          <w:rFonts w:ascii="Calibri" w:eastAsiaTheme="minorEastAsia" w:hAnsi="Calibri"/>
        </w:rPr>
        <w:t xml:space="preserve"> </w:t>
      </w:r>
      <w:r w:rsidR="003C279E">
        <w:rPr>
          <w:rFonts w:ascii="Calibri" w:eastAsiaTheme="minorEastAsia" w:hAnsi="Calibri"/>
        </w:rPr>
        <w:t>September</w:t>
      </w:r>
      <w:r w:rsidRPr="008A4667">
        <w:rPr>
          <w:rFonts w:ascii="Calibri" w:eastAsiaTheme="minorEastAsia" w:hAnsi="Calibri"/>
        </w:rPr>
        <w:t xml:space="preserve"> 2026</w:t>
      </w:r>
    </w:p>
    <w:p w14:paraId="303C8AAC" w14:textId="4FE54134" w:rsidR="001F1D8C" w:rsidRPr="008A4667" w:rsidRDefault="001F1D8C" w:rsidP="001F1D8C">
      <w:pPr>
        <w:spacing w:after="200" w:line="276" w:lineRule="auto"/>
        <w:jc w:val="center"/>
        <w:rPr>
          <w:rFonts w:eastAsiaTheme="minorEastAsia"/>
        </w:rPr>
      </w:pPr>
      <w:r w:rsidRPr="008A4667">
        <w:rPr>
          <w:rFonts w:ascii="Calibri" w:eastAsiaTheme="minorEastAsia" w:hAnsi="Calibri"/>
          <w:b/>
        </w:rPr>
        <w:t xml:space="preserve">Word Count: </w:t>
      </w:r>
      <w:r w:rsidR="00591F1C">
        <w:rPr>
          <w:rFonts w:ascii="Calibri" w:eastAsiaTheme="minorEastAsia" w:hAnsi="Calibri"/>
        </w:rPr>
        <w:t>3</w:t>
      </w:r>
      <w:r w:rsidR="00286711">
        <w:rPr>
          <w:rFonts w:ascii="Calibri" w:eastAsiaTheme="minorEastAsia" w:hAnsi="Calibri"/>
        </w:rPr>
        <w:t>193</w:t>
      </w:r>
    </w:p>
    <w:p w14:paraId="1DA0A81A" w14:textId="77777777" w:rsidR="001F1D8C" w:rsidRPr="008A4667" w:rsidRDefault="001F1D8C" w:rsidP="001F1D8C">
      <w:r w:rsidRPr="008A4667">
        <w:br w:type="page"/>
      </w:r>
    </w:p>
    <w:p w14:paraId="39B7C249" w14:textId="77777777" w:rsidR="001F1D8C" w:rsidRDefault="001F1D8C" w:rsidP="001F1D8C">
      <w:r>
        <w:rPr>
          <w:b/>
          <w:bCs/>
          <w:color w:val="1F3864"/>
          <w:sz w:val="30"/>
          <w:szCs w:val="30"/>
        </w:rPr>
        <w:lastRenderedPageBreak/>
        <w:t>Contents</w:t>
      </w:r>
    </w:p>
    <w:sdt>
      <w:sdtPr>
        <w:alias w:val="Contents"/>
        <w:id w:val="-407534586"/>
      </w:sdtPr>
      <w:sdtEndPr/>
      <w:sdtContent>
        <w:p w14:paraId="418BEB80" w14:textId="250E1DCF" w:rsidR="00286711" w:rsidRDefault="001F1D8C">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w:instrText>
          </w:r>
          <w:r>
            <w:fldChar w:fldCharType="separate"/>
          </w:r>
          <w:hyperlink w:anchor="_Toc239615476" w:history="1">
            <w:r w:rsidR="00286711" w:rsidRPr="00E50531">
              <w:rPr>
                <w:rStyle w:val="Hyperlink"/>
                <w:noProof/>
              </w:rPr>
              <w:t>Abstract</w:t>
            </w:r>
            <w:r w:rsidR="00286711">
              <w:rPr>
                <w:noProof/>
              </w:rPr>
              <w:tab/>
            </w:r>
            <w:r w:rsidR="00286711">
              <w:rPr>
                <w:noProof/>
              </w:rPr>
              <w:fldChar w:fldCharType="begin"/>
            </w:r>
            <w:r w:rsidR="00286711">
              <w:rPr>
                <w:noProof/>
              </w:rPr>
              <w:instrText xml:space="preserve"> PAGEREF _Toc239615476 \h </w:instrText>
            </w:r>
            <w:r w:rsidR="00286711">
              <w:rPr>
                <w:noProof/>
              </w:rPr>
            </w:r>
            <w:r w:rsidR="00286711">
              <w:rPr>
                <w:noProof/>
              </w:rPr>
              <w:fldChar w:fldCharType="separate"/>
            </w:r>
            <w:r w:rsidR="00286711">
              <w:rPr>
                <w:noProof/>
              </w:rPr>
              <w:t>6</w:t>
            </w:r>
            <w:r w:rsidR="00286711">
              <w:rPr>
                <w:noProof/>
              </w:rPr>
              <w:fldChar w:fldCharType="end"/>
            </w:r>
          </w:hyperlink>
        </w:p>
        <w:p w14:paraId="2FD66CA9" w14:textId="21151626"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77" w:history="1">
            <w:r w:rsidRPr="00E50531">
              <w:rPr>
                <w:rStyle w:val="Hyperlink"/>
                <w:noProof/>
              </w:rPr>
              <w:t>1. Introduction</w:t>
            </w:r>
            <w:r>
              <w:rPr>
                <w:noProof/>
              </w:rPr>
              <w:tab/>
            </w:r>
            <w:r>
              <w:rPr>
                <w:noProof/>
              </w:rPr>
              <w:fldChar w:fldCharType="begin"/>
            </w:r>
            <w:r>
              <w:rPr>
                <w:noProof/>
              </w:rPr>
              <w:instrText xml:space="preserve"> PAGEREF _Toc239615477 \h </w:instrText>
            </w:r>
            <w:r>
              <w:rPr>
                <w:noProof/>
              </w:rPr>
            </w:r>
            <w:r>
              <w:rPr>
                <w:noProof/>
              </w:rPr>
              <w:fldChar w:fldCharType="separate"/>
            </w:r>
            <w:r>
              <w:rPr>
                <w:noProof/>
              </w:rPr>
              <w:t>7</w:t>
            </w:r>
            <w:r>
              <w:rPr>
                <w:noProof/>
              </w:rPr>
              <w:fldChar w:fldCharType="end"/>
            </w:r>
          </w:hyperlink>
        </w:p>
        <w:p w14:paraId="50135D18" w14:textId="203D3695"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78" w:history="1">
            <w:r w:rsidRPr="00E50531">
              <w:rPr>
                <w:rStyle w:val="Hyperlink"/>
                <w:noProof/>
              </w:rPr>
              <w:t>2. Literature Review</w:t>
            </w:r>
            <w:r>
              <w:rPr>
                <w:noProof/>
              </w:rPr>
              <w:tab/>
            </w:r>
            <w:r>
              <w:rPr>
                <w:noProof/>
              </w:rPr>
              <w:fldChar w:fldCharType="begin"/>
            </w:r>
            <w:r>
              <w:rPr>
                <w:noProof/>
              </w:rPr>
              <w:instrText xml:space="preserve"> PAGEREF _Toc239615478 \h </w:instrText>
            </w:r>
            <w:r>
              <w:rPr>
                <w:noProof/>
              </w:rPr>
            </w:r>
            <w:r>
              <w:rPr>
                <w:noProof/>
              </w:rPr>
              <w:fldChar w:fldCharType="separate"/>
            </w:r>
            <w:r>
              <w:rPr>
                <w:noProof/>
              </w:rPr>
              <w:t>7</w:t>
            </w:r>
            <w:r>
              <w:rPr>
                <w:noProof/>
              </w:rPr>
              <w:fldChar w:fldCharType="end"/>
            </w:r>
          </w:hyperlink>
        </w:p>
        <w:p w14:paraId="11E7496C" w14:textId="756D5620"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79" w:history="1">
            <w:r w:rsidRPr="00E50531">
              <w:rPr>
                <w:rStyle w:val="Hyperlink"/>
                <w:noProof/>
              </w:rPr>
              <w:t>2.1 Aerodynamic profiles</w:t>
            </w:r>
            <w:r>
              <w:rPr>
                <w:noProof/>
              </w:rPr>
              <w:tab/>
            </w:r>
            <w:r>
              <w:rPr>
                <w:noProof/>
              </w:rPr>
              <w:fldChar w:fldCharType="begin"/>
            </w:r>
            <w:r>
              <w:rPr>
                <w:noProof/>
              </w:rPr>
              <w:instrText xml:space="preserve"> PAGEREF _Toc239615479 \h </w:instrText>
            </w:r>
            <w:r>
              <w:rPr>
                <w:noProof/>
              </w:rPr>
            </w:r>
            <w:r>
              <w:rPr>
                <w:noProof/>
              </w:rPr>
              <w:fldChar w:fldCharType="separate"/>
            </w:r>
            <w:r>
              <w:rPr>
                <w:noProof/>
              </w:rPr>
              <w:t>7</w:t>
            </w:r>
            <w:r>
              <w:rPr>
                <w:noProof/>
              </w:rPr>
              <w:fldChar w:fldCharType="end"/>
            </w:r>
          </w:hyperlink>
        </w:p>
        <w:p w14:paraId="70F876B1" w14:textId="260E2A60"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0" w:history="1">
            <w:r w:rsidRPr="00E50531">
              <w:rPr>
                <w:rStyle w:val="Hyperlink"/>
                <w:noProof/>
              </w:rPr>
              <w:t>2.2 Optimal dimensions</w:t>
            </w:r>
            <w:r>
              <w:rPr>
                <w:noProof/>
              </w:rPr>
              <w:tab/>
            </w:r>
            <w:r>
              <w:rPr>
                <w:noProof/>
              </w:rPr>
              <w:fldChar w:fldCharType="begin"/>
            </w:r>
            <w:r>
              <w:rPr>
                <w:noProof/>
              </w:rPr>
              <w:instrText xml:space="preserve"> PAGEREF _Toc239615480 \h </w:instrText>
            </w:r>
            <w:r>
              <w:rPr>
                <w:noProof/>
              </w:rPr>
            </w:r>
            <w:r>
              <w:rPr>
                <w:noProof/>
              </w:rPr>
              <w:fldChar w:fldCharType="separate"/>
            </w:r>
            <w:r>
              <w:rPr>
                <w:noProof/>
              </w:rPr>
              <w:t>8</w:t>
            </w:r>
            <w:r>
              <w:rPr>
                <w:noProof/>
              </w:rPr>
              <w:fldChar w:fldCharType="end"/>
            </w:r>
          </w:hyperlink>
        </w:p>
        <w:p w14:paraId="06EE68ED" w14:textId="29C2D36A"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1" w:history="1">
            <w:r w:rsidRPr="00E50531">
              <w:rPr>
                <w:rStyle w:val="Hyperlink"/>
                <w:noProof/>
              </w:rPr>
              <w:t>2.3 Material properties of metals, ceramics and composites</w:t>
            </w:r>
            <w:r>
              <w:rPr>
                <w:noProof/>
              </w:rPr>
              <w:tab/>
            </w:r>
            <w:r>
              <w:rPr>
                <w:noProof/>
              </w:rPr>
              <w:fldChar w:fldCharType="begin"/>
            </w:r>
            <w:r>
              <w:rPr>
                <w:noProof/>
              </w:rPr>
              <w:instrText xml:space="preserve"> PAGEREF _Toc239615481 \h </w:instrText>
            </w:r>
            <w:r>
              <w:rPr>
                <w:noProof/>
              </w:rPr>
            </w:r>
            <w:r>
              <w:rPr>
                <w:noProof/>
              </w:rPr>
              <w:fldChar w:fldCharType="separate"/>
            </w:r>
            <w:r>
              <w:rPr>
                <w:noProof/>
              </w:rPr>
              <w:t>9</w:t>
            </w:r>
            <w:r>
              <w:rPr>
                <w:noProof/>
              </w:rPr>
              <w:fldChar w:fldCharType="end"/>
            </w:r>
          </w:hyperlink>
        </w:p>
        <w:p w14:paraId="033C12E9" w14:textId="4342B53F"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2" w:history="1">
            <w:r w:rsidRPr="00E50531">
              <w:rPr>
                <w:rStyle w:val="Hyperlink"/>
                <w:noProof/>
              </w:rPr>
              <w:t>2.4 Environmental factors</w:t>
            </w:r>
            <w:r>
              <w:rPr>
                <w:noProof/>
              </w:rPr>
              <w:tab/>
            </w:r>
            <w:r>
              <w:rPr>
                <w:noProof/>
              </w:rPr>
              <w:fldChar w:fldCharType="begin"/>
            </w:r>
            <w:r>
              <w:rPr>
                <w:noProof/>
              </w:rPr>
              <w:instrText xml:space="preserve"> PAGEREF _Toc239615482 \h </w:instrText>
            </w:r>
            <w:r>
              <w:rPr>
                <w:noProof/>
              </w:rPr>
            </w:r>
            <w:r>
              <w:rPr>
                <w:noProof/>
              </w:rPr>
              <w:fldChar w:fldCharType="separate"/>
            </w:r>
            <w:r>
              <w:rPr>
                <w:noProof/>
              </w:rPr>
              <w:t>10</w:t>
            </w:r>
            <w:r>
              <w:rPr>
                <w:noProof/>
              </w:rPr>
              <w:fldChar w:fldCharType="end"/>
            </w:r>
          </w:hyperlink>
        </w:p>
        <w:p w14:paraId="32AE1AB6" w14:textId="5DEAD176"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83" w:history="1">
            <w:r w:rsidRPr="00E50531">
              <w:rPr>
                <w:rStyle w:val="Hyperlink"/>
                <w:noProof/>
              </w:rPr>
              <w:t>3. Design Specifications</w:t>
            </w:r>
            <w:r>
              <w:rPr>
                <w:noProof/>
              </w:rPr>
              <w:tab/>
            </w:r>
            <w:r>
              <w:rPr>
                <w:noProof/>
              </w:rPr>
              <w:fldChar w:fldCharType="begin"/>
            </w:r>
            <w:r>
              <w:rPr>
                <w:noProof/>
              </w:rPr>
              <w:instrText xml:space="preserve"> PAGEREF _Toc239615483 \h </w:instrText>
            </w:r>
            <w:r>
              <w:rPr>
                <w:noProof/>
              </w:rPr>
            </w:r>
            <w:r>
              <w:rPr>
                <w:noProof/>
              </w:rPr>
              <w:fldChar w:fldCharType="separate"/>
            </w:r>
            <w:r>
              <w:rPr>
                <w:noProof/>
              </w:rPr>
              <w:t>10</w:t>
            </w:r>
            <w:r>
              <w:rPr>
                <w:noProof/>
              </w:rPr>
              <w:fldChar w:fldCharType="end"/>
            </w:r>
          </w:hyperlink>
        </w:p>
        <w:p w14:paraId="5C437615" w14:textId="0887567F"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84" w:history="1">
            <w:r w:rsidRPr="00E50531">
              <w:rPr>
                <w:rStyle w:val="Hyperlink"/>
                <w:noProof/>
              </w:rPr>
              <w:t>4. Material Selection</w:t>
            </w:r>
            <w:r>
              <w:rPr>
                <w:noProof/>
              </w:rPr>
              <w:tab/>
            </w:r>
            <w:r>
              <w:rPr>
                <w:noProof/>
              </w:rPr>
              <w:fldChar w:fldCharType="begin"/>
            </w:r>
            <w:r>
              <w:rPr>
                <w:noProof/>
              </w:rPr>
              <w:instrText xml:space="preserve"> PAGEREF _Toc239615484 \h </w:instrText>
            </w:r>
            <w:r>
              <w:rPr>
                <w:noProof/>
              </w:rPr>
            </w:r>
            <w:r>
              <w:rPr>
                <w:noProof/>
              </w:rPr>
              <w:fldChar w:fldCharType="separate"/>
            </w:r>
            <w:r>
              <w:rPr>
                <w:noProof/>
              </w:rPr>
              <w:t>11</w:t>
            </w:r>
            <w:r>
              <w:rPr>
                <w:noProof/>
              </w:rPr>
              <w:fldChar w:fldCharType="end"/>
            </w:r>
          </w:hyperlink>
        </w:p>
        <w:p w14:paraId="2315FCCA" w14:textId="70F19BEE"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85" w:history="1">
            <w:r w:rsidRPr="00E50531">
              <w:rPr>
                <w:rStyle w:val="Hyperlink"/>
                <w:noProof/>
              </w:rPr>
              <w:t>5. Exploration of Manufacturing Routes</w:t>
            </w:r>
            <w:r>
              <w:rPr>
                <w:noProof/>
              </w:rPr>
              <w:tab/>
            </w:r>
            <w:r>
              <w:rPr>
                <w:noProof/>
              </w:rPr>
              <w:fldChar w:fldCharType="begin"/>
            </w:r>
            <w:r>
              <w:rPr>
                <w:noProof/>
              </w:rPr>
              <w:instrText xml:space="preserve"> PAGEREF _Toc239615485 \h </w:instrText>
            </w:r>
            <w:r>
              <w:rPr>
                <w:noProof/>
              </w:rPr>
            </w:r>
            <w:r>
              <w:rPr>
                <w:noProof/>
              </w:rPr>
              <w:fldChar w:fldCharType="separate"/>
            </w:r>
            <w:r>
              <w:rPr>
                <w:noProof/>
              </w:rPr>
              <w:t>13</w:t>
            </w:r>
            <w:r>
              <w:rPr>
                <w:noProof/>
              </w:rPr>
              <w:fldChar w:fldCharType="end"/>
            </w:r>
          </w:hyperlink>
        </w:p>
        <w:p w14:paraId="1D8FA036" w14:textId="66124D6F"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6" w:history="1">
            <w:r w:rsidRPr="00E50531">
              <w:rPr>
                <w:rStyle w:val="Hyperlink"/>
                <w:noProof/>
              </w:rPr>
              <w:t>5.1 Metals — casting and extrusion</w:t>
            </w:r>
            <w:r>
              <w:rPr>
                <w:noProof/>
              </w:rPr>
              <w:tab/>
            </w:r>
            <w:r>
              <w:rPr>
                <w:noProof/>
              </w:rPr>
              <w:fldChar w:fldCharType="begin"/>
            </w:r>
            <w:r>
              <w:rPr>
                <w:noProof/>
              </w:rPr>
              <w:instrText xml:space="preserve"> PAGEREF _Toc239615486 \h </w:instrText>
            </w:r>
            <w:r>
              <w:rPr>
                <w:noProof/>
              </w:rPr>
            </w:r>
            <w:r>
              <w:rPr>
                <w:noProof/>
              </w:rPr>
              <w:fldChar w:fldCharType="separate"/>
            </w:r>
            <w:r>
              <w:rPr>
                <w:noProof/>
              </w:rPr>
              <w:t>13</w:t>
            </w:r>
            <w:r>
              <w:rPr>
                <w:noProof/>
              </w:rPr>
              <w:fldChar w:fldCharType="end"/>
            </w:r>
          </w:hyperlink>
        </w:p>
        <w:p w14:paraId="2A01EE64" w14:textId="74A9E167"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7" w:history="1">
            <w:r w:rsidRPr="00E50531">
              <w:rPr>
                <w:rStyle w:val="Hyperlink"/>
                <w:noProof/>
              </w:rPr>
              <w:t>5.2 Ceramics — sintering / additive manufacturing</w:t>
            </w:r>
            <w:r>
              <w:rPr>
                <w:noProof/>
              </w:rPr>
              <w:tab/>
            </w:r>
            <w:r>
              <w:rPr>
                <w:noProof/>
              </w:rPr>
              <w:fldChar w:fldCharType="begin"/>
            </w:r>
            <w:r>
              <w:rPr>
                <w:noProof/>
              </w:rPr>
              <w:instrText xml:space="preserve"> PAGEREF _Toc239615487 \h </w:instrText>
            </w:r>
            <w:r>
              <w:rPr>
                <w:noProof/>
              </w:rPr>
            </w:r>
            <w:r>
              <w:rPr>
                <w:noProof/>
              </w:rPr>
              <w:fldChar w:fldCharType="separate"/>
            </w:r>
            <w:r>
              <w:rPr>
                <w:noProof/>
              </w:rPr>
              <w:t>13</w:t>
            </w:r>
            <w:r>
              <w:rPr>
                <w:noProof/>
              </w:rPr>
              <w:fldChar w:fldCharType="end"/>
            </w:r>
          </w:hyperlink>
        </w:p>
        <w:p w14:paraId="272343B4" w14:textId="0ECDF465"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8" w:history="1">
            <w:r w:rsidRPr="00E50531">
              <w:rPr>
                <w:rStyle w:val="Hyperlink"/>
                <w:noProof/>
              </w:rPr>
              <w:t>5.3 Polymer composites — RTM / vacuum infusion</w:t>
            </w:r>
            <w:r>
              <w:rPr>
                <w:noProof/>
              </w:rPr>
              <w:tab/>
            </w:r>
            <w:r>
              <w:rPr>
                <w:noProof/>
              </w:rPr>
              <w:fldChar w:fldCharType="begin"/>
            </w:r>
            <w:r>
              <w:rPr>
                <w:noProof/>
              </w:rPr>
              <w:instrText xml:space="preserve"> PAGEREF _Toc239615488 \h </w:instrText>
            </w:r>
            <w:r>
              <w:rPr>
                <w:noProof/>
              </w:rPr>
            </w:r>
            <w:r>
              <w:rPr>
                <w:noProof/>
              </w:rPr>
              <w:fldChar w:fldCharType="separate"/>
            </w:r>
            <w:r>
              <w:rPr>
                <w:noProof/>
              </w:rPr>
              <w:t>14</w:t>
            </w:r>
            <w:r>
              <w:rPr>
                <w:noProof/>
              </w:rPr>
              <w:fldChar w:fldCharType="end"/>
            </w:r>
          </w:hyperlink>
        </w:p>
        <w:p w14:paraId="0EE90DE9" w14:textId="4DF4FEFE"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89" w:history="1">
            <w:r w:rsidRPr="00E50531">
              <w:rPr>
                <w:rStyle w:val="Hyperlink"/>
                <w:noProof/>
              </w:rPr>
              <w:t>5.4 Comparison of routes</w:t>
            </w:r>
            <w:r>
              <w:rPr>
                <w:noProof/>
              </w:rPr>
              <w:tab/>
            </w:r>
            <w:r>
              <w:rPr>
                <w:noProof/>
              </w:rPr>
              <w:fldChar w:fldCharType="begin"/>
            </w:r>
            <w:r>
              <w:rPr>
                <w:noProof/>
              </w:rPr>
              <w:instrText xml:space="preserve"> PAGEREF _Toc239615489 \h </w:instrText>
            </w:r>
            <w:r>
              <w:rPr>
                <w:noProof/>
              </w:rPr>
            </w:r>
            <w:r>
              <w:rPr>
                <w:noProof/>
              </w:rPr>
              <w:fldChar w:fldCharType="separate"/>
            </w:r>
            <w:r>
              <w:rPr>
                <w:noProof/>
              </w:rPr>
              <w:t>14</w:t>
            </w:r>
            <w:r>
              <w:rPr>
                <w:noProof/>
              </w:rPr>
              <w:fldChar w:fldCharType="end"/>
            </w:r>
          </w:hyperlink>
        </w:p>
        <w:p w14:paraId="1DC75BFE" w14:textId="226FB73C"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0" w:history="1">
            <w:r w:rsidRPr="00E50531">
              <w:rPr>
                <w:rStyle w:val="Hyperlink"/>
                <w:noProof/>
              </w:rPr>
              <w:t>6. Cost Evaluation</w:t>
            </w:r>
            <w:r>
              <w:rPr>
                <w:noProof/>
              </w:rPr>
              <w:tab/>
            </w:r>
            <w:r>
              <w:rPr>
                <w:noProof/>
              </w:rPr>
              <w:fldChar w:fldCharType="begin"/>
            </w:r>
            <w:r>
              <w:rPr>
                <w:noProof/>
              </w:rPr>
              <w:instrText xml:space="preserve"> PAGEREF _Toc239615490 \h </w:instrText>
            </w:r>
            <w:r>
              <w:rPr>
                <w:noProof/>
              </w:rPr>
            </w:r>
            <w:r>
              <w:rPr>
                <w:noProof/>
              </w:rPr>
              <w:fldChar w:fldCharType="separate"/>
            </w:r>
            <w:r>
              <w:rPr>
                <w:noProof/>
              </w:rPr>
              <w:t>15</w:t>
            </w:r>
            <w:r>
              <w:rPr>
                <w:noProof/>
              </w:rPr>
              <w:fldChar w:fldCharType="end"/>
            </w:r>
          </w:hyperlink>
        </w:p>
        <w:p w14:paraId="0420E988" w14:textId="3A0A08D5"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1" w:history="1">
            <w:r w:rsidRPr="00E50531">
              <w:rPr>
                <w:rStyle w:val="Hyperlink"/>
                <w:noProof/>
              </w:rPr>
              <w:t>7. Mechanical Properties Analysis</w:t>
            </w:r>
            <w:r>
              <w:rPr>
                <w:noProof/>
              </w:rPr>
              <w:tab/>
            </w:r>
            <w:r>
              <w:rPr>
                <w:noProof/>
              </w:rPr>
              <w:fldChar w:fldCharType="begin"/>
            </w:r>
            <w:r>
              <w:rPr>
                <w:noProof/>
              </w:rPr>
              <w:instrText xml:space="preserve"> PAGEREF _Toc239615491 \h </w:instrText>
            </w:r>
            <w:r>
              <w:rPr>
                <w:noProof/>
              </w:rPr>
            </w:r>
            <w:r>
              <w:rPr>
                <w:noProof/>
              </w:rPr>
              <w:fldChar w:fldCharType="separate"/>
            </w:r>
            <w:r>
              <w:rPr>
                <w:noProof/>
              </w:rPr>
              <w:t>15</w:t>
            </w:r>
            <w:r>
              <w:rPr>
                <w:noProof/>
              </w:rPr>
              <w:fldChar w:fldCharType="end"/>
            </w:r>
          </w:hyperlink>
        </w:p>
        <w:p w14:paraId="7DABBA1A" w14:textId="0E9ECEB4"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2" w:history="1">
            <w:r w:rsidRPr="00E50531">
              <w:rPr>
                <w:rStyle w:val="Hyperlink"/>
                <w:noProof/>
              </w:rPr>
              <w:t>8. Comparative Analysis</w:t>
            </w:r>
            <w:r>
              <w:rPr>
                <w:noProof/>
              </w:rPr>
              <w:tab/>
            </w:r>
            <w:r>
              <w:rPr>
                <w:noProof/>
              </w:rPr>
              <w:fldChar w:fldCharType="begin"/>
            </w:r>
            <w:r>
              <w:rPr>
                <w:noProof/>
              </w:rPr>
              <w:instrText xml:space="preserve"> PAGEREF _Toc239615492 \h </w:instrText>
            </w:r>
            <w:r>
              <w:rPr>
                <w:noProof/>
              </w:rPr>
            </w:r>
            <w:r>
              <w:rPr>
                <w:noProof/>
              </w:rPr>
              <w:fldChar w:fldCharType="separate"/>
            </w:r>
            <w:r>
              <w:rPr>
                <w:noProof/>
              </w:rPr>
              <w:t>17</w:t>
            </w:r>
            <w:r>
              <w:rPr>
                <w:noProof/>
              </w:rPr>
              <w:fldChar w:fldCharType="end"/>
            </w:r>
          </w:hyperlink>
        </w:p>
        <w:p w14:paraId="400F8463" w14:textId="48A89C04"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3" w:history="1">
            <w:r w:rsidRPr="00E50531">
              <w:rPr>
                <w:rStyle w:val="Hyperlink"/>
                <w:noProof/>
              </w:rPr>
              <w:t>9. Blade Drawing</w:t>
            </w:r>
            <w:r>
              <w:rPr>
                <w:noProof/>
              </w:rPr>
              <w:tab/>
            </w:r>
            <w:r>
              <w:rPr>
                <w:noProof/>
              </w:rPr>
              <w:fldChar w:fldCharType="begin"/>
            </w:r>
            <w:r>
              <w:rPr>
                <w:noProof/>
              </w:rPr>
              <w:instrText xml:space="preserve"> PAGEREF _Toc239615493 \h </w:instrText>
            </w:r>
            <w:r>
              <w:rPr>
                <w:noProof/>
              </w:rPr>
            </w:r>
            <w:r>
              <w:rPr>
                <w:noProof/>
              </w:rPr>
              <w:fldChar w:fldCharType="separate"/>
            </w:r>
            <w:r>
              <w:rPr>
                <w:noProof/>
              </w:rPr>
              <w:t>19</w:t>
            </w:r>
            <w:r>
              <w:rPr>
                <w:noProof/>
              </w:rPr>
              <w:fldChar w:fldCharType="end"/>
            </w:r>
          </w:hyperlink>
        </w:p>
        <w:p w14:paraId="2E569711" w14:textId="5A5349A4"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4" w:history="1">
            <w:r w:rsidRPr="00E50531">
              <w:rPr>
                <w:rStyle w:val="Hyperlink"/>
                <w:noProof/>
              </w:rPr>
              <w:t>10. Conclusions and Recommendations</w:t>
            </w:r>
            <w:r>
              <w:rPr>
                <w:noProof/>
              </w:rPr>
              <w:tab/>
            </w:r>
            <w:r>
              <w:rPr>
                <w:noProof/>
              </w:rPr>
              <w:fldChar w:fldCharType="begin"/>
            </w:r>
            <w:r>
              <w:rPr>
                <w:noProof/>
              </w:rPr>
              <w:instrText xml:space="preserve"> PAGEREF _Toc239615494 \h </w:instrText>
            </w:r>
            <w:r>
              <w:rPr>
                <w:noProof/>
              </w:rPr>
            </w:r>
            <w:r>
              <w:rPr>
                <w:noProof/>
              </w:rPr>
              <w:fldChar w:fldCharType="separate"/>
            </w:r>
            <w:r>
              <w:rPr>
                <w:noProof/>
              </w:rPr>
              <w:t>20</w:t>
            </w:r>
            <w:r>
              <w:rPr>
                <w:noProof/>
              </w:rPr>
              <w:fldChar w:fldCharType="end"/>
            </w:r>
          </w:hyperlink>
        </w:p>
        <w:p w14:paraId="4AEE3D7E" w14:textId="65D37D0A"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95" w:history="1">
            <w:r w:rsidRPr="00E50531">
              <w:rPr>
                <w:rStyle w:val="Hyperlink"/>
                <w:noProof/>
              </w:rPr>
              <w:t>10.1 Conclusions</w:t>
            </w:r>
            <w:r>
              <w:rPr>
                <w:noProof/>
              </w:rPr>
              <w:tab/>
            </w:r>
            <w:r>
              <w:rPr>
                <w:noProof/>
              </w:rPr>
              <w:fldChar w:fldCharType="begin"/>
            </w:r>
            <w:r>
              <w:rPr>
                <w:noProof/>
              </w:rPr>
              <w:instrText xml:space="preserve"> PAGEREF _Toc239615495 \h </w:instrText>
            </w:r>
            <w:r>
              <w:rPr>
                <w:noProof/>
              </w:rPr>
            </w:r>
            <w:r>
              <w:rPr>
                <w:noProof/>
              </w:rPr>
              <w:fldChar w:fldCharType="separate"/>
            </w:r>
            <w:r>
              <w:rPr>
                <w:noProof/>
              </w:rPr>
              <w:t>20</w:t>
            </w:r>
            <w:r>
              <w:rPr>
                <w:noProof/>
              </w:rPr>
              <w:fldChar w:fldCharType="end"/>
            </w:r>
          </w:hyperlink>
        </w:p>
        <w:p w14:paraId="30B9EE34" w14:textId="6E3CBB73"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96" w:history="1">
            <w:r w:rsidRPr="00E50531">
              <w:rPr>
                <w:rStyle w:val="Hyperlink"/>
                <w:noProof/>
              </w:rPr>
              <w:t>10.2 Recommendations</w:t>
            </w:r>
            <w:r>
              <w:rPr>
                <w:noProof/>
              </w:rPr>
              <w:tab/>
            </w:r>
            <w:r>
              <w:rPr>
                <w:noProof/>
              </w:rPr>
              <w:fldChar w:fldCharType="begin"/>
            </w:r>
            <w:r>
              <w:rPr>
                <w:noProof/>
              </w:rPr>
              <w:instrText xml:space="preserve"> PAGEREF _Toc239615496 \h </w:instrText>
            </w:r>
            <w:r>
              <w:rPr>
                <w:noProof/>
              </w:rPr>
            </w:r>
            <w:r>
              <w:rPr>
                <w:noProof/>
              </w:rPr>
              <w:fldChar w:fldCharType="separate"/>
            </w:r>
            <w:r>
              <w:rPr>
                <w:noProof/>
              </w:rPr>
              <w:t>20</w:t>
            </w:r>
            <w:r>
              <w:rPr>
                <w:noProof/>
              </w:rPr>
              <w:fldChar w:fldCharType="end"/>
            </w:r>
          </w:hyperlink>
        </w:p>
        <w:p w14:paraId="67F41C27" w14:textId="56B41EB6"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7" w:history="1">
            <w:r w:rsidRPr="00E50531">
              <w:rPr>
                <w:rStyle w:val="Hyperlink"/>
                <w:noProof/>
              </w:rPr>
              <w:t>11. References</w:t>
            </w:r>
            <w:r>
              <w:rPr>
                <w:noProof/>
              </w:rPr>
              <w:tab/>
            </w:r>
            <w:r>
              <w:rPr>
                <w:noProof/>
              </w:rPr>
              <w:fldChar w:fldCharType="begin"/>
            </w:r>
            <w:r>
              <w:rPr>
                <w:noProof/>
              </w:rPr>
              <w:instrText xml:space="preserve"> PAGEREF _Toc239615497 \h </w:instrText>
            </w:r>
            <w:r>
              <w:rPr>
                <w:noProof/>
              </w:rPr>
            </w:r>
            <w:r>
              <w:rPr>
                <w:noProof/>
              </w:rPr>
              <w:fldChar w:fldCharType="separate"/>
            </w:r>
            <w:r>
              <w:rPr>
                <w:noProof/>
              </w:rPr>
              <w:t>21</w:t>
            </w:r>
            <w:r>
              <w:rPr>
                <w:noProof/>
              </w:rPr>
              <w:fldChar w:fldCharType="end"/>
            </w:r>
          </w:hyperlink>
        </w:p>
        <w:p w14:paraId="1AE8E727" w14:textId="5E12AC9D" w:rsidR="00286711" w:rsidRDefault="00286711">
          <w:pPr>
            <w:pStyle w:val="TOC1"/>
            <w:tabs>
              <w:tab w:val="right" w:leader="dot" w:pos="9016"/>
            </w:tabs>
            <w:rPr>
              <w:rFonts w:asciiTheme="minorHAnsi" w:eastAsiaTheme="minorEastAsia" w:hAnsiTheme="minorHAnsi" w:cstheme="minorBidi"/>
              <w:noProof/>
              <w:kern w:val="2"/>
              <w14:ligatures w14:val="standardContextual"/>
            </w:rPr>
          </w:pPr>
          <w:hyperlink w:anchor="_Toc239615498" w:history="1">
            <w:r w:rsidRPr="00E50531">
              <w:rPr>
                <w:rStyle w:val="Hyperlink"/>
                <w:noProof/>
              </w:rPr>
              <w:t>12. Appendices</w:t>
            </w:r>
            <w:r>
              <w:rPr>
                <w:noProof/>
              </w:rPr>
              <w:tab/>
            </w:r>
            <w:r>
              <w:rPr>
                <w:noProof/>
              </w:rPr>
              <w:fldChar w:fldCharType="begin"/>
            </w:r>
            <w:r>
              <w:rPr>
                <w:noProof/>
              </w:rPr>
              <w:instrText xml:space="preserve"> PAGEREF _Toc239615498 \h </w:instrText>
            </w:r>
            <w:r>
              <w:rPr>
                <w:noProof/>
              </w:rPr>
            </w:r>
            <w:r>
              <w:rPr>
                <w:noProof/>
              </w:rPr>
              <w:fldChar w:fldCharType="separate"/>
            </w:r>
            <w:r>
              <w:rPr>
                <w:noProof/>
              </w:rPr>
              <w:t>24</w:t>
            </w:r>
            <w:r>
              <w:rPr>
                <w:noProof/>
              </w:rPr>
              <w:fldChar w:fldCharType="end"/>
            </w:r>
          </w:hyperlink>
        </w:p>
        <w:p w14:paraId="73F8749E" w14:textId="581665DD"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499" w:history="1">
            <w:r w:rsidRPr="00E50531">
              <w:rPr>
                <w:rStyle w:val="Hyperlink"/>
                <w:noProof/>
              </w:rPr>
              <w:t>Appendix A — Aerodynamic calculations</w:t>
            </w:r>
            <w:r>
              <w:rPr>
                <w:noProof/>
              </w:rPr>
              <w:tab/>
            </w:r>
            <w:r>
              <w:rPr>
                <w:noProof/>
              </w:rPr>
              <w:fldChar w:fldCharType="begin"/>
            </w:r>
            <w:r>
              <w:rPr>
                <w:noProof/>
              </w:rPr>
              <w:instrText xml:space="preserve"> PAGEREF _Toc239615499 \h </w:instrText>
            </w:r>
            <w:r>
              <w:rPr>
                <w:noProof/>
              </w:rPr>
            </w:r>
            <w:r>
              <w:rPr>
                <w:noProof/>
              </w:rPr>
              <w:fldChar w:fldCharType="separate"/>
            </w:r>
            <w:r>
              <w:rPr>
                <w:noProof/>
              </w:rPr>
              <w:t>24</w:t>
            </w:r>
            <w:r>
              <w:rPr>
                <w:noProof/>
              </w:rPr>
              <w:fldChar w:fldCharType="end"/>
            </w:r>
          </w:hyperlink>
        </w:p>
        <w:p w14:paraId="1D9ECD1C" w14:textId="5CCECA5F"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500" w:history="1">
            <w:r w:rsidRPr="00E50531">
              <w:rPr>
                <w:rStyle w:val="Hyperlink"/>
                <w:noProof/>
              </w:rPr>
              <w:t>Appendix B — Stress calculations</w:t>
            </w:r>
            <w:r>
              <w:rPr>
                <w:noProof/>
              </w:rPr>
              <w:tab/>
            </w:r>
            <w:r>
              <w:rPr>
                <w:noProof/>
              </w:rPr>
              <w:fldChar w:fldCharType="begin"/>
            </w:r>
            <w:r>
              <w:rPr>
                <w:noProof/>
              </w:rPr>
              <w:instrText xml:space="preserve"> PAGEREF _Toc239615500 \h </w:instrText>
            </w:r>
            <w:r>
              <w:rPr>
                <w:noProof/>
              </w:rPr>
            </w:r>
            <w:r>
              <w:rPr>
                <w:noProof/>
              </w:rPr>
              <w:fldChar w:fldCharType="separate"/>
            </w:r>
            <w:r>
              <w:rPr>
                <w:noProof/>
              </w:rPr>
              <w:t>27</w:t>
            </w:r>
            <w:r>
              <w:rPr>
                <w:noProof/>
              </w:rPr>
              <w:fldChar w:fldCharType="end"/>
            </w:r>
          </w:hyperlink>
        </w:p>
        <w:p w14:paraId="702F5A73" w14:textId="39605E9C"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501" w:history="1">
            <w:r w:rsidRPr="00E50531">
              <w:rPr>
                <w:rStyle w:val="Hyperlink"/>
                <w:noProof/>
              </w:rPr>
              <w:t>Appendix C — Cost data</w:t>
            </w:r>
            <w:r>
              <w:rPr>
                <w:noProof/>
              </w:rPr>
              <w:tab/>
            </w:r>
            <w:r>
              <w:rPr>
                <w:noProof/>
              </w:rPr>
              <w:fldChar w:fldCharType="begin"/>
            </w:r>
            <w:r>
              <w:rPr>
                <w:noProof/>
              </w:rPr>
              <w:instrText xml:space="preserve"> PAGEREF _Toc239615501 \h </w:instrText>
            </w:r>
            <w:r>
              <w:rPr>
                <w:noProof/>
              </w:rPr>
            </w:r>
            <w:r>
              <w:rPr>
                <w:noProof/>
              </w:rPr>
              <w:fldChar w:fldCharType="separate"/>
            </w:r>
            <w:r>
              <w:rPr>
                <w:noProof/>
              </w:rPr>
              <w:t>30</w:t>
            </w:r>
            <w:r>
              <w:rPr>
                <w:noProof/>
              </w:rPr>
              <w:fldChar w:fldCharType="end"/>
            </w:r>
          </w:hyperlink>
        </w:p>
        <w:p w14:paraId="63ADDF38" w14:textId="2954B187" w:rsidR="00286711" w:rsidRDefault="00286711">
          <w:pPr>
            <w:pStyle w:val="TOC2"/>
            <w:tabs>
              <w:tab w:val="right" w:leader="dot" w:pos="9016"/>
            </w:tabs>
            <w:rPr>
              <w:rFonts w:asciiTheme="minorHAnsi" w:eastAsiaTheme="minorEastAsia" w:hAnsiTheme="minorHAnsi" w:cstheme="minorBidi"/>
              <w:noProof/>
              <w:kern w:val="2"/>
              <w14:ligatures w14:val="standardContextual"/>
            </w:rPr>
          </w:pPr>
          <w:hyperlink w:anchor="_Toc239615502" w:history="1">
            <w:r w:rsidRPr="00E50531">
              <w:rPr>
                <w:rStyle w:val="Hyperlink"/>
                <w:noProof/>
              </w:rPr>
              <w:t>Appendix D — Additional CAD views and NACA 4412 Profiles</w:t>
            </w:r>
            <w:r>
              <w:rPr>
                <w:noProof/>
              </w:rPr>
              <w:tab/>
            </w:r>
            <w:r>
              <w:rPr>
                <w:noProof/>
              </w:rPr>
              <w:fldChar w:fldCharType="begin"/>
            </w:r>
            <w:r>
              <w:rPr>
                <w:noProof/>
              </w:rPr>
              <w:instrText xml:space="preserve"> PAGEREF _Toc239615502 \h </w:instrText>
            </w:r>
            <w:r>
              <w:rPr>
                <w:noProof/>
              </w:rPr>
            </w:r>
            <w:r>
              <w:rPr>
                <w:noProof/>
              </w:rPr>
              <w:fldChar w:fldCharType="separate"/>
            </w:r>
            <w:r>
              <w:rPr>
                <w:noProof/>
              </w:rPr>
              <w:t>32</w:t>
            </w:r>
            <w:r>
              <w:rPr>
                <w:noProof/>
              </w:rPr>
              <w:fldChar w:fldCharType="end"/>
            </w:r>
          </w:hyperlink>
        </w:p>
        <w:p w14:paraId="6AA12AF5" w14:textId="20594156" w:rsidR="001F1D8C" w:rsidRDefault="001F1D8C" w:rsidP="001F1D8C">
          <w:r>
            <w:fldChar w:fldCharType="end"/>
          </w:r>
        </w:p>
      </w:sdtContent>
    </w:sdt>
    <w:p w14:paraId="43F9DFA8" w14:textId="77777777" w:rsidR="001F1D8C" w:rsidRDefault="001F1D8C" w:rsidP="001F1D8C">
      <w:r>
        <w:br w:type="page"/>
      </w:r>
    </w:p>
    <w:p w14:paraId="64060406" w14:textId="77777777" w:rsidR="001F1D8C" w:rsidRDefault="001F1D8C" w:rsidP="001F1D8C">
      <w:r>
        <w:rPr>
          <w:b/>
          <w:bCs/>
          <w:color w:val="1F3864"/>
          <w:sz w:val="30"/>
          <w:szCs w:val="30"/>
        </w:rPr>
        <w:lastRenderedPageBreak/>
        <w:t>Table of Figures</w:t>
      </w:r>
    </w:p>
    <w:p w14:paraId="181BCA3F" w14:textId="117765B1" w:rsidR="00286711" w:rsidRDefault="00CC3E42">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239615503" w:history="1">
        <w:r w:rsidR="00286711" w:rsidRPr="000F116C">
          <w:rPr>
            <w:rStyle w:val="Hyperlink"/>
            <w:noProof/>
          </w:rPr>
          <w:t>Figure 1: Spanwise flapwise force distribution</w:t>
        </w:r>
        <w:r w:rsidR="00286711">
          <w:rPr>
            <w:noProof/>
            <w:webHidden/>
          </w:rPr>
          <w:tab/>
        </w:r>
        <w:r w:rsidR="00286711">
          <w:rPr>
            <w:noProof/>
            <w:webHidden/>
          </w:rPr>
          <w:fldChar w:fldCharType="begin"/>
        </w:r>
        <w:r w:rsidR="00286711">
          <w:rPr>
            <w:noProof/>
            <w:webHidden/>
          </w:rPr>
          <w:instrText xml:space="preserve"> PAGEREF _Toc239615503 \h </w:instrText>
        </w:r>
        <w:r w:rsidR="00286711">
          <w:rPr>
            <w:noProof/>
            <w:webHidden/>
          </w:rPr>
        </w:r>
        <w:r w:rsidR="00286711">
          <w:rPr>
            <w:noProof/>
            <w:webHidden/>
          </w:rPr>
          <w:fldChar w:fldCharType="separate"/>
        </w:r>
        <w:r w:rsidR="00286711">
          <w:rPr>
            <w:noProof/>
            <w:webHidden/>
          </w:rPr>
          <w:t>16</w:t>
        </w:r>
        <w:r w:rsidR="00286711">
          <w:rPr>
            <w:noProof/>
            <w:webHidden/>
          </w:rPr>
          <w:fldChar w:fldCharType="end"/>
        </w:r>
      </w:hyperlink>
    </w:p>
    <w:p w14:paraId="7D2A93FF" w14:textId="04F885E5"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4" w:history="1">
        <w:r w:rsidRPr="000F116C">
          <w:rPr>
            <w:rStyle w:val="Hyperlink"/>
            <w:noProof/>
          </w:rPr>
          <w:t>Figure 2:</w:t>
        </w:r>
        <w:r w:rsidRPr="000F116C">
          <w:rPr>
            <w:rStyle w:val="Hyperlink"/>
            <w:rFonts w:ascii="-webkit-standard" w:hAnsi="-webkit-standard"/>
            <w:noProof/>
          </w:rPr>
          <w:t xml:space="preserve"> </w:t>
        </w:r>
        <w:r w:rsidRPr="000F116C">
          <w:rPr>
            <w:rStyle w:val="Hyperlink"/>
            <w:noProof/>
          </w:rPr>
          <w:t>CAD model of the NACA 4412 wind turbine blade showing the spanwise section profiles and 31.02 m modelled aerodynamic span.</w:t>
        </w:r>
        <w:r>
          <w:rPr>
            <w:noProof/>
            <w:webHidden/>
          </w:rPr>
          <w:tab/>
        </w:r>
        <w:r>
          <w:rPr>
            <w:noProof/>
            <w:webHidden/>
          </w:rPr>
          <w:fldChar w:fldCharType="begin"/>
        </w:r>
        <w:r>
          <w:rPr>
            <w:noProof/>
            <w:webHidden/>
          </w:rPr>
          <w:instrText xml:space="preserve"> PAGEREF _Toc239615504 \h </w:instrText>
        </w:r>
        <w:r>
          <w:rPr>
            <w:noProof/>
            <w:webHidden/>
          </w:rPr>
        </w:r>
        <w:r>
          <w:rPr>
            <w:noProof/>
            <w:webHidden/>
          </w:rPr>
          <w:fldChar w:fldCharType="separate"/>
        </w:r>
        <w:r>
          <w:rPr>
            <w:noProof/>
            <w:webHidden/>
          </w:rPr>
          <w:t>19</w:t>
        </w:r>
        <w:r>
          <w:rPr>
            <w:noProof/>
            <w:webHidden/>
          </w:rPr>
          <w:fldChar w:fldCharType="end"/>
        </w:r>
      </w:hyperlink>
    </w:p>
    <w:p w14:paraId="657C97EB" w14:textId="1423FBC7"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5" w:history="1">
        <w:r w:rsidRPr="000F116C">
          <w:rPr>
            <w:rStyle w:val="Hyperlink"/>
            <w:noProof/>
          </w:rPr>
          <w:t>Figure 3: Dimensioned NACA 4412 spanwise sections showing chord, maximum thickness and twist angle. Maximum thickness is 12% of the local chord and occurs at approximately x/c=0.30.</w:t>
        </w:r>
        <w:r>
          <w:rPr>
            <w:noProof/>
            <w:webHidden/>
          </w:rPr>
          <w:tab/>
        </w:r>
        <w:r>
          <w:rPr>
            <w:noProof/>
            <w:webHidden/>
          </w:rPr>
          <w:fldChar w:fldCharType="begin"/>
        </w:r>
        <w:r>
          <w:rPr>
            <w:noProof/>
            <w:webHidden/>
          </w:rPr>
          <w:instrText xml:space="preserve"> PAGEREF _Toc239615505 \h </w:instrText>
        </w:r>
        <w:r>
          <w:rPr>
            <w:noProof/>
            <w:webHidden/>
          </w:rPr>
        </w:r>
        <w:r>
          <w:rPr>
            <w:noProof/>
            <w:webHidden/>
          </w:rPr>
          <w:fldChar w:fldCharType="separate"/>
        </w:r>
        <w:r>
          <w:rPr>
            <w:noProof/>
            <w:webHidden/>
          </w:rPr>
          <w:t>19</w:t>
        </w:r>
        <w:r>
          <w:rPr>
            <w:noProof/>
            <w:webHidden/>
          </w:rPr>
          <w:fldChar w:fldCharType="end"/>
        </w:r>
      </w:hyperlink>
    </w:p>
    <w:p w14:paraId="77DCFCFE" w14:textId="6E264408"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6" w:history="1">
        <w:r w:rsidRPr="000F116C">
          <w:rPr>
            <w:rStyle w:val="Hyperlink"/>
            <w:noProof/>
          </w:rPr>
          <w:t>Figure 4: Comparison of the ideal BEM chord distribution and selected linear design taper.</w:t>
        </w:r>
        <w:r>
          <w:rPr>
            <w:noProof/>
            <w:webHidden/>
          </w:rPr>
          <w:tab/>
        </w:r>
        <w:r>
          <w:rPr>
            <w:noProof/>
            <w:webHidden/>
          </w:rPr>
          <w:fldChar w:fldCharType="begin"/>
        </w:r>
        <w:r>
          <w:rPr>
            <w:noProof/>
            <w:webHidden/>
          </w:rPr>
          <w:instrText xml:space="preserve"> PAGEREF _Toc239615506 \h </w:instrText>
        </w:r>
        <w:r>
          <w:rPr>
            <w:noProof/>
            <w:webHidden/>
          </w:rPr>
        </w:r>
        <w:r>
          <w:rPr>
            <w:noProof/>
            <w:webHidden/>
          </w:rPr>
          <w:fldChar w:fldCharType="separate"/>
        </w:r>
        <w:r>
          <w:rPr>
            <w:noProof/>
            <w:webHidden/>
          </w:rPr>
          <w:t>26</w:t>
        </w:r>
        <w:r>
          <w:rPr>
            <w:noProof/>
            <w:webHidden/>
          </w:rPr>
          <w:fldChar w:fldCharType="end"/>
        </w:r>
      </w:hyperlink>
    </w:p>
    <w:p w14:paraId="73E28851" w14:textId="7EFA5DBB"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7" w:history="1">
        <w:r w:rsidRPr="000F116C">
          <w:rPr>
            <w:rStyle w:val="Hyperlink"/>
            <w:noProof/>
          </w:rPr>
          <w:t>Figure 5: Calculated spanwise blade twist distribution.</w:t>
        </w:r>
        <w:r>
          <w:rPr>
            <w:noProof/>
            <w:webHidden/>
          </w:rPr>
          <w:tab/>
        </w:r>
        <w:r>
          <w:rPr>
            <w:noProof/>
            <w:webHidden/>
          </w:rPr>
          <w:fldChar w:fldCharType="begin"/>
        </w:r>
        <w:r>
          <w:rPr>
            <w:noProof/>
            <w:webHidden/>
          </w:rPr>
          <w:instrText xml:space="preserve"> PAGEREF _Toc239615507 \h </w:instrText>
        </w:r>
        <w:r>
          <w:rPr>
            <w:noProof/>
            <w:webHidden/>
          </w:rPr>
        </w:r>
        <w:r>
          <w:rPr>
            <w:noProof/>
            <w:webHidden/>
          </w:rPr>
          <w:fldChar w:fldCharType="separate"/>
        </w:r>
        <w:r>
          <w:rPr>
            <w:noProof/>
            <w:webHidden/>
          </w:rPr>
          <w:t>26</w:t>
        </w:r>
        <w:r>
          <w:rPr>
            <w:noProof/>
            <w:webHidden/>
          </w:rPr>
          <w:fldChar w:fldCharType="end"/>
        </w:r>
      </w:hyperlink>
    </w:p>
    <w:p w14:paraId="549488C8" w14:textId="7C6C9FA2"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8" w:history="1">
        <w:r w:rsidRPr="000F116C">
          <w:rPr>
            <w:rStyle w:val="Hyperlink"/>
            <w:noProof/>
          </w:rPr>
          <w:t>Figure 6: Excel-generated NACA 4412 aerofoil profiles at r/R=0.2," " 0.4," " 0.6," " 0.8 and 1.0, with a combined overlay of all blade sections.</w:t>
        </w:r>
        <w:r>
          <w:rPr>
            <w:noProof/>
            <w:webHidden/>
          </w:rPr>
          <w:tab/>
        </w:r>
        <w:r>
          <w:rPr>
            <w:noProof/>
            <w:webHidden/>
          </w:rPr>
          <w:fldChar w:fldCharType="begin"/>
        </w:r>
        <w:r>
          <w:rPr>
            <w:noProof/>
            <w:webHidden/>
          </w:rPr>
          <w:instrText xml:space="preserve"> PAGEREF _Toc239615508 \h </w:instrText>
        </w:r>
        <w:r>
          <w:rPr>
            <w:noProof/>
            <w:webHidden/>
          </w:rPr>
        </w:r>
        <w:r>
          <w:rPr>
            <w:noProof/>
            <w:webHidden/>
          </w:rPr>
          <w:fldChar w:fldCharType="separate"/>
        </w:r>
        <w:r>
          <w:rPr>
            <w:noProof/>
            <w:webHidden/>
          </w:rPr>
          <w:t>32</w:t>
        </w:r>
        <w:r>
          <w:rPr>
            <w:noProof/>
            <w:webHidden/>
          </w:rPr>
          <w:fldChar w:fldCharType="end"/>
        </w:r>
      </w:hyperlink>
    </w:p>
    <w:p w14:paraId="61503626" w14:textId="0314B52B"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09" w:history="1">
        <w:r w:rsidRPr="000F116C">
          <w:rPr>
            <w:rStyle w:val="Hyperlink"/>
            <w:noProof/>
          </w:rPr>
          <w:t>Figure 7: Front, left, top and trimetric views of the completed NACA 4412 blade model.</w:t>
        </w:r>
        <w:r>
          <w:rPr>
            <w:noProof/>
            <w:webHidden/>
          </w:rPr>
          <w:tab/>
        </w:r>
        <w:r>
          <w:rPr>
            <w:noProof/>
            <w:webHidden/>
          </w:rPr>
          <w:fldChar w:fldCharType="begin"/>
        </w:r>
        <w:r>
          <w:rPr>
            <w:noProof/>
            <w:webHidden/>
          </w:rPr>
          <w:instrText xml:space="preserve"> PAGEREF _Toc239615509 \h </w:instrText>
        </w:r>
        <w:r>
          <w:rPr>
            <w:noProof/>
            <w:webHidden/>
          </w:rPr>
        </w:r>
        <w:r>
          <w:rPr>
            <w:noProof/>
            <w:webHidden/>
          </w:rPr>
          <w:fldChar w:fldCharType="separate"/>
        </w:r>
        <w:r>
          <w:rPr>
            <w:noProof/>
            <w:webHidden/>
          </w:rPr>
          <w:t>32</w:t>
        </w:r>
        <w:r>
          <w:rPr>
            <w:noProof/>
            <w:webHidden/>
          </w:rPr>
          <w:fldChar w:fldCharType="end"/>
        </w:r>
      </w:hyperlink>
    </w:p>
    <w:p w14:paraId="5D3A334F" w14:textId="083DE092"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0" w:history="1">
        <w:r w:rsidRPr="000F116C">
          <w:rPr>
            <w:rStyle w:val="Hyperlink"/>
            <w:noProof/>
          </w:rPr>
          <w:t>Figure 8: General arrangement drawing of the NACA 4412 wind turbine blade showing the main blade views, overall modelled span and dimensioned spanwise aerofoil sections.</w:t>
        </w:r>
        <w:r>
          <w:rPr>
            <w:noProof/>
            <w:webHidden/>
          </w:rPr>
          <w:tab/>
        </w:r>
        <w:r>
          <w:rPr>
            <w:noProof/>
            <w:webHidden/>
          </w:rPr>
          <w:fldChar w:fldCharType="begin"/>
        </w:r>
        <w:r>
          <w:rPr>
            <w:noProof/>
            <w:webHidden/>
          </w:rPr>
          <w:instrText xml:space="preserve"> PAGEREF _Toc239615510 \h </w:instrText>
        </w:r>
        <w:r>
          <w:rPr>
            <w:noProof/>
            <w:webHidden/>
          </w:rPr>
        </w:r>
        <w:r>
          <w:rPr>
            <w:noProof/>
            <w:webHidden/>
          </w:rPr>
          <w:fldChar w:fldCharType="separate"/>
        </w:r>
        <w:r>
          <w:rPr>
            <w:noProof/>
            <w:webHidden/>
          </w:rPr>
          <w:t>33</w:t>
        </w:r>
        <w:r>
          <w:rPr>
            <w:noProof/>
            <w:webHidden/>
          </w:rPr>
          <w:fldChar w:fldCharType="end"/>
        </w:r>
      </w:hyperlink>
    </w:p>
    <w:p w14:paraId="55D54BC5" w14:textId="1CCF3FEF" w:rsidR="001F1D8C" w:rsidRDefault="00CC3E42" w:rsidP="001F1D8C">
      <w:r>
        <w:fldChar w:fldCharType="end"/>
      </w:r>
    </w:p>
    <w:p w14:paraId="72C8AC7D" w14:textId="77777777" w:rsidR="001F1D8C" w:rsidRDefault="001F1D8C" w:rsidP="001F1D8C"/>
    <w:p w14:paraId="178E3525" w14:textId="77777777" w:rsidR="001F1D8C" w:rsidRDefault="001F1D8C" w:rsidP="001F1D8C">
      <w:r>
        <w:rPr>
          <w:b/>
          <w:bCs/>
          <w:color w:val="1F3864"/>
          <w:sz w:val="30"/>
          <w:szCs w:val="30"/>
        </w:rPr>
        <w:t>Table of Tables</w:t>
      </w:r>
    </w:p>
    <w:p w14:paraId="21FF756C" w14:textId="4B8E951F" w:rsidR="00286711" w:rsidRDefault="00712A5F">
      <w:pPr>
        <w:pStyle w:val="TableofFigures"/>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\z \c "Table" </w:instrText>
      </w:r>
      <w:r>
        <w:fldChar w:fldCharType="separate"/>
      </w:r>
      <w:hyperlink w:anchor="_Toc239615511" w:history="1">
        <w:r w:rsidR="00286711" w:rsidRPr="003E11CC">
          <w:rPr>
            <w:rStyle w:val="Hyperlink"/>
            <w:noProof/>
          </w:rPr>
          <w:t>Table 1: Mechanical properties of candidate material classes.</w:t>
        </w:r>
        <w:r w:rsidR="00286711">
          <w:rPr>
            <w:noProof/>
            <w:webHidden/>
          </w:rPr>
          <w:tab/>
        </w:r>
        <w:r w:rsidR="00286711">
          <w:rPr>
            <w:noProof/>
            <w:webHidden/>
          </w:rPr>
          <w:fldChar w:fldCharType="begin"/>
        </w:r>
        <w:r w:rsidR="00286711">
          <w:rPr>
            <w:noProof/>
            <w:webHidden/>
          </w:rPr>
          <w:instrText xml:space="preserve"> PAGEREF _Toc239615511 \h </w:instrText>
        </w:r>
        <w:r w:rsidR="00286711">
          <w:rPr>
            <w:noProof/>
            <w:webHidden/>
          </w:rPr>
        </w:r>
        <w:r w:rsidR="00286711">
          <w:rPr>
            <w:noProof/>
            <w:webHidden/>
          </w:rPr>
          <w:fldChar w:fldCharType="separate"/>
        </w:r>
        <w:r w:rsidR="00286711">
          <w:rPr>
            <w:noProof/>
            <w:webHidden/>
          </w:rPr>
          <w:t>9</w:t>
        </w:r>
        <w:r w:rsidR="00286711">
          <w:rPr>
            <w:noProof/>
            <w:webHidden/>
          </w:rPr>
          <w:fldChar w:fldCharType="end"/>
        </w:r>
      </w:hyperlink>
    </w:p>
    <w:p w14:paraId="60487458" w14:textId="4A6AE06E"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2" w:history="1">
        <w:r w:rsidRPr="003E11CC">
          <w:rPr>
            <w:rStyle w:val="Hyperlink"/>
            <w:noProof/>
          </w:rPr>
          <w:t>Table 2: Wind turbine blade design specification</w:t>
        </w:r>
        <w:r>
          <w:rPr>
            <w:noProof/>
            <w:webHidden/>
          </w:rPr>
          <w:tab/>
        </w:r>
        <w:r>
          <w:rPr>
            <w:noProof/>
            <w:webHidden/>
          </w:rPr>
          <w:fldChar w:fldCharType="begin"/>
        </w:r>
        <w:r>
          <w:rPr>
            <w:noProof/>
            <w:webHidden/>
          </w:rPr>
          <w:instrText xml:space="preserve"> PAGEREF _Toc239615512 \h </w:instrText>
        </w:r>
        <w:r>
          <w:rPr>
            <w:noProof/>
            <w:webHidden/>
          </w:rPr>
        </w:r>
        <w:r>
          <w:rPr>
            <w:noProof/>
            <w:webHidden/>
          </w:rPr>
          <w:fldChar w:fldCharType="separate"/>
        </w:r>
        <w:r>
          <w:rPr>
            <w:noProof/>
            <w:webHidden/>
          </w:rPr>
          <w:t>10</w:t>
        </w:r>
        <w:r>
          <w:rPr>
            <w:noProof/>
            <w:webHidden/>
          </w:rPr>
          <w:fldChar w:fldCharType="end"/>
        </w:r>
      </w:hyperlink>
    </w:p>
    <w:p w14:paraId="56A43214" w14:textId="43231D82"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3" w:history="1">
        <w:r w:rsidRPr="003E11CC">
          <w:rPr>
            <w:rStyle w:val="Hyperlink"/>
            <w:noProof/>
          </w:rPr>
          <w:t>Table 3: Principal blade sections derived from the BEM design</w:t>
        </w:r>
        <w:r>
          <w:rPr>
            <w:noProof/>
            <w:webHidden/>
          </w:rPr>
          <w:tab/>
        </w:r>
        <w:r>
          <w:rPr>
            <w:noProof/>
            <w:webHidden/>
          </w:rPr>
          <w:fldChar w:fldCharType="begin"/>
        </w:r>
        <w:r>
          <w:rPr>
            <w:noProof/>
            <w:webHidden/>
          </w:rPr>
          <w:instrText xml:space="preserve"> PAGEREF _Toc239615513 \h </w:instrText>
        </w:r>
        <w:r>
          <w:rPr>
            <w:noProof/>
            <w:webHidden/>
          </w:rPr>
        </w:r>
        <w:r>
          <w:rPr>
            <w:noProof/>
            <w:webHidden/>
          </w:rPr>
          <w:fldChar w:fldCharType="separate"/>
        </w:r>
        <w:r>
          <w:rPr>
            <w:noProof/>
            <w:webHidden/>
          </w:rPr>
          <w:t>11</w:t>
        </w:r>
        <w:r>
          <w:rPr>
            <w:noProof/>
            <w:webHidden/>
          </w:rPr>
          <w:fldChar w:fldCharType="end"/>
        </w:r>
      </w:hyperlink>
    </w:p>
    <w:p w14:paraId="7422087F" w14:textId="09CB7F47"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4" w:history="1">
        <w:r w:rsidRPr="003E11CC">
          <w:rPr>
            <w:rStyle w:val="Hyperlink"/>
            <w:noProof/>
          </w:rPr>
          <w:t>Table 4: Weighted decision matrix for material selection</w:t>
        </w:r>
        <w:r>
          <w:rPr>
            <w:noProof/>
            <w:webHidden/>
          </w:rPr>
          <w:tab/>
        </w:r>
        <w:r>
          <w:rPr>
            <w:noProof/>
            <w:webHidden/>
          </w:rPr>
          <w:fldChar w:fldCharType="begin"/>
        </w:r>
        <w:r>
          <w:rPr>
            <w:noProof/>
            <w:webHidden/>
          </w:rPr>
          <w:instrText xml:space="preserve"> PAGEREF _Toc239615514 \h </w:instrText>
        </w:r>
        <w:r>
          <w:rPr>
            <w:noProof/>
            <w:webHidden/>
          </w:rPr>
        </w:r>
        <w:r>
          <w:rPr>
            <w:noProof/>
            <w:webHidden/>
          </w:rPr>
          <w:fldChar w:fldCharType="separate"/>
        </w:r>
        <w:r>
          <w:rPr>
            <w:noProof/>
            <w:webHidden/>
          </w:rPr>
          <w:t>12</w:t>
        </w:r>
        <w:r>
          <w:rPr>
            <w:noProof/>
            <w:webHidden/>
          </w:rPr>
          <w:fldChar w:fldCharType="end"/>
        </w:r>
      </w:hyperlink>
    </w:p>
    <w:p w14:paraId="58ACEB2B" w14:textId="1AA8FC59"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5" w:history="1">
        <w:r w:rsidRPr="003E11CC">
          <w:rPr>
            <w:rStyle w:val="Hyperlink"/>
            <w:noProof/>
          </w:rPr>
          <w:t>Table 5: Comparison of manufacturing routes.</w:t>
        </w:r>
        <w:r>
          <w:rPr>
            <w:noProof/>
            <w:webHidden/>
          </w:rPr>
          <w:tab/>
        </w:r>
        <w:r>
          <w:rPr>
            <w:noProof/>
            <w:webHidden/>
          </w:rPr>
          <w:fldChar w:fldCharType="begin"/>
        </w:r>
        <w:r>
          <w:rPr>
            <w:noProof/>
            <w:webHidden/>
          </w:rPr>
          <w:instrText xml:space="preserve"> PAGEREF _Toc239615515 \h </w:instrText>
        </w:r>
        <w:r>
          <w:rPr>
            <w:noProof/>
            <w:webHidden/>
          </w:rPr>
        </w:r>
        <w:r>
          <w:rPr>
            <w:noProof/>
            <w:webHidden/>
          </w:rPr>
          <w:fldChar w:fldCharType="separate"/>
        </w:r>
        <w:r>
          <w:rPr>
            <w:noProof/>
            <w:webHidden/>
          </w:rPr>
          <w:t>14</w:t>
        </w:r>
        <w:r>
          <w:rPr>
            <w:noProof/>
            <w:webHidden/>
          </w:rPr>
          <w:fldChar w:fldCharType="end"/>
        </w:r>
      </w:hyperlink>
    </w:p>
    <w:p w14:paraId="7CC6B433" w14:textId="09F8269A"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6" w:history="1">
        <w:r w:rsidRPr="003E11CC">
          <w:rPr>
            <w:rStyle w:val="Hyperlink"/>
            <w:noProof/>
          </w:rPr>
          <w:t>Table 6: Raw material cost comparison per blade</w:t>
        </w:r>
        <w:r>
          <w:rPr>
            <w:noProof/>
            <w:webHidden/>
          </w:rPr>
          <w:tab/>
        </w:r>
        <w:r>
          <w:rPr>
            <w:noProof/>
            <w:webHidden/>
          </w:rPr>
          <w:fldChar w:fldCharType="begin"/>
        </w:r>
        <w:r>
          <w:rPr>
            <w:noProof/>
            <w:webHidden/>
          </w:rPr>
          <w:instrText xml:space="preserve"> PAGEREF _Toc239615516 \h </w:instrText>
        </w:r>
        <w:r>
          <w:rPr>
            <w:noProof/>
            <w:webHidden/>
          </w:rPr>
        </w:r>
        <w:r>
          <w:rPr>
            <w:noProof/>
            <w:webHidden/>
          </w:rPr>
          <w:fldChar w:fldCharType="separate"/>
        </w:r>
        <w:r>
          <w:rPr>
            <w:noProof/>
            <w:webHidden/>
          </w:rPr>
          <w:t>15</w:t>
        </w:r>
        <w:r>
          <w:rPr>
            <w:noProof/>
            <w:webHidden/>
          </w:rPr>
          <w:fldChar w:fldCharType="end"/>
        </w:r>
      </w:hyperlink>
    </w:p>
    <w:p w14:paraId="6DFBF1B9" w14:textId="28E33DE6"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7" w:history="1">
        <w:r w:rsidRPr="003E11CC">
          <w:rPr>
            <w:rStyle w:val="Hyperlink"/>
            <w:noProof/>
          </w:rPr>
          <w:t>Table 7: Comparative summary of materials and manufacturing processes</w:t>
        </w:r>
        <w:r>
          <w:rPr>
            <w:noProof/>
            <w:webHidden/>
          </w:rPr>
          <w:tab/>
        </w:r>
        <w:r>
          <w:rPr>
            <w:noProof/>
            <w:webHidden/>
          </w:rPr>
          <w:fldChar w:fldCharType="begin"/>
        </w:r>
        <w:r>
          <w:rPr>
            <w:noProof/>
            <w:webHidden/>
          </w:rPr>
          <w:instrText xml:space="preserve"> PAGEREF _Toc239615517 \h </w:instrText>
        </w:r>
        <w:r>
          <w:rPr>
            <w:noProof/>
            <w:webHidden/>
          </w:rPr>
        </w:r>
        <w:r>
          <w:rPr>
            <w:noProof/>
            <w:webHidden/>
          </w:rPr>
          <w:fldChar w:fldCharType="separate"/>
        </w:r>
        <w:r>
          <w:rPr>
            <w:noProof/>
            <w:webHidden/>
          </w:rPr>
          <w:t>17</w:t>
        </w:r>
        <w:r>
          <w:rPr>
            <w:noProof/>
            <w:webHidden/>
          </w:rPr>
          <w:fldChar w:fldCharType="end"/>
        </w:r>
      </w:hyperlink>
    </w:p>
    <w:p w14:paraId="7575474E" w14:textId="60CF3CFE"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8" w:history="1">
        <w:r w:rsidRPr="003E11CC">
          <w:rPr>
            <w:rStyle w:val="Hyperlink"/>
            <w:noProof/>
          </w:rPr>
          <w:t>Table 8: Spanwise BEM blade geometry showing local tip-speed ratio, inflow angle, twist, ideal chord, design chord, maximum thickness and relative wind velocity</w:t>
        </w:r>
        <w:r>
          <w:rPr>
            <w:noProof/>
            <w:webHidden/>
          </w:rPr>
          <w:tab/>
        </w:r>
        <w:r>
          <w:rPr>
            <w:noProof/>
            <w:webHidden/>
          </w:rPr>
          <w:fldChar w:fldCharType="begin"/>
        </w:r>
        <w:r>
          <w:rPr>
            <w:noProof/>
            <w:webHidden/>
          </w:rPr>
          <w:instrText xml:space="preserve"> PAGEREF _Toc239615518 \h </w:instrText>
        </w:r>
        <w:r>
          <w:rPr>
            <w:noProof/>
            <w:webHidden/>
          </w:rPr>
        </w:r>
        <w:r>
          <w:rPr>
            <w:noProof/>
            <w:webHidden/>
          </w:rPr>
          <w:fldChar w:fldCharType="separate"/>
        </w:r>
        <w:r>
          <w:rPr>
            <w:noProof/>
            <w:webHidden/>
          </w:rPr>
          <w:t>25</w:t>
        </w:r>
        <w:r>
          <w:rPr>
            <w:noProof/>
            <w:webHidden/>
          </w:rPr>
          <w:fldChar w:fldCharType="end"/>
        </w:r>
      </w:hyperlink>
    </w:p>
    <w:p w14:paraId="2F3D7A57" w14:textId="55D4B416"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19" w:history="1">
        <w:r w:rsidRPr="003E11CC">
          <w:rPr>
            <w:rStyle w:val="Hyperlink"/>
            <w:noProof/>
          </w:rPr>
          <w:t>Table 9: Spanwise aerodynamic forces, bending moment and pitching moment contributions</w:t>
        </w:r>
        <w:r>
          <w:rPr>
            <w:noProof/>
            <w:webHidden/>
          </w:rPr>
          <w:tab/>
        </w:r>
        <w:r>
          <w:rPr>
            <w:noProof/>
            <w:webHidden/>
          </w:rPr>
          <w:fldChar w:fldCharType="begin"/>
        </w:r>
        <w:r>
          <w:rPr>
            <w:noProof/>
            <w:webHidden/>
          </w:rPr>
          <w:instrText xml:space="preserve"> PAGEREF _Toc239615519 \h </w:instrText>
        </w:r>
        <w:r>
          <w:rPr>
            <w:noProof/>
            <w:webHidden/>
          </w:rPr>
        </w:r>
        <w:r>
          <w:rPr>
            <w:noProof/>
            <w:webHidden/>
          </w:rPr>
          <w:fldChar w:fldCharType="separate"/>
        </w:r>
        <w:r>
          <w:rPr>
            <w:noProof/>
            <w:webHidden/>
          </w:rPr>
          <w:t>27</w:t>
        </w:r>
        <w:r>
          <w:rPr>
            <w:noProof/>
            <w:webHidden/>
          </w:rPr>
          <w:fldChar w:fldCharType="end"/>
        </w:r>
      </w:hyperlink>
    </w:p>
    <w:p w14:paraId="648B30F2" w14:textId="126FB3E2"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20" w:history="1">
        <w:r w:rsidRPr="003E11CC">
          <w:rPr>
            <w:rStyle w:val="Hyperlink"/>
            <w:noProof/>
          </w:rPr>
          <w:t>Table 10: Material strength and calculated safety factors at the blade root.</w:t>
        </w:r>
        <w:r>
          <w:rPr>
            <w:noProof/>
            <w:webHidden/>
          </w:rPr>
          <w:tab/>
        </w:r>
        <w:r>
          <w:rPr>
            <w:noProof/>
            <w:webHidden/>
          </w:rPr>
          <w:fldChar w:fldCharType="begin"/>
        </w:r>
        <w:r>
          <w:rPr>
            <w:noProof/>
            <w:webHidden/>
          </w:rPr>
          <w:instrText xml:space="preserve"> PAGEREF _Toc239615520 \h </w:instrText>
        </w:r>
        <w:r>
          <w:rPr>
            <w:noProof/>
            <w:webHidden/>
          </w:rPr>
        </w:r>
        <w:r>
          <w:rPr>
            <w:noProof/>
            <w:webHidden/>
          </w:rPr>
          <w:fldChar w:fldCharType="separate"/>
        </w:r>
        <w:r>
          <w:rPr>
            <w:noProof/>
            <w:webHidden/>
          </w:rPr>
          <w:t>28</w:t>
        </w:r>
        <w:r>
          <w:rPr>
            <w:noProof/>
            <w:webHidden/>
          </w:rPr>
          <w:fldChar w:fldCharType="end"/>
        </w:r>
      </w:hyperlink>
    </w:p>
    <w:p w14:paraId="4AE1AFD8" w14:textId="661A2D25"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21" w:history="1">
        <w:r w:rsidRPr="003E11CC">
          <w:rPr>
            <w:rStyle w:val="Hyperlink"/>
            <w:noProof/>
          </w:rPr>
          <w:t>Table 11: Root torsional shear stress and calculated safety factor</w:t>
        </w:r>
        <w:r>
          <w:rPr>
            <w:noProof/>
            <w:webHidden/>
          </w:rPr>
          <w:tab/>
        </w:r>
        <w:r>
          <w:rPr>
            <w:noProof/>
            <w:webHidden/>
          </w:rPr>
          <w:fldChar w:fldCharType="begin"/>
        </w:r>
        <w:r>
          <w:rPr>
            <w:noProof/>
            <w:webHidden/>
          </w:rPr>
          <w:instrText xml:space="preserve"> PAGEREF _Toc239615521 \h </w:instrText>
        </w:r>
        <w:r>
          <w:rPr>
            <w:noProof/>
            <w:webHidden/>
          </w:rPr>
        </w:r>
        <w:r>
          <w:rPr>
            <w:noProof/>
            <w:webHidden/>
          </w:rPr>
          <w:fldChar w:fldCharType="separate"/>
        </w:r>
        <w:r>
          <w:rPr>
            <w:noProof/>
            <w:webHidden/>
          </w:rPr>
          <w:t>29</w:t>
        </w:r>
        <w:r>
          <w:rPr>
            <w:noProof/>
            <w:webHidden/>
          </w:rPr>
          <w:fldChar w:fldCharType="end"/>
        </w:r>
      </w:hyperlink>
    </w:p>
    <w:p w14:paraId="4F23DBF1" w14:textId="417E48CC"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22" w:history="1">
        <w:r w:rsidRPr="003E11CC">
          <w:rPr>
            <w:rStyle w:val="Hyperlink"/>
            <w:noProof/>
          </w:rPr>
          <w:t>Table 12: Calculated shell volume for each spanwise blade element.</w:t>
        </w:r>
        <w:r>
          <w:rPr>
            <w:noProof/>
            <w:webHidden/>
          </w:rPr>
          <w:tab/>
        </w:r>
        <w:r>
          <w:rPr>
            <w:noProof/>
            <w:webHidden/>
          </w:rPr>
          <w:fldChar w:fldCharType="begin"/>
        </w:r>
        <w:r>
          <w:rPr>
            <w:noProof/>
            <w:webHidden/>
          </w:rPr>
          <w:instrText xml:space="preserve"> PAGEREF _Toc239615522 \h </w:instrText>
        </w:r>
        <w:r>
          <w:rPr>
            <w:noProof/>
            <w:webHidden/>
          </w:rPr>
        </w:r>
        <w:r>
          <w:rPr>
            <w:noProof/>
            <w:webHidden/>
          </w:rPr>
          <w:fldChar w:fldCharType="separate"/>
        </w:r>
        <w:r>
          <w:rPr>
            <w:noProof/>
            <w:webHidden/>
          </w:rPr>
          <w:t>30</w:t>
        </w:r>
        <w:r>
          <w:rPr>
            <w:noProof/>
            <w:webHidden/>
          </w:rPr>
          <w:fldChar w:fldCharType="end"/>
        </w:r>
      </w:hyperlink>
    </w:p>
    <w:p w14:paraId="2DB98AAA" w14:textId="48F15C6D" w:rsidR="00286711" w:rsidRDefault="00286711">
      <w:pPr>
        <w:pStyle w:val="TableofFigures"/>
        <w:tabs>
          <w:tab w:val="right" w:leader="dot" w:pos="9016"/>
        </w:tabs>
        <w:rPr>
          <w:rFonts w:asciiTheme="minorHAnsi" w:eastAsiaTheme="minorEastAsia" w:hAnsiTheme="minorHAnsi" w:cstheme="minorBidi"/>
          <w:noProof/>
          <w:kern w:val="2"/>
          <w14:ligatures w14:val="standardContextual"/>
        </w:rPr>
      </w:pPr>
      <w:hyperlink w:anchor="_Toc239615523" w:history="1">
        <w:r w:rsidRPr="003E11CC">
          <w:rPr>
            <w:rStyle w:val="Hyperlink"/>
            <w:noProof/>
          </w:rPr>
          <w:t>Table 13: Material density, estimated blade mass, unit cost and calculated raw material cost per blade.</w:t>
        </w:r>
        <w:r>
          <w:rPr>
            <w:noProof/>
            <w:webHidden/>
          </w:rPr>
          <w:tab/>
        </w:r>
        <w:r>
          <w:rPr>
            <w:noProof/>
            <w:webHidden/>
          </w:rPr>
          <w:fldChar w:fldCharType="begin"/>
        </w:r>
        <w:r>
          <w:rPr>
            <w:noProof/>
            <w:webHidden/>
          </w:rPr>
          <w:instrText xml:space="preserve"> PAGEREF _Toc239615523 \h </w:instrText>
        </w:r>
        <w:r>
          <w:rPr>
            <w:noProof/>
            <w:webHidden/>
          </w:rPr>
        </w:r>
        <w:r>
          <w:rPr>
            <w:noProof/>
            <w:webHidden/>
          </w:rPr>
          <w:fldChar w:fldCharType="separate"/>
        </w:r>
        <w:r>
          <w:rPr>
            <w:noProof/>
            <w:webHidden/>
          </w:rPr>
          <w:t>31</w:t>
        </w:r>
        <w:r>
          <w:rPr>
            <w:noProof/>
            <w:webHidden/>
          </w:rPr>
          <w:fldChar w:fldCharType="end"/>
        </w:r>
      </w:hyperlink>
    </w:p>
    <w:p w14:paraId="459977FA" w14:textId="420954A1" w:rsidR="001F1D8C" w:rsidRDefault="00712A5F" w:rsidP="00CC3E42">
      <w:pPr>
        <w:pStyle w:val="TableofFigures"/>
        <w:tabs>
          <w:tab w:val="right" w:leader="dot" w:pos="9016"/>
        </w:tabs>
      </w:pPr>
      <w:r>
        <w:fldChar w:fldCharType="end"/>
      </w:r>
    </w:p>
    <w:p w14:paraId="6B3092B0" w14:textId="7DE9E7E1" w:rsidR="001F1D8C" w:rsidRDefault="001F1D8C" w:rsidP="001F1D8C">
      <w:r>
        <w:br w:type="page"/>
      </w:r>
    </w:p>
    <w:p w14:paraId="4A4977AF" w14:textId="5154B0B9" w:rsidR="001F1D8C" w:rsidRDefault="001F1D8C" w:rsidP="00AD5141">
      <w:pPr>
        <w:pStyle w:val="Heading1"/>
      </w:pPr>
      <w:bookmarkStart w:id="1" w:name="_Toc239615476"/>
      <w:r>
        <w:lastRenderedPageBreak/>
        <w:t>Abstract</w:t>
      </w:r>
      <w:bookmarkEnd w:id="1"/>
    </w:p>
    <w:p w14:paraId="7A947F54" w14:textId="28EC5B42" w:rsidR="00197674" w:rsidRDefault="00197674" w:rsidP="00197674">
      <w:r>
        <w:t xml:space="preserve">This report presents a preliminary study into the design, material selection and manufacture of a next generation wind turbine. </w:t>
      </w:r>
      <w:r w:rsidR="00025DF3" w:rsidRPr="00025DF3">
        <w:t>The study assessed the blade design parameters and compared three candidate materials. Manufacturing processes, potential defects and preliminary material costs were also evaluated.</w:t>
      </w:r>
      <w:r w:rsidR="00025DF3">
        <w:t xml:space="preserve"> </w:t>
      </w:r>
      <w:r w:rsidR="00672C5C">
        <w:t xml:space="preserve">A 2 MW rotor was designed using the NACA 4412 aerofoil, with a calculated rotor radius of 38.78 m. Aluminium 6082-T6, silicon carbide and E-glass/epoxy GFRP were compared using a weighted decision matrix. </w:t>
      </w:r>
    </w:p>
    <w:p w14:paraId="0427AA06" w14:textId="29FD0012" w:rsidR="0029763C" w:rsidRDefault="0029763C" w:rsidP="00197674">
      <w:r>
        <w:t>GFRP achieved the highest weighted score of 3.95, compared with 3.15 for aluminium and 2.40 for silicon carbide. It also produced the lowest estimated blade mass at 9,161 kg and the lowest raw material cost at approximately £20</w:t>
      </w:r>
      <w:r w:rsidR="00513C2F">
        <w:t xml:space="preserve">,612 per blade. </w:t>
      </w:r>
      <w:r w:rsidR="00220253">
        <w:t>Structural analysis gave a root bending stress of 102</w:t>
      </w:r>
      <w:r w:rsidR="00A765B5">
        <w:t>.61 M</w:t>
      </w:r>
      <w:r w:rsidR="00B96F80">
        <w:t>Pa</w:t>
      </w:r>
      <w:r w:rsidR="00A765B5">
        <w:t xml:space="preserve">, with GFRP providing the highest calculated tensile safety factor of 12.08. </w:t>
      </w:r>
      <w:r w:rsidR="00D33DC1">
        <w:t>V</w:t>
      </w:r>
      <w:r w:rsidR="00D33DC1" w:rsidRPr="00D33DC1">
        <w:t>acuum assisted resin infusion</w:t>
      </w:r>
      <w:r w:rsidR="00D33DC1">
        <w:t xml:space="preserve"> </w:t>
      </w:r>
      <w:r w:rsidR="00A765B5">
        <w:t xml:space="preserve">was identified as the most suitable manufacturing route due to its suitability for large composite structures. </w:t>
      </w:r>
    </w:p>
    <w:p w14:paraId="0792E77C" w14:textId="2134696E" w:rsidR="00A765B5" w:rsidRPr="00197674" w:rsidRDefault="00A765B5" w:rsidP="00197674">
      <w:r>
        <w:t xml:space="preserve">Overall, E-glass/epoxy GFRP manufactured using vacuum assisted resin </w:t>
      </w:r>
      <w:r w:rsidR="00535200">
        <w:t xml:space="preserve">infusion is recommended as the preferred material and manufacturing route for the proposed blade. </w:t>
      </w:r>
    </w:p>
    <w:p w14:paraId="7F814CC3" w14:textId="77777777" w:rsidR="001F1D8C" w:rsidRDefault="001F1D8C" w:rsidP="001F1D8C">
      <w:r>
        <w:br w:type="page"/>
      </w:r>
    </w:p>
    <w:p w14:paraId="30D6723A" w14:textId="184B7F87" w:rsidR="001F1D8C" w:rsidRDefault="001F1D8C" w:rsidP="00D626DF">
      <w:pPr>
        <w:pStyle w:val="Heading1"/>
      </w:pPr>
      <w:bookmarkStart w:id="2" w:name="_Toc239615477"/>
      <w:r>
        <w:lastRenderedPageBreak/>
        <w:t>1. Introduction</w:t>
      </w:r>
      <w:bookmarkEnd w:id="2"/>
    </w:p>
    <w:p w14:paraId="69FF124A" w14:textId="29448968" w:rsidR="00D626DF" w:rsidRDefault="00427086" w:rsidP="00D626DF">
      <w:r>
        <w:t>Wind energy has become an important part of the transition towards renewable electric</w:t>
      </w:r>
      <w:r w:rsidR="00E21AE7">
        <w:t>ity generation. Wind turbine blades play a critical role in this process by converting the kinetic energy available in the wind in</w:t>
      </w:r>
      <w:r w:rsidR="002731FA">
        <w:t>to</w:t>
      </w:r>
      <w:r w:rsidR="00E21AE7">
        <w:t xml:space="preserve"> rotational energy. </w:t>
      </w:r>
      <w:r w:rsidR="00280B85">
        <w:t xml:space="preserve">Their aerodynamic and structural design therefore has a </w:t>
      </w:r>
      <w:r w:rsidR="0039069B" w:rsidRPr="0039069B">
        <w:t>significant</w:t>
      </w:r>
      <w:r w:rsidR="00280B85">
        <w:t xml:space="preserve"> influence on turbine performance and reliability</w:t>
      </w:r>
      <w:r w:rsidR="0039069B">
        <w:t xml:space="preserve"> </w:t>
      </w:r>
      <w:r w:rsidR="0094308E" w:rsidRPr="0094308E">
        <w:t>(Burton </w:t>
      </w:r>
      <w:r w:rsidR="0094308E" w:rsidRPr="0094308E">
        <w:rPr>
          <w:i/>
          <w:iCs/>
        </w:rPr>
        <w:t>et al.</w:t>
      </w:r>
      <w:r w:rsidR="0094308E" w:rsidRPr="0094308E">
        <w:t>, 20</w:t>
      </w:r>
      <w:r w:rsidR="00CD01A9">
        <w:t>0</w:t>
      </w:r>
      <w:r w:rsidR="0094308E" w:rsidRPr="0094308E">
        <w:t>1).</w:t>
      </w:r>
    </w:p>
    <w:p w14:paraId="1ED92C67" w14:textId="031274E4" w:rsidR="0094308E" w:rsidRDefault="0094308E" w:rsidP="00D626DF">
      <w:r>
        <w:t>The objective of this report is to develop and evaluate a lightweight, durable and effi</w:t>
      </w:r>
      <w:r w:rsidR="00312186">
        <w:t xml:space="preserve">cient wind turbine blade for Company X’s client. The study begins with a review of relevant literature and existing blade </w:t>
      </w:r>
      <w:r w:rsidR="00D031F6">
        <w:t>technologies to establish suitable design parameters. Candidate materials and manufacturing routes are the</w:t>
      </w:r>
      <w:r w:rsidR="002731FA">
        <w:t>n</w:t>
      </w:r>
      <w:r w:rsidR="00D031F6">
        <w:t xml:space="preserve"> assessed. </w:t>
      </w:r>
      <w:r w:rsidR="00B55CDC">
        <w:t xml:space="preserve">This is followed by a cost evaluation and a comparative analysis to determine the most suitable material and production method. </w:t>
      </w:r>
    </w:p>
    <w:p w14:paraId="70A0CDAC" w14:textId="01804520" w:rsidR="00A301E1" w:rsidRDefault="00A301E1" w:rsidP="00D626DF">
      <w:r>
        <w:t>Material selection is particularly important because wind turbine blades experience repeated aerodynamic loading throughout their operating life. The selected material must provide sufficient strength and fatigue resistance without introducing excessive mass. Manufacturing m</w:t>
      </w:r>
      <w:r w:rsidR="00DE54DB">
        <w:t xml:space="preserve">ust also be considered because the chosen process influences scalability, production cost and </w:t>
      </w:r>
      <w:r w:rsidR="00227AA6">
        <w:t>the likelihood of defect</w:t>
      </w:r>
      <w:r w:rsidR="008B4141">
        <w:t xml:space="preserve">s </w:t>
      </w:r>
      <w:r w:rsidR="008B4141" w:rsidRPr="008B4141">
        <w:t>(Mishnaevsky et al., 2017).</w:t>
      </w:r>
    </w:p>
    <w:p w14:paraId="64D8E806" w14:textId="2B32B8EC" w:rsidR="008B4141" w:rsidRPr="00D626DF" w:rsidRDefault="008B4141" w:rsidP="00D626DF">
      <w:r>
        <w:t xml:space="preserve">The study therefore considers aerodynamic design alongside structural performance, manufacturability, cost and environmental factors. This provides a balanced engineering approach to the preliminary blade design while addressing the wider responsibilities </w:t>
      </w:r>
      <w:r w:rsidR="00BC36F4">
        <w:t>associated</w:t>
      </w:r>
      <w:r>
        <w:t xml:space="preserve"> with AHEP</w:t>
      </w:r>
      <w:r w:rsidR="00BC36F4">
        <w:t>4 C5 and C7.</w:t>
      </w:r>
    </w:p>
    <w:p w14:paraId="2DE8F3C9" w14:textId="77777777" w:rsidR="001F1D8C" w:rsidRDefault="001F1D8C" w:rsidP="001F1D8C">
      <w:pPr>
        <w:pStyle w:val="Heading1"/>
      </w:pPr>
      <w:bookmarkStart w:id="3" w:name="_Toc239615478"/>
      <w:r>
        <w:t>2. Literature Review</w:t>
      </w:r>
      <w:bookmarkEnd w:id="3"/>
    </w:p>
    <w:p w14:paraId="2F43A875" w14:textId="77777777" w:rsidR="001F1D8C" w:rsidRDefault="001F1D8C" w:rsidP="001F1D8C">
      <w:pPr>
        <w:pStyle w:val="Heading2"/>
      </w:pPr>
      <w:bookmarkStart w:id="4" w:name="_Toc239615479"/>
      <w:r>
        <w:t>2.1 Aerodynamic profiles</w:t>
      </w:r>
      <w:bookmarkEnd w:id="4"/>
    </w:p>
    <w:p w14:paraId="2C690CD0" w14:textId="7C4AEFD4" w:rsidR="00F4221E" w:rsidRDefault="00F4221E" w:rsidP="00F4221E">
      <w:pPr>
        <w:rPr>
          <w:color w:val="000000"/>
        </w:rPr>
      </w:pPr>
      <w:r>
        <w:t>The aerodynamic profile of a wind turbine blade directly influences rotor efficiency by controlling the lift and drag forces generated during operation. Lift produces useful rotational torque, while drag reduces aerodynamic performance. Consequently, aerofoil selection is a key design consideration. The NACA 4412 aerofoil is widely used in small and medium scale horizontal axis wind turbines</w:t>
      </w:r>
      <w:r w:rsidR="004C5D1B">
        <w:t xml:space="preserve"> (HAWTs). This is </w:t>
      </w:r>
      <w:r w:rsidR="004C5D1B">
        <w:lastRenderedPageBreak/>
        <w:t xml:space="preserve">because of its well documented aerodynamic </w:t>
      </w:r>
      <w:r w:rsidR="00963855">
        <w:t>characteristics,</w:t>
      </w:r>
      <w:r w:rsidR="004C5D1B">
        <w:t xml:space="preserve"> and it provides a favourable lift</w:t>
      </w:r>
      <w:r w:rsidR="00963855">
        <w:t>-</w:t>
      </w:r>
      <w:r w:rsidR="004C5D1B">
        <w:t>to</w:t>
      </w:r>
      <w:r w:rsidR="00963855">
        <w:t>-</w:t>
      </w:r>
      <w:r w:rsidR="004C5D1B">
        <w:t xml:space="preserve">drag ratio </w:t>
      </w:r>
      <w:r w:rsidR="004C5D1B">
        <w:rPr>
          <w:color w:val="000000"/>
        </w:rPr>
        <w:t>(Tira and Patraman, 2025).</w:t>
      </w:r>
    </w:p>
    <w:p w14:paraId="435D02ED" w14:textId="77D3265F" w:rsidR="004C5D1B" w:rsidRPr="00F4221E" w:rsidRDefault="004C5D1B" w:rsidP="00F4221E">
      <w:r>
        <w:rPr>
          <w:color w:val="000000"/>
        </w:rPr>
        <w:t>The NACA 4412 profile has a 4% maximum camber located at 40% of the chord length and a maximum thickness of 12% of the chord</w:t>
      </w:r>
      <w:r w:rsidR="00974A1B">
        <w:rPr>
          <w:color w:val="000000"/>
        </w:rPr>
        <w:t xml:space="preserve"> (Widiyanto, Pramonohadi and Ridwan, 2021)</w:t>
      </w:r>
      <w:r>
        <w:rPr>
          <w:color w:val="000000"/>
        </w:rPr>
        <w:t xml:space="preserve">. </w:t>
      </w:r>
      <w:r w:rsidR="00963855">
        <w:rPr>
          <w:color w:val="000000"/>
        </w:rPr>
        <w:t xml:space="preserve">Studies report a peak lift-to-drag ratio of approximately 120 at an angle of attack near </w:t>
      </w:r>
      <w:r w:rsidR="00963855" w:rsidRPr="00963855">
        <w:rPr>
          <w:color w:val="000000"/>
        </w:rPr>
        <w:t>8°</w:t>
      </w:r>
      <w:r w:rsidR="00963855">
        <w:rPr>
          <w:color w:val="000000"/>
        </w:rPr>
        <w:t xml:space="preserve"> while the maximum lift coefficient of approximately 1.6 </w:t>
      </w:r>
      <w:r w:rsidR="00330E7C">
        <w:rPr>
          <w:color w:val="000000"/>
        </w:rPr>
        <w:t>occurs</w:t>
      </w:r>
      <w:r w:rsidR="00963855">
        <w:rPr>
          <w:color w:val="000000"/>
        </w:rPr>
        <w:t xml:space="preserve"> at a higher angle approaching stall (Tira and Patraman, 2025). Other </w:t>
      </w:r>
      <w:r w:rsidR="00330E7C">
        <w:rPr>
          <w:color w:val="000000"/>
        </w:rPr>
        <w:t>studies</w:t>
      </w:r>
      <w:r w:rsidR="00963855">
        <w:rPr>
          <w:color w:val="000000"/>
        </w:rPr>
        <w:t xml:space="preserve"> have reported lift-to-drag ratios of up to 155 under different operating conditions (Widiyanto, Pramonohadi and Ridwan, 2021). </w:t>
      </w:r>
      <w:r w:rsidR="00974A1B">
        <w:rPr>
          <w:color w:val="000000"/>
        </w:rPr>
        <w:t>However, performance varies with Reynolds number and analysis method. A high lift</w:t>
      </w:r>
      <w:r w:rsidR="007E0863">
        <w:rPr>
          <w:color w:val="000000"/>
        </w:rPr>
        <w:t>-</w:t>
      </w:r>
      <w:r w:rsidR="00974A1B">
        <w:rPr>
          <w:color w:val="000000"/>
        </w:rPr>
        <w:t>to</w:t>
      </w:r>
      <w:r w:rsidR="007E0863">
        <w:rPr>
          <w:color w:val="000000"/>
        </w:rPr>
        <w:t>-</w:t>
      </w:r>
      <w:r w:rsidR="00974A1B">
        <w:rPr>
          <w:color w:val="000000"/>
        </w:rPr>
        <w:t xml:space="preserve">drag ratio contributes to an increased power </w:t>
      </w:r>
      <w:r w:rsidR="007E0863">
        <w:rPr>
          <w:color w:val="000000"/>
        </w:rPr>
        <w:t>coefficient</w:t>
      </w:r>
      <w:r w:rsidR="00974A1B">
        <w:rPr>
          <w:color w:val="000000"/>
        </w:rPr>
        <w:t xml:space="preserve"> (Cp), helping the rotor approach practical efficiencies of 0.45-0.50. However, the </w:t>
      </w:r>
      <w:r w:rsidR="007E0863">
        <w:rPr>
          <w:color w:val="000000"/>
        </w:rPr>
        <w:t>theoretical</w:t>
      </w:r>
      <w:r w:rsidR="00974A1B">
        <w:rPr>
          <w:color w:val="000000"/>
        </w:rPr>
        <w:t xml:space="preserve"> Betz limit remains 0.593</w:t>
      </w:r>
      <w:r w:rsidR="007E0863">
        <w:rPr>
          <w:color w:val="000000"/>
        </w:rPr>
        <w:t xml:space="preserve"> (Burton et al., 2001).</w:t>
      </w:r>
    </w:p>
    <w:p w14:paraId="5341E11D" w14:textId="77777777" w:rsidR="001F1D8C" w:rsidRDefault="001F1D8C" w:rsidP="001F1D8C">
      <w:pPr>
        <w:pStyle w:val="Heading2"/>
      </w:pPr>
      <w:bookmarkStart w:id="5" w:name="_Toc239615480"/>
      <w:r>
        <w:t>2.2 Optimal dimensions</w:t>
      </w:r>
      <w:bookmarkEnd w:id="5"/>
    </w:p>
    <w:p w14:paraId="4D288A21" w14:textId="3C551D32" w:rsidR="00330E7C" w:rsidRDefault="00330E7C" w:rsidP="00330E7C">
      <w:pPr>
        <w:rPr>
          <w:color w:val="000000"/>
        </w:rPr>
      </w:pPr>
      <w:r>
        <w:t>Rotor dimensions significantly influence wind turbine performance because the power available in the wind is proportional to the swept area of the rotor</w:t>
      </w:r>
      <w:r w:rsidR="00AE0369">
        <w:t xml:space="preserve"> and</w:t>
      </w:r>
      <w:r>
        <w:t xml:space="preserve"> </w:t>
      </w:r>
      <w:r w:rsidR="00AE0369">
        <w:t>t</w:t>
      </w:r>
      <w:r>
        <w:t xml:space="preserve">herefore, the square of the rotor radius </w:t>
      </w:r>
      <w:r w:rsidRPr="00330E7C">
        <w:t xml:space="preserve">(P </w:t>
      </w:r>
      <w:r w:rsidRPr="00330E7C">
        <w:rPr>
          <w:rFonts w:ascii="Cambria Math" w:hAnsi="Cambria Math" w:cs="Cambria Math"/>
        </w:rPr>
        <w:t>∝</w:t>
      </w:r>
      <w:r w:rsidRPr="00330E7C">
        <w:t xml:space="preserve"> R²)</w:t>
      </w:r>
      <w:r>
        <w:rPr>
          <w:rStyle w:val="apple-converted-space"/>
          <w:rFonts w:ascii="-webkit-standard" w:hAnsi="-webkit-standard"/>
          <w:color w:val="000000"/>
          <w:sz w:val="27"/>
          <w:szCs w:val="27"/>
        </w:rPr>
        <w:t> </w:t>
      </w:r>
      <w:r w:rsidR="00714563">
        <w:rPr>
          <w:color w:val="000000"/>
        </w:rPr>
        <w:t xml:space="preserve">(Manwell, McGowan and Rogers, 2010). </w:t>
      </w:r>
      <w:r w:rsidR="001B0341">
        <w:rPr>
          <w:color w:val="000000"/>
        </w:rPr>
        <w:t>Modern onshore turbines typically operate with rotor diameters between 50 and 140 m. The selected rotor diameter of approximately 78 m for the proposed 2 MW turbine is representative of current industry practice (Hartman, 202</w:t>
      </w:r>
      <w:r w:rsidR="00906586">
        <w:rPr>
          <w:color w:val="000000"/>
        </w:rPr>
        <w:t>6</w:t>
      </w:r>
      <w:r w:rsidR="001B0341">
        <w:rPr>
          <w:color w:val="000000"/>
        </w:rPr>
        <w:t>).</w:t>
      </w:r>
    </w:p>
    <w:p w14:paraId="5102CEAB" w14:textId="6EE2849C" w:rsidR="001B0341" w:rsidRDefault="001B0341" w:rsidP="00330E7C">
      <w:pPr>
        <w:rPr>
          <w:color w:val="000000"/>
        </w:rPr>
      </w:pPr>
      <w:r>
        <w:rPr>
          <w:color w:val="000000"/>
        </w:rPr>
        <w:t>The tip-speed ratio (TSR), defined as the ratio of blade-tip speed to wind speed</w:t>
      </w:r>
      <w:r w:rsidR="006701D5">
        <w:rPr>
          <w:color w:val="000000"/>
        </w:rPr>
        <w:t xml:space="preserve"> </w:t>
      </w:r>
      <w:r w:rsidR="006701D5" w:rsidRPr="006701D5">
        <w:rPr>
          <w:color w:val="000000"/>
        </w:rPr>
        <w:t>(λ = ωr/V),</w:t>
      </w:r>
      <w:r w:rsidR="006701D5" w:rsidRPr="006701D5">
        <w:t> </w:t>
      </w:r>
      <w:r w:rsidR="006701D5">
        <w:t>is a key design parameter affecting aerodynamic efficiency. Three</w:t>
      </w:r>
      <w:r w:rsidR="00AE0369">
        <w:t>-</w:t>
      </w:r>
      <w:r w:rsidR="006701D5">
        <w:t xml:space="preserve">bladed HAWTs commonly operate at TSR values between 6 and 8 to </w:t>
      </w:r>
      <w:r w:rsidR="00AE0369">
        <w:t>maximise</w:t>
      </w:r>
      <w:r w:rsidR="006701D5">
        <w:t xml:space="preserve"> the power coefficient (Cp). The selected design value of </w:t>
      </w:r>
      <w:r w:rsidR="006701D5" w:rsidRPr="006701D5">
        <w:t>λ = 7</w:t>
      </w:r>
      <w:r w:rsidR="006701D5">
        <w:t xml:space="preserve"> lies within the optimum range</w:t>
      </w:r>
      <w:r w:rsidR="00F35245">
        <w:t xml:space="preserve"> </w:t>
      </w:r>
      <w:r w:rsidR="00F35245">
        <w:rPr>
          <w:color w:val="000000"/>
        </w:rPr>
        <w:t>(Manwell, McGowan and Rogers, 2010).</w:t>
      </w:r>
    </w:p>
    <w:p w14:paraId="352ED7DA" w14:textId="1EDADB46" w:rsidR="00F35245" w:rsidRPr="006701D5" w:rsidRDefault="00F35245" w:rsidP="00330E7C">
      <w:pPr>
        <w:rPr>
          <w:color w:val="000000"/>
        </w:rPr>
      </w:pPr>
      <w:r>
        <w:rPr>
          <w:color w:val="000000"/>
        </w:rPr>
        <w:t xml:space="preserve">Wind turbine blades are tapered from root to tip to balance structural and aerodynamic requirements. A wider root withstands high bending loads, while a narrower tip reduces drag at higher local blade speeds. The chord distribution used in this design was derived from blade element momentum theory and subsequently linearised to improve manufacturability </w:t>
      </w:r>
      <w:r w:rsidR="00AE0369">
        <w:rPr>
          <w:color w:val="000000"/>
        </w:rPr>
        <w:t>(Bakırcı and Yılmaz, 2018).</w:t>
      </w:r>
    </w:p>
    <w:p w14:paraId="4AC0EBFE" w14:textId="77777777" w:rsidR="001F1D8C" w:rsidRDefault="001F1D8C" w:rsidP="001F1D8C">
      <w:pPr>
        <w:pStyle w:val="Heading2"/>
      </w:pPr>
      <w:bookmarkStart w:id="6" w:name="_Toc239615481"/>
      <w:r>
        <w:lastRenderedPageBreak/>
        <w:t>2.3 Material properties of metals, ceramics and composites</w:t>
      </w:r>
      <w:bookmarkEnd w:id="6"/>
    </w:p>
    <w:p w14:paraId="5102E86A" w14:textId="30C38FBF" w:rsidR="00E632AD" w:rsidRDefault="004174AD" w:rsidP="000A4633">
      <w:pPr>
        <w:rPr>
          <w:color w:val="000000"/>
        </w:rPr>
      </w:pPr>
      <w:r>
        <w:t xml:space="preserve">There are many different properties to consider when selecting wind turbine </w:t>
      </w:r>
      <w:r w:rsidR="00337B01">
        <w:t xml:space="preserve">blade materials. </w:t>
      </w:r>
      <w:r w:rsidR="00610DA9">
        <w:t xml:space="preserve">Some of which are, </w:t>
      </w:r>
      <w:r w:rsidR="009302DF">
        <w:t xml:space="preserve">low density, sufficient stiffness, </w:t>
      </w:r>
      <w:r w:rsidR="00B43F37">
        <w:t xml:space="preserve">strength, and fatigue resistance. </w:t>
      </w:r>
      <w:r w:rsidR="000F7264">
        <w:t xml:space="preserve">This is due to continuous cyclic aerodynamic and gravitational loading. </w:t>
      </w:r>
      <w:r w:rsidR="00142D90">
        <w:t xml:space="preserve">Fatigue is </w:t>
      </w:r>
      <w:r w:rsidR="00CF5351">
        <w:t>particularly</w:t>
      </w:r>
      <w:r w:rsidR="00142D90">
        <w:t xml:space="preserve"> important because blades can experience approximately </w:t>
      </w:r>
      <m:oMath>
        <m:sSup>
          <m:sSupPr>
            <m:ctrlPr>
              <w:rPr>
                <w:rFonts w:ascii="Cambria Math" w:hAnsi="Cambria Math"/>
                <w:i/>
              </w:rPr>
            </m:ctrlPr>
          </m:sSupPr>
          <m:e>
            <m:r>
              <w:rPr>
                <w:rFonts w:ascii="Cambria Math" w:hAnsi="Cambria Math"/>
              </w:rPr>
              <m:t>10</m:t>
            </m:r>
          </m:e>
          <m:sup>
            <m:r>
              <w:rPr>
                <w:rFonts w:ascii="Cambria Math" w:hAnsi="Cambria Math"/>
              </w:rPr>
              <m:t>8</m:t>
            </m:r>
          </m:sup>
        </m:sSup>
      </m:oMath>
      <w:r w:rsidR="00E6313D">
        <w:t xml:space="preserve"> load cycles during their service life </w:t>
      </w:r>
      <w:r w:rsidR="000A4633">
        <w:rPr>
          <w:color w:val="000000"/>
        </w:rPr>
        <w:t>(Nijssen and Brøndsted, 2023).</w:t>
      </w:r>
    </w:p>
    <w:p w14:paraId="246CCDF6" w14:textId="4CB6EA8A" w:rsidR="00ED3C9D" w:rsidRDefault="00240B82" w:rsidP="00240B82">
      <w:pPr>
        <w:pStyle w:val="Caption"/>
      </w:pPr>
      <w:bookmarkStart w:id="7" w:name="_Toc239615511"/>
      <w:r>
        <w:t xml:space="preserve">Table </w:t>
      </w:r>
      <w:fldSimple w:instr=" SEQ Table \* ARABIC ">
        <w:r w:rsidR="00E348CF">
          <w:rPr>
            <w:noProof/>
          </w:rPr>
          <w:t>1</w:t>
        </w:r>
      </w:fldSimple>
      <w:r>
        <w:t xml:space="preserve">: </w:t>
      </w:r>
      <w:bookmarkStart w:id="8" w:name="_Toc239516297"/>
      <w:bookmarkStart w:id="9" w:name="_Toc239524853"/>
      <w:r>
        <w:t>Mechanical properties of candidate material classes.</w:t>
      </w:r>
      <w:bookmarkEnd w:id="7"/>
      <w:bookmarkEnd w:id="8"/>
      <w:bookmarkEnd w:id="9"/>
    </w:p>
    <w:p w14:paraId="58A3C1C4" w14:textId="33F9500B" w:rsidR="00E632AD" w:rsidRDefault="00E632AD" w:rsidP="00C53DC6">
      <w:r w:rsidRPr="00E632AD">
        <w:rPr>
          <w:noProof/>
        </w:rPr>
        <w:drawing>
          <wp:inline distT="0" distB="0" distL="0" distR="0" wp14:anchorId="7E808172" wp14:editId="30C41816">
            <wp:extent cx="5731510" cy="1939290"/>
            <wp:effectExtent l="0" t="0" r="0" b="3810"/>
            <wp:docPr id="147679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79022" name=""/>
                    <pic:cNvPicPr/>
                  </pic:nvPicPr>
                  <pic:blipFill>
                    <a:blip r:embed="rId9"/>
                    <a:stretch>
                      <a:fillRect/>
                    </a:stretch>
                  </pic:blipFill>
                  <pic:spPr>
                    <a:xfrm>
                      <a:off x="0" y="0"/>
                      <a:ext cx="5731510" cy="1939290"/>
                    </a:xfrm>
                    <a:prstGeom prst="rect">
                      <a:avLst/>
                    </a:prstGeom>
                  </pic:spPr>
                </pic:pic>
              </a:graphicData>
            </a:graphic>
          </wp:inline>
        </w:drawing>
      </w:r>
    </w:p>
    <w:p w14:paraId="57535963" w14:textId="24789E85" w:rsidR="001F1D8C" w:rsidRPr="00C53DC6" w:rsidRDefault="00EA113C" w:rsidP="00C53DC6">
      <w:pPr>
        <w:rPr>
          <w:sz w:val="20"/>
          <w:szCs w:val="20"/>
        </w:rPr>
      </w:pPr>
      <w:r w:rsidRPr="00C53DC6">
        <w:rPr>
          <w:sz w:val="20"/>
          <w:szCs w:val="20"/>
        </w:rPr>
        <w:t>Source: BSI (2005; 2007; 2019</w:t>
      </w:r>
      <w:r w:rsidR="00901D06">
        <w:rPr>
          <w:sz w:val="20"/>
          <w:szCs w:val="20"/>
        </w:rPr>
        <w:t>b</w:t>
      </w:r>
      <w:r w:rsidRPr="00C53DC6">
        <w:rPr>
          <w:sz w:val="20"/>
          <w:szCs w:val="20"/>
        </w:rPr>
        <w:t>), Ashby (2011), Mishnaevsky et al. (2017), CoorsTek (</w:t>
      </w:r>
      <w:r w:rsidR="00B4568D">
        <w:rPr>
          <w:sz w:val="20"/>
          <w:szCs w:val="20"/>
        </w:rPr>
        <w:t>2024</w:t>
      </w:r>
      <w:r w:rsidRPr="00C53DC6">
        <w:rPr>
          <w:sz w:val="20"/>
          <w:szCs w:val="20"/>
        </w:rPr>
        <w:t>), 3M (no date), MakeItFrom (</w:t>
      </w:r>
      <w:r w:rsidR="00E826C4">
        <w:rPr>
          <w:sz w:val="20"/>
          <w:szCs w:val="20"/>
        </w:rPr>
        <w:t>2026</w:t>
      </w:r>
      <w:r w:rsidRPr="00C53DC6">
        <w:rPr>
          <w:sz w:val="20"/>
          <w:szCs w:val="20"/>
        </w:rPr>
        <w:t>), Morgan Advanced Materials (no date) and Professional Plastics (</w:t>
      </w:r>
      <w:r w:rsidR="00E826C4">
        <w:rPr>
          <w:sz w:val="20"/>
          <w:szCs w:val="20"/>
        </w:rPr>
        <w:t>2026</w:t>
      </w:r>
      <w:r w:rsidRPr="00C53DC6">
        <w:rPr>
          <w:sz w:val="20"/>
          <w:szCs w:val="20"/>
        </w:rPr>
        <w:t xml:space="preserve">). </w:t>
      </w:r>
    </w:p>
    <w:p w14:paraId="2CD31B94" w14:textId="64E88234" w:rsidR="00E9345F" w:rsidRPr="001632BD" w:rsidRDefault="00D90CA1" w:rsidP="00976960">
      <w:pPr>
        <w:pStyle w:val="Caption"/>
        <w:rPr>
          <w:i w:val="0"/>
          <w:iCs w:val="0"/>
          <w:color w:val="auto"/>
          <w:sz w:val="24"/>
          <w:szCs w:val="24"/>
        </w:rPr>
      </w:pPr>
      <w:r w:rsidRPr="001632BD">
        <w:rPr>
          <w:i w:val="0"/>
          <w:iCs w:val="0"/>
          <w:color w:val="auto"/>
          <w:sz w:val="24"/>
          <w:szCs w:val="24"/>
        </w:rPr>
        <w:t>Metals provide high strength and stiffness</w:t>
      </w:r>
      <w:r w:rsidR="007C6AE0" w:rsidRPr="001632BD">
        <w:rPr>
          <w:i w:val="0"/>
          <w:iCs w:val="0"/>
          <w:color w:val="auto"/>
          <w:sz w:val="24"/>
          <w:szCs w:val="24"/>
        </w:rPr>
        <w:t xml:space="preserve">; however, their limitations differ considerably. </w:t>
      </w:r>
      <w:r w:rsidR="00D33B34" w:rsidRPr="001632BD">
        <w:rPr>
          <w:i w:val="0"/>
          <w:iCs w:val="0"/>
          <w:color w:val="auto"/>
          <w:sz w:val="24"/>
          <w:szCs w:val="24"/>
        </w:rPr>
        <w:t>Steel has the hig</w:t>
      </w:r>
      <w:r w:rsidR="00E9345F" w:rsidRPr="001632BD">
        <w:rPr>
          <w:i w:val="0"/>
          <w:iCs w:val="0"/>
          <w:color w:val="auto"/>
          <w:sz w:val="24"/>
          <w:szCs w:val="24"/>
        </w:rPr>
        <w:t xml:space="preserve">hest density at 7,850 </w:t>
      </w:r>
      <m:oMath>
        <m:sSup>
          <m:sSupPr>
            <m:ctrlPr>
              <w:rPr>
                <w:rFonts w:ascii="Cambria Math" w:hAnsi="Cambria Math"/>
                <w:i w:val="0"/>
                <w:iCs w:val="0"/>
                <w:color w:val="auto"/>
                <w:sz w:val="24"/>
                <w:szCs w:val="24"/>
              </w:rPr>
            </m:ctrlPr>
          </m:sSupPr>
          <m:e>
            <m:r>
              <w:rPr>
                <w:rFonts w:ascii="Cambria Math" w:hAnsi="Cambria Math"/>
                <w:color w:val="auto"/>
                <w:sz w:val="24"/>
                <w:szCs w:val="24"/>
              </w:rPr>
              <m:t>kg/m</m:t>
            </m:r>
          </m:e>
          <m:sup>
            <m:r>
              <w:rPr>
                <w:rFonts w:ascii="Cambria Math" w:hAnsi="Cambria Math"/>
                <w:color w:val="auto"/>
                <w:sz w:val="24"/>
                <w:szCs w:val="24"/>
              </w:rPr>
              <m:t>3</m:t>
            </m:r>
          </m:sup>
        </m:sSup>
      </m:oMath>
      <w:r w:rsidR="00A81418" w:rsidRPr="001632BD">
        <w:rPr>
          <w:i w:val="0"/>
          <w:iCs w:val="0"/>
          <w:color w:val="auto"/>
          <w:sz w:val="24"/>
          <w:szCs w:val="24"/>
        </w:rPr>
        <w:t>,</w:t>
      </w:r>
      <w:r w:rsidR="00DC5C39" w:rsidRPr="001632BD">
        <w:rPr>
          <w:i w:val="0"/>
          <w:iCs w:val="0"/>
          <w:color w:val="auto"/>
          <w:sz w:val="24"/>
          <w:szCs w:val="24"/>
        </w:rPr>
        <w:t xml:space="preserve"> increasing blade mass. While aluminium reduces weight</w:t>
      </w:r>
      <w:r w:rsidR="000D2549" w:rsidRPr="001632BD">
        <w:rPr>
          <w:i w:val="0"/>
          <w:iCs w:val="0"/>
          <w:color w:val="auto"/>
          <w:sz w:val="24"/>
          <w:szCs w:val="24"/>
        </w:rPr>
        <w:t xml:space="preserve"> but has no defined fatigue limit</w:t>
      </w:r>
      <w:r w:rsidR="00B12314" w:rsidRPr="001632BD">
        <w:rPr>
          <w:i w:val="0"/>
          <w:iCs w:val="0"/>
          <w:color w:val="auto"/>
          <w:sz w:val="24"/>
          <w:szCs w:val="24"/>
        </w:rPr>
        <w:t>. This means it requires consideration of finite</w:t>
      </w:r>
      <w:r w:rsidR="00504123" w:rsidRPr="001632BD">
        <w:rPr>
          <w:i w:val="0"/>
          <w:iCs w:val="0"/>
          <w:color w:val="auto"/>
          <w:sz w:val="24"/>
          <w:szCs w:val="24"/>
        </w:rPr>
        <w:t>-life cyclic loading</w:t>
      </w:r>
      <w:r w:rsidR="00891A12" w:rsidRPr="001632BD">
        <w:rPr>
          <w:i w:val="0"/>
          <w:iCs w:val="0"/>
          <w:color w:val="auto"/>
          <w:sz w:val="24"/>
          <w:szCs w:val="24"/>
        </w:rPr>
        <w:t xml:space="preserve"> </w:t>
      </w:r>
      <w:r w:rsidR="00123D5E" w:rsidRPr="001632BD">
        <w:rPr>
          <w:i w:val="0"/>
          <w:iCs w:val="0"/>
          <w:color w:val="auto"/>
          <w:sz w:val="24"/>
          <w:szCs w:val="24"/>
        </w:rPr>
        <w:t>(Ashby, 2011)</w:t>
      </w:r>
      <w:r w:rsidR="00504123" w:rsidRPr="001632BD">
        <w:rPr>
          <w:i w:val="0"/>
          <w:iCs w:val="0"/>
          <w:color w:val="auto"/>
          <w:sz w:val="24"/>
          <w:szCs w:val="24"/>
        </w:rPr>
        <w:t>. Ceramics provide high stiffness</w:t>
      </w:r>
      <w:r w:rsidR="00DF19EC" w:rsidRPr="001632BD">
        <w:rPr>
          <w:i w:val="0"/>
          <w:iCs w:val="0"/>
          <w:color w:val="auto"/>
          <w:sz w:val="24"/>
          <w:szCs w:val="24"/>
        </w:rPr>
        <w:t xml:space="preserve">, </w:t>
      </w:r>
      <w:r w:rsidR="00327387" w:rsidRPr="001632BD">
        <w:rPr>
          <w:i w:val="0"/>
          <w:iCs w:val="0"/>
          <w:color w:val="auto"/>
          <w:sz w:val="24"/>
          <w:szCs w:val="24"/>
        </w:rPr>
        <w:t>particularly silicon carbide</w:t>
      </w:r>
      <w:r w:rsidR="00B140F5" w:rsidRPr="001632BD">
        <w:rPr>
          <w:i w:val="0"/>
          <w:iCs w:val="0"/>
          <w:color w:val="auto"/>
          <w:sz w:val="24"/>
          <w:szCs w:val="24"/>
        </w:rPr>
        <w:t>. However, their brittle and flaw sensitive behav</w:t>
      </w:r>
      <w:r w:rsidR="00AF2F0C" w:rsidRPr="001632BD">
        <w:rPr>
          <w:i w:val="0"/>
          <w:iCs w:val="0"/>
          <w:color w:val="auto"/>
          <w:sz w:val="24"/>
          <w:szCs w:val="24"/>
        </w:rPr>
        <w:t>iour limits their suitability for cyclically loaded blades</w:t>
      </w:r>
      <w:r w:rsidR="00123D5E" w:rsidRPr="001632BD">
        <w:rPr>
          <w:i w:val="0"/>
          <w:iCs w:val="0"/>
          <w:color w:val="auto"/>
          <w:sz w:val="24"/>
          <w:szCs w:val="24"/>
        </w:rPr>
        <w:t xml:space="preserve"> (Ashby, 2011)</w:t>
      </w:r>
      <w:r w:rsidR="00AF2F0C" w:rsidRPr="001632BD">
        <w:rPr>
          <w:i w:val="0"/>
          <w:iCs w:val="0"/>
          <w:color w:val="auto"/>
          <w:sz w:val="24"/>
          <w:szCs w:val="24"/>
        </w:rPr>
        <w:t>.</w:t>
      </w:r>
      <w:r w:rsidR="004362A7" w:rsidRPr="001632BD">
        <w:rPr>
          <w:i w:val="0"/>
          <w:iCs w:val="0"/>
          <w:color w:val="auto"/>
          <w:sz w:val="24"/>
          <w:szCs w:val="24"/>
        </w:rPr>
        <w:t xml:space="preserve"> In comparison,</w:t>
      </w:r>
      <w:r w:rsidR="00311136" w:rsidRPr="001632BD">
        <w:rPr>
          <w:i w:val="0"/>
          <w:iCs w:val="0"/>
          <w:color w:val="auto"/>
          <w:sz w:val="24"/>
          <w:szCs w:val="24"/>
        </w:rPr>
        <w:t xml:space="preserve"> </w:t>
      </w:r>
      <w:r w:rsidR="00DA5085" w:rsidRPr="001632BD">
        <w:rPr>
          <w:i w:val="0"/>
          <w:iCs w:val="0"/>
          <w:color w:val="auto"/>
          <w:sz w:val="24"/>
          <w:szCs w:val="24"/>
        </w:rPr>
        <w:t xml:space="preserve">GFRP and CFRP have the lowest densities while </w:t>
      </w:r>
      <w:r w:rsidR="0055250B" w:rsidRPr="001632BD">
        <w:rPr>
          <w:i w:val="0"/>
          <w:iCs w:val="0"/>
          <w:color w:val="auto"/>
          <w:sz w:val="24"/>
          <w:szCs w:val="24"/>
        </w:rPr>
        <w:t xml:space="preserve">maintaining high tensile strength and </w:t>
      </w:r>
      <w:r w:rsidR="00BC4B6C" w:rsidRPr="001632BD">
        <w:rPr>
          <w:i w:val="0"/>
          <w:iCs w:val="0"/>
          <w:color w:val="auto"/>
          <w:sz w:val="24"/>
          <w:szCs w:val="24"/>
        </w:rPr>
        <w:t>adequate to excellent fatigue performance</w:t>
      </w:r>
      <w:r w:rsidR="001632BD" w:rsidRPr="001632BD">
        <w:rPr>
          <w:i w:val="0"/>
          <w:iCs w:val="0"/>
          <w:color w:val="auto"/>
          <w:sz w:val="24"/>
          <w:szCs w:val="24"/>
        </w:rPr>
        <w:t xml:space="preserve"> (Mishnaevsky et al., 2017; Nijssen and Brøndsted, 2023)</w:t>
      </w:r>
      <w:r w:rsidR="00BC4B6C" w:rsidRPr="001632BD">
        <w:rPr>
          <w:i w:val="0"/>
          <w:iCs w:val="0"/>
          <w:color w:val="auto"/>
          <w:sz w:val="24"/>
          <w:szCs w:val="24"/>
        </w:rPr>
        <w:t xml:space="preserve">. </w:t>
      </w:r>
      <w:r w:rsidR="00D906A9" w:rsidRPr="001632BD">
        <w:rPr>
          <w:i w:val="0"/>
          <w:iCs w:val="0"/>
          <w:color w:val="auto"/>
          <w:sz w:val="24"/>
          <w:szCs w:val="24"/>
        </w:rPr>
        <w:t xml:space="preserve">CFRP provides greater stiffness and tensile strength </w:t>
      </w:r>
      <w:r w:rsidR="0084752D" w:rsidRPr="001632BD">
        <w:rPr>
          <w:i w:val="0"/>
          <w:iCs w:val="0"/>
          <w:color w:val="auto"/>
          <w:sz w:val="24"/>
          <w:szCs w:val="24"/>
        </w:rPr>
        <w:t>than GFRP but has a higher cost</w:t>
      </w:r>
      <w:r w:rsidR="00A7569F">
        <w:rPr>
          <w:i w:val="0"/>
          <w:iCs w:val="0"/>
          <w:color w:val="auto"/>
          <w:sz w:val="24"/>
          <w:szCs w:val="24"/>
        </w:rPr>
        <w:t xml:space="preserve"> </w:t>
      </w:r>
      <w:r w:rsidR="001632BD" w:rsidRPr="001632BD">
        <w:rPr>
          <w:i w:val="0"/>
          <w:iCs w:val="0"/>
          <w:color w:val="auto"/>
          <w:sz w:val="24"/>
          <w:szCs w:val="24"/>
        </w:rPr>
        <w:t>(Mishnaevsky et al., 2017; Nijssen and Brøndsted, 2023)</w:t>
      </w:r>
      <w:r w:rsidR="00CA1888" w:rsidRPr="001632BD">
        <w:rPr>
          <w:i w:val="0"/>
          <w:iCs w:val="0"/>
          <w:color w:val="auto"/>
          <w:sz w:val="24"/>
          <w:szCs w:val="24"/>
        </w:rPr>
        <w:t xml:space="preserve">. These comparisons demonstrate the trade-offs between weight, mechanical performance and fatigue behaviour that must be considered during material selection. </w:t>
      </w:r>
      <w:r w:rsidR="004362A7" w:rsidRPr="001632BD">
        <w:rPr>
          <w:i w:val="0"/>
          <w:iCs w:val="0"/>
          <w:color w:val="auto"/>
          <w:sz w:val="24"/>
          <w:szCs w:val="24"/>
        </w:rPr>
        <w:t xml:space="preserve"> </w:t>
      </w:r>
      <w:r w:rsidR="00AF2F0C" w:rsidRPr="001632BD">
        <w:rPr>
          <w:i w:val="0"/>
          <w:iCs w:val="0"/>
          <w:color w:val="auto"/>
          <w:sz w:val="24"/>
          <w:szCs w:val="24"/>
        </w:rPr>
        <w:t xml:space="preserve"> </w:t>
      </w:r>
    </w:p>
    <w:p w14:paraId="339914FD" w14:textId="77777777" w:rsidR="001F1D8C" w:rsidRDefault="001F1D8C" w:rsidP="001F1D8C">
      <w:pPr>
        <w:pStyle w:val="Heading2"/>
      </w:pPr>
      <w:bookmarkStart w:id="10" w:name="_Toc239615482"/>
      <w:r>
        <w:lastRenderedPageBreak/>
        <w:t>2.4 Environmental factors</w:t>
      </w:r>
      <w:bookmarkEnd w:id="10"/>
    </w:p>
    <w:p w14:paraId="06D24484" w14:textId="497C79A5" w:rsidR="00AC6DBB" w:rsidRPr="00AC6DBB" w:rsidRDefault="000004F6" w:rsidP="00AC6DBB">
      <w:r>
        <w:t xml:space="preserve">Wind turbine blades operate under continuously changing environmental conditions. </w:t>
      </w:r>
      <w:r w:rsidR="00905A86">
        <w:t xml:space="preserve">The blade </w:t>
      </w:r>
      <w:r w:rsidR="0058054D">
        <w:t>sees many different applied loads. Wind speed</w:t>
      </w:r>
      <w:r w:rsidR="002C07C4">
        <w:t xml:space="preserve"> and direction can cause turbulence </w:t>
      </w:r>
      <w:r w:rsidR="006D01A4">
        <w:t>that produce</w:t>
      </w:r>
      <w:r w:rsidR="00DE5E97">
        <w:t>s</w:t>
      </w:r>
      <w:r w:rsidR="006D01A4">
        <w:t xml:space="preserve"> fluctuating aerodynamic loads</w:t>
      </w:r>
      <w:r w:rsidR="003D133B">
        <w:t>, w</w:t>
      </w:r>
      <w:r w:rsidR="000369A1">
        <w:t xml:space="preserve">hile blade rotation introduces cyclic gravitational loading. </w:t>
      </w:r>
      <w:r w:rsidR="000216E7">
        <w:t xml:space="preserve">Gusts can also generate </w:t>
      </w:r>
      <w:r w:rsidR="00C36966">
        <w:t xml:space="preserve">short duration peak loads. IEC 61400-1 </w:t>
      </w:r>
      <w:r w:rsidR="000E2F8B">
        <w:t xml:space="preserve">requires wind turbines to be designed for both normal and extreme wind conditions. </w:t>
      </w:r>
      <w:r w:rsidR="00F9397F">
        <w:t>Turbulence</w:t>
      </w:r>
      <w:r w:rsidR="005D7603">
        <w:t xml:space="preserve"> and gusts must be included in the design </w:t>
      </w:r>
      <w:r w:rsidR="00DD7E5B">
        <w:t>parameters to ensure structural</w:t>
      </w:r>
      <w:r w:rsidR="008878CD">
        <w:t xml:space="preserve"> </w:t>
      </w:r>
      <w:r w:rsidR="00DD7E5B">
        <w:t>integrity through</w:t>
      </w:r>
      <w:r w:rsidR="008611AB">
        <w:t>out their operating life (BSI, 2019</w:t>
      </w:r>
      <w:r w:rsidR="0076536F">
        <w:t>a</w:t>
      </w:r>
      <w:r w:rsidR="008611AB">
        <w:t xml:space="preserve">). </w:t>
      </w:r>
      <w:r w:rsidR="00946344">
        <w:t>Repeated variable loading contributes to progressive fatigue damage</w:t>
      </w:r>
      <w:r w:rsidR="00D71048">
        <w:t xml:space="preserve">. With this in mind </w:t>
      </w:r>
      <w:r w:rsidR="002E41C5">
        <w:t xml:space="preserve">fatigue should be a major consideration </w:t>
      </w:r>
      <w:r w:rsidR="005372F1">
        <w:t>throughout</w:t>
      </w:r>
      <w:r w:rsidR="002E41C5">
        <w:t xml:space="preserve"> </w:t>
      </w:r>
      <w:r w:rsidR="005372F1">
        <w:t>the blade’s operating life</w:t>
      </w:r>
      <w:r w:rsidR="001E2CC6">
        <w:t xml:space="preserve"> </w:t>
      </w:r>
      <w:r w:rsidR="001E2CC6" w:rsidRPr="001E2CC6">
        <w:t>(Nijssen and Brøndsted, 2023).</w:t>
      </w:r>
      <w:r w:rsidR="001E2CC6">
        <w:t xml:space="preserve"> Blades are also </w:t>
      </w:r>
      <w:r w:rsidR="009E7017">
        <w:t xml:space="preserve">exposed to </w:t>
      </w:r>
      <w:r w:rsidR="00D24809">
        <w:t>r</w:t>
      </w:r>
      <w:r w:rsidR="009E7017">
        <w:t>ain</w:t>
      </w:r>
      <w:r w:rsidR="00D24809">
        <w:t>, humidity and wea</w:t>
      </w:r>
      <w:r w:rsidR="00173AFD">
        <w:t>thering. This can cause surface degradation and leading edge erosion</w:t>
      </w:r>
      <w:r w:rsidR="000B686D">
        <w:t xml:space="preserve"> </w:t>
      </w:r>
      <w:r w:rsidR="000B686D" w:rsidRPr="000B686D">
        <w:t>(Mishnaevsky </w:t>
      </w:r>
      <w:r w:rsidR="000B686D" w:rsidRPr="000B686D">
        <w:rPr>
          <w:i/>
          <w:iCs/>
        </w:rPr>
        <w:t>et al</w:t>
      </w:r>
      <w:r w:rsidR="000B686D" w:rsidRPr="000B686D">
        <w:t>., 202</w:t>
      </w:r>
      <w:r w:rsidR="000E63E0">
        <w:t>1</w:t>
      </w:r>
      <w:r w:rsidR="000B686D" w:rsidRPr="000B686D">
        <w:t>)</w:t>
      </w:r>
      <w:r w:rsidR="000B686D">
        <w:t>.</w:t>
      </w:r>
      <w:r w:rsidR="00084613">
        <w:t xml:space="preserve"> Fibre reinforced composite</w:t>
      </w:r>
      <w:r w:rsidR="0008577E">
        <w:t>s</w:t>
      </w:r>
      <w:r w:rsidR="00084613">
        <w:t xml:space="preserve"> a</w:t>
      </w:r>
      <w:r w:rsidR="006B1C63">
        <w:t>re</w:t>
      </w:r>
      <w:r w:rsidR="00084613">
        <w:t xml:space="preserve"> therefore well suited to blade </w:t>
      </w:r>
      <w:r w:rsidR="00965CAE">
        <w:t xml:space="preserve">construction due to their low density, high stiffness </w:t>
      </w:r>
      <w:r w:rsidR="006B1C63">
        <w:t xml:space="preserve">and good fatigue performance </w:t>
      </w:r>
      <w:r w:rsidR="00C44FBE" w:rsidRPr="00C44FBE">
        <w:t>(Nijssen and Brøndsted, 2023).</w:t>
      </w:r>
    </w:p>
    <w:p w14:paraId="0A3401BB" w14:textId="77777777" w:rsidR="001F1D8C" w:rsidRDefault="001F1D8C" w:rsidP="001F1D8C">
      <w:pPr>
        <w:pStyle w:val="Heading1"/>
      </w:pPr>
      <w:bookmarkStart w:id="11" w:name="_Toc239615483"/>
      <w:r>
        <w:t>3. Design Specifications</w:t>
      </w:r>
      <w:bookmarkEnd w:id="11"/>
    </w:p>
    <w:p w14:paraId="605FBC47" w14:textId="6BF3C326" w:rsidR="000D4256" w:rsidRDefault="004840AD" w:rsidP="00B65B1F">
      <w:r>
        <w:t>The proposed</w:t>
      </w:r>
      <w:r w:rsidR="00F93DB1">
        <w:t xml:space="preserve"> wind turbine uses a three bladed rotor design to produce </w:t>
      </w:r>
      <w:r w:rsidR="00331904">
        <w:t xml:space="preserve">2 MW at a rated wind speed of 12 m/s. </w:t>
      </w:r>
      <w:r w:rsidR="00615ED6">
        <w:t>The air densi</w:t>
      </w:r>
      <w:r w:rsidR="005F4406">
        <w:t xml:space="preserve">ty </w:t>
      </w:r>
      <w:r w:rsidR="007F3655">
        <w:t xml:space="preserve">used </w:t>
      </w:r>
      <w:r w:rsidR="00A109CF">
        <w:t xml:space="preserve">for the design </w:t>
      </w:r>
      <w:r w:rsidR="005F4406">
        <w:t xml:space="preserve">was </w:t>
      </w:r>
      <w:r w:rsidR="005F4406" w:rsidRPr="007233AC">
        <w:t>1</w:t>
      </w:r>
      <w:r w:rsidR="00D72F2B">
        <w:t>.</w:t>
      </w:r>
      <w:r w:rsidR="007F3655" w:rsidRPr="007233AC">
        <w:t>225</w:t>
      </w:r>
      <w:r w:rsidR="005F4406" w:rsidRPr="007233AC">
        <w:t xml:space="preserve"> </w:t>
      </w:r>
      <m:oMath>
        <m:sSup>
          <m:sSupPr>
            <m:ctrlPr>
              <w:rPr>
                <w:rFonts w:ascii="Cambria Math" w:hAnsi="Cambria Math"/>
              </w:rPr>
            </m:ctrlPr>
          </m:sSupPr>
          <m:e>
            <m:r>
              <w:rPr>
                <w:rFonts w:ascii="Cambria Math" w:hAnsi="Cambria Math"/>
              </w:rPr>
              <m:t>kg</m:t>
            </m:r>
            <m:r>
              <m:rPr>
                <m:sty m:val="p"/>
              </m:rPr>
              <w:rPr>
                <w:rFonts w:ascii="Cambria Math" w:hAnsi="Cambria Math"/>
              </w:rPr>
              <m:t>/</m:t>
            </m:r>
            <m:r>
              <w:rPr>
                <w:rFonts w:ascii="Cambria Math" w:hAnsi="Cambria Math"/>
              </w:rPr>
              <m:t>m</m:t>
            </m:r>
          </m:e>
          <m:sup>
            <m:r>
              <m:rPr>
                <m:sty m:val="p"/>
              </m:rPr>
              <w:rPr>
                <w:rFonts w:ascii="Cambria Math" w:hAnsi="Cambria Math"/>
              </w:rPr>
              <m:t>3</m:t>
            </m:r>
          </m:sup>
        </m:sSup>
      </m:oMath>
      <w:r w:rsidR="0030357F">
        <w:t xml:space="preserve"> with</w:t>
      </w:r>
      <w:r w:rsidR="00A109CF" w:rsidRPr="007233AC">
        <w:t xml:space="preserve"> a target </w:t>
      </w:r>
      <w:r w:rsidR="00A06804" w:rsidRPr="007233AC">
        <w:t xml:space="preserve">power coefficient </w:t>
      </w:r>
      <m:oMath>
        <m:r>
          <m:rPr>
            <m:sty m:val="p"/>
          </m:rP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p</m:t>
            </m:r>
          </m:sub>
        </m:sSub>
        <m:r>
          <m:rPr>
            <m:sty m:val="p"/>
          </m:rPr>
          <w:rPr>
            <w:rFonts w:ascii="Cambria Math" w:hAnsi="Cambria Math"/>
          </w:rPr>
          <m:t>)</m:t>
        </m:r>
      </m:oMath>
      <w:r w:rsidR="003071A4" w:rsidRPr="007233AC">
        <w:t xml:space="preserve"> of 0.40. The calculated rotor radius is 38.78m</w:t>
      </w:r>
      <w:r w:rsidR="007938A9" w:rsidRPr="007233AC">
        <w:t xml:space="preserve">, giving a rotor diameter of 77.56 m and a swept area of approximately </w:t>
      </w:r>
      <w:r w:rsidR="007233AC" w:rsidRPr="007233AC">
        <w:t xml:space="preserve">4,724 </w:t>
      </w:r>
      <m:oMath>
        <m:sSup>
          <m:sSupPr>
            <m:ctrlPr>
              <w:rPr>
                <w:rFonts w:ascii="Cambria Math" w:hAnsi="Cambria Math"/>
              </w:rPr>
            </m:ctrlPr>
          </m:sSupPr>
          <m:e>
            <m:r>
              <w:rPr>
                <w:rFonts w:ascii="Cambria Math" w:hAnsi="Cambria Math"/>
              </w:rPr>
              <m:t>m</m:t>
            </m:r>
          </m:e>
          <m:sup>
            <m:r>
              <m:rPr>
                <m:sty m:val="p"/>
              </m:rPr>
              <w:rPr>
                <w:rFonts w:ascii="Cambria Math" w:hAnsi="Cambria Math"/>
              </w:rPr>
              <m:t>2</m:t>
            </m:r>
          </m:sup>
        </m:sSup>
      </m:oMath>
      <w:r w:rsidR="007233AC" w:rsidRPr="007233AC">
        <w:t>.</w:t>
      </w:r>
      <w:r w:rsidR="0030357F">
        <w:t xml:space="preserve"> A design tip speed ratio (TSR) of 7 gives a rotor speed of a</w:t>
      </w:r>
      <w:r w:rsidR="00762822">
        <w:t xml:space="preserve">pproximately 20.69 rpm. </w:t>
      </w:r>
    </w:p>
    <w:p w14:paraId="0E826B50" w14:textId="41CD0CF7" w:rsidR="00A56EC2" w:rsidRDefault="00240B82" w:rsidP="00A56EC2">
      <w:pPr>
        <w:pStyle w:val="Caption"/>
      </w:pPr>
      <w:bookmarkStart w:id="12" w:name="_Toc239615512"/>
      <w:r>
        <w:t>Table</w:t>
      </w:r>
      <w:r w:rsidR="00B65B1F">
        <w:t xml:space="preserve"> </w:t>
      </w:r>
      <w:fldSimple w:instr=" SEQ Table \* ARABIC ">
        <w:r w:rsidR="00E348CF">
          <w:rPr>
            <w:noProof/>
          </w:rPr>
          <w:t>2</w:t>
        </w:r>
      </w:fldSimple>
      <w:r w:rsidR="00B65B1F">
        <w:t xml:space="preserve">: </w:t>
      </w:r>
      <w:bookmarkStart w:id="13" w:name="_Toc239516298"/>
      <w:bookmarkStart w:id="14" w:name="_Toc239524854"/>
      <w:r w:rsidR="00B65B1F">
        <w:t>Wind turbine blade design specification</w:t>
      </w:r>
      <w:bookmarkEnd w:id="12"/>
      <w:bookmarkEnd w:id="13"/>
      <w:bookmarkEnd w:id="14"/>
    </w:p>
    <w:p w14:paraId="1E161600" w14:textId="3828C10A" w:rsidR="0027336A" w:rsidRDefault="00D0322E" w:rsidP="00A56EC2">
      <w:r w:rsidRPr="00D0322E">
        <w:rPr>
          <w:noProof/>
        </w:rPr>
        <w:drawing>
          <wp:inline distT="0" distB="0" distL="0" distR="0" wp14:anchorId="4AF3AF60" wp14:editId="2C85030B">
            <wp:extent cx="5731510" cy="2051685"/>
            <wp:effectExtent l="0" t="0" r="0" b="5715"/>
            <wp:docPr id="1213364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364915" name=""/>
                    <pic:cNvPicPr/>
                  </pic:nvPicPr>
                  <pic:blipFill>
                    <a:blip r:embed="rId10"/>
                    <a:stretch>
                      <a:fillRect/>
                    </a:stretch>
                  </pic:blipFill>
                  <pic:spPr>
                    <a:xfrm>
                      <a:off x="0" y="0"/>
                      <a:ext cx="5731510" cy="2051685"/>
                    </a:xfrm>
                    <a:prstGeom prst="rect">
                      <a:avLst/>
                    </a:prstGeom>
                  </pic:spPr>
                </pic:pic>
              </a:graphicData>
            </a:graphic>
          </wp:inline>
        </w:drawing>
      </w:r>
    </w:p>
    <w:p w14:paraId="10EA5992" w14:textId="40C6FBE6" w:rsidR="00975F8F" w:rsidRDefault="00C45BAD" w:rsidP="00B65B1F">
      <w:pPr>
        <w:pStyle w:val="Caption"/>
        <w:rPr>
          <w:i w:val="0"/>
          <w:iCs w:val="0"/>
          <w:color w:val="auto"/>
          <w:sz w:val="24"/>
          <w:szCs w:val="24"/>
        </w:rPr>
      </w:pPr>
      <w:r w:rsidRPr="00C45BAD">
        <w:rPr>
          <w:i w:val="0"/>
          <w:iCs w:val="0"/>
          <w:color w:val="auto"/>
          <w:sz w:val="24"/>
          <w:szCs w:val="24"/>
        </w:rPr>
        <w:lastRenderedPageBreak/>
        <w:t>A NACA 4412</w:t>
      </w:r>
      <w:r>
        <w:rPr>
          <w:i w:val="0"/>
          <w:iCs w:val="0"/>
          <w:color w:val="auto"/>
          <w:sz w:val="24"/>
          <w:szCs w:val="24"/>
        </w:rPr>
        <w:t xml:space="preserve"> aerofoil was selected, with a </w:t>
      </w:r>
      <w:r w:rsidR="002A6F2D">
        <w:rPr>
          <w:i w:val="0"/>
          <w:iCs w:val="0"/>
          <w:color w:val="auto"/>
          <w:sz w:val="24"/>
          <w:szCs w:val="24"/>
        </w:rPr>
        <w:t>maximum camber of 4% located at 40% of the chord and a maximum thickness of 12% located at approximately 30</w:t>
      </w:r>
      <w:r w:rsidR="00927DCB">
        <w:rPr>
          <w:i w:val="0"/>
          <w:iCs w:val="0"/>
          <w:color w:val="auto"/>
          <w:sz w:val="24"/>
          <w:szCs w:val="24"/>
        </w:rPr>
        <w:t xml:space="preserve">% chord. </w:t>
      </w:r>
      <w:r w:rsidR="0038527C">
        <w:rPr>
          <w:i w:val="0"/>
          <w:iCs w:val="0"/>
          <w:color w:val="auto"/>
          <w:sz w:val="24"/>
          <w:szCs w:val="24"/>
        </w:rPr>
        <w:t xml:space="preserve">A design angle of attack </w:t>
      </w:r>
      <w:r w:rsidR="007D4699">
        <w:rPr>
          <w:i w:val="0"/>
          <w:iCs w:val="0"/>
          <w:color w:val="auto"/>
          <w:sz w:val="24"/>
          <w:szCs w:val="24"/>
        </w:rPr>
        <w:t xml:space="preserve">of </w:t>
      </w:r>
      <w:r w:rsidR="007D4699" w:rsidRPr="007D4699">
        <w:rPr>
          <w:i w:val="0"/>
          <w:iCs w:val="0"/>
          <w:color w:val="auto"/>
          <w:sz w:val="24"/>
          <w:szCs w:val="24"/>
        </w:rPr>
        <w:t>5°</w:t>
      </w:r>
      <w:r w:rsidR="007D4699">
        <w:rPr>
          <w:i w:val="0"/>
          <w:iCs w:val="0"/>
          <w:color w:val="auto"/>
          <w:sz w:val="24"/>
          <w:szCs w:val="24"/>
        </w:rPr>
        <w:t xml:space="preserve"> was selected because it lies within an efficient operating region </w:t>
      </w:r>
      <w:r w:rsidR="00D93ACD">
        <w:rPr>
          <w:i w:val="0"/>
          <w:iCs w:val="0"/>
          <w:color w:val="auto"/>
          <w:sz w:val="24"/>
          <w:szCs w:val="24"/>
        </w:rPr>
        <w:t xml:space="preserve">for the aerofoil. </w:t>
      </w:r>
      <w:r w:rsidR="00DD1D23">
        <w:rPr>
          <w:i w:val="0"/>
          <w:iCs w:val="0"/>
          <w:color w:val="auto"/>
          <w:sz w:val="24"/>
          <w:szCs w:val="24"/>
        </w:rPr>
        <w:t xml:space="preserve">XFOIL analysis </w:t>
      </w:r>
      <w:r w:rsidR="00E45FD3">
        <w:rPr>
          <w:i w:val="0"/>
          <w:iCs w:val="0"/>
          <w:color w:val="auto"/>
          <w:sz w:val="24"/>
          <w:szCs w:val="24"/>
        </w:rPr>
        <w:t>predicts maximum lift</w:t>
      </w:r>
      <w:r w:rsidR="002263EC">
        <w:rPr>
          <w:i w:val="0"/>
          <w:iCs w:val="0"/>
          <w:color w:val="auto"/>
          <w:sz w:val="24"/>
          <w:szCs w:val="24"/>
        </w:rPr>
        <w:t xml:space="preserve">-to-drag ratio at approximately </w:t>
      </w:r>
      <w:r w:rsidR="00E525C8" w:rsidRPr="00E525C8">
        <w:rPr>
          <w:i w:val="0"/>
          <w:iCs w:val="0"/>
          <w:color w:val="auto"/>
          <w:sz w:val="24"/>
          <w:szCs w:val="24"/>
        </w:rPr>
        <w:t>5.25°.</w:t>
      </w:r>
      <w:r w:rsidR="00E525C8">
        <w:rPr>
          <w:i w:val="0"/>
          <w:iCs w:val="0"/>
          <w:color w:val="auto"/>
          <w:sz w:val="24"/>
          <w:szCs w:val="24"/>
        </w:rPr>
        <w:t xml:space="preserve"> </w:t>
      </w:r>
      <w:r w:rsidR="007A4B0A">
        <w:rPr>
          <w:i w:val="0"/>
          <w:iCs w:val="0"/>
          <w:color w:val="auto"/>
          <w:sz w:val="24"/>
          <w:szCs w:val="24"/>
        </w:rPr>
        <w:t xml:space="preserve">A design lift coefficient of </w:t>
      </w:r>
      <m:oMath>
        <m:sSub>
          <m:sSubPr>
            <m:ctrlPr>
              <w:rPr>
                <w:rFonts w:ascii="Cambria Math" w:hAnsi="Cambria Math"/>
                <w:iCs w:val="0"/>
                <w:color w:val="auto"/>
                <w:sz w:val="24"/>
                <w:szCs w:val="24"/>
              </w:rPr>
            </m:ctrlPr>
          </m:sSubPr>
          <m:e>
            <m:r>
              <w:rPr>
                <w:rFonts w:ascii="Cambria Math" w:hAnsi="Cambria Math"/>
                <w:color w:val="auto"/>
                <w:sz w:val="24"/>
                <w:szCs w:val="24"/>
              </w:rPr>
              <m:t>C</m:t>
            </m:r>
          </m:e>
          <m:sub>
            <m:r>
              <w:rPr>
                <w:rFonts w:ascii="Cambria Math" w:hAnsi="Cambria Math"/>
                <w:color w:val="000000"/>
                <w:sz w:val="27"/>
                <w:szCs w:val="27"/>
              </w:rPr>
              <m:t>L</m:t>
            </m:r>
          </m:sub>
        </m:sSub>
        <m:r>
          <w:rPr>
            <w:rFonts w:ascii="Cambria Math" w:hAnsi="Cambria Math"/>
            <w:color w:val="auto"/>
            <w:sz w:val="24"/>
            <w:szCs w:val="24"/>
          </w:rPr>
          <m:t>=1.20</m:t>
        </m:r>
      </m:oMath>
      <w:r w:rsidR="00975F8F">
        <w:rPr>
          <w:i w:val="0"/>
          <w:iCs w:val="0"/>
          <w:color w:val="auto"/>
          <w:sz w:val="24"/>
          <w:szCs w:val="24"/>
        </w:rPr>
        <w:t xml:space="preserve"> was adopted for the BEM calculations. </w:t>
      </w:r>
    </w:p>
    <w:p w14:paraId="02FBA24F" w14:textId="1D65E0F5" w:rsidR="00F340C4" w:rsidRDefault="004E5C98" w:rsidP="00B65B1F">
      <w:pPr>
        <w:pStyle w:val="Caption"/>
        <w:rPr>
          <w:i w:val="0"/>
          <w:iCs w:val="0"/>
          <w:color w:val="auto"/>
          <w:sz w:val="24"/>
          <w:szCs w:val="24"/>
        </w:rPr>
      </w:pPr>
      <w:r>
        <w:rPr>
          <w:i w:val="0"/>
          <w:iCs w:val="0"/>
          <w:color w:val="auto"/>
          <w:sz w:val="24"/>
          <w:szCs w:val="24"/>
        </w:rPr>
        <w:t xml:space="preserve">Blade geometry was </w:t>
      </w:r>
      <w:r w:rsidR="000702F1">
        <w:rPr>
          <w:i w:val="0"/>
          <w:iCs w:val="0"/>
          <w:color w:val="auto"/>
          <w:sz w:val="24"/>
          <w:szCs w:val="24"/>
        </w:rPr>
        <w:t>determined</w:t>
      </w:r>
      <w:r>
        <w:rPr>
          <w:i w:val="0"/>
          <w:iCs w:val="0"/>
          <w:color w:val="auto"/>
          <w:sz w:val="24"/>
          <w:szCs w:val="24"/>
        </w:rPr>
        <w:t xml:space="preserve"> </w:t>
      </w:r>
      <w:r w:rsidR="00D247D1">
        <w:rPr>
          <w:i w:val="0"/>
          <w:iCs w:val="0"/>
          <w:color w:val="auto"/>
          <w:sz w:val="24"/>
          <w:szCs w:val="24"/>
        </w:rPr>
        <w:t xml:space="preserve">using Blade Element Momentum (BEM) theory and the calculated </w:t>
      </w:r>
      <w:r w:rsidR="00BB2B94">
        <w:rPr>
          <w:i w:val="0"/>
          <w:iCs w:val="0"/>
          <w:color w:val="auto"/>
          <w:sz w:val="24"/>
          <w:szCs w:val="24"/>
        </w:rPr>
        <w:t xml:space="preserve">chord distribution was subsequently </w:t>
      </w:r>
      <w:r w:rsidR="0049248E">
        <w:rPr>
          <w:i w:val="0"/>
          <w:iCs w:val="0"/>
          <w:color w:val="auto"/>
          <w:sz w:val="24"/>
          <w:szCs w:val="24"/>
        </w:rPr>
        <w:t xml:space="preserve">linearised to provide a more practical geometry for manufacture. </w:t>
      </w:r>
      <w:r w:rsidR="004B52E6">
        <w:rPr>
          <w:i w:val="0"/>
          <w:iCs w:val="0"/>
          <w:color w:val="auto"/>
          <w:sz w:val="24"/>
          <w:szCs w:val="24"/>
        </w:rPr>
        <w:t xml:space="preserve">The blade tapers from a chord of 3.20 m at </w:t>
      </w:r>
      <m:oMath>
        <m:r>
          <w:rPr>
            <w:rFonts w:ascii="Cambria Math" w:hAnsi="Cambria Math"/>
            <w:color w:val="auto"/>
            <w:sz w:val="24"/>
            <w:szCs w:val="24"/>
          </w:rPr>
          <m:t>r/R=0.2</m:t>
        </m:r>
      </m:oMath>
      <w:r w:rsidR="00085ED0">
        <w:rPr>
          <w:i w:val="0"/>
          <w:iCs w:val="0"/>
          <w:color w:val="auto"/>
          <w:sz w:val="24"/>
          <w:szCs w:val="24"/>
        </w:rPr>
        <w:t xml:space="preserve"> to 0.60 m at the tip. </w:t>
      </w:r>
      <w:r w:rsidR="003F0A39">
        <w:rPr>
          <w:i w:val="0"/>
          <w:iCs w:val="0"/>
          <w:color w:val="auto"/>
          <w:sz w:val="24"/>
          <w:szCs w:val="24"/>
        </w:rPr>
        <w:t>The corresponding maximum aerofoil thickness therefore reduces from 0.</w:t>
      </w:r>
      <w:r w:rsidR="00897A13">
        <w:rPr>
          <w:i w:val="0"/>
          <w:iCs w:val="0"/>
          <w:color w:val="auto"/>
          <w:sz w:val="24"/>
          <w:szCs w:val="24"/>
        </w:rPr>
        <w:t>384 m to 0.072 m.</w:t>
      </w:r>
    </w:p>
    <w:p w14:paraId="0DBC04EE" w14:textId="11E633DC" w:rsidR="00277339" w:rsidRDefault="00240B82" w:rsidP="00810274">
      <w:pPr>
        <w:pStyle w:val="Caption"/>
        <w:rPr>
          <w:i w:val="0"/>
          <w:iCs w:val="0"/>
          <w:color w:val="auto"/>
          <w:sz w:val="24"/>
          <w:szCs w:val="24"/>
        </w:rPr>
      </w:pPr>
      <w:bookmarkStart w:id="15" w:name="_Toc239615513"/>
      <w:r>
        <w:t>Table</w:t>
      </w:r>
      <w:r w:rsidR="00810274">
        <w:t xml:space="preserve"> </w:t>
      </w:r>
      <w:fldSimple w:instr=" SEQ Table \* ARABIC ">
        <w:r w:rsidR="00E348CF">
          <w:rPr>
            <w:noProof/>
          </w:rPr>
          <w:t>3</w:t>
        </w:r>
      </w:fldSimple>
      <w:r w:rsidR="00810274" w:rsidRPr="00860DDF">
        <w:t xml:space="preserve">: </w:t>
      </w:r>
      <w:bookmarkStart w:id="16" w:name="_Toc239516299"/>
      <w:bookmarkStart w:id="17" w:name="_Toc239524855"/>
      <w:r w:rsidR="00810274" w:rsidRPr="00860DDF">
        <w:t>Principal blade sections derived from the BEM design</w:t>
      </w:r>
      <w:bookmarkEnd w:id="15"/>
      <w:bookmarkEnd w:id="16"/>
      <w:bookmarkEnd w:id="17"/>
    </w:p>
    <w:p w14:paraId="6055A0C3" w14:textId="0042E6F1" w:rsidR="00277339" w:rsidRDefault="00277339" w:rsidP="00B65B1F">
      <w:pPr>
        <w:pStyle w:val="Caption"/>
        <w:rPr>
          <w:i w:val="0"/>
          <w:iCs w:val="0"/>
          <w:color w:val="auto"/>
          <w:sz w:val="24"/>
          <w:szCs w:val="24"/>
        </w:rPr>
      </w:pPr>
      <w:r w:rsidRPr="00277339">
        <w:rPr>
          <w:i w:val="0"/>
          <w:iCs w:val="0"/>
          <w:noProof/>
          <w:color w:val="auto"/>
          <w:sz w:val="24"/>
          <w:szCs w:val="24"/>
        </w:rPr>
        <w:drawing>
          <wp:inline distT="0" distB="0" distL="0" distR="0" wp14:anchorId="21A26938" wp14:editId="7A0F2E94">
            <wp:extent cx="5731510" cy="1362710"/>
            <wp:effectExtent l="0" t="0" r="0" b="0"/>
            <wp:docPr id="92126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6012" name=""/>
                    <pic:cNvPicPr/>
                  </pic:nvPicPr>
                  <pic:blipFill>
                    <a:blip r:embed="rId11"/>
                    <a:stretch>
                      <a:fillRect/>
                    </a:stretch>
                  </pic:blipFill>
                  <pic:spPr>
                    <a:xfrm>
                      <a:off x="0" y="0"/>
                      <a:ext cx="5731510" cy="1362710"/>
                    </a:xfrm>
                    <a:prstGeom prst="rect">
                      <a:avLst/>
                    </a:prstGeom>
                  </pic:spPr>
                </pic:pic>
              </a:graphicData>
            </a:graphic>
          </wp:inline>
        </w:drawing>
      </w:r>
    </w:p>
    <w:p w14:paraId="6DC9153A" w14:textId="3E5017CE" w:rsidR="00810274" w:rsidRPr="00C45BAD" w:rsidRDefault="00810274" w:rsidP="00B65B1F">
      <w:pPr>
        <w:pStyle w:val="Caption"/>
        <w:rPr>
          <w:i w:val="0"/>
          <w:iCs w:val="0"/>
          <w:color w:val="auto"/>
          <w:sz w:val="24"/>
          <w:szCs w:val="24"/>
        </w:rPr>
      </w:pPr>
      <w:r>
        <w:rPr>
          <w:i w:val="0"/>
          <w:iCs w:val="0"/>
          <w:color w:val="auto"/>
          <w:sz w:val="24"/>
          <w:szCs w:val="24"/>
        </w:rPr>
        <w:t>The reduction in chord and twist reflects the increasing local blade speed towards the tip</w:t>
      </w:r>
      <w:r w:rsidR="00BA09FD">
        <w:rPr>
          <w:i w:val="0"/>
          <w:iCs w:val="0"/>
          <w:color w:val="auto"/>
          <w:sz w:val="24"/>
          <w:szCs w:val="24"/>
        </w:rPr>
        <w:t xml:space="preserve">. </w:t>
      </w:r>
      <w:r w:rsidR="00B20CCB">
        <w:rPr>
          <w:i w:val="0"/>
          <w:iCs w:val="0"/>
          <w:color w:val="auto"/>
          <w:sz w:val="24"/>
          <w:szCs w:val="24"/>
        </w:rPr>
        <w:t xml:space="preserve">The complete BEM geometry and calculations are provided in Appendix A. </w:t>
      </w:r>
    </w:p>
    <w:p w14:paraId="22DA65F7" w14:textId="77777777" w:rsidR="001F1D8C" w:rsidRDefault="001F1D8C" w:rsidP="001F1D8C">
      <w:pPr>
        <w:pStyle w:val="Heading1"/>
      </w:pPr>
      <w:bookmarkStart w:id="18" w:name="_Toc239615484"/>
      <w:r>
        <w:t>4. Material Selection</w:t>
      </w:r>
      <w:bookmarkEnd w:id="18"/>
    </w:p>
    <w:p w14:paraId="20DF4EF8" w14:textId="3A8DDE4F" w:rsidR="0098381F" w:rsidRDefault="00022C40" w:rsidP="00330FDA">
      <w:r>
        <w:t xml:space="preserve">A weighted decision matrix </w:t>
      </w:r>
      <w:r w:rsidR="00F60B49">
        <w:t>(WDM) was used to compare three candidate materials</w:t>
      </w:r>
      <w:r w:rsidR="00C22CF4">
        <w:t xml:space="preserve">. The materials reviewed </w:t>
      </w:r>
      <w:r w:rsidR="00E533E1">
        <w:t>were</w:t>
      </w:r>
      <w:r w:rsidR="00C22CF4">
        <w:t xml:space="preserve"> aluminium 6082-T6</w:t>
      </w:r>
      <w:r w:rsidR="00663EE8">
        <w:t>, silicon carbide (SiC</w:t>
      </w:r>
      <w:r w:rsidR="007023EA">
        <w:t>)</w:t>
      </w:r>
      <w:r w:rsidR="00663EE8">
        <w:t xml:space="preserve"> and E-glass/epoxy glass fibre</w:t>
      </w:r>
      <w:r w:rsidR="007023EA">
        <w:t xml:space="preserve"> reinforced polymer (GFRP). </w:t>
      </w:r>
      <w:r w:rsidR="006D7912">
        <w:t>Seven criteria were considered: spec</w:t>
      </w:r>
      <w:r w:rsidR="00B10FE6">
        <w:t xml:space="preserve">ific strength, specific </w:t>
      </w:r>
      <w:r w:rsidR="00E533E1">
        <w:t>stiffness</w:t>
      </w:r>
      <w:r w:rsidR="00B10FE6">
        <w:t>, fatigue resistance, density, raw material cost, manufacturability and recyclability. Scores from 1 (poor) to 5 (excellent) were assign</w:t>
      </w:r>
      <w:r w:rsidR="00E533E1">
        <w:t xml:space="preserve">ed relative to the competing materials and multiplied by the corresponding weighting. </w:t>
      </w:r>
    </w:p>
    <w:p w14:paraId="4760346F" w14:textId="77777777" w:rsidR="0071216D" w:rsidRDefault="0071216D" w:rsidP="00330FDA"/>
    <w:p w14:paraId="349F0017" w14:textId="77777777" w:rsidR="0071216D" w:rsidRDefault="0071216D" w:rsidP="00330FDA"/>
    <w:p w14:paraId="23777F4A" w14:textId="764AF2FB" w:rsidR="00403208" w:rsidRDefault="00240B82" w:rsidP="00403208">
      <w:pPr>
        <w:pStyle w:val="Caption"/>
      </w:pPr>
      <w:bookmarkStart w:id="19" w:name="_Toc239615514"/>
      <w:r>
        <w:lastRenderedPageBreak/>
        <w:t>Table</w:t>
      </w:r>
      <w:r w:rsidR="00403208">
        <w:t xml:space="preserve"> </w:t>
      </w:r>
      <w:fldSimple w:instr=" SEQ Table \* ARABIC ">
        <w:r w:rsidR="00E348CF">
          <w:rPr>
            <w:noProof/>
          </w:rPr>
          <w:t>4</w:t>
        </w:r>
      </w:fldSimple>
      <w:r w:rsidR="00403208" w:rsidRPr="00BF4325">
        <w:t xml:space="preserve">: </w:t>
      </w:r>
      <w:bookmarkStart w:id="20" w:name="_Toc239516300"/>
      <w:bookmarkStart w:id="21" w:name="_Toc239524856"/>
      <w:r w:rsidR="00403208" w:rsidRPr="00BF4325">
        <w:t>Weighted decision matrix for material selection</w:t>
      </w:r>
      <w:bookmarkEnd w:id="19"/>
      <w:bookmarkEnd w:id="20"/>
      <w:bookmarkEnd w:id="21"/>
    </w:p>
    <w:p w14:paraId="6E87E6BB" w14:textId="1834DEBA" w:rsidR="0098381F" w:rsidRDefault="00F1031A" w:rsidP="0071216D">
      <w:r w:rsidRPr="00F1031A">
        <w:rPr>
          <w:noProof/>
        </w:rPr>
        <w:drawing>
          <wp:inline distT="0" distB="0" distL="0" distR="0" wp14:anchorId="3F51426A" wp14:editId="4D89406B">
            <wp:extent cx="5731510" cy="1809750"/>
            <wp:effectExtent l="0" t="0" r="0" b="6350"/>
            <wp:docPr id="1862792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92979" name=""/>
                    <pic:cNvPicPr/>
                  </pic:nvPicPr>
                  <pic:blipFill>
                    <a:blip r:embed="rId12"/>
                    <a:stretch>
                      <a:fillRect/>
                    </a:stretch>
                  </pic:blipFill>
                  <pic:spPr>
                    <a:xfrm>
                      <a:off x="0" y="0"/>
                      <a:ext cx="5731510" cy="1809750"/>
                    </a:xfrm>
                    <a:prstGeom prst="rect">
                      <a:avLst/>
                    </a:prstGeom>
                  </pic:spPr>
                </pic:pic>
              </a:graphicData>
            </a:graphic>
          </wp:inline>
        </w:drawing>
      </w:r>
    </w:p>
    <w:p w14:paraId="75017EA9" w14:textId="3B1EE309" w:rsidR="00D25826" w:rsidRDefault="00AC08D1" w:rsidP="00403208">
      <w:pPr>
        <w:pStyle w:val="Caption"/>
        <w:rPr>
          <w:i w:val="0"/>
          <w:iCs w:val="0"/>
          <w:color w:val="auto"/>
          <w:sz w:val="24"/>
          <w:szCs w:val="24"/>
        </w:rPr>
      </w:pPr>
      <w:r>
        <w:rPr>
          <w:i w:val="0"/>
          <w:iCs w:val="0"/>
          <w:color w:val="auto"/>
          <w:sz w:val="24"/>
          <w:szCs w:val="24"/>
        </w:rPr>
        <w:t>Specific strength and fatigue resistance received the highest indi</w:t>
      </w:r>
      <w:r w:rsidR="00982EF6">
        <w:rPr>
          <w:i w:val="0"/>
          <w:iCs w:val="0"/>
          <w:color w:val="auto"/>
          <w:sz w:val="24"/>
          <w:szCs w:val="24"/>
        </w:rPr>
        <w:t xml:space="preserve">vidual weightings of 0.20. This reflects the need for the </w:t>
      </w:r>
      <w:r w:rsidR="00080340">
        <w:rPr>
          <w:i w:val="0"/>
          <w:iCs w:val="0"/>
          <w:color w:val="auto"/>
          <w:sz w:val="24"/>
          <w:szCs w:val="24"/>
        </w:rPr>
        <w:t xml:space="preserve">blade to withstand aerodynamic and cyclic loading while minimising </w:t>
      </w:r>
      <w:r w:rsidR="008B29B9">
        <w:rPr>
          <w:i w:val="0"/>
          <w:iCs w:val="0"/>
          <w:color w:val="auto"/>
          <w:sz w:val="24"/>
          <w:szCs w:val="24"/>
        </w:rPr>
        <w:t xml:space="preserve">structural mass. </w:t>
      </w:r>
      <w:r w:rsidR="00121B08" w:rsidRPr="00121B08">
        <w:rPr>
          <w:i w:val="0"/>
          <w:iCs w:val="0"/>
          <w:color w:val="auto"/>
          <w:sz w:val="24"/>
          <w:szCs w:val="24"/>
        </w:rPr>
        <w:t>Specific stiffness was weighted at 0.15 because sufficient blade stiffness is required to limit deflection under aerodynamic loading.</w:t>
      </w:r>
      <w:r w:rsidR="00123B17">
        <w:rPr>
          <w:i w:val="0"/>
          <w:iCs w:val="0"/>
          <w:color w:val="auto"/>
          <w:sz w:val="24"/>
          <w:szCs w:val="24"/>
        </w:rPr>
        <w:t xml:space="preserve"> </w:t>
      </w:r>
      <w:r w:rsidR="003E69C5">
        <w:rPr>
          <w:i w:val="0"/>
          <w:iCs w:val="0"/>
          <w:color w:val="auto"/>
          <w:sz w:val="24"/>
          <w:szCs w:val="24"/>
        </w:rPr>
        <w:t>Raw material cost was also weighted at 0.15, while density, manufacturability and recyclability were each assigned 0.10.</w:t>
      </w:r>
    </w:p>
    <w:p w14:paraId="0BD9A38B" w14:textId="5DD9A4B4" w:rsidR="004A4853" w:rsidRDefault="00237F29" w:rsidP="00403208">
      <w:pPr>
        <w:pStyle w:val="Caption"/>
        <w:rPr>
          <w:i w:val="0"/>
          <w:iCs w:val="0"/>
          <w:color w:val="auto"/>
          <w:sz w:val="24"/>
          <w:szCs w:val="24"/>
        </w:rPr>
      </w:pPr>
      <w:r>
        <w:rPr>
          <w:i w:val="0"/>
          <w:iCs w:val="0"/>
          <w:color w:val="auto"/>
          <w:sz w:val="24"/>
          <w:szCs w:val="24"/>
        </w:rPr>
        <w:t>Material datasheets were used to support the quantit</w:t>
      </w:r>
      <w:r w:rsidR="006363D0">
        <w:rPr>
          <w:i w:val="0"/>
          <w:iCs w:val="0"/>
          <w:color w:val="auto"/>
          <w:sz w:val="24"/>
          <w:szCs w:val="24"/>
        </w:rPr>
        <w:t xml:space="preserve">ative scores. </w:t>
      </w:r>
      <w:r w:rsidR="00E428A6">
        <w:rPr>
          <w:i w:val="0"/>
          <w:iCs w:val="0"/>
          <w:color w:val="auto"/>
          <w:sz w:val="24"/>
          <w:szCs w:val="24"/>
        </w:rPr>
        <w:t xml:space="preserve">Specific strength was determined from tensile </w:t>
      </w:r>
      <w:r w:rsidR="009F0FE8">
        <w:rPr>
          <w:i w:val="0"/>
          <w:iCs w:val="0"/>
          <w:color w:val="auto"/>
          <w:sz w:val="24"/>
          <w:szCs w:val="24"/>
        </w:rPr>
        <w:t xml:space="preserve">strength divided by density, while specific stiffness was </w:t>
      </w:r>
      <w:r w:rsidR="00842B43">
        <w:rPr>
          <w:i w:val="0"/>
          <w:iCs w:val="0"/>
          <w:color w:val="auto"/>
          <w:sz w:val="24"/>
          <w:szCs w:val="24"/>
        </w:rPr>
        <w:t>determined</w:t>
      </w:r>
      <w:r w:rsidR="009F0FE8">
        <w:rPr>
          <w:i w:val="0"/>
          <w:iCs w:val="0"/>
          <w:color w:val="auto"/>
          <w:sz w:val="24"/>
          <w:szCs w:val="24"/>
        </w:rPr>
        <w:t xml:space="preserve"> f</w:t>
      </w:r>
      <w:r w:rsidR="007D2B2D">
        <w:rPr>
          <w:i w:val="0"/>
          <w:iCs w:val="0"/>
          <w:color w:val="auto"/>
          <w:sz w:val="24"/>
          <w:szCs w:val="24"/>
        </w:rPr>
        <w:t>ro</w:t>
      </w:r>
      <w:r w:rsidR="009F0FE8">
        <w:rPr>
          <w:i w:val="0"/>
          <w:iCs w:val="0"/>
          <w:color w:val="auto"/>
          <w:sz w:val="24"/>
          <w:szCs w:val="24"/>
        </w:rPr>
        <w:t xml:space="preserve">m </w:t>
      </w:r>
      <w:r w:rsidR="00842B43">
        <w:rPr>
          <w:i w:val="0"/>
          <w:iCs w:val="0"/>
          <w:color w:val="auto"/>
          <w:sz w:val="24"/>
          <w:szCs w:val="24"/>
        </w:rPr>
        <w:t xml:space="preserve">Young’s modulus divided by density. </w:t>
      </w:r>
      <w:r w:rsidR="006E718F">
        <w:rPr>
          <w:i w:val="0"/>
          <w:iCs w:val="0"/>
          <w:color w:val="auto"/>
          <w:sz w:val="24"/>
          <w:szCs w:val="24"/>
        </w:rPr>
        <w:t xml:space="preserve">Worked examples of these calculations </w:t>
      </w:r>
      <w:r w:rsidR="00BE60A8">
        <w:rPr>
          <w:i w:val="0"/>
          <w:iCs w:val="0"/>
          <w:color w:val="auto"/>
          <w:sz w:val="24"/>
          <w:szCs w:val="24"/>
        </w:rPr>
        <w:t xml:space="preserve">are provided in Appendix A. </w:t>
      </w:r>
      <w:r w:rsidR="00276C25">
        <w:rPr>
          <w:i w:val="0"/>
          <w:iCs w:val="0"/>
          <w:color w:val="auto"/>
          <w:sz w:val="24"/>
          <w:szCs w:val="24"/>
        </w:rPr>
        <w:t xml:space="preserve">Fatigue resistance, cost, </w:t>
      </w:r>
      <w:r w:rsidR="00B6056F">
        <w:rPr>
          <w:i w:val="0"/>
          <w:iCs w:val="0"/>
          <w:color w:val="auto"/>
          <w:sz w:val="24"/>
          <w:szCs w:val="24"/>
        </w:rPr>
        <w:t>manufacturability</w:t>
      </w:r>
      <w:r w:rsidR="00276C25">
        <w:rPr>
          <w:i w:val="0"/>
          <w:iCs w:val="0"/>
          <w:color w:val="auto"/>
          <w:sz w:val="24"/>
          <w:szCs w:val="24"/>
        </w:rPr>
        <w:t xml:space="preserve"> and recyclability were ranked comparatively using published material and processing li</w:t>
      </w:r>
      <w:r w:rsidR="00B6056F">
        <w:rPr>
          <w:i w:val="0"/>
          <w:iCs w:val="0"/>
          <w:color w:val="auto"/>
          <w:sz w:val="24"/>
          <w:szCs w:val="24"/>
        </w:rPr>
        <w:t xml:space="preserve">terature </w:t>
      </w:r>
      <w:r w:rsidR="00B6056F" w:rsidRPr="00B6056F">
        <w:rPr>
          <w:i w:val="0"/>
          <w:iCs w:val="0"/>
          <w:color w:val="auto"/>
          <w:sz w:val="24"/>
          <w:szCs w:val="24"/>
        </w:rPr>
        <w:t>(Ashby, 2011; Mishnaevsky et al., 2017).</w:t>
      </w:r>
    </w:p>
    <w:p w14:paraId="62D769D5" w14:textId="727B62AB" w:rsidR="006F0DC1" w:rsidRPr="00D25826" w:rsidRDefault="006F0DC1" w:rsidP="00403208">
      <w:pPr>
        <w:pStyle w:val="Caption"/>
        <w:rPr>
          <w:i w:val="0"/>
          <w:iCs w:val="0"/>
          <w:color w:val="auto"/>
          <w:sz w:val="24"/>
          <w:szCs w:val="24"/>
        </w:rPr>
      </w:pPr>
      <w:r>
        <w:rPr>
          <w:i w:val="0"/>
          <w:iCs w:val="0"/>
          <w:color w:val="auto"/>
          <w:sz w:val="24"/>
          <w:szCs w:val="24"/>
        </w:rPr>
        <w:t>E-glass/epoxy GFRP achieved the highest weighted score of 3.95, compared with 3.</w:t>
      </w:r>
      <w:r w:rsidR="003F7437">
        <w:rPr>
          <w:i w:val="0"/>
          <w:iCs w:val="0"/>
          <w:color w:val="auto"/>
          <w:sz w:val="24"/>
          <w:szCs w:val="24"/>
        </w:rPr>
        <w:t>15</w:t>
      </w:r>
      <w:r w:rsidR="00165C2A">
        <w:rPr>
          <w:i w:val="0"/>
          <w:iCs w:val="0"/>
          <w:color w:val="auto"/>
          <w:sz w:val="24"/>
          <w:szCs w:val="24"/>
        </w:rPr>
        <w:t xml:space="preserve"> for aluminium and 2.40 for SiC. GF</w:t>
      </w:r>
      <w:r w:rsidR="00B703A5">
        <w:rPr>
          <w:i w:val="0"/>
          <w:iCs w:val="0"/>
          <w:color w:val="auto"/>
          <w:sz w:val="24"/>
          <w:szCs w:val="24"/>
        </w:rPr>
        <w:t>R</w:t>
      </w:r>
      <w:r w:rsidR="00165C2A">
        <w:rPr>
          <w:i w:val="0"/>
          <w:iCs w:val="0"/>
          <w:color w:val="auto"/>
          <w:sz w:val="24"/>
          <w:szCs w:val="24"/>
        </w:rPr>
        <w:t>P per</w:t>
      </w:r>
      <w:r w:rsidR="00876808">
        <w:rPr>
          <w:i w:val="0"/>
          <w:iCs w:val="0"/>
          <w:color w:val="auto"/>
          <w:sz w:val="24"/>
          <w:szCs w:val="24"/>
        </w:rPr>
        <w:t xml:space="preserve">formed </w:t>
      </w:r>
      <w:r w:rsidR="0084016E">
        <w:rPr>
          <w:i w:val="0"/>
          <w:iCs w:val="0"/>
          <w:color w:val="auto"/>
          <w:sz w:val="24"/>
          <w:szCs w:val="24"/>
        </w:rPr>
        <w:t>particularly</w:t>
      </w:r>
      <w:r w:rsidR="00A959CB">
        <w:rPr>
          <w:i w:val="0"/>
          <w:iCs w:val="0"/>
          <w:color w:val="auto"/>
          <w:sz w:val="24"/>
          <w:szCs w:val="24"/>
        </w:rPr>
        <w:t xml:space="preserve"> well </w:t>
      </w:r>
      <w:r w:rsidR="0084016E">
        <w:rPr>
          <w:i w:val="0"/>
          <w:iCs w:val="0"/>
          <w:color w:val="auto"/>
          <w:sz w:val="24"/>
          <w:szCs w:val="24"/>
        </w:rPr>
        <w:t>in specific</w:t>
      </w:r>
      <w:r w:rsidR="00A959CB">
        <w:rPr>
          <w:i w:val="0"/>
          <w:iCs w:val="0"/>
          <w:color w:val="auto"/>
          <w:sz w:val="24"/>
          <w:szCs w:val="24"/>
        </w:rPr>
        <w:t xml:space="preserve"> strength, fatigue resistance, low densit</w:t>
      </w:r>
      <w:r w:rsidR="0084016E">
        <w:rPr>
          <w:i w:val="0"/>
          <w:iCs w:val="0"/>
          <w:color w:val="auto"/>
          <w:sz w:val="24"/>
          <w:szCs w:val="24"/>
        </w:rPr>
        <w:t xml:space="preserve">y, cost and manufacturability. </w:t>
      </w:r>
      <w:r w:rsidR="00A1121E">
        <w:rPr>
          <w:i w:val="0"/>
          <w:iCs w:val="0"/>
          <w:color w:val="auto"/>
          <w:sz w:val="24"/>
          <w:szCs w:val="24"/>
        </w:rPr>
        <w:t>Its main limitations are comparatively low spec</w:t>
      </w:r>
      <w:r w:rsidR="002A54D9">
        <w:rPr>
          <w:i w:val="0"/>
          <w:iCs w:val="0"/>
          <w:color w:val="auto"/>
          <w:sz w:val="24"/>
          <w:szCs w:val="24"/>
        </w:rPr>
        <w:t xml:space="preserve">ific stiffness and poor recyclability. </w:t>
      </w:r>
      <w:r w:rsidR="001D7DFF">
        <w:rPr>
          <w:i w:val="0"/>
          <w:iCs w:val="0"/>
          <w:color w:val="auto"/>
          <w:sz w:val="24"/>
          <w:szCs w:val="24"/>
        </w:rPr>
        <w:t xml:space="preserve">Aluminium offers superior recyclability, while SiC provides excellent specific stiffness. </w:t>
      </w:r>
      <w:r w:rsidR="00144B40">
        <w:rPr>
          <w:i w:val="0"/>
          <w:iCs w:val="0"/>
          <w:color w:val="auto"/>
          <w:sz w:val="24"/>
          <w:szCs w:val="24"/>
        </w:rPr>
        <w:t xml:space="preserve">However, neither achieved the overall balance required for the blade. </w:t>
      </w:r>
      <w:r w:rsidR="009D1F6E" w:rsidRPr="009D1F6E">
        <w:rPr>
          <w:i w:val="0"/>
          <w:iCs w:val="0"/>
          <w:color w:val="auto"/>
          <w:sz w:val="24"/>
          <w:szCs w:val="24"/>
        </w:rPr>
        <w:t>GFRP remained the highest-ranked material when all seven criteria were weighted equally, indicating that the selection does not depend on the chosen weighting distribution.</w:t>
      </w:r>
      <w:r w:rsidR="009D1F6E">
        <w:rPr>
          <w:i w:val="0"/>
          <w:iCs w:val="0"/>
          <w:color w:val="auto"/>
          <w:sz w:val="24"/>
          <w:szCs w:val="24"/>
        </w:rPr>
        <w:t xml:space="preserve"> </w:t>
      </w:r>
      <w:r w:rsidR="00370F1B">
        <w:rPr>
          <w:i w:val="0"/>
          <w:iCs w:val="0"/>
          <w:color w:val="auto"/>
          <w:sz w:val="24"/>
          <w:szCs w:val="24"/>
        </w:rPr>
        <w:t>Therefore, E-glass/epoxy GFRP was selected as the primary blade material</w:t>
      </w:r>
      <w:r w:rsidR="00076EB4">
        <w:rPr>
          <w:i w:val="0"/>
          <w:iCs w:val="0"/>
          <w:color w:val="auto"/>
          <w:sz w:val="24"/>
          <w:szCs w:val="24"/>
        </w:rPr>
        <w:t xml:space="preserve">, demonstrating AHEP4 C13 by selecting an appropriate material while recognising its limitations. </w:t>
      </w:r>
    </w:p>
    <w:p w14:paraId="6213AE05" w14:textId="77777777" w:rsidR="001F1D8C" w:rsidRDefault="001F1D8C" w:rsidP="001F1D8C">
      <w:pPr>
        <w:pStyle w:val="Heading1"/>
      </w:pPr>
      <w:bookmarkStart w:id="22" w:name="_Toc239615485"/>
      <w:r>
        <w:lastRenderedPageBreak/>
        <w:t>5. Exploration of Manufacturing Routes</w:t>
      </w:r>
      <w:bookmarkEnd w:id="22"/>
    </w:p>
    <w:p w14:paraId="514B53F5" w14:textId="77777777" w:rsidR="001F1D8C" w:rsidRDefault="001F1D8C" w:rsidP="001F1D8C">
      <w:pPr>
        <w:pStyle w:val="Heading2"/>
      </w:pPr>
      <w:bookmarkStart w:id="23" w:name="_Toc239615486"/>
      <w:r>
        <w:t>5.1 Metals — casting and extrusion</w:t>
      </w:r>
      <w:bookmarkEnd w:id="23"/>
    </w:p>
    <w:p w14:paraId="00CA5E90" w14:textId="70185763" w:rsidR="009361C8" w:rsidRPr="009361C8" w:rsidRDefault="00E10DC5" w:rsidP="009361C8">
      <w:r>
        <w:t xml:space="preserve">Metallic blade components could </w:t>
      </w:r>
      <w:r w:rsidR="009361C8">
        <w:t>be manufac</w:t>
      </w:r>
      <w:r w:rsidR="00E26D55">
        <w:t xml:space="preserve">tured using casting </w:t>
      </w:r>
      <w:r w:rsidR="008C062F">
        <w:t xml:space="preserve">or </w:t>
      </w:r>
      <w:r w:rsidR="00E26D55">
        <w:t xml:space="preserve">extrusion. </w:t>
      </w:r>
      <w:r w:rsidR="006C4221" w:rsidRPr="006C4221">
        <w:t>Casting would require a dedicated casting alloy such as EN AC-42100, since 6082 is a wrought alloy not suited to casting</w:t>
      </w:r>
      <w:r w:rsidR="006C4221">
        <w:t xml:space="preserve">. </w:t>
      </w:r>
      <w:r w:rsidR="00E26D55">
        <w:t>In casting, aluminium is melted in a furnace</w:t>
      </w:r>
      <w:r w:rsidR="0065111C">
        <w:t xml:space="preserve"> and then poured into a mould</w:t>
      </w:r>
      <w:r w:rsidR="00AF4226">
        <w:t xml:space="preserve"> and allowed to solidify</w:t>
      </w:r>
      <w:r w:rsidR="00EC00C3">
        <w:t>. The finishing process can involve</w:t>
      </w:r>
      <w:r w:rsidR="006F2649">
        <w:t xml:space="preserve"> trimming,</w:t>
      </w:r>
      <w:r w:rsidR="00EC00C3">
        <w:t xml:space="preserve"> </w:t>
      </w:r>
      <w:r w:rsidR="009759ED">
        <w:t xml:space="preserve">heat treatment and machining. </w:t>
      </w:r>
      <w:r w:rsidR="00CF6E84">
        <w:t xml:space="preserve">Casting can produce complex shapes, although defects </w:t>
      </w:r>
      <w:r w:rsidR="00B93BEC">
        <w:t xml:space="preserve">are </w:t>
      </w:r>
      <w:r w:rsidR="005C5819">
        <w:t xml:space="preserve">sometimes </w:t>
      </w:r>
      <w:r w:rsidR="00B93BEC">
        <w:t xml:space="preserve">found. </w:t>
      </w:r>
      <w:r w:rsidR="008B614A">
        <w:t xml:space="preserve">Some </w:t>
      </w:r>
      <w:r w:rsidR="002E79C1">
        <w:t xml:space="preserve">of the </w:t>
      </w:r>
      <w:r w:rsidR="008B614A">
        <w:t xml:space="preserve">defects </w:t>
      </w:r>
      <w:r w:rsidR="008C74B9">
        <w:t>are</w:t>
      </w:r>
      <w:r w:rsidR="00CF6E84">
        <w:t xml:space="preserve"> gas porosity, shrinkage and inclusions</w:t>
      </w:r>
      <w:r w:rsidR="002E79C1">
        <w:t>. These defects</w:t>
      </w:r>
      <w:r w:rsidR="008C74B9">
        <w:t xml:space="preserve"> can reduce mechanical and fatigue performance (Groover, 2020). For the proposed blade, casting would be more appropriate for smaller fittings or root components</w:t>
      </w:r>
      <w:r w:rsidR="00B2382C">
        <w:t xml:space="preserve"> rather than the complete </w:t>
      </w:r>
      <w:r w:rsidR="00BC48EF">
        <w:t xml:space="preserve">blade structure. </w:t>
      </w:r>
      <w:r w:rsidR="00921B84">
        <w:t>Extrusion instead forces a heated aluminium billet through a shaped die using a hydraulic press</w:t>
      </w:r>
      <w:r w:rsidR="00CB7D53">
        <w:t xml:space="preserve">. This produces continuous sections with a consistent cross </w:t>
      </w:r>
      <w:r w:rsidR="008E63C2">
        <w:t>section. These can subsequently be cut, formed and machined. However, extrusion is less suitable for the complex taper</w:t>
      </w:r>
      <w:r w:rsidR="00911A9A">
        <w:t>ed and twisted geometry of a complete wind turbine blade. Both routes require sign</w:t>
      </w:r>
      <w:r w:rsidR="00AF0D8D">
        <w:t>ificant energy for heating, while molten metal hand</w:t>
      </w:r>
      <w:r w:rsidR="00A16B84">
        <w:t>l</w:t>
      </w:r>
      <w:r w:rsidR="00AF0D8D">
        <w:t>ing presents</w:t>
      </w:r>
      <w:r w:rsidR="00C533E8">
        <w:t xml:space="preserve"> burn, fume and fire hazards (Groover, 2020).</w:t>
      </w:r>
    </w:p>
    <w:p w14:paraId="70C2EDB8" w14:textId="77777777" w:rsidR="001F1D8C" w:rsidRDefault="001F1D8C" w:rsidP="001F1D8C">
      <w:pPr>
        <w:pStyle w:val="Heading2"/>
      </w:pPr>
      <w:bookmarkStart w:id="24" w:name="_Toc239615487"/>
      <w:r>
        <w:t>5.2 Ceramics — sintering / additive manufacturing</w:t>
      </w:r>
      <w:bookmarkEnd w:id="24"/>
    </w:p>
    <w:p w14:paraId="7008F3EA" w14:textId="4BFED451" w:rsidR="00757F18" w:rsidRPr="00757F18" w:rsidRDefault="006330D5" w:rsidP="00757F18">
      <w:r>
        <w:t>Silicon carbide (SiC) components are commonly manufactured through</w:t>
      </w:r>
      <w:r w:rsidR="00B12A29">
        <w:t xml:space="preserve"> pow</w:t>
      </w:r>
      <w:r w:rsidR="0050169C">
        <w:t>d</w:t>
      </w:r>
      <w:r w:rsidR="00B12A29">
        <w:t>er processing and sintering. SiC pow</w:t>
      </w:r>
      <w:r w:rsidR="004A6CE7">
        <w:t>d</w:t>
      </w:r>
      <w:r w:rsidR="00B12A29">
        <w:t>er is mixed with binders, compacted into the required shape</w:t>
      </w:r>
      <w:r w:rsidR="00626825">
        <w:t xml:space="preserve"> and heated in a high-temperature furnace to bond and densify the part</w:t>
      </w:r>
      <w:r w:rsidR="004A6CE7">
        <w:t>icles (Callister and Rethwisch, 2020).</w:t>
      </w:r>
      <w:r w:rsidR="00D74B4C">
        <w:t xml:space="preserve"> Additive manufacturing can alternatively build</w:t>
      </w:r>
      <w:r w:rsidR="00034862">
        <w:t xml:space="preserve"> complex cer</w:t>
      </w:r>
      <w:r w:rsidR="00E75D27">
        <w:t xml:space="preserve">amic geometries layer-by-layer before subsequent debinding and sintering. </w:t>
      </w:r>
      <w:r w:rsidR="00121881">
        <w:t xml:space="preserve">These methods exploit SiC’s high stiffness and thermal resistance. </w:t>
      </w:r>
      <w:r w:rsidR="009967E3">
        <w:t xml:space="preserve">However, </w:t>
      </w:r>
      <w:r w:rsidR="00A03A2A">
        <w:t>care should be taken to avoid defects</w:t>
      </w:r>
      <w:r w:rsidR="0034336D">
        <w:t xml:space="preserve">. </w:t>
      </w:r>
      <w:r w:rsidR="00FC75A1">
        <w:t xml:space="preserve">Pores and microcracks can act as fracture </w:t>
      </w:r>
      <w:r w:rsidR="0069691B">
        <w:t xml:space="preserve">initiation sites, </w:t>
      </w:r>
      <w:r w:rsidR="00633864">
        <w:t>and</w:t>
      </w:r>
      <w:r w:rsidR="0069691B">
        <w:t xml:space="preserve"> s</w:t>
      </w:r>
      <w:r w:rsidR="009967E3">
        <w:t>hrinkage during sintering must</w:t>
      </w:r>
      <w:r w:rsidR="00D363B4">
        <w:t xml:space="preserve"> be controlled carefully</w:t>
      </w:r>
      <w:r w:rsidR="0034336D">
        <w:t xml:space="preserve">. </w:t>
      </w:r>
      <w:r w:rsidR="00633864">
        <w:t xml:space="preserve">SiC’s brittleness </w:t>
      </w:r>
      <w:r w:rsidR="00A232DF">
        <w:t xml:space="preserve">also makes it unsuitable for a large blade subjected </w:t>
      </w:r>
      <w:r w:rsidR="004377A8">
        <w:t>to impact and cyclic loading. Ceramic pow</w:t>
      </w:r>
      <w:r w:rsidR="0000208D">
        <w:t xml:space="preserve">ders require suitable dust control measures, while the high processing </w:t>
      </w:r>
      <w:r w:rsidR="0077343F">
        <w:t>temperatures</w:t>
      </w:r>
      <w:r w:rsidR="0000208D">
        <w:t xml:space="preserve"> </w:t>
      </w:r>
      <w:r w:rsidR="0077343F">
        <w:t xml:space="preserve">contribute to the environmental impact. </w:t>
      </w:r>
    </w:p>
    <w:p w14:paraId="37BE6A81" w14:textId="77777777" w:rsidR="001F1D8C" w:rsidRDefault="001F1D8C" w:rsidP="001F1D8C">
      <w:pPr>
        <w:pStyle w:val="Heading2"/>
      </w:pPr>
      <w:bookmarkStart w:id="25" w:name="_Toc239615488"/>
      <w:r>
        <w:lastRenderedPageBreak/>
        <w:t>5.3 Polymer composites — RTM / vacuum infusion</w:t>
      </w:r>
      <w:bookmarkEnd w:id="25"/>
    </w:p>
    <w:p w14:paraId="676DC2F7" w14:textId="2DA88E25" w:rsidR="00AA7E79" w:rsidRPr="00AA7E79" w:rsidRDefault="00AA7E79" w:rsidP="00AA7E79">
      <w:r>
        <w:t>E-glass/epoxy GFRP blades can be manufactured using resin</w:t>
      </w:r>
      <w:r w:rsidR="004F5F72">
        <w:t xml:space="preserve"> transfer moulding (RTM) or vacuum-assisted </w:t>
      </w:r>
      <w:r w:rsidR="007F3D9A">
        <w:t xml:space="preserve">resin transfer moulding (VARTM). Reinforcement fibres are first </w:t>
      </w:r>
      <w:r w:rsidR="0016111A">
        <w:t>positioned</w:t>
      </w:r>
      <w:r w:rsidR="007F3D9A">
        <w:t xml:space="preserve"> </w:t>
      </w:r>
      <w:r w:rsidR="0016111A">
        <w:t xml:space="preserve">within the blade mould, with fibre orientation selected according to structural loading. </w:t>
      </w:r>
      <w:r w:rsidR="001032EF">
        <w:t>In RTM, resin is injected into a closed mould under pressure, whereas VARTM uses a vacuum to draw resin through the dry re</w:t>
      </w:r>
      <w:r w:rsidR="00D42E9C">
        <w:t xml:space="preserve">inforcement before curing </w:t>
      </w:r>
      <w:r w:rsidR="007525AB" w:rsidRPr="007525AB">
        <w:t>(Mishnaevsky et al., 2017).</w:t>
      </w:r>
      <w:r w:rsidR="007525AB">
        <w:t xml:space="preserve"> VARTM is </w:t>
      </w:r>
      <w:r w:rsidR="00307FF8">
        <w:t xml:space="preserve">particularly suitable for large wind turbines </w:t>
      </w:r>
      <w:r w:rsidR="002A1A9E">
        <w:t>because the process can be scaled by increasing the number of resin inlets and vacuum points</w:t>
      </w:r>
      <w:r w:rsidR="00252A0B">
        <w:t xml:space="preserve"> </w:t>
      </w:r>
      <w:r w:rsidR="00252A0B" w:rsidRPr="00252A0B">
        <w:t>(Mishnaevsky et al., 2017).</w:t>
      </w:r>
      <w:r w:rsidR="00252A0B">
        <w:t xml:space="preserve"> Potential manufacturing defects include voids, dry reg</w:t>
      </w:r>
      <w:r w:rsidR="00E03CA6">
        <w:t xml:space="preserve">ions and fibre wrinkling. </w:t>
      </w:r>
      <w:r w:rsidR="00196BFD">
        <w:t xml:space="preserve">Another problem is that delamination may develop within the composite structure and reduce its structural performance </w:t>
      </w:r>
      <w:r w:rsidR="00AA614A" w:rsidRPr="00AA614A">
        <w:t>(Mishnaevsky et al., 2017; Nixon-Pearson et al., 2022).</w:t>
      </w:r>
      <w:r w:rsidR="00AA614A">
        <w:t xml:space="preserve"> Resin handling requires appropriate PPE and ventilation, while thermoset composite wa</w:t>
      </w:r>
      <w:r w:rsidR="00724996">
        <w:t xml:space="preserve">ste presents recycling challenges. </w:t>
      </w:r>
    </w:p>
    <w:p w14:paraId="35EB2F6E" w14:textId="77777777" w:rsidR="001F1D8C" w:rsidRDefault="001F1D8C" w:rsidP="001F1D8C">
      <w:pPr>
        <w:pStyle w:val="Heading2"/>
      </w:pPr>
      <w:bookmarkStart w:id="26" w:name="_Toc239615489"/>
      <w:r>
        <w:t>5.4 Comparison of routes</w:t>
      </w:r>
      <w:bookmarkEnd w:id="26"/>
    </w:p>
    <w:p w14:paraId="009BD310" w14:textId="1AC2C136" w:rsidR="00C1284E" w:rsidRDefault="00240B82" w:rsidP="00330FDA">
      <w:pPr>
        <w:pStyle w:val="Caption"/>
      </w:pPr>
      <w:bookmarkStart w:id="27" w:name="_Toc239615515"/>
      <w:r>
        <w:t>Table</w:t>
      </w:r>
      <w:r w:rsidR="00431717">
        <w:t xml:space="preserve"> </w:t>
      </w:r>
      <w:fldSimple w:instr=" SEQ Table \* ARABIC ">
        <w:r w:rsidR="00E348CF">
          <w:rPr>
            <w:noProof/>
          </w:rPr>
          <w:t>5</w:t>
        </w:r>
      </w:fldSimple>
      <w:r w:rsidR="00431717" w:rsidRPr="005D2086">
        <w:t xml:space="preserve">: </w:t>
      </w:r>
      <w:bookmarkStart w:id="28" w:name="_Toc239516301"/>
      <w:bookmarkStart w:id="29" w:name="_Toc239524857"/>
      <w:r w:rsidR="00431717" w:rsidRPr="005D2086">
        <w:t>Comparison of manufacturing routes.</w:t>
      </w:r>
      <w:bookmarkEnd w:id="27"/>
      <w:bookmarkEnd w:id="28"/>
      <w:bookmarkEnd w:id="29"/>
    </w:p>
    <w:p w14:paraId="4EB4F36C" w14:textId="74FCB798" w:rsidR="00524400" w:rsidRDefault="00524400" w:rsidP="00C1284E">
      <w:r w:rsidRPr="00524400">
        <w:rPr>
          <w:noProof/>
        </w:rPr>
        <w:drawing>
          <wp:inline distT="0" distB="0" distL="0" distR="0" wp14:anchorId="1DDCB044" wp14:editId="2BA38920">
            <wp:extent cx="5731510" cy="1377950"/>
            <wp:effectExtent l="0" t="0" r="0" b="6350"/>
            <wp:docPr id="101647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476918" name=""/>
                    <pic:cNvPicPr/>
                  </pic:nvPicPr>
                  <pic:blipFill>
                    <a:blip r:embed="rId13"/>
                    <a:stretch>
                      <a:fillRect/>
                    </a:stretch>
                  </pic:blipFill>
                  <pic:spPr>
                    <a:xfrm>
                      <a:off x="0" y="0"/>
                      <a:ext cx="5731510" cy="1377950"/>
                    </a:xfrm>
                    <a:prstGeom prst="rect">
                      <a:avLst/>
                    </a:prstGeom>
                  </pic:spPr>
                </pic:pic>
              </a:graphicData>
            </a:graphic>
          </wp:inline>
        </w:drawing>
      </w:r>
    </w:p>
    <w:p w14:paraId="5EEC0C8B" w14:textId="0E5ABEDE" w:rsidR="004A3E8C" w:rsidRDefault="004A3E8C" w:rsidP="00524400">
      <w:pPr>
        <w:rPr>
          <w:i/>
          <w:iCs/>
          <w:color w:val="404040"/>
          <w:sz w:val="20"/>
          <w:szCs w:val="20"/>
        </w:rPr>
      </w:pPr>
      <w:r w:rsidRPr="00441A37">
        <w:rPr>
          <w:i/>
          <w:iCs/>
          <w:color w:val="404040"/>
          <w:sz w:val="20"/>
          <w:szCs w:val="20"/>
        </w:rPr>
        <w:t>Note: Cost refers to the manufacturing process and associated equipment, rather than the raw material cost assessed in Table 4.</w:t>
      </w:r>
    </w:p>
    <w:p w14:paraId="38B492CB" w14:textId="46FC144E" w:rsidR="0099659E" w:rsidRPr="00A92734" w:rsidRDefault="00A92734" w:rsidP="00524400">
      <w:r w:rsidRPr="00A92734">
        <w:t>Overall</w:t>
      </w:r>
      <w:r w:rsidR="00970BBD">
        <w:t>, va</w:t>
      </w:r>
      <w:r w:rsidR="003F61BF">
        <w:t>cuum in</w:t>
      </w:r>
      <w:r w:rsidR="00F053BF">
        <w:t>fused GFRP provides the most appr</w:t>
      </w:r>
      <w:r w:rsidR="00500E63">
        <w:t xml:space="preserve">opriate manufacturing route for the proposed blade. </w:t>
      </w:r>
      <w:r w:rsidR="00020D04">
        <w:t>Unlike extrusion, it</w:t>
      </w:r>
      <w:r w:rsidR="0072361E">
        <w:t xml:space="preserve"> can accom</w:t>
      </w:r>
      <w:r w:rsidR="00944949">
        <w:t xml:space="preserve">modate </w:t>
      </w:r>
      <w:r w:rsidR="002A7791">
        <w:t>the tapered and twisted aerodynamic geometry</w:t>
      </w:r>
      <w:r w:rsidR="0005442F">
        <w:t>. It also avoids the b</w:t>
      </w:r>
      <w:r w:rsidR="00A67956">
        <w:t xml:space="preserve">rittleness and furnace temperatures required for SiC sintering. </w:t>
      </w:r>
      <w:r w:rsidR="00ED0D14">
        <w:t xml:space="preserve">It also </w:t>
      </w:r>
      <w:r w:rsidR="00CE31BE">
        <w:t xml:space="preserve">allows </w:t>
      </w:r>
      <w:r w:rsidR="006E79C3">
        <w:t xml:space="preserve">fibre </w:t>
      </w:r>
      <w:r w:rsidR="00733DB3">
        <w:t xml:space="preserve">orientation and laminate thickness to be tailored to local blade loads. </w:t>
      </w:r>
      <w:r w:rsidR="0099659E" w:rsidRPr="0099659E">
        <w:t>Vacuum infusion is well suited to the manufacture of large wind turbine blades. The process offers good scalability and allows the blade structure to be tailored to meet specific design requirements (Mishnaevsky et al., 2017; Nixon-Pearson et al., 2022).</w:t>
      </w:r>
    </w:p>
    <w:p w14:paraId="4FD241F8" w14:textId="77777777" w:rsidR="001F1D8C" w:rsidRDefault="001F1D8C" w:rsidP="001F1D8C">
      <w:pPr>
        <w:pStyle w:val="Heading1"/>
      </w:pPr>
      <w:bookmarkStart w:id="30" w:name="_Toc239615490"/>
      <w:r>
        <w:lastRenderedPageBreak/>
        <w:t>6. Cost Evaluation</w:t>
      </w:r>
      <w:bookmarkEnd w:id="30"/>
    </w:p>
    <w:p w14:paraId="2E68682D" w14:textId="18BE7B12" w:rsidR="007E48AB" w:rsidRDefault="00801117" w:rsidP="007E48AB">
      <w:r>
        <w:t xml:space="preserve">The simplified shell model gives a total material volume of approximately </w:t>
      </w:r>
      <w:r w:rsidR="005E12ED">
        <w:t>4.82 m</w:t>
      </w:r>
      <w:r w:rsidR="005E12ED">
        <w:rPr>
          <w:vertAlign w:val="superscript"/>
        </w:rPr>
        <w:t xml:space="preserve">3 </w:t>
      </w:r>
      <w:r w:rsidR="005E12ED">
        <w:t xml:space="preserve">per blade. Applying the selected </w:t>
      </w:r>
      <w:r w:rsidR="00677891">
        <w:t>material densities gives estimated blade masses of 13,018 kg for aluminium</w:t>
      </w:r>
      <w:r w:rsidR="00F76EDE">
        <w:t xml:space="preserve"> 6082-T6, 15,477</w:t>
      </w:r>
      <w:r w:rsidR="002E6457">
        <w:t xml:space="preserve"> </w:t>
      </w:r>
      <w:r w:rsidR="00F76EDE">
        <w:t xml:space="preserve">kg for silicon carbide </w:t>
      </w:r>
      <w:r w:rsidR="00A353D4">
        <w:t>(SiC) and 9,161 kg for GFRP</w:t>
      </w:r>
      <w:r w:rsidR="00574FAB">
        <w:t xml:space="preserve">. </w:t>
      </w:r>
    </w:p>
    <w:p w14:paraId="54FEDD5E" w14:textId="3C318825" w:rsidR="00E0798D" w:rsidRDefault="00240B82" w:rsidP="00E0798D">
      <w:pPr>
        <w:pStyle w:val="Caption"/>
      </w:pPr>
      <w:bookmarkStart w:id="31" w:name="_Toc239615516"/>
      <w:r>
        <w:t>Table</w:t>
      </w:r>
      <w:r w:rsidR="00E0798D">
        <w:t xml:space="preserve"> </w:t>
      </w:r>
      <w:fldSimple w:instr=" SEQ Table \* ARABIC ">
        <w:r w:rsidR="00E348CF">
          <w:rPr>
            <w:noProof/>
          </w:rPr>
          <w:t>6</w:t>
        </w:r>
      </w:fldSimple>
      <w:r w:rsidR="00E0798D" w:rsidRPr="00DF70AA">
        <w:t xml:space="preserve">: </w:t>
      </w:r>
      <w:bookmarkStart w:id="32" w:name="_Toc239516302"/>
      <w:bookmarkStart w:id="33" w:name="_Toc239524858"/>
      <w:r w:rsidR="00E0798D" w:rsidRPr="00DF70AA">
        <w:t>Raw material cost comparison per blade</w:t>
      </w:r>
      <w:bookmarkEnd w:id="31"/>
      <w:bookmarkEnd w:id="32"/>
      <w:bookmarkEnd w:id="33"/>
    </w:p>
    <w:p w14:paraId="39814688" w14:textId="1A0669AC" w:rsidR="0073533C" w:rsidRDefault="0073533C" w:rsidP="007E48AB">
      <w:r w:rsidRPr="0073533C">
        <w:rPr>
          <w:noProof/>
        </w:rPr>
        <w:drawing>
          <wp:inline distT="0" distB="0" distL="0" distR="0" wp14:anchorId="69040444" wp14:editId="24640F46">
            <wp:extent cx="5731510" cy="818515"/>
            <wp:effectExtent l="0" t="0" r="0" b="0"/>
            <wp:docPr id="2093658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658819" name=""/>
                    <pic:cNvPicPr/>
                  </pic:nvPicPr>
                  <pic:blipFill>
                    <a:blip r:embed="rId14"/>
                    <a:stretch>
                      <a:fillRect/>
                    </a:stretch>
                  </pic:blipFill>
                  <pic:spPr>
                    <a:xfrm>
                      <a:off x="0" y="0"/>
                      <a:ext cx="5731510" cy="818515"/>
                    </a:xfrm>
                    <a:prstGeom prst="rect">
                      <a:avLst/>
                    </a:prstGeom>
                  </pic:spPr>
                </pic:pic>
              </a:graphicData>
            </a:graphic>
          </wp:inline>
        </w:drawing>
      </w:r>
    </w:p>
    <w:p w14:paraId="285DAD13" w14:textId="01C03268" w:rsidR="0073174A" w:rsidRDefault="0073174A" w:rsidP="007E48AB">
      <w:r>
        <w:t>GFRP provides the lowest estimated raw material cost despite having a slightly higher unit price than aluminium. Its low</w:t>
      </w:r>
      <w:r w:rsidR="006022D1">
        <w:t xml:space="preserve">er density reduces the mass of material required for the same estimated blade volume. </w:t>
      </w:r>
      <w:r w:rsidR="005762C5">
        <w:t xml:space="preserve">The GFRP unit cost was derived using a fibre volume fraction of 0.56, </w:t>
      </w:r>
      <w:r w:rsidR="007A23F4">
        <w:t xml:space="preserve">giving a fibre weight fraction of approximately </w:t>
      </w:r>
      <w:r w:rsidR="003710FF">
        <w:t xml:space="preserve">0.75. Using glass fibre at £2/kg and epoxy resin at </w:t>
      </w:r>
      <w:r w:rsidR="00B17B5A">
        <w:t>£3/kg gives an estimated laminate cost of £2.25/kg</w:t>
      </w:r>
      <w:r w:rsidR="001B5231">
        <w:t xml:space="preserve"> (Clark</w:t>
      </w:r>
      <w:r w:rsidR="00E74C54">
        <w:t>e</w:t>
      </w:r>
      <w:r w:rsidR="001B5231">
        <w:t xml:space="preserve"> et al., 2020). These prices are based on 2018 data and exclude material waste. </w:t>
      </w:r>
      <w:r w:rsidR="00793E8A">
        <w:t xml:space="preserve">The calculated value should therefore be considered a baseline </w:t>
      </w:r>
      <w:r w:rsidR="00AC07B3">
        <w:t xml:space="preserve">estimate rather than a final production cost. </w:t>
      </w:r>
    </w:p>
    <w:p w14:paraId="442F1F3C" w14:textId="77777777" w:rsidR="009C45A4" w:rsidRDefault="00BD62BE" w:rsidP="009C45A4">
      <w:r w:rsidRPr="00BD62BE">
        <w:t>Manufacturing would increase the total cost for all three materials. GFRP vacuum infusion also introduces additional production costs due to the need for large moulds and specialist equipment. Labour and quality control must also be considered. Bortolotti et al. (2019) show that these factors can make a significant contribution to the overall cost of composite blade production</w:t>
      </w:r>
      <w:r w:rsidR="009C45A4">
        <w:t>.</w:t>
      </w:r>
    </w:p>
    <w:p w14:paraId="588BE878" w14:textId="54CFD51A" w:rsidR="009C45A4" w:rsidRDefault="009C45A4" w:rsidP="009C45A4">
      <w:r w:rsidRPr="009C45A4">
        <w:t>Overall, GFRP provides the strongest cost-performance balance, combining the lowest raw material cost and blade mass with good fatigue performance.</w:t>
      </w:r>
    </w:p>
    <w:p w14:paraId="4B0EEE96" w14:textId="46EBA0FD" w:rsidR="001F1D8C" w:rsidRDefault="001F1D8C" w:rsidP="001F1D8C">
      <w:pPr>
        <w:pStyle w:val="Heading1"/>
      </w:pPr>
      <w:bookmarkStart w:id="34" w:name="_Toc239615491"/>
      <w:r>
        <w:t>7. Mechanical Properties Analysis</w:t>
      </w:r>
      <w:bookmarkEnd w:id="34"/>
    </w:p>
    <w:p w14:paraId="538F06F3" w14:textId="5D331003" w:rsidR="00CD51F5" w:rsidRDefault="00AF3E4E" w:rsidP="00CD51F5">
      <w:r>
        <w:t>Aero</w:t>
      </w:r>
      <w:r w:rsidR="000A7589">
        <w:t xml:space="preserve">dynamic loading </w:t>
      </w:r>
      <w:r w:rsidR="00AB7317">
        <w:t>was calculated at each blade section using the relative wind velocity, local chord and the NACA 4412 lift and drag coefficients. Lift and drag were resolved into normal and tangential forces</w:t>
      </w:r>
      <w:r w:rsidR="00A7514F">
        <w:t xml:space="preserve"> </w:t>
      </w:r>
      <w:r w:rsidR="00A7514F" w:rsidRPr="00A7514F">
        <w:t>(Burton et al., 20</w:t>
      </w:r>
      <w:r w:rsidR="00BE5E46">
        <w:t>0</w:t>
      </w:r>
      <w:r w:rsidR="00A7514F" w:rsidRPr="00A7514F">
        <w:t>1).</w:t>
      </w:r>
      <w:r w:rsidR="00AB7317">
        <w:t xml:space="preserve"> </w:t>
      </w:r>
      <w:r w:rsidR="00215BE7">
        <w:t xml:space="preserve">The normal force </w:t>
      </w:r>
      <w:r w:rsidR="00215BE7">
        <w:lastRenderedPageBreak/>
        <w:t xml:space="preserve">represents the main flap wise loading and was used to calculate the bending moment at the blade root. </w:t>
      </w:r>
    </w:p>
    <w:p w14:paraId="7E3708B8" w14:textId="7801337B" w:rsidR="004850CF" w:rsidRDefault="004850CF" w:rsidP="00CD51F5">
      <w:r>
        <w:t xml:space="preserve">A worked example was completed at </w:t>
      </w:r>
      <m:oMath>
        <m:r>
          <w:rPr>
            <w:rFonts w:ascii="Cambria Math" w:hAnsi="Cambria Math"/>
          </w:rPr>
          <m:t>r/R=0.6</m:t>
        </m:r>
      </m:oMath>
      <w:r w:rsidR="0002022E">
        <w:t xml:space="preserve">. At this section, the local radius is 23.3 m, chord is 1.9 m and relative wind velocity is 51.6 m/s. The section width is 3.9 m. The lift force </w:t>
      </w:r>
      <w:r w:rsidR="00BF30C9">
        <w:t xml:space="preserve">was calculated as: </w:t>
      </w:r>
    </w:p>
    <w:p w14:paraId="60B10779" w14:textId="08A568F0" w:rsidR="00BF30C9" w:rsidRPr="00086978" w:rsidRDefault="00BF30C9" w:rsidP="00CD51F5">
      <m:oMathPara>
        <m:oMath>
          <m:r>
            <w:rPr>
              <w:rFonts w:ascii="Cambria Math" w:hAnsi="Cambria Math"/>
            </w:rPr>
            <m:t>dL=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c</m:t>
          </m:r>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dr</m:t>
          </m:r>
        </m:oMath>
      </m:oMathPara>
    </w:p>
    <w:p w14:paraId="30ED0C3D" w14:textId="0FE666CE" w:rsidR="00086978" w:rsidRPr="009219A1" w:rsidRDefault="00AB773E" w:rsidP="00CD51F5">
      <m:oMathPara>
        <m:oMath>
          <m:r>
            <w:rPr>
              <w:rFonts w:ascii="Cambria Math" w:hAnsi="Cambria Math"/>
            </w:rPr>
            <m:t>dL=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(1.225)(51.</m:t>
          </m:r>
          <m:sSup>
            <m:sSupPr>
              <m:ctrlPr>
                <w:rPr>
                  <w:rFonts w:ascii="Cambria Math" w:hAnsi="Cambria Math"/>
                  <w:i/>
                </w:rPr>
              </m:ctrlPr>
            </m:sSupPr>
            <m:e>
              <m:r>
                <w:rPr>
                  <w:rFonts w:ascii="Cambria Math" w:hAnsi="Cambria Math"/>
                </w:rPr>
                <m:t>6</m:t>
              </m:r>
            </m:e>
            <m:sup>
              <m:r>
                <w:rPr>
                  <w:rFonts w:ascii="Cambria Math" w:hAnsi="Cambria Math"/>
                </w:rPr>
                <m:t>2</m:t>
              </m:r>
            </m:sup>
          </m:sSup>
          <m:r>
            <w:rPr>
              <w:rFonts w:ascii="Cambria Math" w:hAnsi="Cambria Math"/>
            </w:rPr>
            <m:t>)(1.9)(1.2)(3.9)</m:t>
          </m:r>
        </m:oMath>
      </m:oMathPara>
    </w:p>
    <w:p w14:paraId="3B29AECE" w14:textId="269AF31E" w:rsidR="009219A1" w:rsidRPr="00D91C4C" w:rsidRDefault="009219A1" w:rsidP="00CD51F5">
      <m:oMathPara>
        <m:oMath>
          <m:r>
            <w:rPr>
              <w:rFonts w:ascii="Cambria Math" w:hAnsi="Cambria Math"/>
            </w:rPr>
            <m:t>dL≈14.4 kN</m:t>
          </m:r>
        </m:oMath>
      </m:oMathPara>
    </w:p>
    <w:p w14:paraId="6286BC02" w14:textId="23133078" w:rsidR="00D91C4C" w:rsidRDefault="00D91C4C" w:rsidP="00CD51F5">
      <w:r>
        <w:t>Using a drag coefficient of 0.011, the corresponding drag force was:</w:t>
      </w:r>
    </w:p>
    <w:p w14:paraId="07CF65CB" w14:textId="15F1E546" w:rsidR="00D91C4C" w:rsidRPr="001C42E3" w:rsidRDefault="00ED3BAF" w:rsidP="00CD51F5">
      <m:oMathPara>
        <m:oMath>
          <m:r>
            <w:rPr>
              <w:rFonts w:ascii="Cambria Math" w:hAnsi="Cambria Math"/>
            </w:rPr>
            <m:t>dD=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W</m:t>
              </m:r>
            </m:e>
            <m:sup>
              <m:r>
                <w:rPr>
                  <w:rFonts w:ascii="Cambria Math" w:hAnsi="Cambria Math"/>
                </w:rPr>
                <m:t>2</m:t>
              </m:r>
            </m:sup>
          </m:sSup>
          <m:r>
            <w:rPr>
              <w:rFonts w:ascii="Cambria Math" w:hAnsi="Cambria Math"/>
            </w:rPr>
            <m:t>c</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dr</m:t>
          </m:r>
        </m:oMath>
      </m:oMathPara>
    </w:p>
    <w:p w14:paraId="11BF3BAD" w14:textId="00684AE9" w:rsidR="001C42E3" w:rsidRPr="00DB3BDF" w:rsidRDefault="000718F2" w:rsidP="00CD51F5">
      <m:oMathPara>
        <m:oMath>
          <m:r>
            <w:rPr>
              <w:rFonts w:ascii="Cambria Math" w:hAnsi="Cambria Math"/>
            </w:rPr>
            <m:t>dD≈0.132 kN</m:t>
          </m:r>
        </m:oMath>
      </m:oMathPara>
    </w:p>
    <w:p w14:paraId="0C922E64" w14:textId="364CBD3B" w:rsidR="00DB3BDF" w:rsidRDefault="00DB3BDF" w:rsidP="00CD51F5">
      <w:r>
        <w:t>The re</w:t>
      </w:r>
      <w:r w:rsidR="00A13665">
        <w:t xml:space="preserve">solved normal force at this section was approximately 14.25 kN. The </w:t>
      </w:r>
      <w:r w:rsidR="00EE272E">
        <w:t xml:space="preserve">same method was applied to each blade section in Excel. Figure </w:t>
      </w:r>
      <w:r w:rsidR="00D60D7A">
        <w:t>1</w:t>
      </w:r>
      <w:r w:rsidR="00EE272E">
        <w:t xml:space="preserve"> shows that the flap</w:t>
      </w:r>
      <w:r w:rsidR="00402675">
        <w:t xml:space="preserve">wise force increases along the blade before reaching a maximum of </w:t>
      </w:r>
      <w:r w:rsidR="00626A7E">
        <w:t xml:space="preserve">approximately </w:t>
      </w:r>
      <w:r w:rsidR="00E86DD7">
        <w:t>16.43</w:t>
      </w:r>
      <w:r w:rsidR="00CB6EE6">
        <w:t xml:space="preserve"> </w:t>
      </w:r>
      <w:r w:rsidR="00626A7E">
        <w:t xml:space="preserve">kN at </w:t>
      </w:r>
      <m:oMath>
        <m:r>
          <w:rPr>
            <w:rFonts w:ascii="Cambria Math" w:hAnsi="Cambria Math"/>
          </w:rPr>
          <m:t xml:space="preserve">=0.8. </m:t>
        </m:r>
      </m:oMath>
      <w:r w:rsidR="00427FCF">
        <w:t xml:space="preserve">The force then reduces towards the blade tip. </w:t>
      </w:r>
    </w:p>
    <w:p w14:paraId="4F297BD0" w14:textId="5C0247AA" w:rsidR="000426AC" w:rsidRDefault="000426AC" w:rsidP="000426AC">
      <w:pPr>
        <w:jc w:val="center"/>
      </w:pPr>
      <w:r w:rsidRPr="000426AC">
        <w:rPr>
          <w:noProof/>
        </w:rPr>
        <w:drawing>
          <wp:inline distT="0" distB="0" distL="0" distR="0" wp14:anchorId="5E84299C" wp14:editId="0F3D323F">
            <wp:extent cx="5105400" cy="2768600"/>
            <wp:effectExtent l="0" t="0" r="0" b="0"/>
            <wp:docPr id="1445633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33322" name=""/>
                    <pic:cNvPicPr/>
                  </pic:nvPicPr>
                  <pic:blipFill>
                    <a:blip r:embed="rId15"/>
                    <a:stretch>
                      <a:fillRect/>
                    </a:stretch>
                  </pic:blipFill>
                  <pic:spPr>
                    <a:xfrm>
                      <a:off x="0" y="0"/>
                      <a:ext cx="5105400" cy="2768600"/>
                    </a:xfrm>
                    <a:prstGeom prst="rect">
                      <a:avLst/>
                    </a:prstGeom>
                  </pic:spPr>
                </pic:pic>
              </a:graphicData>
            </a:graphic>
          </wp:inline>
        </w:drawing>
      </w:r>
    </w:p>
    <w:p w14:paraId="64600246" w14:textId="2CF6216B" w:rsidR="00240B82" w:rsidRDefault="00240B82" w:rsidP="00240B82">
      <w:pPr>
        <w:pStyle w:val="Caption"/>
      </w:pPr>
      <w:bookmarkStart w:id="35" w:name="_Toc239615503"/>
      <w:r>
        <w:t xml:space="preserve">Figure </w:t>
      </w:r>
      <w:fldSimple w:instr=" SEQ Figure \* ARABIC ">
        <w:r w:rsidR="00896852">
          <w:rPr>
            <w:noProof/>
          </w:rPr>
          <w:t>1</w:t>
        </w:r>
      </w:fldSimple>
      <w:r>
        <w:t xml:space="preserve">: </w:t>
      </w:r>
      <w:bookmarkStart w:id="36" w:name="_Toc239516129"/>
      <w:r>
        <w:t>Spanwise flapwise force distribution</w:t>
      </w:r>
      <w:bookmarkEnd w:id="35"/>
      <w:bookmarkEnd w:id="36"/>
    </w:p>
    <w:p w14:paraId="0A94B1FA" w14:textId="71C02716" w:rsidR="00DD5287" w:rsidRDefault="008C4C50" w:rsidP="00DD5287">
      <w:pPr>
        <w:pStyle w:val="Caption"/>
        <w:rPr>
          <w:i w:val="0"/>
          <w:iCs w:val="0"/>
          <w:color w:val="auto"/>
          <w:sz w:val="24"/>
          <w:szCs w:val="24"/>
        </w:rPr>
      </w:pPr>
      <w:r w:rsidRPr="008C4C50">
        <w:rPr>
          <w:i w:val="0"/>
          <w:iCs w:val="0"/>
          <w:color w:val="auto"/>
          <w:sz w:val="24"/>
          <w:szCs w:val="24"/>
        </w:rPr>
        <w:t>The bending moment</w:t>
      </w:r>
      <w:r>
        <w:rPr>
          <w:i w:val="0"/>
          <w:iCs w:val="0"/>
          <w:color w:val="auto"/>
          <w:sz w:val="24"/>
          <w:szCs w:val="24"/>
        </w:rPr>
        <w:t xml:space="preserve"> contribution from each section was summed to give a root bending moment of 2.492 MN.m. </w:t>
      </w:r>
      <w:r w:rsidR="006A2EE9" w:rsidRPr="006A2EE9">
        <w:rPr>
          <w:i w:val="0"/>
          <w:iCs w:val="0"/>
          <w:color w:val="auto"/>
          <w:sz w:val="24"/>
          <w:szCs w:val="24"/>
        </w:rPr>
        <w:t xml:space="preserve">The resulting root bending stress was calculated </w:t>
      </w:r>
      <w:r w:rsidR="006A2EE9" w:rsidRPr="006A2EE9">
        <w:rPr>
          <w:i w:val="0"/>
          <w:iCs w:val="0"/>
          <w:color w:val="auto"/>
          <w:sz w:val="24"/>
          <w:szCs w:val="24"/>
        </w:rPr>
        <w:lastRenderedPageBreak/>
        <w:t>using the elastic bending relationship</w:t>
      </w:r>
      <w:r w:rsidR="006A2EE9">
        <w:rPr>
          <w:i w:val="0"/>
          <w:iCs w:val="0"/>
          <w:color w:val="auto"/>
          <w:sz w:val="24"/>
          <w:szCs w:val="24"/>
        </w:rPr>
        <w:t xml:space="preserve"> </w:t>
      </w:r>
      <m:oMath>
        <m:r>
          <w:rPr>
            <w:rFonts w:ascii="Cambria Math" w:hAnsi="Cambria Math"/>
            <w:color w:val="auto"/>
            <w:sz w:val="24"/>
            <w:szCs w:val="24"/>
          </w:rPr>
          <m:t>σ=M/Z</m:t>
        </m:r>
      </m:oMath>
      <w:r w:rsidR="00A6524C">
        <w:rPr>
          <w:i w:val="0"/>
          <w:iCs w:val="0"/>
          <w:color w:val="auto"/>
          <w:sz w:val="24"/>
          <w:szCs w:val="24"/>
        </w:rPr>
        <w:t xml:space="preserve"> </w:t>
      </w:r>
      <w:r w:rsidR="006A2EE9" w:rsidRPr="006A2EE9">
        <w:rPr>
          <w:i w:val="0"/>
          <w:iCs w:val="0"/>
          <w:color w:val="auto"/>
          <w:sz w:val="24"/>
          <w:szCs w:val="24"/>
        </w:rPr>
        <w:t>(Hibbeler, 2017).</w:t>
      </w:r>
      <w:r w:rsidR="00A6524C">
        <w:rPr>
          <w:i w:val="0"/>
          <w:iCs w:val="0"/>
          <w:color w:val="auto"/>
          <w:sz w:val="24"/>
          <w:szCs w:val="24"/>
        </w:rPr>
        <w:t xml:space="preserve"> </w:t>
      </w:r>
      <w:r>
        <w:rPr>
          <w:i w:val="0"/>
          <w:iCs w:val="0"/>
          <w:color w:val="auto"/>
          <w:sz w:val="24"/>
          <w:szCs w:val="24"/>
        </w:rPr>
        <w:t>Using the cal</w:t>
      </w:r>
      <w:r w:rsidR="00B24EFB">
        <w:rPr>
          <w:i w:val="0"/>
          <w:iCs w:val="0"/>
          <w:color w:val="auto"/>
          <w:sz w:val="24"/>
          <w:szCs w:val="24"/>
        </w:rPr>
        <w:t xml:space="preserve">culated root section modulus of </w:t>
      </w:r>
      <w:r w:rsidR="0088570D">
        <w:rPr>
          <w:i w:val="0"/>
          <w:iCs w:val="0"/>
          <w:color w:val="auto"/>
          <w:sz w:val="24"/>
          <w:szCs w:val="24"/>
        </w:rPr>
        <w:t>0.024289 m</w:t>
      </w:r>
      <w:r w:rsidR="0088570D">
        <w:rPr>
          <w:i w:val="0"/>
          <w:iCs w:val="0"/>
          <w:color w:val="auto"/>
          <w:sz w:val="24"/>
          <w:szCs w:val="24"/>
          <w:vertAlign w:val="superscript"/>
        </w:rPr>
        <w:t>3</w:t>
      </w:r>
      <w:r w:rsidR="0088570D">
        <w:rPr>
          <w:i w:val="0"/>
          <w:iCs w:val="0"/>
          <w:color w:val="auto"/>
          <w:sz w:val="24"/>
          <w:szCs w:val="24"/>
        </w:rPr>
        <w:t>, the maximum bending stress was:</w:t>
      </w:r>
    </w:p>
    <w:p w14:paraId="785B42E3" w14:textId="49267CAD" w:rsidR="00C62D89" w:rsidRPr="007C62BC" w:rsidRDefault="00C62D89" w:rsidP="00DD5287">
      <w:pPr>
        <w:pStyle w:val="Caption"/>
        <w:rPr>
          <w:i w:val="0"/>
          <w:iCs w:val="0"/>
          <w:color w:val="auto"/>
          <w:sz w:val="24"/>
          <w:szCs w:val="24"/>
        </w:rPr>
      </w:pPr>
      <m:oMathPara>
        <m:oMath>
          <m:r>
            <w:rPr>
              <w:rFonts w:ascii="Cambria Math" w:hAnsi="Cambria Math"/>
              <w:color w:val="auto"/>
              <w:sz w:val="24"/>
              <w:szCs w:val="24"/>
            </w:rPr>
            <m:t>σ=</m:t>
          </m:r>
          <m:f>
            <m:fPr>
              <m:ctrlPr>
                <w:rPr>
                  <w:rFonts w:ascii="Cambria Math" w:hAnsi="Cambria Math"/>
                  <w:iCs w:val="0"/>
                  <w:color w:val="auto"/>
                  <w:sz w:val="24"/>
                  <w:szCs w:val="24"/>
                </w:rPr>
              </m:ctrlPr>
            </m:fPr>
            <m:num>
              <m:r>
                <w:rPr>
                  <w:rFonts w:ascii="Cambria Math" w:hAnsi="Cambria Math"/>
                  <w:color w:val="auto"/>
                  <w:sz w:val="24"/>
                  <w:szCs w:val="24"/>
                </w:rPr>
                <m:t>M</m:t>
              </m:r>
            </m:num>
            <m:den>
              <m:r>
                <w:rPr>
                  <w:rFonts w:ascii="Cambria Math" w:hAnsi="Cambria Math"/>
                  <w:color w:val="auto"/>
                  <w:sz w:val="24"/>
                  <w:szCs w:val="24"/>
                </w:rPr>
                <m:t>Z</m:t>
              </m:r>
            </m:den>
          </m:f>
        </m:oMath>
      </m:oMathPara>
    </w:p>
    <w:p w14:paraId="7BDB1E07" w14:textId="01972747" w:rsidR="007C62BC" w:rsidRPr="00A1438C" w:rsidRDefault="007C62BC" w:rsidP="00DD5287">
      <w:pPr>
        <w:pStyle w:val="Caption"/>
        <w:rPr>
          <w:i w:val="0"/>
          <w:iCs w:val="0"/>
          <w:color w:val="auto"/>
          <w:sz w:val="24"/>
          <w:szCs w:val="24"/>
        </w:rPr>
      </w:pPr>
      <m:oMathPara>
        <m:oMath>
          <m:r>
            <w:rPr>
              <w:rFonts w:ascii="Cambria Math" w:hAnsi="Cambria Math"/>
              <w:color w:val="auto"/>
              <w:sz w:val="24"/>
              <w:szCs w:val="24"/>
            </w:rPr>
            <m:t>σ=</m:t>
          </m:r>
          <m:f>
            <m:fPr>
              <m:ctrlPr>
                <w:rPr>
                  <w:rFonts w:ascii="Cambria Math" w:hAnsi="Cambria Math"/>
                  <w:iCs w:val="0"/>
                  <w:color w:val="auto"/>
                  <w:sz w:val="24"/>
                  <w:szCs w:val="24"/>
                </w:rPr>
              </m:ctrlPr>
            </m:fPr>
            <m:num>
              <m:r>
                <w:rPr>
                  <w:rFonts w:ascii="Cambria Math" w:hAnsi="Cambria Math"/>
                  <w:color w:val="auto"/>
                  <w:sz w:val="24"/>
                  <w:szCs w:val="24"/>
                </w:rPr>
                <m:t>2.492×</m:t>
              </m:r>
              <m:sSup>
                <m:sSupPr>
                  <m:ctrlPr>
                    <w:rPr>
                      <w:rFonts w:ascii="Cambria Math" w:hAnsi="Cambria Math"/>
                      <w:iCs w:val="0"/>
                      <w:color w:val="auto"/>
                      <w:sz w:val="24"/>
                      <w:szCs w:val="24"/>
                    </w:rPr>
                  </m:ctrlPr>
                </m:sSupPr>
                <m:e>
                  <m:r>
                    <w:rPr>
                      <w:rFonts w:ascii="Cambria Math" w:hAnsi="Cambria Math"/>
                      <w:color w:val="auto"/>
                      <w:sz w:val="24"/>
                      <w:szCs w:val="24"/>
                    </w:rPr>
                    <m:t>10</m:t>
                  </m:r>
                </m:e>
                <m:sup>
                  <m:r>
                    <w:rPr>
                      <w:rFonts w:ascii="Cambria Math" w:hAnsi="Cambria Math"/>
                      <w:color w:val="auto"/>
                      <w:sz w:val="24"/>
                      <w:szCs w:val="24"/>
                    </w:rPr>
                    <m:t>6</m:t>
                  </m:r>
                </m:sup>
              </m:sSup>
            </m:num>
            <m:den>
              <m:r>
                <w:rPr>
                  <w:rFonts w:ascii="Cambria Math" w:hAnsi="Cambria Math"/>
                  <w:color w:val="auto"/>
                  <w:sz w:val="24"/>
                  <w:szCs w:val="24"/>
                </w:rPr>
                <m:t xml:space="preserve">0.024289 </m:t>
              </m:r>
            </m:den>
          </m:f>
          <m:r>
            <w:rPr>
              <w:rFonts w:ascii="Cambria Math" w:hAnsi="Cambria Math"/>
              <w:color w:val="auto"/>
              <w:sz w:val="24"/>
              <w:szCs w:val="24"/>
            </w:rPr>
            <m:t>=102.61 MPa</m:t>
          </m:r>
        </m:oMath>
      </m:oMathPara>
    </w:p>
    <w:p w14:paraId="2E5491B3" w14:textId="2E6DDC81" w:rsidR="00A1438C" w:rsidRDefault="00A1438C" w:rsidP="00DD5287">
      <w:pPr>
        <w:pStyle w:val="Caption"/>
        <w:rPr>
          <w:i w:val="0"/>
          <w:iCs w:val="0"/>
          <w:color w:val="auto"/>
          <w:sz w:val="24"/>
          <w:szCs w:val="24"/>
        </w:rPr>
      </w:pPr>
      <w:r>
        <w:rPr>
          <w:i w:val="0"/>
          <w:iCs w:val="0"/>
          <w:color w:val="auto"/>
          <w:sz w:val="24"/>
          <w:szCs w:val="24"/>
        </w:rPr>
        <w:t xml:space="preserve">The </w:t>
      </w:r>
      <w:r w:rsidR="00AF6A6E">
        <w:rPr>
          <w:i w:val="0"/>
          <w:iCs w:val="0"/>
          <w:color w:val="auto"/>
          <w:sz w:val="24"/>
          <w:szCs w:val="24"/>
        </w:rPr>
        <w:t xml:space="preserve">calculated stress was compared with the strength of each candidate material. </w:t>
      </w:r>
      <w:r w:rsidR="007A3CD7">
        <w:rPr>
          <w:i w:val="0"/>
          <w:iCs w:val="0"/>
          <w:color w:val="auto"/>
          <w:sz w:val="24"/>
          <w:szCs w:val="24"/>
        </w:rPr>
        <w:t xml:space="preserve">Aluminium 6082-T6 gave a safety factor of 3.31, </w:t>
      </w:r>
      <w:r w:rsidR="00606854">
        <w:rPr>
          <w:i w:val="0"/>
          <w:iCs w:val="0"/>
          <w:color w:val="auto"/>
          <w:sz w:val="24"/>
          <w:szCs w:val="24"/>
        </w:rPr>
        <w:t xml:space="preserve">while SiC gave 3.90. GFRP produced the highest safety factor at </w:t>
      </w:r>
      <w:r w:rsidR="00806D63">
        <w:rPr>
          <w:i w:val="0"/>
          <w:iCs w:val="0"/>
          <w:color w:val="auto"/>
          <w:sz w:val="24"/>
          <w:szCs w:val="24"/>
        </w:rPr>
        <w:t>12.</w:t>
      </w:r>
      <w:r w:rsidR="007A7D19">
        <w:rPr>
          <w:i w:val="0"/>
          <w:iCs w:val="0"/>
          <w:color w:val="auto"/>
          <w:sz w:val="24"/>
          <w:szCs w:val="24"/>
        </w:rPr>
        <w:t>08</w:t>
      </w:r>
      <w:r w:rsidR="00806D63">
        <w:rPr>
          <w:i w:val="0"/>
          <w:iCs w:val="0"/>
          <w:color w:val="auto"/>
          <w:sz w:val="24"/>
          <w:szCs w:val="24"/>
        </w:rPr>
        <w:t xml:space="preserve">, based on a longitudinal tensile strength of </w:t>
      </w:r>
      <w:r w:rsidR="00436B46">
        <w:rPr>
          <w:i w:val="0"/>
          <w:iCs w:val="0"/>
          <w:color w:val="auto"/>
          <w:sz w:val="24"/>
          <w:szCs w:val="24"/>
        </w:rPr>
        <w:t>1</w:t>
      </w:r>
      <w:r w:rsidR="00C449B5">
        <w:rPr>
          <w:i w:val="0"/>
          <w:iCs w:val="0"/>
          <w:color w:val="auto"/>
          <w:sz w:val="24"/>
          <w:szCs w:val="24"/>
        </w:rPr>
        <w:t>,</w:t>
      </w:r>
      <w:r w:rsidR="00436B46">
        <w:rPr>
          <w:i w:val="0"/>
          <w:iCs w:val="0"/>
          <w:color w:val="auto"/>
          <w:sz w:val="24"/>
          <w:szCs w:val="24"/>
        </w:rPr>
        <w:t>240 M</w:t>
      </w:r>
      <w:r w:rsidR="00D473B8">
        <w:rPr>
          <w:i w:val="0"/>
          <w:iCs w:val="0"/>
          <w:color w:val="auto"/>
          <w:sz w:val="24"/>
          <w:szCs w:val="24"/>
        </w:rPr>
        <w:t>P</w:t>
      </w:r>
      <w:r w:rsidR="00436B46">
        <w:rPr>
          <w:i w:val="0"/>
          <w:iCs w:val="0"/>
          <w:color w:val="auto"/>
          <w:sz w:val="24"/>
          <w:szCs w:val="24"/>
        </w:rPr>
        <w:t xml:space="preserve">a. </w:t>
      </w:r>
      <w:r w:rsidR="0050450F" w:rsidRPr="0050450F">
        <w:rPr>
          <w:i w:val="0"/>
          <w:iCs w:val="0"/>
          <w:color w:val="auto"/>
          <w:sz w:val="24"/>
          <w:szCs w:val="24"/>
        </w:rPr>
        <w:t>This value is taken from a resin-infused unidirectional E-glass/epoxy laminate</w:t>
      </w:r>
      <w:r w:rsidR="006227CC" w:rsidRPr="00131EE1">
        <w:rPr>
          <w:i w:val="0"/>
          <w:iCs w:val="0"/>
          <w:color w:val="auto"/>
          <w:sz w:val="24"/>
          <w:szCs w:val="24"/>
        </w:rPr>
        <w:t xml:space="preserve"> tested at a fibre volume fraction of 56.8–58.2%, consistent with the </w:t>
      </w:r>
      <m:oMath>
        <m:sSub>
          <m:sSubPr>
            <m:ctrlPr>
              <w:rPr>
                <w:rFonts w:ascii="Cambria Math" w:hAnsi="Cambria Math"/>
                <w:iCs w:val="0"/>
                <w:color w:val="auto"/>
                <w:sz w:val="24"/>
                <w:szCs w:val="24"/>
              </w:rPr>
            </m:ctrlPr>
          </m:sSubPr>
          <m:e>
            <m:r>
              <w:rPr>
                <w:rFonts w:ascii="Cambria Math" w:hAnsi="Cambria Math"/>
                <w:color w:val="auto"/>
                <w:sz w:val="24"/>
                <w:szCs w:val="24"/>
              </w:rPr>
              <m:t>V</m:t>
            </m:r>
          </m:e>
          <m:sub>
            <m:r>
              <w:rPr>
                <w:rFonts w:ascii="Cambria Math" w:hAnsi="Cambria Math"/>
                <w:color w:val="auto"/>
                <w:sz w:val="24"/>
                <w:szCs w:val="24"/>
              </w:rPr>
              <m:t>f</m:t>
            </m:r>
          </m:sub>
        </m:sSub>
      </m:oMath>
      <w:r w:rsidR="006227CC" w:rsidRPr="00131EE1">
        <w:rPr>
          <w:i w:val="0"/>
          <w:iCs w:val="0"/>
          <w:color w:val="auto"/>
          <w:sz w:val="24"/>
          <w:szCs w:val="24"/>
        </w:rPr>
        <w:t xml:space="preserve"> = 0.56 assumed in Section 6 (Samborsky, Mandell and Agastra, 2012).</w:t>
      </w:r>
      <w:r w:rsidR="006227CC">
        <w:rPr>
          <w:i w:val="0"/>
          <w:iCs w:val="0"/>
          <w:color w:val="auto"/>
          <w:sz w:val="24"/>
          <w:szCs w:val="24"/>
        </w:rPr>
        <w:t xml:space="preserve"> </w:t>
      </w:r>
      <w:r w:rsidR="00436B46">
        <w:rPr>
          <w:i w:val="0"/>
          <w:iCs w:val="0"/>
          <w:color w:val="auto"/>
          <w:sz w:val="24"/>
          <w:szCs w:val="24"/>
        </w:rPr>
        <w:t>This indicates a substantial tensile strength margin</w:t>
      </w:r>
      <w:r w:rsidR="005B0930">
        <w:rPr>
          <w:i w:val="0"/>
          <w:iCs w:val="0"/>
          <w:color w:val="auto"/>
          <w:sz w:val="24"/>
          <w:szCs w:val="24"/>
        </w:rPr>
        <w:t xml:space="preserve"> under the simplified loading condition. </w:t>
      </w:r>
    </w:p>
    <w:p w14:paraId="250634BB" w14:textId="7EB64412" w:rsidR="005B0930" w:rsidRDefault="005B0930" w:rsidP="00DD5287">
      <w:pPr>
        <w:pStyle w:val="Caption"/>
        <w:rPr>
          <w:i w:val="0"/>
          <w:iCs w:val="0"/>
          <w:color w:val="auto"/>
          <w:sz w:val="24"/>
          <w:szCs w:val="24"/>
        </w:rPr>
      </w:pPr>
      <w:r>
        <w:rPr>
          <w:i w:val="0"/>
          <w:iCs w:val="0"/>
          <w:color w:val="auto"/>
          <w:sz w:val="24"/>
          <w:szCs w:val="24"/>
        </w:rPr>
        <w:t xml:space="preserve">GFRP is anisotropic, meaning its strength varies with fibre orientation and loading direction. </w:t>
      </w:r>
      <w:r w:rsidR="006D23F6">
        <w:rPr>
          <w:i w:val="0"/>
          <w:iCs w:val="0"/>
          <w:color w:val="auto"/>
          <w:sz w:val="24"/>
          <w:szCs w:val="24"/>
        </w:rPr>
        <w:t xml:space="preserve">Samborsky, Mandell and Agastra (2012) report a longitudinal compressive strength of approximately </w:t>
      </w:r>
      <w:r w:rsidR="00087252">
        <w:rPr>
          <w:i w:val="0"/>
          <w:iCs w:val="0"/>
          <w:color w:val="auto"/>
          <w:sz w:val="24"/>
          <w:szCs w:val="24"/>
        </w:rPr>
        <w:t>774 MPa for a comparable E</w:t>
      </w:r>
      <w:r w:rsidR="00F726EB">
        <w:rPr>
          <w:i w:val="0"/>
          <w:iCs w:val="0"/>
          <w:color w:val="auto"/>
          <w:sz w:val="24"/>
          <w:szCs w:val="24"/>
        </w:rPr>
        <w:t>-</w:t>
      </w:r>
      <w:r w:rsidR="00087252">
        <w:rPr>
          <w:i w:val="0"/>
          <w:iCs w:val="0"/>
          <w:color w:val="auto"/>
          <w:sz w:val="24"/>
          <w:szCs w:val="24"/>
        </w:rPr>
        <w:t xml:space="preserve">glass/epoxy laminate. </w:t>
      </w:r>
      <w:r w:rsidR="00664691">
        <w:rPr>
          <w:i w:val="0"/>
          <w:iCs w:val="0"/>
          <w:color w:val="auto"/>
          <w:sz w:val="24"/>
          <w:szCs w:val="24"/>
        </w:rPr>
        <w:t>Applying this value gives a lower compressive safety factor of approximately 7.54</w:t>
      </w:r>
      <w:r w:rsidR="001E125C">
        <w:rPr>
          <w:i w:val="0"/>
          <w:iCs w:val="0"/>
          <w:color w:val="auto"/>
          <w:sz w:val="24"/>
          <w:szCs w:val="24"/>
        </w:rPr>
        <w:t xml:space="preserve">. However, this remains greater than the calculated margins for aluminium and SiC. </w:t>
      </w:r>
    </w:p>
    <w:p w14:paraId="7E286801" w14:textId="158AA1FA" w:rsidR="00ED3BAF" w:rsidRPr="00ED3BAF" w:rsidRDefault="00407467" w:rsidP="00330FDA">
      <w:pPr>
        <w:pStyle w:val="Caption"/>
        <w:rPr>
          <w:i w:val="0"/>
        </w:rPr>
      </w:pPr>
      <w:r>
        <w:rPr>
          <w:i w:val="0"/>
          <w:iCs w:val="0"/>
          <w:color w:val="auto"/>
          <w:sz w:val="24"/>
          <w:szCs w:val="24"/>
        </w:rPr>
        <w:t>Tangential forces were also calculated in Excel and represent the torque</w:t>
      </w:r>
      <w:r w:rsidR="0049073A">
        <w:rPr>
          <w:i w:val="0"/>
          <w:iCs w:val="0"/>
          <w:color w:val="auto"/>
          <w:sz w:val="24"/>
          <w:szCs w:val="24"/>
        </w:rPr>
        <w:t xml:space="preserve">-producing component of the aerodynamic loading. </w:t>
      </w:r>
      <w:r w:rsidR="009635CB">
        <w:rPr>
          <w:i w:val="0"/>
          <w:iCs w:val="0"/>
          <w:color w:val="auto"/>
          <w:sz w:val="24"/>
          <w:szCs w:val="24"/>
        </w:rPr>
        <w:t>T</w:t>
      </w:r>
      <w:r w:rsidR="002C4CBD" w:rsidRPr="002C4CBD">
        <w:rPr>
          <w:i w:val="0"/>
          <w:iCs w:val="0"/>
          <w:color w:val="auto"/>
          <w:sz w:val="24"/>
          <w:szCs w:val="24"/>
        </w:rPr>
        <w:t>orsional shear stress at the root was calculated from the spanwise pitching moment distribution using the Bredt-Batho thin-walled section relationship, giving 0.18 MPa against an in-plane shear strength of 55.8 MPa (Appendix B). Aerodynamic torsion is therefore not a governing load case for this geometry, and the section is dominated by flapwise bending.</w:t>
      </w:r>
      <w:r w:rsidR="00505779">
        <w:rPr>
          <w:i w:val="0"/>
          <w:iCs w:val="0"/>
          <w:color w:val="auto"/>
          <w:sz w:val="24"/>
          <w:szCs w:val="24"/>
        </w:rPr>
        <w:t xml:space="preserve"> </w:t>
      </w:r>
      <w:r w:rsidR="000B38EC">
        <w:rPr>
          <w:i w:val="0"/>
          <w:iCs w:val="0"/>
          <w:color w:val="auto"/>
          <w:sz w:val="24"/>
          <w:szCs w:val="24"/>
        </w:rPr>
        <w:t>A detailed blade assessment would require combined bending and torsional loading together with fatigue and buckling an</w:t>
      </w:r>
      <w:r w:rsidR="00FE304D">
        <w:rPr>
          <w:i w:val="0"/>
          <w:iCs w:val="0"/>
          <w:color w:val="auto"/>
          <w:sz w:val="24"/>
          <w:szCs w:val="24"/>
        </w:rPr>
        <w:t xml:space="preserve">alysis </w:t>
      </w:r>
      <w:r w:rsidR="0059290B" w:rsidRPr="0059290B">
        <w:rPr>
          <w:i w:val="0"/>
          <w:iCs w:val="0"/>
          <w:color w:val="auto"/>
          <w:sz w:val="24"/>
          <w:szCs w:val="24"/>
        </w:rPr>
        <w:t>(Mishnaevsky et al., 2017). Overall, GFRP provides the greatest calculated strength margin and supports its selection as the preferred blade material.</w:t>
      </w:r>
    </w:p>
    <w:p w14:paraId="24685230" w14:textId="1767F8B1" w:rsidR="001F1D8C" w:rsidRDefault="001F1D8C" w:rsidP="00451A96">
      <w:pPr>
        <w:pStyle w:val="Heading1"/>
      </w:pPr>
      <w:bookmarkStart w:id="37" w:name="_Toc239615492"/>
      <w:r>
        <w:t>8. Comparative Analysis</w:t>
      </w:r>
      <w:bookmarkEnd w:id="37"/>
    </w:p>
    <w:p w14:paraId="531C3EAF" w14:textId="28B47EC3" w:rsidR="009062DF" w:rsidRPr="009062DF" w:rsidRDefault="00240B82" w:rsidP="008B00F0">
      <w:pPr>
        <w:pStyle w:val="Caption"/>
      </w:pPr>
      <w:bookmarkStart w:id="38" w:name="_Toc239615517"/>
      <w:r>
        <w:t>Table</w:t>
      </w:r>
      <w:r w:rsidR="008B00F0">
        <w:t xml:space="preserve"> </w:t>
      </w:r>
      <w:fldSimple w:instr=" SEQ Table \* ARABIC ">
        <w:r w:rsidR="00E348CF">
          <w:rPr>
            <w:noProof/>
          </w:rPr>
          <w:t>7</w:t>
        </w:r>
      </w:fldSimple>
      <w:r w:rsidR="008B00F0" w:rsidRPr="00AC30D8">
        <w:t xml:space="preserve">: </w:t>
      </w:r>
      <w:bookmarkStart w:id="39" w:name="_Toc239516303"/>
      <w:bookmarkStart w:id="40" w:name="_Toc239524859"/>
      <w:r w:rsidR="008B00F0" w:rsidRPr="00AC30D8">
        <w:t>Comparative summary of materials and manufacturing processes</w:t>
      </w:r>
      <w:bookmarkEnd w:id="38"/>
      <w:bookmarkEnd w:id="39"/>
      <w:bookmarkEnd w:id="40"/>
    </w:p>
    <w:p w14:paraId="7540F4F9" w14:textId="652CA710" w:rsidR="00451A96" w:rsidRDefault="007F461E" w:rsidP="00451A96">
      <w:r w:rsidRPr="007F461E">
        <w:rPr>
          <w:noProof/>
        </w:rPr>
        <w:lastRenderedPageBreak/>
        <w:drawing>
          <wp:inline distT="0" distB="0" distL="0" distR="0" wp14:anchorId="7D120C37" wp14:editId="66BBEBB2">
            <wp:extent cx="5731510" cy="1711325"/>
            <wp:effectExtent l="0" t="0" r="0" b="3175"/>
            <wp:docPr id="994414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14496" name=""/>
                    <pic:cNvPicPr/>
                  </pic:nvPicPr>
                  <pic:blipFill>
                    <a:blip r:embed="rId16"/>
                    <a:stretch>
                      <a:fillRect/>
                    </a:stretch>
                  </pic:blipFill>
                  <pic:spPr>
                    <a:xfrm>
                      <a:off x="0" y="0"/>
                      <a:ext cx="5731510" cy="1711325"/>
                    </a:xfrm>
                    <a:prstGeom prst="rect">
                      <a:avLst/>
                    </a:prstGeom>
                  </pic:spPr>
                </pic:pic>
              </a:graphicData>
            </a:graphic>
          </wp:inline>
        </w:drawing>
      </w:r>
    </w:p>
    <w:p w14:paraId="7D5C06BF" w14:textId="3E07E25F" w:rsidR="008B00F0" w:rsidRDefault="00013E92" w:rsidP="00451A96">
      <w:r>
        <w:t>The comparison shows that no single material provides the best performance in every category. SiC offers the highest specific stiffness, while aluminium 6082</w:t>
      </w:r>
      <w:r w:rsidR="00405195">
        <w:t>-</w:t>
      </w:r>
      <w:r>
        <w:t xml:space="preserve">T6 provides the best recyclability. However, GFRP provides the strongest overall combination of mechanical performance, manufacturing scalability and cost. </w:t>
      </w:r>
    </w:p>
    <w:p w14:paraId="5E9522A8" w14:textId="42487D13" w:rsidR="0015581C" w:rsidRDefault="00AE1A8A" w:rsidP="00451A96">
      <w:r>
        <w:t xml:space="preserve">Manufacturing also favours GFRP. Vacuum assisted resin </w:t>
      </w:r>
      <w:r w:rsidR="003C7DCA">
        <w:t>infusion is widely used for large wind turbine blades and can be scaled to components with the si</w:t>
      </w:r>
      <w:r w:rsidR="00DA604E">
        <w:t>ze range considered in this study</w:t>
      </w:r>
      <w:r w:rsidR="007D7A2C">
        <w:t xml:space="preserve"> </w:t>
      </w:r>
      <w:r w:rsidR="007D7A2C" w:rsidRPr="007D7A2C">
        <w:t>(Bortolotti et al., 2019).</w:t>
      </w:r>
      <w:r w:rsidR="007D7A2C">
        <w:t xml:space="preserve"> Production requires significant mould and curing time</w:t>
      </w:r>
      <w:r w:rsidR="00AC4DB9">
        <w:t>, but multiple moulds can be used to increase throughput.</w:t>
      </w:r>
      <w:r w:rsidR="00AA70F8">
        <w:t xml:space="preserve"> </w:t>
      </w:r>
      <w:r w:rsidR="00A430BF" w:rsidRPr="00A430BF">
        <w:t>Voids, dry regions and fibre misalignment remain important limitations of GFRP, though these risks can be reduced through careful fibre placement, vacuum integrity checks and controlled resin flow.</w:t>
      </w:r>
    </w:p>
    <w:p w14:paraId="54862999" w14:textId="5ED90D7B" w:rsidR="000004BD" w:rsidRDefault="00866000" w:rsidP="00451A96">
      <w:r>
        <w:t xml:space="preserve">From a health, safety and environmental perspective each material presents different challenges. Aluminium is readily recyclable, whereas thermoset GFRP is difficult to separate and recycle </w:t>
      </w:r>
      <w:r w:rsidR="00890238">
        <w:t xml:space="preserve">at the end of its service life </w:t>
      </w:r>
      <w:r w:rsidR="00890238" w:rsidRPr="00890238">
        <w:t>(Mishnaevsky et al., 2017).</w:t>
      </w:r>
      <w:r w:rsidR="003E6D49">
        <w:t xml:space="preserve"> Composite manufacturing also requires controls for resin exposure, dust and other process hazards. This </w:t>
      </w:r>
      <w:r w:rsidR="00537633">
        <w:t>demonstrates consideration of environmenta</w:t>
      </w:r>
      <w:r w:rsidR="00063F0A">
        <w:t>l, health, and safety responsibilities in accordance with AHEP</w:t>
      </w:r>
      <w:r w:rsidR="008D0C82">
        <w:t xml:space="preserve">4 C7. </w:t>
      </w:r>
    </w:p>
    <w:p w14:paraId="023C5C81" w14:textId="77777777" w:rsidR="00330FDA" w:rsidRDefault="00330FDA" w:rsidP="00B17FDF">
      <w:pPr>
        <w:pStyle w:val="Heading1"/>
      </w:pPr>
    </w:p>
    <w:p w14:paraId="706B6993" w14:textId="77777777" w:rsidR="00330FDA" w:rsidRDefault="00330FDA">
      <w:pPr>
        <w:spacing w:after="160" w:line="278" w:lineRule="auto"/>
        <w:rPr>
          <w:rFonts w:asciiTheme="majorHAnsi" w:eastAsiaTheme="majorEastAsia" w:hAnsiTheme="majorHAnsi" w:cstheme="majorBidi"/>
          <w:color w:val="0F4761" w:themeColor="accent1" w:themeShade="BF"/>
          <w:sz w:val="40"/>
          <w:szCs w:val="40"/>
        </w:rPr>
      </w:pPr>
      <w:r>
        <w:br w:type="page"/>
      </w:r>
    </w:p>
    <w:p w14:paraId="24FA5E48" w14:textId="326BE636" w:rsidR="001F1D8C" w:rsidRDefault="001F1D8C" w:rsidP="00B17FDF">
      <w:pPr>
        <w:pStyle w:val="Heading1"/>
      </w:pPr>
      <w:bookmarkStart w:id="41" w:name="_Toc239615493"/>
      <w:r>
        <w:lastRenderedPageBreak/>
        <w:t>9. Blade Drawing</w:t>
      </w:r>
      <w:bookmarkEnd w:id="41"/>
    </w:p>
    <w:p w14:paraId="158569B8" w14:textId="0B0DC88E" w:rsidR="00B17FDF" w:rsidRDefault="00C830A0" w:rsidP="00B17FDF">
      <w:r>
        <w:t xml:space="preserve">The calculated blade geometry was transferred into SolidWorks to produce the CAD model shown in Figure 2. The rotor radius is 38.78 m, with the modelled aerodynamic section extending from </w:t>
      </w:r>
      <m:oMath>
        <m:r>
          <w:rPr>
            <w:rFonts w:ascii="Cambria Math" w:hAnsi="Cambria Math"/>
          </w:rPr>
          <m:t>r/R=0.2</m:t>
        </m:r>
      </m:oMath>
      <w:r w:rsidR="00F745ED">
        <w:t xml:space="preserve"> t</w:t>
      </w:r>
      <w:r w:rsidR="003D15F9">
        <w:t>o the blade tip. This gives a modelled span of approximately 3</w:t>
      </w:r>
      <w:r w:rsidR="004D4C3E">
        <w:t>1</w:t>
      </w:r>
      <w:r w:rsidR="003D15F9">
        <w:t xml:space="preserve">.02 m. The chord reduces linearly from approximately 3.20 m to 0.60 m over this region. </w:t>
      </w:r>
    </w:p>
    <w:p w14:paraId="7F597A75" w14:textId="7032699E" w:rsidR="006B5C78" w:rsidRDefault="00E966E2" w:rsidP="00B17FDF">
      <w:r>
        <w:rPr>
          <w:noProof/>
          <w14:ligatures w14:val="standardContextual"/>
        </w:rPr>
        <mc:AlternateContent>
          <mc:Choice Requires="wps">
            <w:drawing>
              <wp:anchor distT="0" distB="0" distL="114300" distR="114300" simplePos="0" relativeHeight="251663360" behindDoc="0" locked="0" layoutInCell="1" allowOverlap="1" wp14:anchorId="590AC650" wp14:editId="3544F3F6">
                <wp:simplePos x="0" y="0"/>
                <wp:positionH relativeFrom="column">
                  <wp:posOffset>2366222</wp:posOffset>
                </wp:positionH>
                <wp:positionV relativeFrom="paragraph">
                  <wp:posOffset>1086273</wp:posOffset>
                </wp:positionV>
                <wp:extent cx="512233" cy="211667"/>
                <wp:effectExtent l="38100" t="127000" r="34290" b="118745"/>
                <wp:wrapNone/>
                <wp:docPr id="1428145609" name="Text Box 6"/>
                <wp:cNvGraphicFramePr/>
                <a:graphic xmlns:a="http://schemas.openxmlformats.org/drawingml/2006/main">
                  <a:graphicData uri="http://schemas.microsoft.com/office/word/2010/wordprocessingShape">
                    <wps:wsp>
                      <wps:cNvSpPr txBox="1"/>
                      <wps:spPr>
                        <a:xfrm rot="19854818">
                          <a:off x="0" y="0"/>
                          <a:ext cx="512233" cy="211667"/>
                        </a:xfrm>
                        <a:prstGeom prst="rect">
                          <a:avLst/>
                        </a:prstGeom>
                        <a:solidFill>
                          <a:schemeClr val="bg1"/>
                        </a:solidFill>
                        <a:ln w="6350">
                          <a:solidFill>
                            <a:schemeClr val="bg1"/>
                          </a:solidFill>
                        </a:ln>
                      </wps:spPr>
                      <wps:txbx>
                        <w:txbxContent>
                          <w:p w14:paraId="3A9CA397" w14:textId="53A2AD65" w:rsidR="00E966E2" w:rsidRPr="00E966E2" w:rsidRDefault="00E966E2">
                            <w:pPr>
                              <w:rPr>
                                <w:color w:val="83CAEB" w:themeColor="accent1" w:themeTint="66"/>
                                <w:sz w:val="13"/>
                                <w:szCs w:val="13"/>
                              </w:rPr>
                            </w:pPr>
                            <w:r w:rsidRPr="00E966E2">
                              <w:rPr>
                                <w:color w:val="83CAEB" w:themeColor="accent1" w:themeTint="66"/>
                                <w:sz w:val="13"/>
                                <w:szCs w:val="13"/>
                              </w:rPr>
                              <w:t>31.02 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0AC650" id="_x0000_t202" coordsize="21600,21600" o:spt="202" path="m,l,21600r21600,l21600,xe">
                <v:stroke joinstyle="miter"/>
                <v:path gradientshapeok="t" o:connecttype="rect"/>
              </v:shapetype>
              <v:shape id="Text Box 6" o:spid="_x0000_s1026" type="#_x0000_t202" style="position:absolute;margin-left:186.3pt;margin-top:85.55pt;width:40.35pt;height:16.65pt;rotation:-1906204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" fillcolor="white [3212]" strokecolor="white [3212]" strokeweight=".5pt">
                <v:textbox>
                  <w:txbxContent>
                    <w:p w14:paraId="3A9CA397" w14:textId="53A2AD65" w:rsidR="00E966E2" w:rsidRPr="00E966E2" w:rsidRDefault="00E966E2">
                      <w:pPr>
                        <w:rPr>
                          <w:color w:val="83CAEB" w:themeColor="accent1" w:themeTint="66"/>
                          <w:sz w:val="13"/>
                          <w:szCs w:val="13"/>
                        </w:rPr>
                      </w:pPr>
                      <w:r w:rsidRPr="00E966E2">
                        <w:rPr>
                          <w:color w:val="83CAEB" w:themeColor="accent1" w:themeTint="66"/>
                          <w:sz w:val="13"/>
                          <w:szCs w:val="13"/>
                        </w:rPr>
                        <w:t>31.02 m</w:t>
                      </w:r>
                    </w:p>
                  </w:txbxContent>
                </v:textbox>
              </v:shape>
            </w:pict>
          </mc:Fallback>
        </mc:AlternateContent>
      </w:r>
      <w:r w:rsidR="00564C76">
        <w:rPr>
          <w:noProof/>
          <w14:ligatures w14:val="standardContextual"/>
        </w:rPr>
        <mc:AlternateContent>
          <mc:Choice Requires="wps">
            <w:drawing>
              <wp:anchor distT="0" distB="0" distL="114300" distR="114300" simplePos="0" relativeHeight="251662336" behindDoc="0" locked="0" layoutInCell="1" allowOverlap="1" wp14:anchorId="4785DD67" wp14:editId="06C37120">
                <wp:simplePos x="0" y="0"/>
                <wp:positionH relativeFrom="column">
                  <wp:posOffset>1075268</wp:posOffset>
                </wp:positionH>
                <wp:positionV relativeFrom="paragraph">
                  <wp:posOffset>460162</wp:posOffset>
                </wp:positionV>
                <wp:extent cx="3123988" cy="1803400"/>
                <wp:effectExtent l="25400" t="25400" r="38735" b="38100"/>
                <wp:wrapNone/>
                <wp:docPr id="355532087" name="Straight Arrow Connector 4"/>
                <wp:cNvGraphicFramePr/>
                <a:graphic xmlns:a="http://schemas.openxmlformats.org/drawingml/2006/main">
                  <a:graphicData uri="http://schemas.microsoft.com/office/word/2010/wordprocessingShape">
                    <wps:wsp>
                      <wps:cNvCnPr/>
                      <wps:spPr>
                        <a:xfrm flipV="1">
                          <a:off x="0" y="0"/>
                          <a:ext cx="3123988" cy="1803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CF0554" id="_x0000_t32" coordsize="21600,21600" o:spt="32" o:oned="t" path="m,l21600,21600e" filled="f">
                <v:path arrowok="t" fillok="f" o:connecttype="none"/>
                <o:lock v:ext="edit" shapetype="t"/>
              </v:shapetype>
              <v:shape id="Straight Arrow Connector 4" o:spid="_x0000_s1026" type="#_x0000_t32" style="position:absolute;margin-left:84.65pt;margin-top:36.25pt;width:246pt;height:14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" strokecolor="#156082 [3204]" strokeweight=".5pt">
                <v:stroke startarrow="block" endarrow="block" joinstyle="miter"/>
              </v:shape>
            </w:pict>
          </mc:Fallback>
        </mc:AlternateContent>
      </w:r>
      <w:r w:rsidR="00564C76">
        <w:rPr>
          <w:noProof/>
          <w14:ligatures w14:val="standardContextual"/>
        </w:rPr>
        <mc:AlternateContent>
          <mc:Choice Requires="wps">
            <w:drawing>
              <wp:anchor distT="0" distB="0" distL="114300" distR="114300" simplePos="0" relativeHeight="251661312" behindDoc="0" locked="0" layoutInCell="1" allowOverlap="1" wp14:anchorId="7C81DAD6" wp14:editId="487EC10B">
                <wp:simplePos x="0" y="0"/>
                <wp:positionH relativeFrom="column">
                  <wp:posOffset>4199466</wp:posOffset>
                </wp:positionH>
                <wp:positionV relativeFrom="paragraph">
                  <wp:posOffset>460163</wp:posOffset>
                </wp:positionV>
                <wp:extent cx="83185" cy="76200"/>
                <wp:effectExtent l="0" t="0" r="18415" b="12700"/>
                <wp:wrapNone/>
                <wp:docPr id="892692981" name="Straight Connector 3"/>
                <wp:cNvGraphicFramePr/>
                <a:graphic xmlns:a="http://schemas.openxmlformats.org/drawingml/2006/main">
                  <a:graphicData uri="http://schemas.microsoft.com/office/word/2010/wordprocessingShape">
                    <wps:wsp>
                      <wps:cNvCnPr/>
                      <wps:spPr>
                        <a:xfrm flipH="1" flipV="1">
                          <a:off x="0" y="0"/>
                          <a:ext cx="8318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B912DA" id="Straight Connector 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65pt,36.25pt" to="337.2pt,4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" strokecolor="#156082 [3204]" strokeweight=".5pt">
                <v:stroke joinstyle="miter"/>
              </v:line>
            </w:pict>
          </mc:Fallback>
        </mc:AlternateContent>
      </w:r>
      <w:r w:rsidR="00564C76">
        <w:rPr>
          <w:noProof/>
          <w14:ligatures w14:val="standardContextual"/>
        </w:rPr>
        <mc:AlternateContent>
          <mc:Choice Requires="wps">
            <w:drawing>
              <wp:anchor distT="0" distB="0" distL="114300" distR="114300" simplePos="0" relativeHeight="251659264" behindDoc="0" locked="0" layoutInCell="1" allowOverlap="1" wp14:anchorId="77FB2846" wp14:editId="263CB13F">
                <wp:simplePos x="0" y="0"/>
                <wp:positionH relativeFrom="column">
                  <wp:posOffset>1075266</wp:posOffset>
                </wp:positionH>
                <wp:positionV relativeFrom="paragraph">
                  <wp:posOffset>2263562</wp:posOffset>
                </wp:positionV>
                <wp:extent cx="53551" cy="54822"/>
                <wp:effectExtent l="0" t="0" r="22860" b="21590"/>
                <wp:wrapNone/>
                <wp:docPr id="280811349" name="Straight Connector 3"/>
                <wp:cNvGraphicFramePr/>
                <a:graphic xmlns:a="http://schemas.openxmlformats.org/drawingml/2006/main">
                  <a:graphicData uri="http://schemas.microsoft.com/office/word/2010/wordprocessingShape">
                    <wps:wsp>
                      <wps:cNvCnPr/>
                      <wps:spPr>
                        <a:xfrm flipH="1" flipV="1">
                          <a:off x="0" y="0"/>
                          <a:ext cx="53551" cy="548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961B9"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65pt,178.25pt" to="88.85pt,18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" strokecolor="#156082 [3204]" strokeweight=".5pt">
                <v:stroke joinstyle="miter"/>
              </v:line>
            </w:pict>
          </mc:Fallback>
        </mc:AlternateContent>
      </w:r>
      <w:r w:rsidR="006B5C78">
        <w:rPr>
          <w:noProof/>
          <w14:ligatures w14:val="standardContextual"/>
        </w:rPr>
        <w:drawing>
          <wp:inline distT="0" distB="0" distL="0" distR="0" wp14:anchorId="609B1745" wp14:editId="76155115">
            <wp:extent cx="5731510" cy="3035935"/>
            <wp:effectExtent l="0" t="0" r="0" b="0"/>
            <wp:docPr id="1790265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321" name="Picture 179026532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p w14:paraId="379235CB" w14:textId="3CEA22BF" w:rsidR="00FC61EC" w:rsidRDefault="00FC61EC" w:rsidP="00FC61EC">
      <w:pPr>
        <w:pStyle w:val="Caption"/>
      </w:pPr>
      <w:bookmarkStart w:id="42" w:name="_Toc239615504"/>
      <w:r>
        <w:t xml:space="preserve">Figure </w:t>
      </w:r>
      <w:fldSimple w:instr=" SEQ Figure \* ARABIC ">
        <w:r w:rsidR="00896852">
          <w:rPr>
            <w:noProof/>
          </w:rPr>
          <w:t>2</w:t>
        </w:r>
      </w:fldSimple>
      <w:r>
        <w:t>:</w:t>
      </w:r>
      <w:r w:rsidRPr="00FC61EC">
        <w:rPr>
          <w:rFonts w:ascii="-webkit-standard" w:hAnsi="-webkit-standard"/>
          <w:color w:val="000000"/>
          <w:sz w:val="27"/>
          <w:szCs w:val="27"/>
        </w:rPr>
        <w:t xml:space="preserve"> </w:t>
      </w:r>
      <w:bookmarkStart w:id="43" w:name="_Toc239516130"/>
      <w:r w:rsidRPr="00FC61EC">
        <w:t>CAD model of the NACA 4412 wind turbine blade showing the spanwise section profiles and 31.02 m modelled aerodynamic span.</w:t>
      </w:r>
      <w:bookmarkEnd w:id="42"/>
      <w:bookmarkEnd w:id="43"/>
    </w:p>
    <w:p w14:paraId="209AF680" w14:textId="79E59255" w:rsidR="004C0774" w:rsidRDefault="00234F2C" w:rsidP="004C0774">
      <w:pPr>
        <w:pStyle w:val="Caption"/>
        <w:rPr>
          <w:i w:val="0"/>
          <w:iCs w:val="0"/>
          <w:color w:val="auto"/>
          <w:sz w:val="24"/>
          <w:szCs w:val="24"/>
        </w:rPr>
      </w:pPr>
      <w:r w:rsidRPr="00234F2C">
        <w:rPr>
          <w:i w:val="0"/>
          <w:iCs w:val="0"/>
          <w:color w:val="auto"/>
          <w:sz w:val="24"/>
          <w:szCs w:val="24"/>
        </w:rPr>
        <w:t xml:space="preserve">Dimensioned </w:t>
      </w:r>
      <w:r>
        <w:rPr>
          <w:i w:val="0"/>
          <w:iCs w:val="0"/>
          <w:color w:val="auto"/>
          <w:sz w:val="24"/>
          <w:szCs w:val="24"/>
        </w:rPr>
        <w:t xml:space="preserve">NACA 4412 sections were produced at </w:t>
      </w:r>
      <m:oMath>
        <m:r>
          <w:rPr>
            <w:rFonts w:ascii="Cambria Math" w:hAnsi="Cambria Math"/>
            <w:color w:val="auto"/>
            <w:sz w:val="24"/>
            <w:szCs w:val="24"/>
          </w:rPr>
          <m:t xml:space="preserve">r/R=0.2, 0.4, 0.6, 0.8 </m:t>
        </m:r>
      </m:oMath>
      <w:r w:rsidR="00001F49">
        <w:rPr>
          <w:i w:val="0"/>
          <w:iCs w:val="0"/>
          <w:color w:val="auto"/>
          <w:sz w:val="24"/>
          <w:szCs w:val="24"/>
        </w:rPr>
        <w:t xml:space="preserve">and </w:t>
      </w:r>
      <m:oMath>
        <m:r>
          <w:rPr>
            <w:rFonts w:ascii="Cambria Math" w:hAnsi="Cambria Math"/>
            <w:color w:val="auto"/>
            <w:sz w:val="24"/>
            <w:szCs w:val="24"/>
          </w:rPr>
          <m:t>1.0</m:t>
        </m:r>
      </m:oMath>
      <w:r w:rsidR="00300F04">
        <w:rPr>
          <w:i w:val="0"/>
          <w:iCs w:val="0"/>
          <w:color w:val="auto"/>
          <w:sz w:val="24"/>
          <w:szCs w:val="24"/>
        </w:rPr>
        <w:t>, as shown in Figure 3. Each aerofoil was scaled to its calculated chord and rotated to the corresponding twist angle. The dimensions therefor</w:t>
      </w:r>
      <w:r w:rsidR="00816135">
        <w:rPr>
          <w:i w:val="0"/>
          <w:iCs w:val="0"/>
          <w:color w:val="auto"/>
          <w:sz w:val="24"/>
          <w:szCs w:val="24"/>
        </w:rPr>
        <w:t>e</w:t>
      </w:r>
      <w:r w:rsidR="00300F04">
        <w:rPr>
          <w:i w:val="0"/>
          <w:iCs w:val="0"/>
          <w:color w:val="auto"/>
          <w:sz w:val="24"/>
          <w:szCs w:val="24"/>
        </w:rPr>
        <w:t xml:space="preserve"> correspond directly with the blade geometry calculated in Excel. </w:t>
      </w:r>
    </w:p>
    <w:p w14:paraId="06B86535" w14:textId="1E566964" w:rsidR="002D416D" w:rsidRDefault="00997ED9" w:rsidP="00F31BF3">
      <w:pPr>
        <w:pStyle w:val="Caption"/>
        <w:rPr>
          <w:i w:val="0"/>
          <w:iCs w:val="0"/>
          <w:color w:val="auto"/>
          <w:sz w:val="24"/>
          <w:szCs w:val="24"/>
        </w:rPr>
      </w:pPr>
      <w:r>
        <w:rPr>
          <w:i w:val="0"/>
          <w:iCs w:val="0"/>
          <w:noProof/>
          <w:color w:val="auto"/>
          <w:sz w:val="24"/>
          <w:szCs w:val="24"/>
          <w14:ligatures w14:val="standardContextual"/>
        </w:rPr>
        <w:drawing>
          <wp:inline distT="0" distB="0" distL="0" distR="0" wp14:anchorId="2DBCCB6B" wp14:editId="64FA7FF9">
            <wp:extent cx="5731510" cy="1100455"/>
            <wp:effectExtent l="0" t="0" r="0" b="4445"/>
            <wp:docPr id="10326379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37995" name="Picture 103263799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100455"/>
                    </a:xfrm>
                    <a:prstGeom prst="rect">
                      <a:avLst/>
                    </a:prstGeom>
                  </pic:spPr>
                </pic:pic>
              </a:graphicData>
            </a:graphic>
          </wp:inline>
        </w:drawing>
      </w:r>
    </w:p>
    <w:p w14:paraId="093A9ED7" w14:textId="4DEFFFEF" w:rsidR="00544DDD" w:rsidRPr="00234F2C" w:rsidRDefault="00544DDD" w:rsidP="00544DDD">
      <w:pPr>
        <w:pStyle w:val="Caption"/>
        <w:rPr>
          <w:i w:val="0"/>
          <w:iCs w:val="0"/>
          <w:color w:val="auto"/>
          <w:sz w:val="24"/>
          <w:szCs w:val="24"/>
        </w:rPr>
      </w:pPr>
      <w:bookmarkStart w:id="44" w:name="_Toc239615505"/>
      <w:r>
        <w:t xml:space="preserve">Figure </w:t>
      </w:r>
      <w:fldSimple w:instr=" SEQ Figure \* ARABIC ">
        <w:r w:rsidR="00896852">
          <w:rPr>
            <w:noProof/>
          </w:rPr>
          <w:t>3</w:t>
        </w:r>
      </w:fldSimple>
      <w:r w:rsidR="006D7FE9">
        <w:t xml:space="preserve">: </w:t>
      </w:r>
      <w:bookmarkStart w:id="45" w:name="_Toc239516131"/>
      <w:r w:rsidRPr="009E5CDB">
        <w:t>Dimensioned NACA 4412 spanwise sections showing chord, maximum thickness and twist angle. Maximum thickness is 12% of the local chord and occurs at approximately x/c=0.30.</w:t>
      </w:r>
      <w:bookmarkEnd w:id="44"/>
      <w:bookmarkEnd w:id="45"/>
    </w:p>
    <w:p w14:paraId="33FFB517" w14:textId="77777777" w:rsidR="001F1D8C" w:rsidRDefault="001F1D8C" w:rsidP="001F1D8C">
      <w:pPr>
        <w:pStyle w:val="Heading1"/>
      </w:pPr>
      <w:bookmarkStart w:id="46" w:name="_Toc239615494"/>
      <w:r>
        <w:lastRenderedPageBreak/>
        <w:t>10. Conclusions and Recommendations</w:t>
      </w:r>
      <w:bookmarkEnd w:id="46"/>
    </w:p>
    <w:p w14:paraId="034F0199" w14:textId="77777777" w:rsidR="001F1D8C" w:rsidRDefault="001F1D8C" w:rsidP="001F1D8C">
      <w:pPr>
        <w:pStyle w:val="Heading2"/>
      </w:pPr>
      <w:bookmarkStart w:id="47" w:name="_Toc239615495"/>
      <w:r>
        <w:t>10.1 Conclusions</w:t>
      </w:r>
      <w:bookmarkEnd w:id="47"/>
    </w:p>
    <w:p w14:paraId="3D91EC09" w14:textId="2E7C73CD" w:rsidR="005025FD" w:rsidRDefault="001A39CA" w:rsidP="005025FD">
      <w:r>
        <w:t xml:space="preserve">This study </w:t>
      </w:r>
      <w:r w:rsidR="00E76A38">
        <w:t xml:space="preserve">developed a preliminary 2 MW wind turbine blade design using the NACA 4412 aerofoil and compared aluminium 6082-T6, SiC and E-glass/epoxy GFRP as candidate materials. The weighted decision matrix identified GFRP </w:t>
      </w:r>
      <w:r w:rsidR="00ED3408">
        <w:t xml:space="preserve">as the preferred material with a score of 3.95, compared with </w:t>
      </w:r>
      <w:r w:rsidR="00360B18">
        <w:t xml:space="preserve">3.15 for aluminium and 2.40 for SiC. </w:t>
      </w:r>
    </w:p>
    <w:p w14:paraId="1AE095A8" w14:textId="187E6B83" w:rsidR="00360B18" w:rsidRDefault="00360B18" w:rsidP="005025FD">
      <w:r>
        <w:t xml:space="preserve">The cost evaluation also favoured </w:t>
      </w:r>
      <w:r w:rsidR="00B627EC">
        <w:t>GFRP.</w:t>
      </w:r>
      <w:r w:rsidR="00CB1604">
        <w:t xml:space="preserve"> </w:t>
      </w:r>
      <w:r w:rsidR="00BD4340" w:rsidRPr="00BD4340">
        <w:t>It produced the lowest blade mass and the lowest raw material cost of the three candidates, and the largest strength margin under the calculated root bending stress.</w:t>
      </w:r>
      <w:r w:rsidR="00BD4340">
        <w:t xml:space="preserve"> </w:t>
      </w:r>
      <w:r w:rsidR="00CF4E61">
        <w:t>G</w:t>
      </w:r>
      <w:r w:rsidR="001C519F">
        <w:t xml:space="preserve">FRP provided the highest calculated </w:t>
      </w:r>
      <w:r w:rsidR="008B47FF">
        <w:t xml:space="preserve">tensile safety factor of 12.08, although its anisotropic </w:t>
      </w:r>
      <w:r w:rsidR="00BD4340">
        <w:t>behaviour</w:t>
      </w:r>
      <w:r w:rsidR="008B47FF">
        <w:t xml:space="preserve"> and lower compressive strength were re</w:t>
      </w:r>
      <w:r w:rsidR="000D75F6">
        <w:t xml:space="preserve">cognised. </w:t>
      </w:r>
    </w:p>
    <w:p w14:paraId="18BA95A3" w14:textId="663196F1" w:rsidR="000D75F6" w:rsidRPr="005025FD" w:rsidRDefault="000D75F6" w:rsidP="005025FD">
      <w:r>
        <w:t xml:space="preserve">Overall, E-glass/epoxy GFRP manufactured using vacuum </w:t>
      </w:r>
      <w:r w:rsidR="0040229C">
        <w:t>assisted</w:t>
      </w:r>
      <w:r>
        <w:t xml:space="preserve"> res</w:t>
      </w:r>
      <w:r w:rsidR="0040229C">
        <w:t xml:space="preserve">in infusion is recommended. It provides the strongest overall balance of mechanical performance, low mass, cost and large scale manufacturability.  </w:t>
      </w:r>
    </w:p>
    <w:p w14:paraId="7C60662C" w14:textId="77777777" w:rsidR="001F1D8C" w:rsidRDefault="001F1D8C" w:rsidP="001F1D8C">
      <w:pPr>
        <w:pStyle w:val="Heading2"/>
      </w:pPr>
      <w:bookmarkStart w:id="48" w:name="_Toc239615496"/>
      <w:r>
        <w:t>10.2 Recommendations</w:t>
      </w:r>
      <w:bookmarkEnd w:id="48"/>
    </w:p>
    <w:p w14:paraId="5DEDA187" w14:textId="4B06BFFC" w:rsidR="00334C04" w:rsidRDefault="00334C04" w:rsidP="00334C04">
      <w:r>
        <w:t xml:space="preserve">Future work should </w:t>
      </w:r>
      <w:r w:rsidR="00606C50">
        <w:t xml:space="preserve">optimise the blade geometry for a defined wind class and site specific operating conditions. A more detailed </w:t>
      </w:r>
      <w:r w:rsidR="00272012">
        <w:t xml:space="preserve">structural model should </w:t>
      </w:r>
      <w:r w:rsidR="00270BE4">
        <w:t>assess combined bending and tor</w:t>
      </w:r>
      <w:r w:rsidR="004F1625">
        <w:t xml:space="preserve">sional loading. Fatigue, buckling and blade deflection should also be investigated. Finite element analysis could then be used to identify local stress concentrations and assess laminate behaviour. </w:t>
      </w:r>
    </w:p>
    <w:p w14:paraId="74E1D2A8" w14:textId="12208350" w:rsidR="0048384C" w:rsidRPr="00334C04" w:rsidRDefault="0048384C" w:rsidP="00334C04">
      <w:r>
        <w:t>Further work should investigate fibre orientation, laminate thickness and internal structural features</w:t>
      </w:r>
      <w:r w:rsidR="00F209F4">
        <w:t xml:space="preserve">, such as spar caps and shear webs. </w:t>
      </w:r>
      <w:r w:rsidR="00A62CE6">
        <w:t xml:space="preserve">Manufacturing trials could evaluate resin flow and potential defects during vacuum infusion. </w:t>
      </w:r>
      <w:r w:rsidR="006871BB">
        <w:t>Finally, lifecycle cost and end-of-life recycling should be investigated further to address the environmental limitations associated with thermoset GFRP.</w:t>
      </w:r>
    </w:p>
    <w:p w14:paraId="76529D50" w14:textId="77777777" w:rsidR="004322B1" w:rsidRDefault="004322B1" w:rsidP="001F1D8C">
      <w:pPr>
        <w:pStyle w:val="Heading1"/>
      </w:pPr>
    </w:p>
    <w:p w14:paraId="301A94E7" w14:textId="77777777" w:rsidR="004322B1" w:rsidRDefault="004322B1">
      <w:pPr>
        <w:spacing w:after="160" w:line="278" w:lineRule="auto"/>
        <w:rPr>
          <w:rFonts w:asciiTheme="majorHAnsi" w:eastAsiaTheme="majorEastAsia" w:hAnsiTheme="majorHAnsi" w:cstheme="majorBidi"/>
          <w:color w:val="0F4761" w:themeColor="accent1" w:themeShade="BF"/>
          <w:sz w:val="40"/>
          <w:szCs w:val="40"/>
        </w:rPr>
      </w:pPr>
      <w:r>
        <w:br w:type="page"/>
      </w:r>
    </w:p>
    <w:p w14:paraId="7C83A095" w14:textId="7BEB564C" w:rsidR="001F1D8C" w:rsidRDefault="001F1D8C" w:rsidP="001F1D8C">
      <w:pPr>
        <w:pStyle w:val="Heading1"/>
      </w:pPr>
      <w:bookmarkStart w:id="49" w:name="_Toc239615497"/>
      <w:r>
        <w:lastRenderedPageBreak/>
        <w:t>11. References</w:t>
      </w:r>
      <w:bookmarkEnd w:id="49"/>
    </w:p>
    <w:p w14:paraId="71C396D6" w14:textId="77777777" w:rsidR="00B32C41" w:rsidRDefault="00B32C41" w:rsidP="00B32C41">
      <w:pPr>
        <w:pStyle w:val="NormalWeb"/>
        <w:spacing w:before="0" w:beforeAutospacing="0" w:after="240" w:afterAutospacing="0" w:line="360" w:lineRule="atLeast"/>
        <w:rPr>
          <w:color w:val="000000"/>
        </w:rPr>
      </w:pPr>
      <w:r>
        <w:rPr>
          <w:color w:val="000000"/>
        </w:rPr>
        <w:t>3M (n.d.).</w:t>
      </w:r>
      <w:r>
        <w:rPr>
          <w:rStyle w:val="apple-converted-space"/>
          <w:color w:val="000000"/>
        </w:rPr>
        <w:t> </w:t>
      </w:r>
      <w:r>
        <w:rPr>
          <w:i/>
          <w:iCs/>
          <w:color w:val="000000"/>
        </w:rPr>
        <w:t>3M</w:t>
      </w:r>
      <w:r>
        <w:rPr>
          <w:rStyle w:val="apple-converted-space"/>
          <w:i/>
          <w:iCs/>
          <w:color w:val="000000"/>
        </w:rPr>
        <w:t> </w:t>
      </w:r>
      <w:r>
        <w:rPr>
          <w:i/>
          <w:iCs/>
          <w:color w:val="000000"/>
          <w:vertAlign w:val="superscript"/>
        </w:rPr>
        <w:t>TM</w:t>
      </w:r>
      <w:r>
        <w:rPr>
          <w:rStyle w:val="apple-converted-space"/>
          <w:i/>
          <w:iCs/>
          <w:color w:val="000000"/>
        </w:rPr>
        <w:t> </w:t>
      </w:r>
      <w:r>
        <w:rPr>
          <w:i/>
          <w:iCs/>
          <w:color w:val="000000"/>
        </w:rPr>
        <w:t>Silicon Carbide Material platform 3M advanced materials division typical material properties</w:t>
      </w:r>
      <w:r>
        <w:rPr>
          <w:color w:val="000000"/>
        </w:rPr>
        <w:t>. [online] Available at: https://multimedia.3m.com/mws/media/993481O/3m-silicon-carbide-materials-properties [Accessed 29 Aug. 2026].</w:t>
      </w:r>
    </w:p>
    <w:p w14:paraId="777E9470" w14:textId="77777777" w:rsidR="00B32C41" w:rsidRDefault="00B32C41" w:rsidP="00B32C41">
      <w:pPr>
        <w:pStyle w:val="NormalWeb"/>
        <w:spacing w:before="0" w:beforeAutospacing="0" w:after="240" w:afterAutospacing="0" w:line="360" w:lineRule="atLeast"/>
        <w:rPr>
          <w:color w:val="000000"/>
        </w:rPr>
      </w:pPr>
      <w:r>
        <w:rPr>
          <w:color w:val="000000"/>
        </w:rPr>
        <w:t>Ashby, M.F. (2011).</w:t>
      </w:r>
      <w:r>
        <w:rPr>
          <w:rStyle w:val="apple-converted-space"/>
          <w:color w:val="000000"/>
        </w:rPr>
        <w:t> </w:t>
      </w:r>
      <w:r>
        <w:rPr>
          <w:i/>
          <w:iCs/>
          <w:color w:val="000000"/>
        </w:rPr>
        <w:t>Materials selection in mechanical design</w:t>
      </w:r>
      <w:r>
        <w:rPr>
          <w:color w:val="000000"/>
        </w:rPr>
        <w:t>. Oxford: Butterworth-Heinemann.</w:t>
      </w:r>
    </w:p>
    <w:p w14:paraId="2E6A1E28" w14:textId="57E7D0BB" w:rsidR="00FB3ACB" w:rsidRDefault="00FB3ACB" w:rsidP="00B32C41">
      <w:pPr>
        <w:pStyle w:val="NormalWeb"/>
        <w:spacing w:before="0" w:beforeAutospacing="0" w:after="240" w:afterAutospacing="0" w:line="360" w:lineRule="atLeast"/>
        <w:rPr>
          <w:color w:val="000000"/>
        </w:rPr>
      </w:pPr>
      <w:r>
        <w:t xml:space="preserve">Bakırcı, M. and Yılmaz, S. (2018). Theoretical and computational investigations of the optimal tip-speed ratio of horizontal-axis wind turbines. </w:t>
      </w:r>
      <w:r>
        <w:rPr>
          <w:rStyle w:val="Emphasis"/>
        </w:rPr>
        <w:t>Engineering Science and Technology, an International Journal</w:t>
      </w:r>
      <w:r>
        <w:t>, 21, pp.1128–1142. doi:10.1016/j.jestch.2018.05.006.</w:t>
      </w:r>
    </w:p>
    <w:p w14:paraId="4E1180E7" w14:textId="77777777" w:rsidR="00B32C41" w:rsidRDefault="00B32C41" w:rsidP="00B32C41">
      <w:pPr>
        <w:pStyle w:val="NormalWeb"/>
        <w:spacing w:before="0" w:beforeAutospacing="0" w:after="240" w:afterAutospacing="0" w:line="360" w:lineRule="atLeast"/>
        <w:rPr>
          <w:color w:val="000000"/>
        </w:rPr>
      </w:pPr>
      <w:r>
        <w:rPr>
          <w:color w:val="000000"/>
        </w:rPr>
        <w:t>Bortolotti, P., Berry, D., Murray, R., Gaertner, E., Jenne, D., Barter, G., Damiani, R. and Dykes, K. (2019).</w:t>
      </w:r>
      <w:r>
        <w:rPr>
          <w:rStyle w:val="apple-converted-space"/>
          <w:color w:val="000000"/>
        </w:rPr>
        <w:t> </w:t>
      </w:r>
      <w:r>
        <w:rPr>
          <w:i/>
          <w:iCs/>
          <w:color w:val="000000"/>
        </w:rPr>
        <w:t>A detailed wind turbine blade cost model</w:t>
      </w:r>
      <w:r>
        <w:rPr>
          <w:color w:val="000000"/>
        </w:rPr>
        <w:t>.</w:t>
      </w:r>
      <w:r>
        <w:rPr>
          <w:rStyle w:val="apple-converted-space"/>
          <w:color w:val="000000"/>
        </w:rPr>
        <w:t> </w:t>
      </w:r>
      <w:r>
        <w:rPr>
          <w:i/>
          <w:iCs/>
          <w:color w:val="000000"/>
        </w:rPr>
        <w:t>NREL/TP-5000-73585</w:t>
      </w:r>
      <w:r>
        <w:rPr>
          <w:color w:val="000000"/>
        </w:rPr>
        <w:t>. Golden, CO: National Renewable Energy Laboratory.</w:t>
      </w:r>
    </w:p>
    <w:p w14:paraId="36DF4015" w14:textId="77777777" w:rsidR="00822D92" w:rsidRDefault="00822D92" w:rsidP="00822D92">
      <w:pPr>
        <w:pStyle w:val="NormalWeb"/>
        <w:spacing w:before="0" w:beforeAutospacing="0" w:after="240" w:afterAutospacing="0" w:line="360" w:lineRule="atLeast"/>
      </w:pPr>
      <w:r>
        <w:t xml:space="preserve">British Standards Institution (2005). </w:t>
      </w:r>
      <w:r>
        <w:rPr>
          <w:rStyle w:val="Emphasis"/>
        </w:rPr>
        <w:t>BS EN 1993-1-1:2005 Eurocode 3: Design of steel structures – part 1-1: General rules and rules for buildings</w:t>
      </w:r>
      <w:r>
        <w:t>. London: BSI.</w:t>
      </w:r>
    </w:p>
    <w:p w14:paraId="108AED45" w14:textId="77777777" w:rsidR="00B32C41" w:rsidRDefault="00B32C41" w:rsidP="00B32C41">
      <w:pPr>
        <w:pStyle w:val="NormalWeb"/>
        <w:spacing w:before="0" w:beforeAutospacing="0" w:after="240" w:afterAutospacing="0" w:line="360" w:lineRule="atLeast"/>
        <w:rPr>
          <w:color w:val="000000"/>
        </w:rPr>
      </w:pPr>
      <w:r>
        <w:rPr>
          <w:color w:val="000000"/>
        </w:rPr>
        <w:t>British Standards Institution (2007).</w:t>
      </w:r>
      <w:r>
        <w:rPr>
          <w:rStyle w:val="apple-converted-space"/>
          <w:color w:val="000000"/>
        </w:rPr>
        <w:t> </w:t>
      </w:r>
      <w:r>
        <w:rPr>
          <w:i/>
          <w:iCs/>
          <w:color w:val="000000"/>
        </w:rPr>
        <w:t>BS EN 1999-1-1:2007 Eurocode 9: Design of aluminium structures – part 1-1: General structural rules</w:t>
      </w:r>
      <w:r>
        <w:rPr>
          <w:color w:val="000000"/>
        </w:rPr>
        <w:t>. London: BSI.</w:t>
      </w:r>
    </w:p>
    <w:p w14:paraId="6DEFA261" w14:textId="7DE0D5CA" w:rsidR="00C5197F" w:rsidRDefault="00C5197F" w:rsidP="00B32C41">
      <w:pPr>
        <w:pStyle w:val="NormalWeb"/>
        <w:spacing w:before="0" w:beforeAutospacing="0" w:after="240" w:afterAutospacing="0" w:line="360" w:lineRule="atLeast"/>
        <w:rPr>
          <w:color w:val="000000"/>
        </w:rPr>
      </w:pPr>
      <w:r w:rsidRPr="00C5197F">
        <w:rPr>
          <w:color w:val="000000"/>
        </w:rPr>
        <w:t>British Standards Institution (2019</w:t>
      </w:r>
      <w:r>
        <w:rPr>
          <w:color w:val="000000"/>
        </w:rPr>
        <w:t>a</w:t>
      </w:r>
      <w:r w:rsidRPr="00C5197F">
        <w:rPr>
          <w:color w:val="000000"/>
        </w:rPr>
        <w:t>). BS EN IEC 61400-1:2019 Wind energy generation systems – part 1: Design requirements. London: BSI.</w:t>
      </w:r>
    </w:p>
    <w:p w14:paraId="3CBD3141" w14:textId="3576AA42" w:rsidR="00B32C41" w:rsidRDefault="00B32C41" w:rsidP="00B32C41">
      <w:pPr>
        <w:pStyle w:val="NormalWeb"/>
        <w:spacing w:before="0" w:beforeAutospacing="0" w:after="240" w:afterAutospacing="0" w:line="360" w:lineRule="atLeast"/>
        <w:rPr>
          <w:color w:val="000000"/>
        </w:rPr>
      </w:pPr>
      <w:r>
        <w:rPr>
          <w:color w:val="000000"/>
        </w:rPr>
        <w:t>British Standards Institution (2019</w:t>
      </w:r>
      <w:r w:rsidR="00C5197F">
        <w:rPr>
          <w:color w:val="000000"/>
        </w:rPr>
        <w:t>b</w:t>
      </w:r>
      <w:r>
        <w:rPr>
          <w:color w:val="000000"/>
        </w:rPr>
        <w:t>).</w:t>
      </w:r>
      <w:r>
        <w:rPr>
          <w:rStyle w:val="apple-converted-space"/>
          <w:color w:val="000000"/>
        </w:rPr>
        <w:t> </w:t>
      </w:r>
      <w:r>
        <w:rPr>
          <w:i/>
          <w:iCs/>
          <w:color w:val="000000"/>
        </w:rPr>
        <w:t>BS EN 10025-2:2019 Hot rolled products of structural steels – part 2: Technical delivery conditions for non-alloy structural steels</w:t>
      </w:r>
      <w:r>
        <w:rPr>
          <w:color w:val="000000"/>
        </w:rPr>
        <w:t>. London: BSI.</w:t>
      </w:r>
    </w:p>
    <w:p w14:paraId="399DC601" w14:textId="3F18FFE1" w:rsidR="00B32C41" w:rsidRDefault="00B32C41" w:rsidP="00B32C41">
      <w:pPr>
        <w:pStyle w:val="NormalWeb"/>
        <w:spacing w:before="0" w:beforeAutospacing="0" w:after="240" w:afterAutospacing="0" w:line="360" w:lineRule="atLeast"/>
        <w:rPr>
          <w:color w:val="000000"/>
        </w:rPr>
      </w:pPr>
      <w:r>
        <w:rPr>
          <w:color w:val="000000"/>
        </w:rPr>
        <w:t>Burton, T., Sharpe, D., Jenkins, N. and Bossanyi, E. (2001).</w:t>
      </w:r>
      <w:r>
        <w:rPr>
          <w:rStyle w:val="apple-converted-space"/>
          <w:color w:val="000000"/>
        </w:rPr>
        <w:t> </w:t>
      </w:r>
      <w:r>
        <w:rPr>
          <w:i/>
          <w:iCs/>
          <w:color w:val="000000"/>
        </w:rPr>
        <w:t>Wind energy : handbook</w:t>
      </w:r>
      <w:r>
        <w:rPr>
          <w:color w:val="000000"/>
        </w:rPr>
        <w:t>. Chichester Etc.: J. Wiley &amp; Sons.</w:t>
      </w:r>
    </w:p>
    <w:p w14:paraId="74C1DA6B" w14:textId="77777777" w:rsidR="00B32C41" w:rsidRDefault="00B32C41" w:rsidP="00B32C41">
      <w:pPr>
        <w:pStyle w:val="NormalWeb"/>
        <w:spacing w:before="0" w:beforeAutospacing="0" w:after="240" w:afterAutospacing="0" w:line="360" w:lineRule="atLeast"/>
        <w:rPr>
          <w:color w:val="000000"/>
        </w:rPr>
      </w:pPr>
      <w:r>
        <w:rPr>
          <w:color w:val="000000"/>
        </w:rPr>
        <w:t>Callister, W.D. and Rethwisch, D.G. (2020).</w:t>
      </w:r>
      <w:r>
        <w:rPr>
          <w:rStyle w:val="apple-converted-space"/>
          <w:color w:val="000000"/>
        </w:rPr>
        <w:t> </w:t>
      </w:r>
      <w:r>
        <w:rPr>
          <w:i/>
          <w:iCs/>
          <w:color w:val="000000"/>
        </w:rPr>
        <w:t>Materials science and engineering: An introduction</w:t>
      </w:r>
      <w:r>
        <w:rPr>
          <w:color w:val="000000"/>
        </w:rPr>
        <w:t>. Hoboken, NJ: John Wiley &amp; Sons.</w:t>
      </w:r>
    </w:p>
    <w:p w14:paraId="4BE534B4" w14:textId="77777777" w:rsidR="00B32C41" w:rsidRDefault="00B32C41" w:rsidP="00B32C41">
      <w:pPr>
        <w:pStyle w:val="NormalWeb"/>
        <w:spacing w:before="0" w:beforeAutospacing="0" w:after="240" w:afterAutospacing="0" w:line="360" w:lineRule="atLeast"/>
        <w:rPr>
          <w:color w:val="000000"/>
        </w:rPr>
      </w:pPr>
      <w:r>
        <w:rPr>
          <w:color w:val="000000"/>
        </w:rPr>
        <w:t>Clarke, J., McIlhagger, A., Archer, E., Dooher, T., Flanagan, T. and Schubel, P. (2020). A feature-based cost estimation model for wind turbine blade spar caps.</w:t>
      </w:r>
      <w:r>
        <w:rPr>
          <w:rStyle w:val="apple-converted-space"/>
          <w:color w:val="000000"/>
        </w:rPr>
        <w:t> </w:t>
      </w:r>
      <w:r>
        <w:rPr>
          <w:i/>
          <w:iCs/>
          <w:color w:val="000000"/>
        </w:rPr>
        <w:t>Applied System Innovation</w:t>
      </w:r>
      <w:r>
        <w:rPr>
          <w:color w:val="000000"/>
        </w:rPr>
        <w:t>, 3(2), p.17. doi:10.3390/asi3020017.</w:t>
      </w:r>
    </w:p>
    <w:p w14:paraId="3323C491" w14:textId="77777777" w:rsidR="00B32C41" w:rsidRDefault="00B32C41" w:rsidP="00B32C41">
      <w:pPr>
        <w:pStyle w:val="NormalWeb"/>
        <w:spacing w:before="0" w:beforeAutospacing="0" w:after="240" w:afterAutospacing="0" w:line="360" w:lineRule="atLeast"/>
        <w:rPr>
          <w:color w:val="000000"/>
        </w:rPr>
      </w:pPr>
      <w:r>
        <w:rPr>
          <w:color w:val="000000"/>
        </w:rPr>
        <w:t>CoorsTek (2024).</w:t>
      </w:r>
      <w:r>
        <w:rPr>
          <w:rStyle w:val="apple-converted-space"/>
          <w:color w:val="000000"/>
        </w:rPr>
        <w:t> </w:t>
      </w:r>
      <w:r>
        <w:rPr>
          <w:i/>
          <w:iCs/>
          <w:color w:val="000000"/>
        </w:rPr>
        <w:t>Silicon carbides</w:t>
      </w:r>
      <w:r>
        <w:rPr>
          <w:color w:val="000000"/>
        </w:rPr>
        <w:t>. [online] CoorsTek. Available at: https://www.coorstek.com/media/4249/silicon-carbides.pdf [Accessed 30 Aug. 2026].</w:t>
      </w:r>
    </w:p>
    <w:p w14:paraId="642099BC" w14:textId="77777777" w:rsidR="00B32C41" w:rsidRDefault="00B32C41" w:rsidP="00B32C41">
      <w:pPr>
        <w:pStyle w:val="NormalWeb"/>
        <w:spacing w:before="0" w:beforeAutospacing="0" w:after="240" w:afterAutospacing="0" w:line="360" w:lineRule="atLeast"/>
        <w:rPr>
          <w:color w:val="000000"/>
        </w:rPr>
      </w:pPr>
      <w:r>
        <w:rPr>
          <w:color w:val="000000"/>
        </w:rPr>
        <w:lastRenderedPageBreak/>
        <w:t>Groover, M.P. (2020).</w:t>
      </w:r>
      <w:r>
        <w:rPr>
          <w:rStyle w:val="apple-converted-space"/>
          <w:color w:val="000000"/>
        </w:rPr>
        <w:t> </w:t>
      </w:r>
      <w:r>
        <w:rPr>
          <w:i/>
          <w:iCs/>
          <w:color w:val="000000"/>
        </w:rPr>
        <w:t>Fundamentals of Modern Manufacturing: Materials, Processes, and Systems</w:t>
      </w:r>
      <w:r>
        <w:rPr>
          <w:color w:val="000000"/>
        </w:rPr>
        <w:t>. Hoboken, NJ: John Wiley &amp; Sons.</w:t>
      </w:r>
    </w:p>
    <w:p w14:paraId="51B6ABEB" w14:textId="77777777" w:rsidR="00B32C41" w:rsidRDefault="00B32C41" w:rsidP="00B32C41">
      <w:pPr>
        <w:pStyle w:val="NormalWeb"/>
        <w:spacing w:before="0" w:beforeAutospacing="0" w:after="240" w:afterAutospacing="0" w:line="360" w:lineRule="atLeast"/>
        <w:rPr>
          <w:color w:val="000000"/>
        </w:rPr>
      </w:pPr>
      <w:r>
        <w:rPr>
          <w:color w:val="000000"/>
        </w:rPr>
        <w:t>Hartman, L. (2026).</w:t>
      </w:r>
      <w:r>
        <w:rPr>
          <w:rStyle w:val="apple-converted-space"/>
          <w:color w:val="000000"/>
        </w:rPr>
        <w:t> </w:t>
      </w:r>
      <w:r>
        <w:rPr>
          <w:i/>
          <w:iCs/>
          <w:color w:val="000000"/>
        </w:rPr>
        <w:t>Wind Turbines: the Bigger, the Better</w:t>
      </w:r>
      <w:r>
        <w:rPr>
          <w:color w:val="000000"/>
        </w:rPr>
        <w:t>. [online] Energy.gov. Available at: https://www.energy.gov/cmei/wind/articles/wind-turbines-bigger-better [Accessed 6 June 2026].</w:t>
      </w:r>
    </w:p>
    <w:p w14:paraId="67EE426A" w14:textId="77777777" w:rsidR="00B32C41" w:rsidRDefault="00B32C41" w:rsidP="00B32C41">
      <w:pPr>
        <w:pStyle w:val="NormalWeb"/>
        <w:spacing w:before="0" w:beforeAutospacing="0" w:after="240" w:afterAutospacing="0" w:line="360" w:lineRule="atLeast"/>
        <w:rPr>
          <w:color w:val="000000"/>
        </w:rPr>
      </w:pPr>
      <w:r>
        <w:rPr>
          <w:color w:val="000000"/>
        </w:rPr>
        <w:t>Hibbeler, R.C. (2017).</w:t>
      </w:r>
      <w:r>
        <w:rPr>
          <w:rStyle w:val="apple-converted-space"/>
          <w:color w:val="000000"/>
        </w:rPr>
        <w:t> </w:t>
      </w:r>
      <w:r>
        <w:rPr>
          <w:i/>
          <w:iCs/>
          <w:color w:val="000000"/>
        </w:rPr>
        <w:t>Mechanics of materials</w:t>
      </w:r>
      <w:r>
        <w:rPr>
          <w:color w:val="000000"/>
        </w:rPr>
        <w:t>. Harlow: Pearson.</w:t>
      </w:r>
    </w:p>
    <w:p w14:paraId="7C90C8B3" w14:textId="77777777" w:rsidR="00B32C41" w:rsidRDefault="00B32C41" w:rsidP="00B32C41">
      <w:pPr>
        <w:pStyle w:val="NormalWeb"/>
        <w:spacing w:before="0" w:beforeAutospacing="0" w:after="240" w:afterAutospacing="0" w:line="360" w:lineRule="atLeast"/>
        <w:rPr>
          <w:color w:val="000000"/>
        </w:rPr>
      </w:pPr>
      <w:r>
        <w:rPr>
          <w:color w:val="000000"/>
        </w:rPr>
        <w:t>MakeItFrom (2026).</w:t>
      </w:r>
      <w:r>
        <w:rPr>
          <w:rStyle w:val="apple-converted-space"/>
          <w:color w:val="000000"/>
        </w:rPr>
        <w:t> </w:t>
      </w:r>
      <w:r>
        <w:rPr>
          <w:i/>
          <w:iCs/>
          <w:color w:val="000000"/>
        </w:rPr>
        <w:t>Silicon carbide (SiC)</w:t>
      </w:r>
      <w:r>
        <w:rPr>
          <w:color w:val="000000"/>
        </w:rPr>
        <w:t>. [online] Material Properties. Available at: https://www.makeitfrom.com/material-properties/Silicon-Carbide-SiC [Accessed 29 Aug. 2026].</w:t>
      </w:r>
    </w:p>
    <w:p w14:paraId="59707DED" w14:textId="77777777" w:rsidR="00B32C41" w:rsidRDefault="00B32C41" w:rsidP="00B32C41">
      <w:pPr>
        <w:pStyle w:val="NormalWeb"/>
        <w:spacing w:before="0" w:beforeAutospacing="0" w:after="240" w:afterAutospacing="0" w:line="360" w:lineRule="atLeast"/>
        <w:rPr>
          <w:color w:val="000000"/>
        </w:rPr>
      </w:pPr>
      <w:r>
        <w:rPr>
          <w:color w:val="000000"/>
        </w:rPr>
        <w:t>Manwell, J.F., McGowan, J.G. and Rogers, A.L. (2010).</w:t>
      </w:r>
      <w:r>
        <w:rPr>
          <w:rStyle w:val="apple-converted-space"/>
          <w:color w:val="000000"/>
        </w:rPr>
        <w:t> </w:t>
      </w:r>
      <w:r>
        <w:rPr>
          <w:i/>
          <w:iCs/>
          <w:color w:val="000000"/>
        </w:rPr>
        <w:t>Wind Energy Explained</w:t>
      </w:r>
      <w:r>
        <w:rPr>
          <w:color w:val="000000"/>
        </w:rPr>
        <w:t>. John Wiley &amp; Sons.</w:t>
      </w:r>
    </w:p>
    <w:p w14:paraId="03F5EBA0" w14:textId="77777777" w:rsidR="00292E5A" w:rsidRDefault="00292E5A" w:rsidP="00B32C41">
      <w:pPr>
        <w:pStyle w:val="NormalWeb"/>
        <w:spacing w:before="0" w:beforeAutospacing="0" w:after="240" w:afterAutospacing="0" w:line="360" w:lineRule="atLeast"/>
      </w:pPr>
      <w:r>
        <w:t xml:space="preserve">Mishnaevsky, L., Hasager, C.B., Bak, C., Tilg, A.-M., Bech, J.I., Doagou Rad, S. and Fæster, S. (2021). Leading edge erosion of wind turbine blades: Understanding, prevention and protection. </w:t>
      </w:r>
      <w:r>
        <w:rPr>
          <w:rStyle w:val="Emphasis"/>
        </w:rPr>
        <w:t>Renewable Energy</w:t>
      </w:r>
      <w:r>
        <w:t>, 169, pp.953–969. doi:10.1016/j.renene.2021.01.044.</w:t>
      </w:r>
    </w:p>
    <w:p w14:paraId="30486CF2" w14:textId="2203B9A6" w:rsidR="00B32C41" w:rsidRDefault="00B32C41" w:rsidP="00B32C41">
      <w:pPr>
        <w:pStyle w:val="NormalWeb"/>
        <w:spacing w:before="0" w:beforeAutospacing="0" w:after="240" w:afterAutospacing="0" w:line="360" w:lineRule="atLeast"/>
        <w:rPr>
          <w:color w:val="000000"/>
        </w:rPr>
      </w:pPr>
      <w:r>
        <w:rPr>
          <w:color w:val="000000"/>
        </w:rPr>
        <w:t>Morgan Advanced Materials (n.d.).</w:t>
      </w:r>
      <w:r>
        <w:rPr>
          <w:rStyle w:val="apple-converted-space"/>
          <w:color w:val="000000"/>
        </w:rPr>
        <w:t> </w:t>
      </w:r>
      <w:r>
        <w:rPr>
          <w:i/>
          <w:iCs/>
          <w:color w:val="000000"/>
        </w:rPr>
        <w:t>Nilcra® zirconia 3Y-TZP grade data sheet</w:t>
      </w:r>
      <w:r>
        <w:rPr>
          <w:color w:val="000000"/>
        </w:rPr>
        <w:t>. [online] Morgan Technical Ceramics. Available at: https://www.morgantechnicalceramics.com/media/ql0imk0v/nilcra-zirconia-3y-tzp-grade.pdf [Accessed 29 Aug. 2026].</w:t>
      </w:r>
    </w:p>
    <w:p w14:paraId="6588405A" w14:textId="77777777" w:rsidR="00B32C41" w:rsidRDefault="00B32C41" w:rsidP="00B32C41">
      <w:pPr>
        <w:pStyle w:val="NormalWeb"/>
        <w:spacing w:before="0" w:beforeAutospacing="0" w:after="240" w:afterAutospacing="0" w:line="360" w:lineRule="atLeast"/>
        <w:rPr>
          <w:color w:val="000000"/>
        </w:rPr>
      </w:pPr>
      <w:r>
        <w:rPr>
          <w:color w:val="000000"/>
        </w:rPr>
        <w:t>Nijssen, R.P.L. and Brøndsted, P. (2023). Fatigue as a design driver for composite wind turbine blades.</w:t>
      </w:r>
      <w:r>
        <w:rPr>
          <w:rStyle w:val="apple-converted-space"/>
          <w:color w:val="000000"/>
        </w:rPr>
        <w:t> </w:t>
      </w:r>
      <w:r>
        <w:rPr>
          <w:i/>
          <w:iCs/>
          <w:color w:val="000000"/>
        </w:rPr>
        <w:t>Advances in Wind Turbine Blade Design and Materials</w:t>
      </w:r>
      <w:r>
        <w:rPr>
          <w:color w:val="000000"/>
        </w:rPr>
        <w:t>, [online] pp.217–248. doi:10.1016/b978-0-08-103007-3.00006-9.</w:t>
      </w:r>
    </w:p>
    <w:p w14:paraId="37199EA1" w14:textId="77777777" w:rsidR="00B32C41" w:rsidRDefault="00B32C41" w:rsidP="00B32C41">
      <w:pPr>
        <w:pStyle w:val="NormalWeb"/>
        <w:spacing w:before="0" w:beforeAutospacing="0" w:after="240" w:afterAutospacing="0" w:line="360" w:lineRule="atLeast"/>
        <w:rPr>
          <w:color w:val="000000"/>
        </w:rPr>
      </w:pPr>
      <w:r>
        <w:rPr>
          <w:color w:val="000000"/>
        </w:rPr>
        <w:t>Nixon-Pearson, O., Greaves, P., Mamalis, D. and Stevenson, L. (2022).</w:t>
      </w:r>
      <w:r>
        <w:rPr>
          <w:rStyle w:val="apple-converted-space"/>
          <w:color w:val="000000"/>
        </w:rPr>
        <w:t> </w:t>
      </w:r>
      <w:r>
        <w:rPr>
          <w:i/>
          <w:iCs/>
          <w:color w:val="000000"/>
        </w:rPr>
        <w:t>WP4 – D1.1. wind turbine blades design and manufacturing, current state-of-the-art literature review</w:t>
      </w:r>
      <w:r>
        <w:rPr>
          <w:color w:val="000000"/>
        </w:rPr>
        <w:t>. Offshore Renewable Energy Catapult.</w:t>
      </w:r>
    </w:p>
    <w:p w14:paraId="6CE74979" w14:textId="77777777" w:rsidR="00B32C41" w:rsidRDefault="00B32C41" w:rsidP="00B32C41">
      <w:pPr>
        <w:pStyle w:val="NormalWeb"/>
        <w:spacing w:before="0" w:beforeAutospacing="0" w:after="240" w:afterAutospacing="0" w:line="360" w:lineRule="atLeast"/>
        <w:rPr>
          <w:color w:val="000000"/>
        </w:rPr>
      </w:pPr>
      <w:r>
        <w:rPr>
          <w:color w:val="000000"/>
        </w:rPr>
        <w:t>Professional Plastics (2026).</w:t>
      </w:r>
      <w:r>
        <w:rPr>
          <w:rStyle w:val="apple-converted-space"/>
          <w:color w:val="000000"/>
        </w:rPr>
        <w:t> </w:t>
      </w:r>
      <w:r>
        <w:rPr>
          <w:i/>
          <w:iCs/>
          <w:color w:val="000000"/>
        </w:rPr>
        <w:t>Zirconia Y-TZP data sheet</w:t>
      </w:r>
      <w:r>
        <w:rPr>
          <w:color w:val="000000"/>
        </w:rPr>
        <w:t>. [online] Professional Plastics. Available at: https://www.professionalplastics.com/professionalplastics/ZirconiaY-TZPDataSheet.pdf [Accessed 29 Aug. 2026].</w:t>
      </w:r>
    </w:p>
    <w:p w14:paraId="7FFA8FA1" w14:textId="611DABDE" w:rsidR="00B32C41" w:rsidRDefault="00B32C41" w:rsidP="00B32C41">
      <w:pPr>
        <w:pStyle w:val="NormalWeb"/>
        <w:spacing w:before="0" w:beforeAutospacing="0" w:after="240" w:afterAutospacing="0" w:line="360" w:lineRule="atLeast"/>
        <w:rPr>
          <w:color w:val="000000"/>
        </w:rPr>
      </w:pPr>
      <w:r>
        <w:rPr>
          <w:color w:val="000000"/>
        </w:rPr>
        <w:t>Samborsky, D.D., Mandell, J.F. and Agastra, P. (2012). 3-D static elastic constants and strength properties of a glass/epoxy unidirectional laminate.</w:t>
      </w:r>
      <w:r w:rsidR="00E6722F">
        <w:rPr>
          <w:color w:val="000000"/>
        </w:rPr>
        <w:t xml:space="preserve"> </w:t>
      </w:r>
      <w:r w:rsidR="00E6722F">
        <w:t xml:space="preserve">Bozeman, MT: Department of Chemical and Biological Engineering, Montana State University. [online] Available at: </w:t>
      </w:r>
      <w:hyperlink r:id="rId19" w:history="1">
        <w:r w:rsidR="00E6722F">
          <w:rPr>
            <w:rStyle w:val="Hyperlink"/>
          </w:rPr>
          <w:t>https://www.montana.edu/composites/documents/3D%20Static%20Property%20Report-2.pdf</w:t>
        </w:r>
      </w:hyperlink>
      <w:r w:rsidR="00E6722F">
        <w:t xml:space="preserve"> [Accessed 5 Sep. 2026].</w:t>
      </w:r>
    </w:p>
    <w:p w14:paraId="4A650A40" w14:textId="77777777" w:rsidR="00B32C41" w:rsidRDefault="00B32C41" w:rsidP="00B32C41">
      <w:pPr>
        <w:pStyle w:val="NormalWeb"/>
        <w:spacing w:before="0" w:beforeAutospacing="0" w:after="240" w:afterAutospacing="0" w:line="360" w:lineRule="atLeast"/>
        <w:rPr>
          <w:color w:val="000000"/>
        </w:rPr>
      </w:pPr>
      <w:r>
        <w:rPr>
          <w:color w:val="000000"/>
        </w:rPr>
        <w:lastRenderedPageBreak/>
        <w:t>Tira, H.S. and Patraman, I.G.N.A.N. (2025). Q Blade-Based Simulation of a 7° Tapered Wind Turbine Blade Employing NACA 4412 Airfoil for Aerodynamic Performance Evaluation.</w:t>
      </w:r>
      <w:r>
        <w:rPr>
          <w:rStyle w:val="apple-converted-space"/>
          <w:color w:val="000000"/>
        </w:rPr>
        <w:t> </w:t>
      </w:r>
      <w:r>
        <w:rPr>
          <w:i/>
          <w:iCs/>
          <w:color w:val="000000"/>
        </w:rPr>
        <w:t>Global Journal of Engineering and Technology Advances</w:t>
      </w:r>
      <w:r>
        <w:rPr>
          <w:color w:val="000000"/>
        </w:rPr>
        <w:t>, 25(1), pp.239–246. doi:10.30574/gjeta.2025.25.1.0318.</w:t>
      </w:r>
    </w:p>
    <w:p w14:paraId="21470F58" w14:textId="77777777" w:rsidR="00B32C41" w:rsidRDefault="00B32C41" w:rsidP="00B32C41">
      <w:pPr>
        <w:pStyle w:val="NormalWeb"/>
        <w:spacing w:before="0" w:beforeAutospacing="0" w:after="240" w:afterAutospacing="0" w:line="360" w:lineRule="atLeast"/>
        <w:rPr>
          <w:color w:val="000000"/>
        </w:rPr>
      </w:pPr>
      <w:r>
        <w:rPr>
          <w:color w:val="000000"/>
        </w:rPr>
        <w:t>Widiyanto, S., Pramonohadi, S. and Ridwan, K. (2021). Performance Analysis of Small Horizontal Axis Wind Turbine with Airfoil NACA 4412.</w:t>
      </w:r>
      <w:r>
        <w:rPr>
          <w:rStyle w:val="apple-converted-space"/>
          <w:color w:val="000000"/>
        </w:rPr>
        <w:t> </w:t>
      </w:r>
      <w:r>
        <w:rPr>
          <w:i/>
          <w:iCs/>
          <w:color w:val="000000"/>
        </w:rPr>
        <w:t>International Journal of Science, Technology &amp; Management</w:t>
      </w:r>
      <w:r>
        <w:rPr>
          <w:color w:val="000000"/>
        </w:rPr>
        <w:t>, 2(1), pp.347–357. doi:10.46729/ijstm.v2i1.165.</w:t>
      </w:r>
    </w:p>
    <w:p w14:paraId="3F32E90D" w14:textId="77777777" w:rsidR="00B32C41" w:rsidRPr="00B32C41" w:rsidRDefault="00B32C41" w:rsidP="00B32C41"/>
    <w:p w14:paraId="46DE7B3B" w14:textId="77777777" w:rsidR="00877B8E" w:rsidRDefault="00877B8E" w:rsidP="001F1D8C">
      <w:pPr>
        <w:pStyle w:val="Heading1"/>
      </w:pPr>
    </w:p>
    <w:p w14:paraId="36F29860" w14:textId="599AFD26" w:rsidR="00877B8E" w:rsidRDefault="00877B8E">
      <w:pPr>
        <w:spacing w:after="160" w:line="278" w:lineRule="auto"/>
        <w:rPr>
          <w:rFonts w:asciiTheme="majorHAnsi" w:eastAsiaTheme="majorEastAsia" w:hAnsiTheme="majorHAnsi" w:cstheme="majorBidi"/>
          <w:color w:val="0F4761" w:themeColor="accent1" w:themeShade="BF"/>
          <w:sz w:val="40"/>
          <w:szCs w:val="40"/>
        </w:rPr>
      </w:pPr>
      <w:r>
        <w:br w:type="page"/>
      </w:r>
    </w:p>
    <w:p w14:paraId="099AC8C1" w14:textId="2A4F1558" w:rsidR="001F1D8C" w:rsidRDefault="001F1D8C" w:rsidP="001F1D8C">
      <w:pPr>
        <w:pStyle w:val="Heading1"/>
      </w:pPr>
      <w:bookmarkStart w:id="50" w:name="_Toc239615498"/>
      <w:r>
        <w:lastRenderedPageBreak/>
        <w:t>12. Appendices</w:t>
      </w:r>
      <w:bookmarkEnd w:id="50"/>
    </w:p>
    <w:p w14:paraId="31F0DC2A" w14:textId="77777777" w:rsidR="001F1D8C" w:rsidRDefault="001F1D8C" w:rsidP="001F1D8C">
      <w:pPr>
        <w:pStyle w:val="Heading2"/>
      </w:pPr>
      <w:bookmarkStart w:id="51" w:name="_Toc239615499"/>
      <w:r>
        <w:t>Appendix A — Aerodynamic calculations</w:t>
      </w:r>
      <w:bookmarkEnd w:id="51"/>
    </w:p>
    <w:p w14:paraId="776BC164" w14:textId="710D4046" w:rsidR="006C6D74" w:rsidRDefault="00DE448E" w:rsidP="00DE448E">
      <w:r>
        <w:t xml:space="preserve">The spanwise blade geometry was calculated using </w:t>
      </w:r>
      <w:r w:rsidR="00D61F84">
        <w:t xml:space="preserve">the Blade Element Momentum (BEM) method described in Section 3. Calculations were completed from </w:t>
      </w:r>
      <m:oMath>
        <m:r>
          <w:rPr>
            <w:rFonts w:ascii="Cambria Math" w:hAnsi="Cambria Math"/>
          </w:rPr>
          <m:t>r/R=0.2</m:t>
        </m:r>
      </m:oMath>
      <w:r w:rsidR="006E161C">
        <w:t xml:space="preserve"> to the blade tip at </w:t>
      </w:r>
      <w:r w:rsidR="006C6D74">
        <w:t>intervals of 0.1R. The local tip-speed ratio was calculated from:</w:t>
      </w:r>
    </w:p>
    <w:p w14:paraId="38563EE2" w14:textId="3606CB05" w:rsidR="006C6D74" w:rsidRPr="00A964C7" w:rsidRDefault="00757A1C" w:rsidP="00DE448E">
      <m:oMathPara>
        <m:oMath>
          <m:sSub>
            <m:sSubPr>
              <m:ctrlPr>
                <w:rPr>
                  <w:rFonts w:ascii="Cambria Math" w:hAnsi="Cambria Math"/>
                  <w:i/>
                </w:rPr>
              </m:ctrlPr>
            </m:sSubPr>
            <m:e>
              <m:r>
                <w:rPr>
                  <w:rFonts w:ascii="Cambria Math" w:hAnsi="Cambria Math"/>
                </w:rPr>
                <m:t>λ</m:t>
              </m:r>
            </m:e>
            <m:sub>
              <m:r>
                <w:rPr>
                  <w:rFonts w:ascii="Cambria Math" w:hAnsi="Cambria Math"/>
                </w:rPr>
                <m:t>r</m:t>
              </m:r>
            </m:sub>
          </m:sSub>
          <m:r>
            <w:rPr>
              <w:rFonts w:ascii="Cambria Math" w:hAnsi="Cambria Math"/>
            </w:rPr>
            <m:t>=λ</m:t>
          </m:r>
          <m:f>
            <m:fPr>
              <m:ctrlPr>
                <w:rPr>
                  <w:rFonts w:ascii="Cambria Math" w:hAnsi="Cambria Math"/>
                  <w:i/>
                </w:rPr>
              </m:ctrlPr>
            </m:fPr>
            <m:num>
              <m:r>
                <w:rPr>
                  <w:rFonts w:ascii="Cambria Math" w:hAnsi="Cambria Math"/>
                </w:rPr>
                <m:t>r</m:t>
              </m:r>
            </m:num>
            <m:den>
              <m:r>
                <w:rPr>
                  <w:rFonts w:ascii="Cambria Math" w:hAnsi="Cambria Math"/>
                </w:rPr>
                <m:t>R</m:t>
              </m:r>
            </m:den>
          </m:f>
        </m:oMath>
      </m:oMathPara>
    </w:p>
    <w:p w14:paraId="41271D65" w14:textId="7CEB97AF" w:rsidR="00A964C7" w:rsidRDefault="00A964C7" w:rsidP="00DE448E">
      <w:r>
        <w:t xml:space="preserve">Where the design tip-speed ratio was </w:t>
      </w:r>
      <m:oMath>
        <m:r>
          <w:rPr>
            <w:rFonts w:ascii="Cambria Math" w:hAnsi="Cambria Math"/>
          </w:rPr>
          <m:t>λ=7</m:t>
        </m:r>
      </m:oMath>
      <w:r w:rsidR="00FB593F">
        <w:t>.</w:t>
      </w:r>
    </w:p>
    <w:p w14:paraId="774F284C" w14:textId="684780FE" w:rsidR="00FB593F" w:rsidRDefault="00FB593F" w:rsidP="00DE448E">
      <w:r>
        <w:t>The local inflow angle was calculated using:</w:t>
      </w:r>
    </w:p>
    <w:p w14:paraId="372032FD" w14:textId="756B9FC9" w:rsidR="00FB593F" w:rsidRPr="001C481B" w:rsidRDefault="00653D61" w:rsidP="00DE448E">
      <m:oMathPara>
        <m:oMath>
          <m:r>
            <w:rPr>
              <w:rFonts w:ascii="Cambria Math" w:hAnsi="Cambria Math"/>
            </w:rPr>
            <m:t>ϕ=</m:t>
          </m:r>
          <m:f>
            <m:fPr>
              <m:ctrlPr>
                <w:rPr>
                  <w:rFonts w:ascii="Cambria Math" w:hAnsi="Cambria Math"/>
                  <w:i/>
                </w:rPr>
              </m:ctrlPr>
            </m:fPr>
            <m:num>
              <m:r>
                <w:rPr>
                  <w:rFonts w:ascii="Cambria Math" w:hAnsi="Cambria Math"/>
                </w:rPr>
                <m:t>2</m:t>
              </m:r>
            </m:num>
            <m:den>
              <m:r>
                <w:rPr>
                  <w:rFonts w:ascii="Cambria Math" w:hAnsi="Cambria Math"/>
                </w:rPr>
                <m:t>3</m:t>
              </m:r>
            </m:den>
          </m:f>
          <m:sSup>
            <m:sSupPr>
              <m:ctrlPr>
                <w:rPr>
                  <w:rFonts w:ascii="Cambria Math" w:hAnsi="Cambria Math"/>
                  <w:i/>
                </w:rPr>
              </m:ctrlPr>
            </m:sSupPr>
            <m:e>
              <m:r>
                <w:rPr>
                  <w:rFonts w:ascii="Cambria Math" w:hAnsi="Cambria Math"/>
                </w:rPr>
                <m:t>tan</m:t>
              </m:r>
            </m:e>
            <m:sup>
              <m:r>
                <w:rPr>
                  <w:rFonts w:ascii="Cambria Math" w:hAnsi="Cambria Math"/>
                </w:rPr>
                <m:t>-1</m:t>
              </m:r>
            </m:sup>
          </m:sSup>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λ</m:t>
                  </m:r>
                </m:e>
                <m:sub>
                  <m:r>
                    <w:rPr>
                      <w:rFonts w:ascii="Cambria Math" w:hAnsi="Cambria Math"/>
                    </w:rPr>
                    <m:t>r</m:t>
                  </m:r>
                </m:sub>
              </m:sSub>
            </m:den>
          </m:f>
          <m:r>
            <w:rPr>
              <w:rFonts w:ascii="Cambria Math" w:hAnsi="Cambria Math"/>
            </w:rPr>
            <m:t>)</m:t>
          </m:r>
        </m:oMath>
      </m:oMathPara>
    </w:p>
    <w:p w14:paraId="2CA7C22C" w14:textId="32AD5CB2" w:rsidR="001C481B" w:rsidRDefault="001C481B" w:rsidP="00DE448E">
      <w:r>
        <w:t>The corresponding blade twist was determined from:</w:t>
      </w:r>
    </w:p>
    <w:p w14:paraId="428B6379" w14:textId="02FAB335" w:rsidR="001C481B" w:rsidRPr="00DF279D" w:rsidRDefault="001C481B" w:rsidP="00DE448E">
      <m:oMathPara>
        <m:oMath>
          <m:r>
            <w:rPr>
              <w:rFonts w:ascii="Cambria Math" w:hAnsi="Cambria Math"/>
            </w:rPr>
            <m:t>β=ϕ-α</m:t>
          </m:r>
        </m:oMath>
      </m:oMathPara>
    </w:p>
    <w:p w14:paraId="7B8AFBC7" w14:textId="0AC4DA4F" w:rsidR="00DF279D" w:rsidRDefault="00DF279D" w:rsidP="00DE448E">
      <w:pPr>
        <w:rPr>
          <w:rStyle w:val="mord"/>
          <w:color w:val="000000"/>
        </w:rPr>
      </w:pPr>
      <w:r>
        <w:t xml:space="preserve">Where the design angle of attack was </w:t>
      </w:r>
      <m:oMath>
        <m:r>
          <w:rPr>
            <w:rFonts w:ascii="Cambria Math" w:hAnsi="Cambria Math"/>
          </w:rPr>
          <m:t xml:space="preserve">α= </m:t>
        </m:r>
        <m:sSup>
          <m:sSupPr>
            <m:ctrlPr>
              <w:rPr>
                <w:rStyle w:val="mord"/>
                <w:rFonts w:ascii="Cambria Math" w:hAnsi="Cambria Math"/>
                <w:color w:val="000000"/>
              </w:rPr>
            </m:ctrlPr>
          </m:sSupPr>
          <m:e>
            <m:r>
              <w:rPr>
                <w:rStyle w:val="mord"/>
                <w:rFonts w:ascii="Cambria Math" w:hAnsi="Cambria Math"/>
                <w:color w:val="000000"/>
              </w:rPr>
              <m:t>5</m:t>
            </m:r>
          </m:e>
          <m:sup>
            <m:r>
              <m:rPr>
                <m:sty m:val="p"/>
              </m:rPr>
              <w:rPr>
                <w:rStyle w:val="mbin"/>
                <w:rFonts w:ascii="Cambria Math" w:hAnsi="Cambria Math" w:cs="Cambria Math"/>
                <w:color w:val="000000"/>
              </w:rPr>
              <m:t>∘</m:t>
            </m:r>
          </m:sup>
        </m:sSup>
      </m:oMath>
      <w:r w:rsidR="00990792">
        <w:rPr>
          <w:rStyle w:val="mord"/>
          <w:color w:val="000000"/>
        </w:rPr>
        <w:t>.</w:t>
      </w:r>
    </w:p>
    <w:p w14:paraId="26DC4A05" w14:textId="2FABED19" w:rsidR="00990792" w:rsidRDefault="00B25FFB" w:rsidP="00DE448E">
      <w:pPr>
        <w:rPr>
          <w:rStyle w:val="mord"/>
          <w:color w:val="000000"/>
        </w:rPr>
      </w:pPr>
      <w:r>
        <w:rPr>
          <w:rStyle w:val="mord"/>
          <w:color w:val="000000"/>
        </w:rPr>
        <w:t>The ideal BEM chord was calculated from:</w:t>
      </w:r>
    </w:p>
    <w:p w14:paraId="14BAC80C" w14:textId="2ED65537" w:rsidR="00B25FFB" w:rsidRPr="005A44D6" w:rsidRDefault="00757A1C" w:rsidP="00DE448E">
      <m:oMathPara>
        <m:oMath>
          <m:sSub>
            <m:sSubPr>
              <m:ctrlPr>
                <w:rPr>
                  <w:rFonts w:ascii="Cambria Math" w:hAnsi="Cambria Math"/>
                  <w:i/>
                </w:rPr>
              </m:ctrlPr>
            </m:sSubPr>
            <m:e>
              <m:r>
                <w:rPr>
                  <w:rFonts w:ascii="Cambria Math" w:hAnsi="Cambria Math"/>
                </w:rPr>
                <m:t>C</m:t>
              </m:r>
            </m:e>
            <m:sub>
              <m:r>
                <w:rPr>
                  <w:rFonts w:ascii="Cambria Math" w:hAnsi="Cambria Math"/>
                </w:rPr>
                <m:t>ideal</m:t>
              </m:r>
            </m:sub>
          </m:sSub>
          <m:r>
            <w:rPr>
              <w:rFonts w:ascii="Cambria Math" w:hAnsi="Cambria Math"/>
            </w:rPr>
            <m:t>=</m:t>
          </m:r>
          <m:f>
            <m:fPr>
              <m:ctrlPr>
                <w:rPr>
                  <w:rFonts w:ascii="Cambria Math" w:hAnsi="Cambria Math"/>
                  <w:i/>
                </w:rPr>
              </m:ctrlPr>
            </m:fPr>
            <m:num>
              <m:r>
                <w:rPr>
                  <w:rFonts w:ascii="Cambria Math" w:hAnsi="Cambria Math"/>
                </w:rPr>
                <m:t>8πrsin(ϕ)</m:t>
              </m:r>
            </m:num>
            <m:den>
              <m:r>
                <w:rPr>
                  <w:rFonts w:ascii="Cambria Math" w:hAnsi="Cambria Math"/>
                </w:rPr>
                <m:t>3B</m:t>
              </m:r>
              <m:sSub>
                <m:sSubPr>
                  <m:ctrlPr>
                    <w:rPr>
                      <w:rFonts w:ascii="Cambria Math" w:hAnsi="Cambria Math"/>
                      <w:i/>
                    </w:rPr>
                  </m:ctrlPr>
                </m:sSubPr>
                <m:e>
                  <m:r>
                    <w:rPr>
                      <w:rFonts w:ascii="Cambria Math" w:hAnsi="Cambria Math"/>
                    </w:rPr>
                    <m:t>C</m:t>
                  </m:r>
                </m:e>
                <m:sub>
                  <m:r>
                    <w:rPr>
                      <w:rFonts w:ascii="Cambria Math" w:hAnsi="Cambria Math"/>
                    </w:rPr>
                    <m:t>L</m:t>
                  </m:r>
                </m:sub>
              </m:sSub>
              <m:sSub>
                <m:sSubPr>
                  <m:ctrlPr>
                    <w:rPr>
                      <w:rFonts w:ascii="Cambria Math" w:hAnsi="Cambria Math"/>
                      <w:i/>
                    </w:rPr>
                  </m:ctrlPr>
                </m:sSubPr>
                <m:e>
                  <m:r>
                    <w:rPr>
                      <w:rFonts w:ascii="Cambria Math" w:hAnsi="Cambria Math"/>
                    </w:rPr>
                    <m:t>λ</m:t>
                  </m:r>
                </m:e>
                <m:sub>
                  <m:r>
                    <w:rPr>
                      <w:rFonts w:ascii="Cambria Math" w:hAnsi="Cambria Math"/>
                    </w:rPr>
                    <m:t>r</m:t>
                  </m:r>
                </m:sub>
              </m:sSub>
            </m:den>
          </m:f>
        </m:oMath>
      </m:oMathPara>
    </w:p>
    <w:p w14:paraId="06AF04F5" w14:textId="4E0249C2" w:rsidR="005A44D6" w:rsidRDefault="005A44D6" w:rsidP="00DE448E">
      <w:r>
        <w:t xml:space="preserve">Where </w:t>
      </w:r>
      <m:oMath>
        <m:r>
          <w:rPr>
            <w:rFonts w:ascii="Cambria Math" w:hAnsi="Cambria Math"/>
          </w:rPr>
          <m:t>B=3</m:t>
        </m:r>
      </m:oMath>
      <w:r>
        <w:t xml:space="preserve"> is the number of blades and </w:t>
      </w:r>
      <m:oMath>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=1.2</m:t>
        </m:r>
      </m:oMath>
      <w:r w:rsidR="00FD1CA6">
        <w:t xml:space="preserve"> is the design lift coefficient. </w:t>
      </w:r>
    </w:p>
    <w:p w14:paraId="1C2B1E26" w14:textId="77A38BAD" w:rsidR="00FD1CA6" w:rsidRDefault="00FD1CA6" w:rsidP="00DE448E">
      <w:r>
        <w:t xml:space="preserve">For </w:t>
      </w:r>
      <w:r w:rsidR="002960AE">
        <w:t>practical</w:t>
      </w:r>
      <w:r>
        <w:t xml:space="preserve"> manufacture, a linear chord distribution was ad</w:t>
      </w:r>
      <w:r w:rsidR="002960AE">
        <w:t xml:space="preserve">opted between 3.20 m at </w:t>
      </w:r>
      <m:oMath>
        <m:r>
          <w:rPr>
            <w:rFonts w:ascii="Cambria Math" w:hAnsi="Cambria Math"/>
          </w:rPr>
          <m:t>r/R=0.2</m:t>
        </m:r>
      </m:oMath>
      <w:r w:rsidR="000412B2">
        <w:t xml:space="preserve"> and 0.60 m </w:t>
      </w:r>
      <m:oMath>
        <m:r>
          <w:rPr>
            <w:rFonts w:ascii="Cambria Math" w:hAnsi="Cambria Math"/>
          </w:rPr>
          <m:t>r/R=1.0</m:t>
        </m:r>
      </m:oMath>
      <w:r w:rsidR="00B3074A">
        <w:t>. The maximum aerofoil thickness was then calculated using the NACA 4412 thickness ratio:</w:t>
      </w:r>
    </w:p>
    <w:p w14:paraId="1F571845" w14:textId="324E5860" w:rsidR="00B3074A" w:rsidRPr="00246563" w:rsidRDefault="00757A1C" w:rsidP="00DE448E">
      <m:oMathPara>
        <m:oMath>
          <m:sSub>
            <m:sSubPr>
              <m:ctrlPr>
                <w:rPr>
                  <w:rFonts w:ascii="Cambria Math" w:hAnsi="Cambria Math"/>
                  <w:i/>
                </w:rPr>
              </m:ctrlPr>
            </m:sSubPr>
            <m:e>
              <m:r>
                <w:rPr>
                  <w:rFonts w:ascii="Cambria Math" w:hAnsi="Cambria Math"/>
                </w:rPr>
                <m:t>t</m:t>
              </m:r>
            </m:e>
            <m:sub>
              <m:r>
                <w:rPr>
                  <w:rFonts w:ascii="Cambria Math" w:hAnsi="Cambria Math"/>
                </w:rPr>
                <m:t>max</m:t>
              </m:r>
            </m:sub>
          </m:sSub>
          <m:r>
            <w:rPr>
              <w:rFonts w:ascii="Cambria Math" w:hAnsi="Cambria Math"/>
            </w:rPr>
            <m:t>=0.12</m:t>
          </m:r>
          <m:sSub>
            <m:sSubPr>
              <m:ctrlPr>
                <w:rPr>
                  <w:rFonts w:ascii="Cambria Math" w:hAnsi="Cambria Math"/>
                  <w:i/>
                </w:rPr>
              </m:ctrlPr>
            </m:sSubPr>
            <m:e>
              <m:r>
                <w:rPr>
                  <w:rFonts w:ascii="Cambria Math" w:hAnsi="Cambria Math"/>
                </w:rPr>
                <m:t>c</m:t>
              </m:r>
            </m:e>
            <m:sub>
              <m:r>
                <w:rPr>
                  <w:rFonts w:ascii="Cambria Math" w:hAnsi="Cambria Math"/>
                </w:rPr>
                <m:t>design</m:t>
              </m:r>
            </m:sub>
          </m:sSub>
        </m:oMath>
      </m:oMathPara>
    </w:p>
    <w:p w14:paraId="6628C3C5" w14:textId="298FC0D9" w:rsidR="00246563" w:rsidRDefault="00246563" w:rsidP="00DE448E">
      <w:r>
        <w:t xml:space="preserve">The relative wind velocity used for the subsequent aerodynamic loading calculations was determined from: </w:t>
      </w:r>
    </w:p>
    <w:p w14:paraId="388CC5A8" w14:textId="023D2E3E" w:rsidR="00246563" w:rsidRPr="008E1364" w:rsidRDefault="00246563" w:rsidP="00DE448E">
      <m:oMathPara>
        <m:oMath>
          <m:r>
            <w:rPr>
              <w:rFonts w:ascii="Cambria Math" w:hAnsi="Cambria Math"/>
            </w:rPr>
            <m:t>W=</m:t>
          </m:r>
          <m:f>
            <m:fPr>
              <m:ctrlPr>
                <w:rPr>
                  <w:rFonts w:ascii="Cambria Math" w:hAnsi="Cambria Math"/>
                  <w:i/>
                </w:rPr>
              </m:ctrlPr>
            </m:fPr>
            <m:num>
              <m:r>
                <w:rPr>
                  <w:rFonts w:ascii="Cambria Math" w:hAnsi="Cambria Math"/>
                </w:rPr>
                <m:t>V91-a</m:t>
              </m:r>
            </m:num>
            <m:den>
              <m:r>
                <m:rPr>
                  <m:sty m:val="p"/>
                </m:rPr>
                <w:rPr>
                  <w:rFonts w:ascii="Cambria Math" w:hAnsi="Cambria Math"/>
                </w:rPr>
                <m:t>sin⁡</m:t>
              </m:r>
              <m:r>
                <w:rPr>
                  <w:rFonts w:ascii="Cambria Math" w:hAnsi="Cambria Math"/>
                </w:rPr>
                <m:t>(ϕ)</m:t>
              </m:r>
            </m:den>
          </m:f>
        </m:oMath>
      </m:oMathPara>
    </w:p>
    <w:p w14:paraId="6BE922A9" w14:textId="77777777" w:rsidR="00D71E1C" w:rsidRDefault="008E1364" w:rsidP="00DE448E">
      <w:r>
        <w:t xml:space="preserve">Where </w:t>
      </w:r>
      <m:oMath>
        <m:r>
          <w:rPr>
            <w:rFonts w:ascii="Cambria Math" w:hAnsi="Cambria Math"/>
          </w:rPr>
          <m:t xml:space="preserve">V=12 </m:t>
        </m:r>
      </m:oMath>
      <w:r>
        <w:t xml:space="preserve">m/s is the rated wind speed and </w:t>
      </w:r>
      <m:oMath>
        <m:r>
          <w:rPr>
            <w:rFonts w:ascii="Cambria Math" w:hAnsi="Cambria Math"/>
          </w:rPr>
          <m:t>a=0.333</m:t>
        </m:r>
      </m:oMath>
      <w:r w:rsidR="003E273D">
        <w:t xml:space="preserve"> is the axial induction factor. </w:t>
      </w:r>
    </w:p>
    <w:p w14:paraId="32757554" w14:textId="3FAC5599" w:rsidR="00D524FD" w:rsidRDefault="00D524FD" w:rsidP="00D524FD">
      <w:r>
        <w:lastRenderedPageBreak/>
        <w:t>Specific strength was calculated as tensile strength divided by density, and specific stiffness as Young's modulus divided by density.</w:t>
      </w:r>
    </w:p>
    <w:p w14:paraId="5855FB77" w14:textId="6AEFE080" w:rsidR="00D524FD" w:rsidRDefault="00D524FD" w:rsidP="00D524FD">
      <w:r>
        <w:t>For aluminium 6082-T6, with a tensile strength of 340 MPa and a density of 2,700 kg/m³:</w:t>
      </w:r>
    </w:p>
    <w:p w14:paraId="2019B207" w14:textId="1800A885" w:rsidR="00D524FD" w:rsidRDefault="00D524FD" w:rsidP="00D524FD">
      <w:r>
        <w:t>Specific strength = 340 × 10⁶ / 2,700 ≈ 126 kN·m/kg</w:t>
      </w:r>
      <w:r w:rsidR="00080DDD">
        <w:t xml:space="preserve"> (Callister and Rethwisch, 2020).</w:t>
      </w:r>
    </w:p>
    <w:p w14:paraId="795317BD" w14:textId="12A2AD5D" w:rsidR="00D524FD" w:rsidRDefault="00D524FD" w:rsidP="00D524FD">
      <w:r>
        <w:t>For silicon carbide, with a Young's modulus of 410 GPa and a density of 3,150 kg/m³ (CoorsTek, 2024):</w:t>
      </w:r>
    </w:p>
    <w:p w14:paraId="5AE5F373" w14:textId="1D24C562" w:rsidR="00D524FD" w:rsidRDefault="00D524FD" w:rsidP="00D524FD">
      <w:r>
        <w:t>Specific stiffness = 410 × 10⁹ / 3,150 ≈ 130 MN·m/kg</w:t>
      </w:r>
    </w:p>
    <w:p w14:paraId="2ACF81DD" w14:textId="42B96C20" w:rsidR="00D524FD" w:rsidRDefault="00D524FD" w:rsidP="00D524FD">
      <w:r>
        <w:t>Each score was then multiplied by its criterion weighting. For example, the GFRP specific strength score contributes 5 × 0.20 = 1.00 to its weighted total.</w:t>
      </w:r>
    </w:p>
    <w:p w14:paraId="0DF60A31" w14:textId="0855D93C" w:rsidR="00E23856" w:rsidRDefault="000914BE" w:rsidP="00E23856">
      <w:pPr>
        <w:pStyle w:val="Caption"/>
      </w:pPr>
      <w:bookmarkStart w:id="52" w:name="_Toc239615518"/>
      <w:r>
        <w:t xml:space="preserve">Table </w:t>
      </w:r>
      <w:fldSimple w:instr=" SEQ Table \* ARABIC ">
        <w:r w:rsidR="00E348CF">
          <w:rPr>
            <w:noProof/>
          </w:rPr>
          <w:t>8</w:t>
        </w:r>
      </w:fldSimple>
      <w:r w:rsidRPr="004C68B8">
        <w:t xml:space="preserve">: </w:t>
      </w:r>
      <w:bookmarkStart w:id="53" w:name="_Toc239516304"/>
      <w:bookmarkStart w:id="54" w:name="_Toc239524860"/>
      <w:r w:rsidRPr="004C68B8">
        <w:t>Spanwise BEM blade geometry showing local tip-speed ratio, inflow angle, twist, ideal chord, design chord, maximum thickness and relative wind velocity</w:t>
      </w:r>
      <w:bookmarkEnd w:id="52"/>
      <w:bookmarkEnd w:id="53"/>
      <w:bookmarkEnd w:id="54"/>
    </w:p>
    <w:p w14:paraId="737E517D" w14:textId="50F2CED8" w:rsidR="00631CAE" w:rsidRDefault="00D71E1C" w:rsidP="00E23856">
      <w:r w:rsidRPr="00D71E1C">
        <w:rPr>
          <w:noProof/>
        </w:rPr>
        <w:drawing>
          <wp:inline distT="0" distB="0" distL="0" distR="0" wp14:anchorId="4065552A" wp14:editId="5352690D">
            <wp:extent cx="5731510" cy="1668145"/>
            <wp:effectExtent l="0" t="0" r="0" b="0"/>
            <wp:docPr id="2021259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59906" name=""/>
                    <pic:cNvPicPr/>
                  </pic:nvPicPr>
                  <pic:blipFill>
                    <a:blip r:embed="rId20"/>
                    <a:stretch>
                      <a:fillRect/>
                    </a:stretch>
                  </pic:blipFill>
                  <pic:spPr>
                    <a:xfrm>
                      <a:off x="0" y="0"/>
                      <a:ext cx="5731510" cy="1668145"/>
                    </a:xfrm>
                    <a:prstGeom prst="rect">
                      <a:avLst/>
                    </a:prstGeom>
                  </pic:spPr>
                </pic:pic>
              </a:graphicData>
            </a:graphic>
          </wp:inline>
        </w:drawing>
      </w:r>
    </w:p>
    <w:p w14:paraId="1AD5D149" w14:textId="77777777" w:rsidR="00631CAE" w:rsidRDefault="00631CAE" w:rsidP="00631CAE">
      <w:pPr>
        <w:pStyle w:val="Caption"/>
        <w:rPr>
          <w:i w:val="0"/>
          <w:iCs w:val="0"/>
          <w:color w:val="auto"/>
          <w:sz w:val="24"/>
          <w:szCs w:val="24"/>
        </w:rPr>
      </w:pPr>
      <w:r w:rsidRPr="006A423A">
        <w:rPr>
          <w:i w:val="0"/>
          <w:iCs w:val="0"/>
          <w:color w:val="auto"/>
          <w:sz w:val="24"/>
          <w:szCs w:val="24"/>
        </w:rPr>
        <w:t xml:space="preserve">The BEM calculation produced a curved ideal chord distribution along the blade span. For the final design, this was simplified to a linear taper from 3.20 m at </w:t>
      </w:r>
      <m:oMath>
        <m:r>
          <w:rPr>
            <w:rFonts w:ascii="Cambria Math" w:hAnsi="Cambria Math"/>
            <w:color w:val="auto"/>
            <w:sz w:val="24"/>
            <w:szCs w:val="24"/>
          </w:rPr>
          <m:t>r/R=0.2</m:t>
        </m:r>
      </m:oMath>
      <w:r>
        <w:rPr>
          <w:i w:val="0"/>
          <w:iCs w:val="0"/>
          <w:color w:val="auto"/>
          <w:sz w:val="24"/>
          <w:szCs w:val="24"/>
        </w:rPr>
        <w:t xml:space="preserve"> </w:t>
      </w:r>
      <w:r w:rsidRPr="006A423A">
        <w:rPr>
          <w:i w:val="0"/>
          <w:iCs w:val="0"/>
          <w:color w:val="auto"/>
          <w:sz w:val="24"/>
          <w:szCs w:val="24"/>
        </w:rPr>
        <w:t xml:space="preserve">to 0.60 m at the blade tip. </w:t>
      </w:r>
      <w:r w:rsidRPr="006A3516">
        <w:rPr>
          <w:i w:val="0"/>
          <w:iCs w:val="0"/>
          <w:color w:val="auto"/>
          <w:sz w:val="24"/>
          <w:szCs w:val="24"/>
        </w:rPr>
        <w:t>This provides a simpler geometry for manufacture while retaining the required reduction in chord towards the tip. Figure A1 compares the ideal BEM chord with the adopted linear design.</w:t>
      </w:r>
    </w:p>
    <w:p w14:paraId="3920139B" w14:textId="77777777" w:rsidR="00631CAE" w:rsidRDefault="00631CAE" w:rsidP="00631CAE">
      <w:pPr>
        <w:pStyle w:val="Caption"/>
        <w:rPr>
          <w:i w:val="0"/>
          <w:iCs w:val="0"/>
          <w:color w:val="auto"/>
          <w:sz w:val="24"/>
          <w:szCs w:val="24"/>
        </w:rPr>
      </w:pPr>
      <w:r w:rsidRPr="00F94D00">
        <w:rPr>
          <w:i w:val="0"/>
          <w:iCs w:val="0"/>
          <w:noProof/>
          <w:color w:val="auto"/>
          <w:sz w:val="24"/>
          <w:szCs w:val="24"/>
        </w:rPr>
        <w:lastRenderedPageBreak/>
        <w:drawing>
          <wp:inline distT="0" distB="0" distL="0" distR="0" wp14:anchorId="32016493" wp14:editId="7A7C1D90">
            <wp:extent cx="5092700" cy="2755900"/>
            <wp:effectExtent l="0" t="0" r="0" b="0"/>
            <wp:docPr id="791287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287946" name=""/>
                    <pic:cNvPicPr/>
                  </pic:nvPicPr>
                  <pic:blipFill>
                    <a:blip r:embed="rId21"/>
                    <a:stretch>
                      <a:fillRect/>
                    </a:stretch>
                  </pic:blipFill>
                  <pic:spPr>
                    <a:xfrm>
                      <a:off x="0" y="0"/>
                      <a:ext cx="5092700" cy="2755900"/>
                    </a:xfrm>
                    <a:prstGeom prst="rect">
                      <a:avLst/>
                    </a:prstGeom>
                  </pic:spPr>
                </pic:pic>
              </a:graphicData>
            </a:graphic>
          </wp:inline>
        </w:drawing>
      </w:r>
    </w:p>
    <w:p w14:paraId="5F0312BB" w14:textId="20757FC7" w:rsidR="00896852" w:rsidRDefault="00896852" w:rsidP="00896852">
      <w:pPr>
        <w:pStyle w:val="Caption"/>
      </w:pPr>
      <w:bookmarkStart w:id="55" w:name="_Toc239615506"/>
      <w:r>
        <w:t xml:space="preserve">Figure </w:t>
      </w:r>
      <w:fldSimple w:instr=" SEQ Figure \* ARABIC ">
        <w:r>
          <w:rPr>
            <w:noProof/>
          </w:rPr>
          <w:t>4</w:t>
        </w:r>
      </w:fldSimple>
      <w:r w:rsidRPr="006E4233">
        <w:t>: Comparison of the ideal BEM chord distribution and selected linear design taper.</w:t>
      </w:r>
      <w:bookmarkEnd w:id="55"/>
    </w:p>
    <w:p w14:paraId="081F40B0" w14:textId="29EF873E" w:rsidR="00631CAE" w:rsidRDefault="00631CAE" w:rsidP="00631CAE">
      <w:pPr>
        <w:pStyle w:val="Caption"/>
        <w:rPr>
          <w:i w:val="0"/>
          <w:iCs w:val="0"/>
          <w:color w:val="auto"/>
          <w:sz w:val="24"/>
          <w:szCs w:val="24"/>
        </w:rPr>
      </w:pPr>
      <w:r w:rsidRPr="005240E7">
        <w:rPr>
          <w:i w:val="0"/>
          <w:iCs w:val="0"/>
          <w:color w:val="auto"/>
          <w:sz w:val="24"/>
          <w:szCs w:val="24"/>
        </w:rPr>
        <w:t>The calculated</w:t>
      </w:r>
      <w:r>
        <w:rPr>
          <w:i w:val="0"/>
          <w:iCs w:val="0"/>
          <w:color w:val="auto"/>
          <w:sz w:val="24"/>
          <w:szCs w:val="24"/>
        </w:rPr>
        <w:t xml:space="preserve"> twist also reduces progressively along the blade span. The twist decreases from </w:t>
      </w:r>
      <w:r w:rsidRPr="00DA4963">
        <w:rPr>
          <w:i w:val="0"/>
          <w:iCs w:val="0"/>
          <w:color w:val="auto"/>
          <w:sz w:val="24"/>
          <w:szCs w:val="24"/>
        </w:rPr>
        <w:t>18.69°</w:t>
      </w:r>
      <w:r>
        <w:rPr>
          <w:i w:val="0"/>
          <w:iCs w:val="0"/>
          <w:color w:val="auto"/>
          <w:sz w:val="24"/>
          <w:szCs w:val="24"/>
        </w:rPr>
        <w:t xml:space="preserve"> at </w:t>
      </w:r>
      <m:oMath>
        <m:r>
          <w:rPr>
            <w:rFonts w:ascii="Cambria Math" w:hAnsi="Cambria Math"/>
            <w:color w:val="auto"/>
            <w:sz w:val="24"/>
            <w:szCs w:val="24"/>
          </w:rPr>
          <m:t>r/R=0.2</m:t>
        </m:r>
      </m:oMath>
      <w:r>
        <w:rPr>
          <w:i w:val="0"/>
          <w:iCs w:val="0"/>
          <w:color w:val="auto"/>
          <w:sz w:val="24"/>
          <w:szCs w:val="24"/>
        </w:rPr>
        <w:t xml:space="preserve"> to </w:t>
      </w:r>
      <w:r w:rsidRPr="00312B8E">
        <w:rPr>
          <w:i w:val="0"/>
          <w:iCs w:val="0"/>
          <w:color w:val="auto"/>
          <w:sz w:val="24"/>
          <w:szCs w:val="24"/>
        </w:rPr>
        <w:t>0.42°</w:t>
      </w:r>
      <w:r>
        <w:rPr>
          <w:i w:val="0"/>
          <w:iCs w:val="0"/>
          <w:color w:val="auto"/>
          <w:sz w:val="24"/>
          <w:szCs w:val="24"/>
        </w:rPr>
        <w:t xml:space="preserve"> at the blade tip, as show</w:t>
      </w:r>
      <w:r w:rsidR="00536AE2">
        <w:rPr>
          <w:i w:val="0"/>
          <w:iCs w:val="0"/>
          <w:color w:val="auto"/>
          <w:sz w:val="24"/>
          <w:szCs w:val="24"/>
        </w:rPr>
        <w:t>n</w:t>
      </w:r>
      <w:r>
        <w:rPr>
          <w:i w:val="0"/>
          <w:iCs w:val="0"/>
          <w:color w:val="auto"/>
          <w:sz w:val="24"/>
          <w:szCs w:val="24"/>
        </w:rPr>
        <w:t xml:space="preserve"> in Figure 5. These values were used to orientate the NACA 4412 sections in the CAD model.</w:t>
      </w:r>
    </w:p>
    <w:p w14:paraId="028811D0" w14:textId="77777777" w:rsidR="00631CAE" w:rsidRDefault="00631CAE" w:rsidP="00631CAE">
      <w:pPr>
        <w:pStyle w:val="Caption"/>
        <w:rPr>
          <w:i w:val="0"/>
          <w:iCs w:val="0"/>
          <w:color w:val="auto"/>
          <w:sz w:val="24"/>
          <w:szCs w:val="24"/>
        </w:rPr>
      </w:pPr>
    </w:p>
    <w:p w14:paraId="17852800" w14:textId="04D40084" w:rsidR="001539C8" w:rsidRDefault="001539C8" w:rsidP="001539C8">
      <w:pPr>
        <w:pStyle w:val="Caption"/>
        <w:jc w:val="center"/>
        <w:rPr>
          <w:i w:val="0"/>
          <w:iCs w:val="0"/>
          <w:color w:val="auto"/>
          <w:sz w:val="24"/>
          <w:szCs w:val="24"/>
        </w:rPr>
      </w:pPr>
      <w:r w:rsidRPr="001539C8">
        <w:rPr>
          <w:i w:val="0"/>
          <w:iCs w:val="0"/>
          <w:noProof/>
          <w:color w:val="auto"/>
          <w:sz w:val="24"/>
          <w:szCs w:val="24"/>
        </w:rPr>
        <w:drawing>
          <wp:inline distT="0" distB="0" distL="0" distR="0" wp14:anchorId="54247954" wp14:editId="164F8042">
            <wp:extent cx="5092700" cy="2755900"/>
            <wp:effectExtent l="0" t="0" r="0" b="0"/>
            <wp:docPr id="72138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88588" name=""/>
                    <pic:cNvPicPr/>
                  </pic:nvPicPr>
                  <pic:blipFill>
                    <a:blip r:embed="rId22"/>
                    <a:stretch>
                      <a:fillRect/>
                    </a:stretch>
                  </pic:blipFill>
                  <pic:spPr>
                    <a:xfrm>
                      <a:off x="0" y="0"/>
                      <a:ext cx="5092700" cy="2755900"/>
                    </a:xfrm>
                    <a:prstGeom prst="rect">
                      <a:avLst/>
                    </a:prstGeom>
                  </pic:spPr>
                </pic:pic>
              </a:graphicData>
            </a:graphic>
          </wp:inline>
        </w:drawing>
      </w:r>
    </w:p>
    <w:p w14:paraId="46585BAA" w14:textId="05236C35" w:rsidR="001539C8" w:rsidRPr="005240E7" w:rsidRDefault="00896852" w:rsidP="00896852">
      <w:pPr>
        <w:pStyle w:val="Caption"/>
        <w:rPr>
          <w:i w:val="0"/>
          <w:iCs w:val="0"/>
          <w:color w:val="auto"/>
          <w:sz w:val="24"/>
          <w:szCs w:val="24"/>
        </w:rPr>
      </w:pPr>
      <w:bookmarkStart w:id="56" w:name="_Toc239615507"/>
      <w:r>
        <w:t xml:space="preserve">Figure </w:t>
      </w:r>
      <w:fldSimple w:instr=" SEQ Figure \* ARABIC ">
        <w:r>
          <w:rPr>
            <w:noProof/>
          </w:rPr>
          <w:t>5</w:t>
        </w:r>
      </w:fldSimple>
      <w:r w:rsidRPr="007042CB">
        <w:t>: Calculated spanwise blade twist distribution.</w:t>
      </w:r>
      <w:bookmarkEnd w:id="56"/>
    </w:p>
    <w:p w14:paraId="02A2BFF0" w14:textId="77777777" w:rsidR="001C481B" w:rsidRPr="00DE448E" w:rsidRDefault="001C481B" w:rsidP="00DE448E"/>
    <w:p w14:paraId="70DE6DDC" w14:textId="77777777" w:rsidR="001F1D8C" w:rsidRDefault="001F1D8C" w:rsidP="001F1D8C">
      <w:pPr>
        <w:pStyle w:val="Heading2"/>
      </w:pPr>
      <w:bookmarkStart w:id="57" w:name="_Toc239615500"/>
      <w:r>
        <w:lastRenderedPageBreak/>
        <w:t>Appendix B — Stress calculations</w:t>
      </w:r>
      <w:bookmarkEnd w:id="57"/>
    </w:p>
    <w:p w14:paraId="1164C99B" w14:textId="77777777" w:rsidR="00704DDC" w:rsidRDefault="00704DDC" w:rsidP="00240482">
      <w:pPr>
        <w:spacing w:after="160"/>
      </w:pPr>
      <w:r w:rsidRPr="00704DDC">
        <w:t>The aerodynamic forces calculated at each blade section were used to determine the structural loading. Lift and drag were calculated from:</w:t>
      </w:r>
    </w:p>
    <w:p w14:paraId="6296FE8C" w14:textId="77777777" w:rsidR="00704DDC" w:rsidRDefault="00704DDC" w:rsidP="00704DDC">
      <w:pPr>
        <w:spacing w:before="180" w:after="220"/>
        <w:jc w:val="center"/>
      </w:pPr>
      <m:oMathPara>
        <m:oMath>
          <m:r>
            <w:rPr>
              <w:rFonts w:ascii="Cambria Math" w:hAnsi="Cambria Math"/>
            </w:rPr>
            <m:t>dL=</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rPr>
              </m:ctrlPr>
            </m:sSupPr>
            <m:e>
              <m:r>
                <w:rPr>
                  <w:rFonts w:ascii="Cambria Math" w:hAnsi="Cambria Math"/>
                </w:rPr>
                <m:t>W</m:t>
              </m:r>
            </m:e>
            <m:sup>
              <m:r>
                <w:rPr>
                  <w:rFonts w:ascii="Cambria Math" w:hAnsi="Cambria Math"/>
                </w:rPr>
                <m:t>2</m:t>
              </m:r>
            </m:sup>
          </m:sSup>
          <m:r>
            <w:rPr>
              <w:rFonts w:ascii="Cambria Math" w:hAnsi="Cambria Math"/>
            </w:rPr>
            <m:t>c</m:t>
          </m:r>
          <m:sSub>
            <m:sSubPr>
              <m:ctrlPr>
                <w:rPr>
                  <w:rFonts w:ascii="Cambria Math" w:hAnsi="Cambria Math"/>
                </w:rPr>
              </m:ctrlPr>
            </m:sSubPr>
            <m:e>
              <m:r>
                <w:rPr>
                  <w:rFonts w:ascii="Cambria Math" w:hAnsi="Cambria Math"/>
                </w:rPr>
                <m:t>C</m:t>
              </m:r>
            </m:e>
            <m:sub>
              <m:r>
                <w:rPr>
                  <w:rFonts w:ascii="Cambria Math" w:hAnsi="Cambria Math"/>
                </w:rPr>
                <m:t>L</m:t>
              </m:r>
            </m:sub>
          </m:sSub>
          <m:r>
            <w:rPr>
              <w:rFonts w:ascii="Cambria Math" w:hAnsi="Cambria Math"/>
            </w:rPr>
            <m:t>dr</m:t>
          </m:r>
        </m:oMath>
      </m:oMathPara>
    </w:p>
    <w:p w14:paraId="55B02663" w14:textId="77777777" w:rsidR="00704DDC" w:rsidRDefault="00704DDC" w:rsidP="00704DDC">
      <w:pPr>
        <w:spacing w:before="180" w:after="220"/>
        <w:jc w:val="center"/>
      </w:pPr>
      <m:oMathPara>
        <m:oMath>
          <m:r>
            <w:rPr>
              <w:rFonts w:ascii="Cambria Math" w:hAnsi="Cambria Math"/>
            </w:rPr>
            <m:t>dD=</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rPr>
              </m:ctrlPr>
            </m:sSupPr>
            <m:e>
              <m:r>
                <w:rPr>
                  <w:rFonts w:ascii="Cambria Math" w:hAnsi="Cambria Math"/>
                </w:rPr>
                <m:t>W</m:t>
              </m:r>
            </m:e>
            <m:sup>
              <m:r>
                <w:rPr>
                  <w:rFonts w:ascii="Cambria Math" w:hAnsi="Cambria Math"/>
                </w:rPr>
                <m:t>2</m:t>
              </m:r>
            </m:sup>
          </m:sSup>
          <m:r>
            <w:rPr>
              <w:rFonts w:ascii="Cambria Math" w:hAnsi="Cambria Math"/>
            </w:rPr>
            <m:t>c</m:t>
          </m:r>
          <m:sSub>
            <m:sSubPr>
              <m:ctrlPr>
                <w:rPr>
                  <w:rFonts w:ascii="Cambria Math" w:hAnsi="Cambria Math"/>
                </w:rPr>
              </m:ctrlPr>
            </m:sSubPr>
            <m:e>
              <m:r>
                <w:rPr>
                  <w:rFonts w:ascii="Cambria Math" w:hAnsi="Cambria Math"/>
                </w:rPr>
                <m:t>C</m:t>
              </m:r>
            </m:e>
            <m:sub>
              <m:r>
                <w:rPr>
                  <w:rFonts w:ascii="Cambria Math" w:hAnsi="Cambria Math"/>
                </w:rPr>
                <m:t>D</m:t>
              </m:r>
            </m:sub>
          </m:sSub>
          <m:r>
            <w:rPr>
              <w:rFonts w:ascii="Cambria Math" w:hAnsi="Cambria Math"/>
            </w:rPr>
            <m:t>dr</m:t>
          </m:r>
        </m:oMath>
      </m:oMathPara>
    </w:p>
    <w:p w14:paraId="61BD8286" w14:textId="3CD25A27" w:rsidR="00704DDC" w:rsidRPr="00704DDC" w:rsidRDefault="00704DDC" w:rsidP="00704DDC">
      <w:pPr>
        <w:spacing w:after="160" w:line="276" w:lineRule="auto"/>
        <w:jc w:val="both"/>
      </w:pPr>
      <w:r w:rsidRPr="00704DDC">
        <w:t xml:space="preserve">where </w:t>
      </w:r>
      <w:r w:rsidRPr="00704DDC">
        <w:rPr>
          <w:rFonts w:ascii="Times New Roman" w:eastAsia="Times New Roman" w:hAnsi="Times New Roman" w:cs="Times New Roman"/>
          <w:i/>
          <w:iCs/>
        </w:rPr>
        <w:t>ρ</w:t>
      </w:r>
      <w:r w:rsidRPr="00704DDC">
        <w:rPr>
          <w:rFonts w:ascii="Times New Roman" w:eastAsia="Times New Roman" w:hAnsi="Times New Roman" w:cs="Times New Roman"/>
        </w:rPr>
        <w:t xml:space="preserve"> = 1.225 </w:t>
      </w:r>
      <w:r w:rsidRPr="00704DDC">
        <w:t>kg/m</w:t>
      </w:r>
      <w:r w:rsidRPr="00704DDC">
        <w:rPr>
          <w:vertAlign w:val="superscript"/>
        </w:rPr>
        <w:t>3</w:t>
      </w:r>
      <w:r w:rsidRPr="00704DDC">
        <w:rPr>
          <w:rFonts w:ascii="Times New Roman" w:eastAsia="Times New Roman" w:hAnsi="Times New Roman" w:cs="Times New Roman"/>
        </w:rPr>
        <w:t xml:space="preserve">, </w:t>
      </w:r>
      <w:r w:rsidRPr="00704DDC">
        <w:rPr>
          <w:rFonts w:ascii="Times New Roman" w:eastAsia="Times New Roman" w:hAnsi="Times New Roman" w:cs="Times New Roman"/>
          <w:i/>
          <w:iCs/>
        </w:rPr>
        <w:t>C</w:t>
      </w:r>
      <w:r w:rsidRPr="00704DDC">
        <w:rPr>
          <w:rFonts w:ascii="Times New Roman" w:eastAsia="Times New Roman" w:hAnsi="Times New Roman" w:cs="Times New Roman"/>
          <w:vertAlign w:val="subscript"/>
        </w:rPr>
        <w:t>L</w:t>
      </w:r>
      <w:r w:rsidRPr="00704DDC">
        <w:rPr>
          <w:rFonts w:ascii="Times New Roman" w:eastAsia="Times New Roman" w:hAnsi="Times New Roman" w:cs="Times New Roman"/>
        </w:rPr>
        <w:t xml:space="preserve"> = 1.2 </w:t>
      </w:r>
      <w:r w:rsidRPr="00704DDC">
        <w:t>and</w:t>
      </w:r>
      <w:r w:rsidRPr="00704DDC">
        <w:rPr>
          <w:rFonts w:ascii="Times New Roman" w:eastAsia="Times New Roman" w:hAnsi="Times New Roman" w:cs="Times New Roman"/>
        </w:rPr>
        <w:t xml:space="preserve"> </w:t>
      </w:r>
      <w:r w:rsidRPr="00704DDC">
        <w:rPr>
          <w:rFonts w:ascii="Times New Roman" w:eastAsia="Times New Roman" w:hAnsi="Times New Roman" w:cs="Times New Roman"/>
          <w:i/>
          <w:iCs/>
        </w:rPr>
        <w:t>C</w:t>
      </w:r>
      <w:r w:rsidRPr="00704DDC">
        <w:rPr>
          <w:rFonts w:ascii="Times New Roman" w:eastAsia="Times New Roman" w:hAnsi="Times New Roman" w:cs="Times New Roman"/>
          <w:vertAlign w:val="subscript"/>
        </w:rPr>
        <w:t>D</w:t>
      </w:r>
      <w:r w:rsidRPr="00704DDC">
        <w:rPr>
          <w:rFonts w:ascii="Times New Roman" w:eastAsia="Times New Roman" w:hAnsi="Times New Roman" w:cs="Times New Roman"/>
        </w:rPr>
        <w:t xml:space="preserve"> = 0.011.</w:t>
      </w:r>
    </w:p>
    <w:p w14:paraId="3E45315C" w14:textId="77777777" w:rsidR="00704DDC" w:rsidRDefault="00704DDC" w:rsidP="00240482">
      <w:pPr>
        <w:spacing w:after="160" w:line="276" w:lineRule="auto"/>
      </w:pPr>
      <w:r w:rsidRPr="00704DDC">
        <w:t>Lift and drag were resolved into normal and tangential force components:</w:t>
      </w:r>
    </w:p>
    <w:p w14:paraId="7F8378B9" w14:textId="77777777" w:rsidR="00704DDC" w:rsidRDefault="00757A1C" w:rsidP="00704DDC">
      <w:pPr>
        <w:spacing w:before="180" w:after="220"/>
        <w:jc w:val="center"/>
      </w:pPr>
      <m:oMathPara>
        <m:oMath>
          <m:sSub>
            <m:sSubPr>
              <m:ctrlPr>
                <w:rPr>
                  <w:rFonts w:ascii="Cambria Math" w:hAnsi="Cambria Math"/>
                </w:rPr>
              </m:ctrlPr>
            </m:sSubPr>
            <m:e>
              <m:r>
                <w:rPr>
                  <w:rFonts w:ascii="Cambria Math" w:hAnsi="Cambria Math"/>
                </w:rPr>
                <m:t>F</m:t>
              </m:r>
            </m:e>
            <m:sub>
              <m:r>
                <w:rPr>
                  <w:rFonts w:ascii="Cambria Math" w:hAnsi="Cambria Math"/>
                </w:rPr>
                <m:t>normal</m:t>
              </m:r>
            </m:sub>
          </m:sSub>
          <m:r>
            <w:rPr>
              <w:rFonts w:ascii="Cambria Math" w:hAnsi="Cambria Math"/>
            </w:rPr>
            <m:t>=dL</m:t>
          </m:r>
          <m:func>
            <m:funcPr>
              <m:ctrlPr>
                <w:rPr>
                  <w:rFonts w:ascii="Cambria Math" w:hAnsi="Cambria Math"/>
                </w:rPr>
              </m:ctrlPr>
            </m:funcPr>
            <m:fName>
              <m:r>
                <w:rPr>
                  <w:rFonts w:ascii="Cambria Math" w:hAnsi="Cambria Math"/>
                </w:rPr>
                <m:t>cos</m:t>
              </m:r>
            </m:fName>
            <m:e>
              <m:d>
                <m:dPr>
                  <m:ctrlPr>
                    <w:rPr>
                      <w:rFonts w:ascii="Cambria Math" w:hAnsi="Cambria Math"/>
                    </w:rPr>
                  </m:ctrlPr>
                </m:dPr>
                <m:e>
                  <m:r>
                    <w:rPr>
                      <w:rFonts w:ascii="Cambria Math" w:hAnsi="Cambria Math"/>
                    </w:rPr>
                    <m:t>ϕ</m:t>
                  </m:r>
                </m:e>
              </m:d>
            </m:e>
          </m:func>
          <m:r>
            <w:rPr>
              <w:rFonts w:ascii="Cambria Math" w:hAnsi="Cambria Math"/>
            </w:rPr>
            <m:t>+dD</m:t>
          </m:r>
          <m:func>
            <m:funcPr>
              <m:ctrlPr>
                <w:rPr>
                  <w:rFonts w:ascii="Cambria Math" w:hAnsi="Cambria Math"/>
                </w:rPr>
              </m:ctrlPr>
            </m:funcPr>
            <m:fName>
              <m:r>
                <w:rPr>
                  <w:rFonts w:ascii="Cambria Math" w:hAnsi="Cambria Math"/>
                </w:rPr>
                <m:t>sin</m:t>
              </m:r>
            </m:fName>
            <m:e>
              <m:d>
                <m:dPr>
                  <m:ctrlPr>
                    <w:rPr>
                      <w:rFonts w:ascii="Cambria Math" w:hAnsi="Cambria Math"/>
                    </w:rPr>
                  </m:ctrlPr>
                </m:dPr>
                <m:e>
                  <m:r>
                    <w:rPr>
                      <w:rFonts w:ascii="Cambria Math" w:hAnsi="Cambria Math"/>
                    </w:rPr>
                    <m:t>ϕ</m:t>
                  </m:r>
                </m:e>
              </m:d>
            </m:e>
          </m:func>
        </m:oMath>
      </m:oMathPara>
    </w:p>
    <w:p w14:paraId="71BB5D65" w14:textId="77777777" w:rsidR="00704DDC" w:rsidRDefault="00757A1C" w:rsidP="00704DDC">
      <w:pPr>
        <w:spacing w:before="180" w:after="220"/>
        <w:jc w:val="center"/>
      </w:pPr>
      <m:oMathPara>
        <m:oMath>
          <m:sSub>
            <m:sSubPr>
              <m:ctrlPr>
                <w:rPr>
                  <w:rFonts w:ascii="Cambria Math" w:hAnsi="Cambria Math"/>
                </w:rPr>
              </m:ctrlPr>
            </m:sSubPr>
            <m:e>
              <m:r>
                <w:rPr>
                  <w:rFonts w:ascii="Cambria Math" w:hAnsi="Cambria Math"/>
                </w:rPr>
                <m:t>F</m:t>
              </m:r>
            </m:e>
            <m:sub>
              <m:r>
                <w:rPr>
                  <w:rFonts w:ascii="Cambria Math" w:hAnsi="Cambria Math"/>
                </w:rPr>
                <m:t>tangential</m:t>
              </m:r>
            </m:sub>
          </m:sSub>
          <m:r>
            <w:rPr>
              <w:rFonts w:ascii="Cambria Math" w:hAnsi="Cambria Math"/>
            </w:rPr>
            <m:t>=dL</m:t>
          </m:r>
          <m:func>
            <m:funcPr>
              <m:ctrlPr>
                <w:rPr>
                  <w:rFonts w:ascii="Cambria Math" w:hAnsi="Cambria Math"/>
                </w:rPr>
              </m:ctrlPr>
            </m:funcPr>
            <m:fName>
              <m:r>
                <w:rPr>
                  <w:rFonts w:ascii="Cambria Math" w:hAnsi="Cambria Math"/>
                </w:rPr>
                <m:t>sin</m:t>
              </m:r>
            </m:fName>
            <m:e>
              <m:d>
                <m:dPr>
                  <m:ctrlPr>
                    <w:rPr>
                      <w:rFonts w:ascii="Cambria Math" w:hAnsi="Cambria Math"/>
                    </w:rPr>
                  </m:ctrlPr>
                </m:dPr>
                <m:e>
                  <m:r>
                    <w:rPr>
                      <w:rFonts w:ascii="Cambria Math" w:hAnsi="Cambria Math"/>
                    </w:rPr>
                    <m:t>ϕ</m:t>
                  </m:r>
                </m:e>
              </m:d>
            </m:e>
          </m:func>
          <m:r>
            <w:rPr>
              <w:rFonts w:ascii="Cambria Math" w:hAnsi="Cambria Math"/>
            </w:rPr>
            <m:t>-dD</m:t>
          </m:r>
          <m:func>
            <m:funcPr>
              <m:ctrlPr>
                <w:rPr>
                  <w:rFonts w:ascii="Cambria Math" w:hAnsi="Cambria Math"/>
                </w:rPr>
              </m:ctrlPr>
            </m:funcPr>
            <m:fName>
              <m:r>
                <w:rPr>
                  <w:rFonts w:ascii="Cambria Math" w:hAnsi="Cambria Math"/>
                </w:rPr>
                <m:t>cos</m:t>
              </m:r>
            </m:fName>
            <m:e>
              <m:d>
                <m:dPr>
                  <m:ctrlPr>
                    <w:rPr>
                      <w:rFonts w:ascii="Cambria Math" w:hAnsi="Cambria Math"/>
                    </w:rPr>
                  </m:ctrlPr>
                </m:dPr>
                <m:e>
                  <m:r>
                    <w:rPr>
                      <w:rFonts w:ascii="Cambria Math" w:hAnsi="Cambria Math"/>
                    </w:rPr>
                    <m:t>ϕ</m:t>
                  </m:r>
                </m:e>
              </m:d>
            </m:e>
          </m:func>
        </m:oMath>
      </m:oMathPara>
    </w:p>
    <w:p w14:paraId="3BFAE633" w14:textId="77777777" w:rsidR="00704DDC" w:rsidRDefault="00704DDC" w:rsidP="00240482">
      <w:pPr>
        <w:spacing w:after="160"/>
      </w:pPr>
      <w:r w:rsidRPr="00704DDC">
        <w:t>The normal force represents the primary flapwise loading. The bending moment contribution from each blade section was calculated from:</w:t>
      </w:r>
    </w:p>
    <w:p w14:paraId="235E0BC5" w14:textId="77777777" w:rsidR="00704DDC" w:rsidRDefault="00757A1C" w:rsidP="00704DDC">
      <w:pPr>
        <w:spacing w:before="180" w:after="220"/>
        <w:jc w:val="center"/>
      </w:pPr>
      <m:oMathPara>
        <m:oMath>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normal,i</m:t>
              </m:r>
            </m:sub>
          </m:sSub>
          <m:sSub>
            <m:sSubPr>
              <m:ctrlPr>
                <w:rPr>
                  <w:rFonts w:ascii="Cambria Math" w:hAnsi="Cambria Math"/>
                </w:rPr>
              </m:ctrlPr>
            </m:sSubPr>
            <m:e>
              <m:r>
                <w:rPr>
                  <w:rFonts w:ascii="Cambria Math" w:hAnsi="Cambria Math"/>
                </w:rPr>
                <m:t>r</m:t>
              </m:r>
            </m:e>
            <m:sub>
              <m:r>
                <w:rPr>
                  <w:rFonts w:ascii="Cambria Math" w:hAnsi="Cambria Math"/>
                </w:rPr>
                <m:t>i</m:t>
              </m:r>
            </m:sub>
          </m:sSub>
        </m:oMath>
      </m:oMathPara>
    </w:p>
    <w:p w14:paraId="69F644DA" w14:textId="77777777" w:rsidR="00704DDC" w:rsidRDefault="00704DDC" w:rsidP="00240482">
      <w:pPr>
        <w:spacing w:after="160"/>
      </w:pPr>
      <w:r w:rsidRPr="00704DDC">
        <w:t>The individual contributions were then summed to determine the total bending moment at the blade root:</w:t>
      </w:r>
    </w:p>
    <w:p w14:paraId="27BC598E" w14:textId="77777777" w:rsidR="00704DDC" w:rsidRDefault="00757A1C" w:rsidP="00704DDC">
      <w:pPr>
        <w:spacing w:before="180" w:after="220"/>
        <w:jc w:val="center"/>
      </w:pPr>
      <m:oMathPara>
        <m:oMath>
          <m:sSub>
            <m:sSubPr>
              <m:ctrlPr>
                <w:rPr>
                  <w:rFonts w:ascii="Cambria Math" w:hAnsi="Cambria Math"/>
                </w:rPr>
              </m:ctrlPr>
            </m:sSubPr>
            <m:e>
              <m:r>
                <w:rPr>
                  <w:rFonts w:ascii="Cambria Math" w:hAnsi="Cambria Math"/>
                </w:rPr>
                <m:t>M</m:t>
              </m:r>
            </m:e>
            <m:sub>
              <m:r>
                <w:rPr>
                  <w:rFonts w:ascii="Cambria Math" w:hAnsi="Cambria Math"/>
                </w:rPr>
                <m:t>root</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i</m:t>
              </m:r>
            </m:sub>
          </m:sSub>
        </m:oMath>
      </m:oMathPara>
    </w:p>
    <w:p w14:paraId="7FC467CF" w14:textId="77777777" w:rsidR="00704DDC" w:rsidRDefault="00704DDC" w:rsidP="00704DDC">
      <w:pPr>
        <w:spacing w:after="160"/>
        <w:jc w:val="both"/>
      </w:pPr>
      <w:r w:rsidRPr="00704DDC">
        <w:t>This produced a calculated root bending moment of:</w:t>
      </w:r>
    </w:p>
    <w:p w14:paraId="2CCF7E7D" w14:textId="77777777" w:rsidR="00704DDC" w:rsidRPr="003633FA" w:rsidRDefault="00757A1C" w:rsidP="00704DDC">
      <w:pPr>
        <w:spacing w:before="180" w:after="220"/>
        <w:jc w:val="center"/>
      </w:pPr>
      <m:oMathPara>
        <m:oMath>
          <m:sSub>
            <m:sSubPr>
              <m:ctrlPr>
                <w:rPr>
                  <w:rFonts w:ascii="Cambria Math" w:hAnsi="Cambria Math"/>
                </w:rPr>
              </m:ctrlPr>
            </m:sSubPr>
            <m:e>
              <m:r>
                <w:rPr>
                  <w:rFonts w:ascii="Cambria Math" w:hAnsi="Cambria Math"/>
                </w:rPr>
                <m:t>M</m:t>
              </m:r>
            </m:e>
            <m:sub>
              <m:r>
                <w:rPr>
                  <w:rFonts w:ascii="Cambria Math" w:hAnsi="Cambria Math"/>
                </w:rPr>
                <m:t>root</m:t>
              </m:r>
            </m:sub>
          </m:sSub>
          <m:r>
            <w:rPr>
              <w:rFonts w:ascii="Cambria Math" w:hAnsi="Cambria Math"/>
            </w:rPr>
            <m:t>=2.492 MN·m</m:t>
          </m:r>
        </m:oMath>
      </m:oMathPara>
    </w:p>
    <w:p w14:paraId="3E652D1A" w14:textId="33F3641D" w:rsidR="003633FA" w:rsidRDefault="003633FA" w:rsidP="003633FA">
      <w:pPr>
        <w:pStyle w:val="Caption"/>
      </w:pPr>
      <w:bookmarkStart w:id="58" w:name="_Toc239615519"/>
      <w:r>
        <w:t xml:space="preserve">Table </w:t>
      </w:r>
      <w:fldSimple w:instr=" SEQ Table \* ARABIC ">
        <w:r w:rsidR="00E348CF">
          <w:rPr>
            <w:noProof/>
          </w:rPr>
          <w:t>9</w:t>
        </w:r>
      </w:fldSimple>
      <w:r>
        <w:t xml:space="preserve">: </w:t>
      </w:r>
      <w:bookmarkStart w:id="59" w:name="_Toc239524861"/>
      <w:r w:rsidR="00090074">
        <w:t>Spanwise aerodynamic forces, bending moment and pitching moment contributions</w:t>
      </w:r>
      <w:bookmarkEnd w:id="58"/>
      <w:bookmarkEnd w:id="59"/>
    </w:p>
    <w:p w14:paraId="291B24F0" w14:textId="710834DC" w:rsidR="00704DDC" w:rsidRDefault="004F764A" w:rsidP="005A5B3E">
      <w:pPr>
        <w:jc w:val="center"/>
      </w:pPr>
      <w:r w:rsidRPr="004F764A">
        <w:rPr>
          <w:noProof/>
        </w:rPr>
        <w:drawing>
          <wp:inline distT="0" distB="0" distL="0" distR="0" wp14:anchorId="62E0BF20" wp14:editId="545819D6">
            <wp:extent cx="5731510" cy="1189990"/>
            <wp:effectExtent l="0" t="0" r="0" b="3810"/>
            <wp:docPr id="146765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65751" name=""/>
                    <pic:cNvPicPr/>
                  </pic:nvPicPr>
                  <pic:blipFill>
                    <a:blip r:embed="rId23"/>
                    <a:stretch>
                      <a:fillRect/>
                    </a:stretch>
                  </pic:blipFill>
                  <pic:spPr>
                    <a:xfrm>
                      <a:off x="0" y="0"/>
                      <a:ext cx="5731510" cy="1189990"/>
                    </a:xfrm>
                    <a:prstGeom prst="rect">
                      <a:avLst/>
                    </a:prstGeom>
                  </pic:spPr>
                </pic:pic>
              </a:graphicData>
            </a:graphic>
          </wp:inline>
        </w:drawing>
      </w:r>
    </w:p>
    <w:p w14:paraId="1DBE643D" w14:textId="77777777" w:rsidR="00500B01" w:rsidRDefault="00500B01" w:rsidP="00B575DB">
      <w:pPr>
        <w:pStyle w:val="Caption"/>
      </w:pPr>
    </w:p>
    <w:p w14:paraId="162899A4" w14:textId="77777777" w:rsidR="00500B01" w:rsidRDefault="00500B01" w:rsidP="00500B01">
      <w:pPr>
        <w:spacing w:after="160"/>
        <w:jc w:val="both"/>
      </w:pPr>
      <w:r w:rsidRPr="00500B01">
        <w:t>The resulting root bending stress was calculated using:</w:t>
      </w:r>
    </w:p>
    <w:p w14:paraId="2E9AEC3D" w14:textId="77777777" w:rsidR="00500B01" w:rsidRDefault="00500B01" w:rsidP="00500B01">
      <w:pPr>
        <w:spacing w:before="180" w:after="220"/>
        <w:jc w:val="center"/>
      </w:pPr>
      <m:oMathPara>
        <m:oMath>
          <m:r>
            <w:rPr>
              <w:rFonts w:ascii="Cambria Math" w:hAnsi="Cambria Math"/>
            </w:rPr>
            <w:lastRenderedPageBreak/>
            <m:t>σ=</m:t>
          </m:r>
          <m:f>
            <m:fPr>
              <m:ctrlPr>
                <w:rPr>
                  <w:rFonts w:ascii="Cambria Math" w:hAnsi="Cambria Math"/>
                </w:rPr>
              </m:ctrlPr>
            </m:fPr>
            <m:num>
              <m:sSub>
                <m:sSubPr>
                  <m:ctrlPr>
                    <w:rPr>
                      <w:rFonts w:ascii="Cambria Math" w:hAnsi="Cambria Math"/>
                    </w:rPr>
                  </m:ctrlPr>
                </m:sSubPr>
                <m:e>
                  <m:r>
                    <w:rPr>
                      <w:rFonts w:ascii="Cambria Math" w:hAnsi="Cambria Math"/>
                    </w:rPr>
                    <m:t>M</m:t>
                  </m:r>
                </m:e>
                <m:sub>
                  <m:r>
                    <w:rPr>
                      <w:rFonts w:ascii="Cambria Math" w:hAnsi="Cambria Math"/>
                    </w:rPr>
                    <m:t>root</m:t>
                  </m:r>
                </m:sub>
              </m:sSub>
            </m:num>
            <m:den>
              <m:r>
                <w:rPr>
                  <w:rFonts w:ascii="Cambria Math" w:hAnsi="Cambria Math"/>
                </w:rPr>
                <m:t>Z</m:t>
              </m:r>
            </m:den>
          </m:f>
        </m:oMath>
      </m:oMathPara>
    </w:p>
    <w:p w14:paraId="0865BAD4" w14:textId="77777777" w:rsidR="00500B01" w:rsidRDefault="00500B01" w:rsidP="00500B01">
      <w:pPr>
        <w:spacing w:after="160" w:line="276" w:lineRule="auto"/>
        <w:jc w:val="both"/>
      </w:pPr>
      <w:r w:rsidRPr="00500B01">
        <w:t>where</w:t>
      </w:r>
      <w:r>
        <w:rPr>
          <w:rFonts w:ascii="Times New Roman" w:eastAsia="Times New Roman" w:hAnsi="Times New Roman" w:cs="Times New Roman"/>
        </w:rPr>
        <w:t xml:space="preserve"> </w:t>
      </w:r>
      <w:r>
        <w:rPr>
          <w:rFonts w:ascii="Times New Roman" w:eastAsia="Times New Roman" w:hAnsi="Times New Roman" w:cs="Times New Roman"/>
          <w:i/>
          <w:iCs/>
        </w:rPr>
        <w:t>Z</w:t>
      </w:r>
      <w:r>
        <w:rPr>
          <w:rFonts w:ascii="Times New Roman" w:eastAsia="Times New Roman" w:hAnsi="Times New Roman" w:cs="Times New Roman"/>
        </w:rPr>
        <w:t xml:space="preserve"> = 0.024289 m</w:t>
      </w:r>
      <w:r>
        <w:rPr>
          <w:rFonts w:ascii="Times New Roman" w:eastAsia="Times New Roman" w:hAnsi="Times New Roman" w:cs="Times New Roman"/>
          <w:vertAlign w:val="superscript"/>
        </w:rPr>
        <w:t>3</w:t>
      </w:r>
      <w:r>
        <w:rPr>
          <w:rFonts w:ascii="Times New Roman" w:eastAsia="Times New Roman" w:hAnsi="Times New Roman" w:cs="Times New Roman"/>
        </w:rPr>
        <w:t xml:space="preserve"> </w:t>
      </w:r>
      <w:r w:rsidRPr="00500B01">
        <w:t>is the root section modulus. Therefore:</w:t>
      </w:r>
    </w:p>
    <w:p w14:paraId="41BD0240" w14:textId="77777777" w:rsidR="00500B01" w:rsidRDefault="00500B01" w:rsidP="00500B01">
      <w:pPr>
        <w:spacing w:before="180" w:after="220"/>
        <w:jc w:val="center"/>
      </w:pPr>
      <m:oMathPara>
        <m:oMath>
          <m:r>
            <w:rPr>
              <w:rFonts w:ascii="Cambria Math" w:hAnsi="Cambria Math"/>
            </w:rPr>
            <m:t>σ=</m:t>
          </m:r>
          <m:f>
            <m:fPr>
              <m:ctrlPr>
                <w:rPr>
                  <w:rFonts w:ascii="Cambria Math" w:hAnsi="Cambria Math"/>
                </w:rPr>
              </m:ctrlPr>
            </m:fPr>
            <m:num>
              <m:r>
                <w:rPr>
                  <w:rFonts w:ascii="Cambria Math" w:hAnsi="Cambria Math"/>
                </w:rPr>
                <m:t>2.492×</m:t>
              </m:r>
              <m:sSup>
                <m:sSupPr>
                  <m:ctrlPr>
                    <w:rPr>
                      <w:rFonts w:ascii="Cambria Math" w:hAnsi="Cambria Math"/>
                    </w:rPr>
                  </m:ctrlPr>
                </m:sSupPr>
                <m:e>
                  <m:r>
                    <w:rPr>
                      <w:rFonts w:ascii="Cambria Math" w:hAnsi="Cambria Math"/>
                    </w:rPr>
                    <m:t>10</m:t>
                  </m:r>
                </m:e>
                <m:sup>
                  <m:r>
                    <w:rPr>
                      <w:rFonts w:ascii="Cambria Math" w:hAnsi="Cambria Math"/>
                    </w:rPr>
                    <m:t>6</m:t>
                  </m:r>
                </m:sup>
              </m:sSup>
            </m:num>
            <m:den>
              <m:r>
                <w:rPr>
                  <w:rFonts w:ascii="Cambria Math" w:hAnsi="Cambria Math"/>
                </w:rPr>
                <m:t>0.024289</m:t>
              </m:r>
            </m:den>
          </m:f>
          <m:r>
            <w:rPr>
              <w:rFonts w:ascii="Cambria Math" w:hAnsi="Cambria Math"/>
            </w:rPr>
            <m:t>=102.61 MPa</m:t>
          </m:r>
        </m:oMath>
      </m:oMathPara>
    </w:p>
    <w:p w14:paraId="0B0C23AD" w14:textId="6958561F" w:rsidR="00500B01" w:rsidRDefault="00500B01" w:rsidP="00240482">
      <w:pPr>
        <w:spacing w:after="160"/>
      </w:pPr>
      <w:r w:rsidRPr="00500B01">
        <w:t>The</w:t>
      </w:r>
      <w:r w:rsidR="00240482">
        <w:t xml:space="preserve"> </w:t>
      </w:r>
      <w:r w:rsidRPr="00500B01">
        <w:t>calculated stress was compared with the material strength used for each</w:t>
      </w:r>
      <w:r w:rsidR="00240482">
        <w:t xml:space="preserve"> </w:t>
      </w:r>
      <w:r w:rsidRPr="00500B01">
        <w:t>candidate. The safety factor was calculated from:</w:t>
      </w:r>
    </w:p>
    <w:p w14:paraId="60049F23" w14:textId="77777777" w:rsidR="00990FAC" w:rsidRPr="003633FA" w:rsidRDefault="00990FAC" w:rsidP="00990FAC">
      <w:pPr>
        <w:spacing w:before="180" w:after="220"/>
        <w:jc w:val="center"/>
      </w:pPr>
      <m:oMathPara>
        <m:oMath>
          <m:r>
            <w:rPr>
              <w:rFonts w:ascii="Cambria Math" w:hAnsi="Cambria Math"/>
            </w:rPr>
            <m:t>SF=</m:t>
          </m:r>
          <m:f>
            <m:fPr>
              <m:ctrlPr>
                <w:rPr>
                  <w:rFonts w:ascii="Cambria Math" w:hAnsi="Cambria Math"/>
                </w:rPr>
              </m:ctrlPr>
            </m:fPr>
            <m:num>
              <m:r>
                <w:rPr>
                  <w:rFonts w:ascii="Cambria Math" w:hAnsi="Cambria Math"/>
                </w:rPr>
                <m:t>material strength</m:t>
              </m:r>
            </m:num>
            <m:den>
              <m:r>
                <w:rPr>
                  <w:rFonts w:ascii="Cambria Math" w:hAnsi="Cambria Math"/>
                </w:rPr>
                <m:t>σ</m:t>
              </m:r>
            </m:den>
          </m:f>
        </m:oMath>
      </m:oMathPara>
    </w:p>
    <w:p w14:paraId="72917C1D" w14:textId="77777777" w:rsidR="003633FA" w:rsidRPr="003633FA" w:rsidRDefault="003633FA" w:rsidP="00990FAC">
      <w:pPr>
        <w:spacing w:before="180" w:after="220"/>
        <w:jc w:val="center"/>
      </w:pPr>
    </w:p>
    <w:p w14:paraId="26F90691" w14:textId="7660F147" w:rsidR="003633FA" w:rsidRPr="00425ED5" w:rsidRDefault="003633FA" w:rsidP="003633FA">
      <w:pPr>
        <w:pStyle w:val="Caption"/>
      </w:pPr>
      <w:bookmarkStart w:id="60" w:name="_Toc239615520"/>
      <w:r>
        <w:t xml:space="preserve">Table </w:t>
      </w:r>
      <w:fldSimple w:instr=" SEQ Table \* ARABIC ">
        <w:r w:rsidR="00E348CF">
          <w:rPr>
            <w:noProof/>
          </w:rPr>
          <w:t>10</w:t>
        </w:r>
      </w:fldSimple>
      <w:r>
        <w:t xml:space="preserve">: </w:t>
      </w:r>
      <w:bookmarkStart w:id="61" w:name="_Toc239516306"/>
      <w:bookmarkStart w:id="62" w:name="_Toc239524862"/>
      <w:r>
        <w:t>Material strength and calculated safety factors at the blade root.</w:t>
      </w:r>
      <w:bookmarkEnd w:id="60"/>
      <w:bookmarkEnd w:id="61"/>
      <w:bookmarkEnd w:id="62"/>
    </w:p>
    <w:p w14:paraId="11988E93" w14:textId="28BEEF28" w:rsidR="00425ED5" w:rsidRDefault="00425ED5" w:rsidP="00990FAC">
      <w:pPr>
        <w:spacing w:before="180" w:after="220"/>
        <w:jc w:val="center"/>
      </w:pPr>
      <w:r w:rsidRPr="00425ED5">
        <w:rPr>
          <w:noProof/>
        </w:rPr>
        <w:drawing>
          <wp:inline distT="0" distB="0" distL="0" distR="0" wp14:anchorId="3FE98A41" wp14:editId="7D69A658">
            <wp:extent cx="4762500" cy="1270000"/>
            <wp:effectExtent l="0" t="0" r="0" b="0"/>
            <wp:docPr id="199631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13504" name=""/>
                    <pic:cNvPicPr/>
                  </pic:nvPicPr>
                  <pic:blipFill>
                    <a:blip r:embed="rId24"/>
                    <a:stretch>
                      <a:fillRect/>
                    </a:stretch>
                  </pic:blipFill>
                  <pic:spPr>
                    <a:xfrm>
                      <a:off x="0" y="0"/>
                      <a:ext cx="4762500" cy="1270000"/>
                    </a:xfrm>
                    <a:prstGeom prst="rect">
                      <a:avLst/>
                    </a:prstGeom>
                  </pic:spPr>
                </pic:pic>
              </a:graphicData>
            </a:graphic>
          </wp:inline>
        </w:drawing>
      </w:r>
    </w:p>
    <w:p w14:paraId="35692611" w14:textId="3D427B6C" w:rsidR="00240482" w:rsidRDefault="00240482" w:rsidP="00240482">
      <w:pPr>
        <w:spacing w:after="160"/>
      </w:pPr>
      <w:r w:rsidRPr="00240482">
        <w:t>The resulting safety factors were 3.31 for aluminium 6082-T6, 3.90 for SiC and 12.08 for E-glass/epoxy GFRP. GFRP therefore provided the greatest tensile strength margin under the simplified bending condition.</w:t>
      </w:r>
    </w:p>
    <w:p w14:paraId="0EA03922" w14:textId="3FFC5BD1" w:rsidR="00F14CB7" w:rsidRDefault="00D274F4" w:rsidP="00240482">
      <w:pPr>
        <w:spacing w:after="160"/>
      </w:pPr>
      <w:r>
        <w:t xml:space="preserve">Torsional loading </w:t>
      </w:r>
    </w:p>
    <w:p w14:paraId="046C923C" w14:textId="77777777" w:rsidR="00473D10" w:rsidRDefault="00473D10" w:rsidP="00473D10">
      <w:pPr>
        <w:spacing w:after="160"/>
      </w:pPr>
      <w:r w:rsidRPr="00473D10">
        <w:t>Aerodynamic torsion was estimated from the pitching moment of the NACA 4412 aerofoil:</w:t>
      </w:r>
    </w:p>
    <w:p w14:paraId="5432C277" w14:textId="77777777" w:rsidR="00473D10" w:rsidRDefault="00473D10" w:rsidP="00473D10">
      <w:pPr>
        <w:spacing w:before="180" w:after="180"/>
        <w:jc w:val="center"/>
      </w:pPr>
      <m:oMathPara>
        <m:oMathParaPr>
          <m:jc m:val="center"/>
        </m:oMathParaPr>
        <m:oMath>
          <m:r>
            <w:rPr>
              <w:rFonts w:ascii="Cambria Math" w:hAnsi="Cambria Math"/>
            </w:rPr>
            <m:t xml:space="preserve">dM = </m:t>
          </m:r>
          <m:f>
            <m:fPr>
              <m:ctrlPr>
                <w:rPr>
                  <w:rFonts w:ascii="Cambria Math" w:hAnsi="Cambria Math"/>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rPr>
              </m:ctrlPr>
            </m:sSupPr>
            <m:e>
              <m:r>
                <w:rPr>
                  <w:rFonts w:ascii="Cambria Math" w:hAnsi="Cambria Math"/>
                </w:rPr>
                <m:t>W</m:t>
              </m:r>
            </m:e>
            <m:sup>
              <m:r>
                <w:rPr>
                  <w:rFonts w:ascii="Cambria Math" w:hAnsi="Cambria Math"/>
                </w:rPr>
                <m:t>2</m:t>
              </m:r>
            </m:sup>
          </m:sSup>
          <m:sSup>
            <m:sSupPr>
              <m:ctrlPr>
                <w:rPr>
                  <w:rFonts w:ascii="Cambria Math" w:hAnsi="Cambria Math"/>
                </w:rPr>
              </m:ctrlPr>
            </m:sSupPr>
            <m:e>
              <m:r>
                <w:rPr>
                  <w:rFonts w:ascii="Cambria Math" w:hAnsi="Cambria Math"/>
                </w:rPr>
                <m:t>c</m:t>
              </m:r>
            </m:e>
            <m:sup>
              <m:r>
                <w:rPr>
                  <w:rFonts w:ascii="Cambria Math" w:hAnsi="Cambria Math"/>
                </w:rPr>
                <m:t>2</m:t>
              </m:r>
            </m:sup>
          </m:sSup>
          <m:sSub>
            <m:sSubPr>
              <m:ctrlPr>
                <w:rPr>
                  <w:rFonts w:ascii="Cambria Math" w:hAnsi="Cambria Math"/>
                </w:rPr>
              </m:ctrlPr>
            </m:sSubPr>
            <m:e>
              <m:r>
                <w:rPr>
                  <w:rFonts w:ascii="Cambria Math" w:hAnsi="Cambria Math"/>
                </w:rPr>
                <m:t>C</m:t>
              </m:r>
            </m:e>
            <m:sub>
              <m:r>
                <w:rPr>
                  <w:rFonts w:ascii="Cambria Math" w:hAnsi="Cambria Math"/>
                </w:rPr>
                <m:t>m</m:t>
              </m:r>
            </m:sub>
          </m:sSub>
          <m:r>
            <w:rPr>
              <w:rFonts w:ascii="Cambria Math" w:hAnsi="Cambria Math"/>
            </w:rPr>
            <m:t xml:space="preserve"> dr</m:t>
          </m:r>
        </m:oMath>
      </m:oMathPara>
    </w:p>
    <w:p w14:paraId="3A5B31B0" w14:textId="58CC17A7" w:rsidR="00473D10" w:rsidRDefault="00473D10" w:rsidP="00473D10">
      <w:pPr>
        <w:spacing w:after="160"/>
      </w:pPr>
      <w:r w:rsidRPr="00473D10">
        <w:t>where</w:t>
      </w:r>
      <w:r>
        <w:rPr>
          <w:rFonts w:ascii="Calibri" w:eastAsia="Calibri" w:hAnsi="Calibri" w:cs="Calibri"/>
          <w:sz w:val="22"/>
          <w:szCs w:val="22"/>
        </w:rPr>
        <w:t xml:space="preserve"> </w:t>
      </w:r>
      <w:r>
        <w:rPr>
          <w:rFonts w:ascii="Calibri" w:eastAsia="Calibri" w:hAnsi="Calibri" w:cs="Calibri"/>
          <w:i/>
          <w:iCs/>
          <w:sz w:val="22"/>
          <w:szCs w:val="22"/>
        </w:rPr>
        <w:t>C</w:t>
      </w:r>
      <w:r>
        <w:rPr>
          <w:rFonts w:ascii="Calibri" w:eastAsia="Calibri" w:hAnsi="Calibri" w:cs="Calibri"/>
          <w:i/>
          <w:iCs/>
          <w:sz w:val="22"/>
          <w:szCs w:val="22"/>
          <w:vertAlign w:val="subscript"/>
        </w:rPr>
        <w:t>m</w:t>
      </w:r>
      <w:r>
        <w:rPr>
          <w:rFonts w:ascii="Calibri" w:eastAsia="Calibri" w:hAnsi="Calibri" w:cs="Calibri"/>
          <w:sz w:val="22"/>
          <w:szCs w:val="22"/>
        </w:rPr>
        <w:t xml:space="preserve"> </w:t>
      </w:r>
      <w:r w:rsidRPr="00473D10">
        <w:t>is the quarter-chord pitching moment coefficient. A value of</w:t>
      </w:r>
      <w:r>
        <w:rPr>
          <w:rFonts w:ascii="Calibri" w:eastAsia="Calibri" w:hAnsi="Calibri" w:cs="Calibri"/>
          <w:sz w:val="22"/>
          <w:szCs w:val="22"/>
        </w:rPr>
        <w:t xml:space="preserve"> </w:t>
      </w:r>
      <w:r>
        <w:rPr>
          <w:rFonts w:ascii="Calibri" w:eastAsia="Calibri" w:hAnsi="Calibri" w:cs="Calibri"/>
          <w:i/>
          <w:iCs/>
          <w:sz w:val="22"/>
          <w:szCs w:val="22"/>
        </w:rPr>
        <w:t>C</w:t>
      </w:r>
      <w:r>
        <w:rPr>
          <w:rFonts w:ascii="Calibri" w:eastAsia="Calibri" w:hAnsi="Calibri" w:cs="Calibri"/>
          <w:i/>
          <w:iCs/>
          <w:sz w:val="22"/>
          <w:szCs w:val="22"/>
          <w:vertAlign w:val="subscript"/>
        </w:rPr>
        <w:t>m</w:t>
      </w:r>
      <w:r>
        <w:rPr>
          <w:rFonts w:ascii="Calibri" w:eastAsia="Calibri" w:hAnsi="Calibri" w:cs="Calibri"/>
          <w:sz w:val="22"/>
          <w:szCs w:val="22"/>
        </w:rPr>
        <w:t xml:space="preserve"> = −0.09 </w:t>
      </w:r>
      <w:r w:rsidRPr="00473D10">
        <w:t>was used for NACA 4412</w:t>
      </w:r>
      <w:r>
        <w:rPr>
          <w:rFonts w:ascii="Calibri" w:eastAsia="Calibri" w:hAnsi="Calibri" w:cs="Calibri"/>
          <w:sz w:val="22"/>
          <w:szCs w:val="22"/>
        </w:rPr>
        <w:t xml:space="preserve">. </w:t>
      </w:r>
      <w:r w:rsidRPr="00473D10">
        <w:t>The section moments were summed to give a root torque of:</w:t>
      </w:r>
    </w:p>
    <w:p w14:paraId="578DFA56" w14:textId="77777777" w:rsidR="00473D10" w:rsidRDefault="00473D10" w:rsidP="00473D10">
      <w:pPr>
        <w:spacing w:before="180" w:after="180"/>
        <w:jc w:val="center"/>
      </w:pPr>
      <m:oMathPara>
        <m:oMathParaPr>
          <m:jc m:val="center"/>
        </m:oMathParaPr>
        <m:oMath>
          <m:r>
            <w:rPr>
              <w:rFonts w:ascii="Cambria Math" w:hAnsi="Cambria Math"/>
            </w:rPr>
            <m:t xml:space="preserve">T = </m:t>
          </m:r>
          <m:nary>
            <m:naryPr>
              <m:chr m:val="∑"/>
              <m:limLoc m:val="undOvr"/>
              <m:subHide m:val="1"/>
              <m:supHide m:val="1"/>
              <m:ctrlPr>
                <w:rPr>
                  <w:rFonts w:ascii="Cambria Math" w:hAnsi="Cambria Math"/>
                </w:rPr>
              </m:ctrlPr>
            </m:naryPr>
            <m:sub/>
            <m:sup/>
            <m:e>
              <m:r>
                <w:rPr>
                  <w:rFonts w:ascii="Cambria Math" w:hAnsi="Cambria Math"/>
                </w:rPr>
                <m:t>dM</m:t>
              </m:r>
            </m:e>
          </m:nary>
          <m:r>
            <w:rPr>
              <w:rFonts w:ascii="Cambria Math" w:hAnsi="Cambria Math"/>
            </w:rPr>
            <m:t xml:space="preserve"> = 12.33 kN·m</m:t>
          </m:r>
        </m:oMath>
      </m:oMathPara>
    </w:p>
    <w:p w14:paraId="7CC9A76E" w14:textId="77777777" w:rsidR="00473D10" w:rsidRDefault="00473D10" w:rsidP="00473D10">
      <w:pPr>
        <w:spacing w:after="160"/>
      </w:pPr>
      <w:r w:rsidRPr="00473D10">
        <w:t>Torsional shear stress was calculated using the Bredt–Batho relationship:</w:t>
      </w:r>
    </w:p>
    <w:p w14:paraId="5F292045" w14:textId="77777777" w:rsidR="00473D10" w:rsidRDefault="00473D10" w:rsidP="00473D10">
      <w:pPr>
        <w:spacing w:before="180" w:after="180"/>
        <w:jc w:val="center"/>
      </w:pPr>
      <m:oMathPara>
        <m:oMathParaPr>
          <m:jc m:val="center"/>
        </m:oMathParaPr>
        <m:oMath>
          <m:r>
            <w:rPr>
              <w:rFonts w:ascii="Cambria Math" w:hAnsi="Cambria Math"/>
            </w:rPr>
            <w:lastRenderedPageBreak/>
            <m:t xml:space="preserve">τ = </m:t>
          </m:r>
          <m:f>
            <m:fPr>
              <m:ctrlPr>
                <w:rPr>
                  <w:rFonts w:ascii="Cambria Math" w:hAnsi="Cambria Math"/>
                </w:rPr>
              </m:ctrlPr>
            </m:fPr>
            <m:num>
              <m:r>
                <w:rPr>
                  <w:rFonts w:ascii="Cambria Math" w:hAnsi="Cambria Math"/>
                </w:rPr>
                <m:t>T</m:t>
              </m:r>
            </m:num>
            <m:den>
              <m:r>
                <w:rPr>
                  <w:rFonts w:ascii="Cambria Math" w:hAnsi="Cambria Math"/>
                </w:rPr>
                <m:t>2</m:t>
              </m:r>
              <m:sSub>
                <m:sSubPr>
                  <m:ctrlPr>
                    <w:rPr>
                      <w:rFonts w:ascii="Cambria Math" w:hAnsi="Cambria Math"/>
                    </w:rPr>
                  </m:ctrlPr>
                </m:sSubPr>
                <m:e>
                  <m:r>
                    <w:rPr>
                      <w:rFonts w:ascii="Cambria Math" w:hAnsi="Cambria Math"/>
                    </w:rPr>
                    <m:t>A</m:t>
                  </m:r>
                </m:e>
                <m:sub>
                  <m:r>
                    <w:rPr>
                      <w:rFonts w:ascii="Cambria Math" w:hAnsi="Cambria Math"/>
                    </w:rPr>
                    <m:t>m</m:t>
                  </m:r>
                </m:sub>
              </m:sSub>
              <m:r>
                <w:rPr>
                  <w:rFonts w:ascii="Cambria Math" w:hAnsi="Cambria Math"/>
                </w:rPr>
                <m:t>t</m:t>
              </m:r>
            </m:den>
          </m:f>
        </m:oMath>
      </m:oMathPara>
    </w:p>
    <w:p w14:paraId="47C7D3E7" w14:textId="77777777" w:rsidR="00473D10" w:rsidRDefault="00473D10" w:rsidP="00473D10">
      <w:pPr>
        <w:spacing w:after="160"/>
      </w:pPr>
      <w:r w:rsidRPr="00473D10">
        <w:t>The enclosed root area was approximated as:</w:t>
      </w:r>
    </w:p>
    <w:p w14:paraId="581920C7" w14:textId="77777777" w:rsidR="00473D10" w:rsidRDefault="00757A1C" w:rsidP="00473D10">
      <w:pPr>
        <w:spacing w:before="180" w:after="180"/>
        <w:jc w:val="center"/>
      </w:pPr>
      <m:oMathPara>
        <m:oMathParaPr>
          <m:jc m:val="center"/>
        </m:oMathParaPr>
        <m:oMath>
          <m:sSub>
            <m:sSubPr>
              <m:ctrlPr>
                <w:rPr>
                  <w:rFonts w:ascii="Cambria Math" w:hAnsi="Cambria Math"/>
                </w:rPr>
              </m:ctrlPr>
            </m:sSubPr>
            <m:e>
              <m:r>
                <w:rPr>
                  <w:rFonts w:ascii="Cambria Math" w:hAnsi="Cambria Math"/>
                </w:rPr>
                <m:t>A</m:t>
              </m:r>
            </m:e>
            <m:sub>
              <m:r>
                <w:rPr>
                  <w:rFonts w:ascii="Cambria Math" w:hAnsi="Cambria Math"/>
                </w:rPr>
                <m:t>m</m:t>
              </m:r>
            </m:sub>
          </m:sSub>
          <m:r>
            <w:rPr>
              <w:rFonts w:ascii="Cambria Math" w:hAnsi="Cambria Math"/>
            </w:rPr>
            <m:t xml:space="preserve"> ≈ 0.7c</m:t>
          </m:r>
          <m:sSub>
            <m:sSubPr>
              <m:ctrlPr>
                <w:rPr>
                  <w:rFonts w:ascii="Cambria Math" w:hAnsi="Cambria Math"/>
                </w:rPr>
              </m:ctrlPr>
            </m:sSubPr>
            <m:e>
              <m:r>
                <w:rPr>
                  <w:rFonts w:ascii="Cambria Math" w:hAnsi="Cambria Math"/>
                </w:rPr>
                <m:t>t</m:t>
              </m:r>
            </m:e>
            <m:sub>
              <m:r>
                <w:rPr>
                  <w:rFonts w:ascii="Cambria Math" w:hAnsi="Cambria Math"/>
                </w:rPr>
                <m:t>max</m:t>
              </m:r>
            </m:sub>
          </m:sSub>
          <m:r>
            <w:rPr>
              <w:rFonts w:ascii="Cambria Math" w:hAnsi="Cambria Math"/>
            </w:rPr>
            <m:t xml:space="preserve"> = 0.7</m:t>
          </m:r>
          <m:d>
            <m:dPr>
              <m:ctrlPr>
                <w:rPr>
                  <w:rFonts w:ascii="Cambria Math" w:hAnsi="Cambria Math"/>
                </w:rPr>
              </m:ctrlPr>
            </m:dPr>
            <m:e>
              <m:r>
                <w:rPr>
                  <w:rFonts w:ascii="Cambria Math" w:hAnsi="Cambria Math"/>
                </w:rPr>
                <m:t>3.20</m:t>
              </m:r>
            </m:e>
          </m:d>
          <m:d>
            <m:dPr>
              <m:ctrlPr>
                <w:rPr>
                  <w:rFonts w:ascii="Cambria Math" w:hAnsi="Cambria Math"/>
                </w:rPr>
              </m:ctrlPr>
            </m:dPr>
            <m:e>
              <m:r>
                <w:rPr>
                  <w:rFonts w:ascii="Cambria Math" w:hAnsi="Cambria Math"/>
                </w:rPr>
                <m:t>0.384</m:t>
              </m:r>
            </m:e>
          </m:d>
          <m:r>
            <w:rPr>
              <w:rFonts w:ascii="Cambria Math" w:hAnsi="Cambria Math"/>
            </w:rPr>
            <m:t xml:space="preserve"> = 0.86 </m:t>
          </m:r>
          <m:sSup>
            <m:sSupPr>
              <m:ctrlPr>
                <w:rPr>
                  <w:rFonts w:ascii="Cambria Math" w:hAnsi="Cambria Math"/>
                </w:rPr>
              </m:ctrlPr>
            </m:sSupPr>
            <m:e>
              <m:r>
                <w:rPr>
                  <w:rFonts w:ascii="Cambria Math" w:hAnsi="Cambria Math"/>
                </w:rPr>
                <m:t>m</m:t>
              </m:r>
            </m:e>
            <m:sup>
              <m:r>
                <w:rPr>
                  <w:rFonts w:ascii="Cambria Math" w:hAnsi="Cambria Math"/>
                </w:rPr>
                <m:t>2</m:t>
              </m:r>
            </m:sup>
          </m:sSup>
        </m:oMath>
      </m:oMathPara>
    </w:p>
    <w:p w14:paraId="570B66A8" w14:textId="77777777" w:rsidR="00473D10" w:rsidRDefault="00473D10" w:rsidP="00473D10">
      <w:pPr>
        <w:spacing w:after="160"/>
      </w:pPr>
      <w:r w:rsidRPr="00473D10">
        <w:t>where the factor 0.7 accounts for the aerofoil shape. Using the assumed shell thickness of 0.04 m:</w:t>
      </w:r>
    </w:p>
    <w:p w14:paraId="6B6E183D" w14:textId="77777777" w:rsidR="00473D10" w:rsidRDefault="00473D10" w:rsidP="00473D10">
      <w:pPr>
        <w:spacing w:before="180" w:after="180"/>
        <w:jc w:val="center"/>
      </w:pPr>
      <m:oMathPara>
        <m:oMathParaPr>
          <m:jc m:val="center"/>
        </m:oMathParaPr>
        <m:oMath>
          <m:r>
            <w:rPr>
              <w:rFonts w:ascii="Cambria Math" w:hAnsi="Cambria Math"/>
            </w:rPr>
            <m:t xml:space="preserve">τ = </m:t>
          </m:r>
          <m:f>
            <m:fPr>
              <m:ctrlPr>
                <w:rPr>
                  <w:rFonts w:ascii="Cambria Math" w:hAnsi="Cambria Math"/>
                </w:rPr>
              </m:ctrlPr>
            </m:fPr>
            <m:num>
              <m:r>
                <w:rPr>
                  <w:rFonts w:ascii="Cambria Math" w:hAnsi="Cambria Math"/>
                </w:rPr>
                <m:t>12,330</m:t>
              </m:r>
            </m:num>
            <m:den>
              <m:r>
                <w:rPr>
                  <w:rFonts w:ascii="Cambria Math" w:hAnsi="Cambria Math"/>
                </w:rPr>
                <m:t>2</m:t>
              </m:r>
              <m:d>
                <m:dPr>
                  <m:ctrlPr>
                    <w:rPr>
                      <w:rFonts w:ascii="Cambria Math" w:hAnsi="Cambria Math"/>
                    </w:rPr>
                  </m:ctrlPr>
                </m:dPr>
                <m:e>
                  <m:r>
                    <w:rPr>
                      <w:rFonts w:ascii="Cambria Math" w:hAnsi="Cambria Math"/>
                    </w:rPr>
                    <m:t>0.86</m:t>
                  </m:r>
                </m:e>
              </m:d>
              <m:d>
                <m:dPr>
                  <m:ctrlPr>
                    <w:rPr>
                      <w:rFonts w:ascii="Cambria Math" w:hAnsi="Cambria Math"/>
                    </w:rPr>
                  </m:ctrlPr>
                </m:dPr>
                <m:e>
                  <m:r>
                    <w:rPr>
                      <w:rFonts w:ascii="Cambria Math" w:hAnsi="Cambria Math"/>
                    </w:rPr>
                    <m:t>0.04</m:t>
                  </m:r>
                </m:e>
              </m:d>
            </m:den>
          </m:f>
          <m:r>
            <w:rPr>
              <w:rFonts w:ascii="Cambria Math" w:hAnsi="Cambria Math"/>
            </w:rPr>
            <m:t xml:space="preserve"> = 0.18 MPa</m:t>
          </m:r>
        </m:oMath>
      </m:oMathPara>
    </w:p>
    <w:p w14:paraId="79A4DADC" w14:textId="77777777" w:rsidR="00473D10" w:rsidRDefault="00473D10" w:rsidP="00473D10">
      <w:pPr>
        <w:spacing w:after="160"/>
      </w:pPr>
      <w:r w:rsidRPr="00473D10">
        <w:t>Using a GFRP in-plane shear strength of 55.8 MPa (Samborsky, Mandell and Agastra, 2012):</w:t>
      </w:r>
    </w:p>
    <w:p w14:paraId="446D301E" w14:textId="77777777" w:rsidR="00473D10" w:rsidRPr="00E348CF" w:rsidRDefault="00473D10" w:rsidP="00473D10">
      <w:pPr>
        <w:spacing w:before="180" w:after="180"/>
        <w:jc w:val="center"/>
      </w:pPr>
      <m:oMathPara>
        <m:oMathParaPr>
          <m:jc m:val="center"/>
        </m:oMathParaPr>
        <m:oMath>
          <m:r>
            <w:rPr>
              <w:rFonts w:ascii="Cambria Math" w:hAnsi="Cambria Math"/>
            </w:rPr>
            <m:t xml:space="preserve">SF = </m:t>
          </m:r>
          <m:f>
            <m:fPr>
              <m:ctrlPr>
                <w:rPr>
                  <w:rFonts w:ascii="Cambria Math" w:hAnsi="Cambria Math"/>
                </w:rPr>
              </m:ctrlPr>
            </m:fPr>
            <m:num>
              <m:r>
                <w:rPr>
                  <w:rFonts w:ascii="Cambria Math" w:hAnsi="Cambria Math"/>
                </w:rPr>
                <m:t>55.8</m:t>
              </m:r>
            </m:num>
            <m:den>
              <m:r>
                <w:rPr>
                  <w:rFonts w:ascii="Cambria Math" w:hAnsi="Cambria Math"/>
                </w:rPr>
                <m:t>0.18</m:t>
              </m:r>
            </m:den>
          </m:f>
          <m:r>
            <w:rPr>
              <w:rFonts w:ascii="Cambria Math" w:hAnsi="Cambria Math"/>
            </w:rPr>
            <m:t xml:space="preserve"> = 311</m:t>
          </m:r>
        </m:oMath>
      </m:oMathPara>
    </w:p>
    <w:p w14:paraId="5671117E" w14:textId="77777777" w:rsidR="00E348CF" w:rsidRDefault="00E348CF" w:rsidP="00473D10">
      <w:pPr>
        <w:spacing w:before="180" w:after="180"/>
        <w:jc w:val="center"/>
      </w:pPr>
    </w:p>
    <w:p w14:paraId="327BA3D0" w14:textId="39C032A4" w:rsidR="00E348CF" w:rsidRPr="00E348CF" w:rsidRDefault="00E348CF" w:rsidP="00E348CF">
      <w:pPr>
        <w:pStyle w:val="Caption"/>
      </w:pPr>
      <w:bookmarkStart w:id="63" w:name="_Toc239615521"/>
      <w:r>
        <w:t xml:space="preserve">Table </w:t>
      </w:r>
      <w:fldSimple w:instr=" SEQ Table \* ARABIC ">
        <w:r>
          <w:rPr>
            <w:noProof/>
          </w:rPr>
          <w:t>11</w:t>
        </w:r>
      </w:fldSimple>
      <w:r>
        <w:t xml:space="preserve">: </w:t>
      </w:r>
      <w:bookmarkStart w:id="64" w:name="_Toc239524863"/>
      <w:r>
        <w:t>Root torsional shear stress and calculated safety factor</w:t>
      </w:r>
      <w:bookmarkEnd w:id="63"/>
      <w:bookmarkEnd w:id="64"/>
    </w:p>
    <w:p w14:paraId="177DFC0D" w14:textId="4E65D620" w:rsidR="00E348CF" w:rsidRDefault="00E348CF" w:rsidP="00473D10">
      <w:pPr>
        <w:spacing w:before="180" w:after="180"/>
        <w:jc w:val="center"/>
      </w:pPr>
      <w:r w:rsidRPr="00E348CF">
        <w:rPr>
          <w:noProof/>
        </w:rPr>
        <w:drawing>
          <wp:inline distT="0" distB="0" distL="0" distR="0" wp14:anchorId="33D479CB" wp14:editId="7951375C">
            <wp:extent cx="3733800" cy="990600"/>
            <wp:effectExtent l="0" t="0" r="0" b="0"/>
            <wp:docPr id="585607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607249" name=""/>
                    <pic:cNvPicPr/>
                  </pic:nvPicPr>
                  <pic:blipFill>
                    <a:blip r:embed="rId25"/>
                    <a:stretch>
                      <a:fillRect/>
                    </a:stretch>
                  </pic:blipFill>
                  <pic:spPr>
                    <a:xfrm>
                      <a:off x="0" y="0"/>
                      <a:ext cx="3733800" cy="990600"/>
                    </a:xfrm>
                    <a:prstGeom prst="rect">
                      <a:avLst/>
                    </a:prstGeom>
                  </pic:spPr>
                </pic:pic>
              </a:graphicData>
            </a:graphic>
          </wp:inline>
        </w:drawing>
      </w:r>
    </w:p>
    <w:p w14:paraId="799F863C" w14:textId="054EF773" w:rsidR="00D274F4" w:rsidRDefault="00587ED6" w:rsidP="00240482">
      <w:pPr>
        <w:spacing w:after="160"/>
      </w:pPr>
      <w:r w:rsidRPr="00587ED6">
        <w:t>The calculated torsional stress is substantially below the GFRP shear strength. Flapwise bending therefore remains the dominant load in this simplified analysis.</w:t>
      </w:r>
    </w:p>
    <w:p w14:paraId="0550398D" w14:textId="77777777" w:rsidR="0071216D" w:rsidRDefault="0071216D" w:rsidP="00FB6494">
      <w:pPr>
        <w:pStyle w:val="Heading2"/>
      </w:pPr>
    </w:p>
    <w:p w14:paraId="69E71F18" w14:textId="77777777" w:rsidR="0071216D" w:rsidRDefault="0071216D">
      <w:pPr>
        <w:spacing w:after="160" w:line="278" w:lineRule="auto"/>
        <w:rPr>
          <w:rFonts w:asciiTheme="majorHAnsi" w:eastAsiaTheme="majorEastAsia" w:hAnsiTheme="majorHAnsi" w:cstheme="majorBidi"/>
          <w:color w:val="0F4761" w:themeColor="accent1" w:themeShade="BF"/>
          <w:sz w:val="32"/>
          <w:szCs w:val="32"/>
        </w:rPr>
      </w:pPr>
      <w:r>
        <w:br w:type="page"/>
      </w:r>
    </w:p>
    <w:p w14:paraId="7C7A6523" w14:textId="4E0CBB17" w:rsidR="001F1D8C" w:rsidRDefault="001F1D8C" w:rsidP="00FB6494">
      <w:pPr>
        <w:pStyle w:val="Heading2"/>
      </w:pPr>
      <w:bookmarkStart w:id="65" w:name="_Toc239615501"/>
      <w:r>
        <w:lastRenderedPageBreak/>
        <w:t>Appendix C — Cost data</w:t>
      </w:r>
      <w:bookmarkEnd w:id="65"/>
    </w:p>
    <w:p w14:paraId="36271B94" w14:textId="61C8C5E3" w:rsidR="00FB6494" w:rsidRDefault="00FB6494" w:rsidP="005F2F97">
      <w:pPr>
        <w:spacing w:after="160"/>
        <w:jc w:val="both"/>
      </w:pPr>
      <w:r w:rsidRPr="00FB6494">
        <w:t>The blade material volume was estimated using the simplified shell model applied in the</w:t>
      </w:r>
      <w:r w:rsidR="001619BD">
        <w:t xml:space="preserve"> mass cost </w:t>
      </w:r>
      <w:r w:rsidRPr="00FB6494">
        <w:t>worksheet. The volume of each spanwise element was calculated from:</w:t>
      </w:r>
    </w:p>
    <w:p w14:paraId="4E257F7C" w14:textId="77777777" w:rsidR="005F2F97" w:rsidRPr="00924D63" w:rsidRDefault="00757A1C" w:rsidP="005F2F97">
      <w:pPr>
        <w:spacing w:before="180" w:after="220"/>
        <w:jc w:val="center"/>
      </w:pPr>
      <m:oMathPara>
        <m:oMath>
          <m:sSub>
            <m:sSubPr>
              <m:ctrlPr>
                <w:rPr>
                  <w:rFonts w:ascii="Cambria Math" w:hAnsi="Cambria Math"/>
                </w:rPr>
              </m:ctrlPr>
            </m:sSubPr>
            <m:e>
              <m:r>
                <w:rPr>
                  <w:rFonts w:ascii="Cambria Math" w:hAnsi="Cambria Math"/>
                </w:rPr>
                <m:t>V</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p</m:t>
              </m:r>
            </m:sub>
          </m:sSub>
          <m:sSub>
            <m:sSubPr>
              <m:ctrlPr>
                <w:rPr>
                  <w:rFonts w:ascii="Cambria Math" w:hAnsi="Cambria Math"/>
                </w:rPr>
              </m:ctrlPr>
            </m:sSubPr>
            <m:e>
              <m:r>
                <w:rPr>
                  <w:rFonts w:ascii="Cambria Math" w:hAnsi="Cambria Math"/>
                </w:rPr>
                <m:t>c</m:t>
              </m:r>
            </m:e>
            <m:sub>
              <m:r>
                <w:rPr>
                  <w:rFonts w:ascii="Cambria Math" w:hAnsi="Cambria Math"/>
                </w:rPr>
                <m:t>i</m:t>
              </m:r>
            </m:sub>
          </m:sSub>
          <m:r>
            <w:rPr>
              <w:rFonts w:ascii="Cambria Math" w:hAnsi="Cambria Math"/>
            </w:rPr>
            <m:t>t</m:t>
          </m:r>
          <m:sSub>
            <m:sSubPr>
              <m:ctrlPr>
                <w:rPr>
                  <w:rFonts w:ascii="Cambria Math" w:hAnsi="Cambria Math"/>
                </w:rPr>
              </m:ctrlPr>
            </m:sSubPr>
            <m:e>
              <m:r>
                <w:rPr>
                  <w:rFonts w:ascii="Cambria Math" w:hAnsi="Cambria Math"/>
                </w:rPr>
                <m:t>dr</m:t>
              </m:r>
            </m:e>
            <m:sub>
              <m:r>
                <w:rPr>
                  <w:rFonts w:ascii="Cambria Math" w:hAnsi="Cambria Math"/>
                </w:rPr>
                <m:t>i</m:t>
              </m:r>
            </m:sub>
          </m:sSub>
        </m:oMath>
      </m:oMathPara>
    </w:p>
    <w:p w14:paraId="126F0F48" w14:textId="4AD95D71" w:rsidR="006C070D" w:rsidRDefault="006C070D" w:rsidP="000A36DA">
      <w:pPr>
        <w:spacing w:after="160"/>
        <w:jc w:val="both"/>
      </w:pPr>
      <w:r w:rsidRPr="006C070D">
        <w:t>where</w:t>
      </w:r>
      <w:r>
        <w:rPr>
          <w:rFonts w:ascii="Times New Roman" w:eastAsia="Times New Roman" w:hAnsi="Times New Roman" w:cs="Times New Roman"/>
        </w:rPr>
        <w:t xml:space="preserve"> </w:t>
      </w:r>
      <w:r>
        <w:rPr>
          <w:rFonts w:ascii="Times New Roman" w:eastAsia="Times New Roman" w:hAnsi="Times New Roman" w:cs="Times New Roman"/>
          <w:i/>
          <w:iCs/>
        </w:rPr>
        <w:t>k</w:t>
      </w:r>
      <w:r>
        <w:rPr>
          <w:rFonts w:ascii="Times New Roman" w:eastAsia="Times New Roman" w:hAnsi="Times New Roman" w:cs="Times New Roman"/>
          <w:vertAlign w:val="subscript"/>
        </w:rPr>
        <w:t>p</w:t>
      </w:r>
      <w:r>
        <w:rPr>
          <w:rFonts w:ascii="Times New Roman" w:eastAsia="Times New Roman" w:hAnsi="Times New Roman" w:cs="Times New Roman"/>
        </w:rPr>
        <w:t xml:space="preserve"> </w:t>
      </w:r>
      <w:r w:rsidRPr="006C070D">
        <w:t>is the NACA 4412 perimeter factor,</w:t>
      </w:r>
      <w:r>
        <w:rPr>
          <w:rFonts w:ascii="Times New Roman" w:eastAsia="Times New Roman" w:hAnsi="Times New Roman" w:cs="Times New Roman"/>
        </w:rPr>
        <w:t xml:space="preserve"> </w:t>
      </w:r>
      <w:r>
        <w:rPr>
          <w:rFonts w:ascii="Times New Roman" w:eastAsia="Times New Roman" w:hAnsi="Times New Roman" w:cs="Times New Roman"/>
          <w:i/>
          <w:iCs/>
        </w:rPr>
        <w:t>c</w:t>
      </w:r>
      <w:r>
        <w:rPr>
          <w:rFonts w:ascii="Times New Roman" w:eastAsia="Times New Roman" w:hAnsi="Times New Roman" w:cs="Times New Roman"/>
          <w:vertAlign w:val="subscript"/>
        </w:rPr>
        <w:t>i</w:t>
      </w:r>
      <w:r>
        <w:rPr>
          <w:rFonts w:ascii="Times New Roman" w:eastAsia="Times New Roman" w:hAnsi="Times New Roman" w:cs="Times New Roman"/>
        </w:rPr>
        <w:t xml:space="preserve"> </w:t>
      </w:r>
      <w:r w:rsidRPr="006C070D">
        <w:t>is the local chord,</w:t>
      </w:r>
      <w:r>
        <w:rPr>
          <w:rFonts w:ascii="Times New Roman" w:eastAsia="Times New Roman" w:hAnsi="Times New Roman" w:cs="Times New Roman"/>
        </w:rPr>
        <w:t xml:space="preserve"> </w:t>
      </w:r>
      <w:r>
        <w:rPr>
          <w:rFonts w:ascii="Times New Roman" w:eastAsia="Times New Roman" w:hAnsi="Times New Roman" w:cs="Times New Roman"/>
          <w:i/>
          <w:iCs/>
        </w:rPr>
        <w:t>t</w:t>
      </w:r>
      <w:r>
        <w:rPr>
          <w:rFonts w:ascii="Times New Roman" w:eastAsia="Times New Roman" w:hAnsi="Times New Roman" w:cs="Times New Roman"/>
        </w:rPr>
        <w:t xml:space="preserve"> </w:t>
      </w:r>
      <w:r w:rsidRPr="006C070D">
        <w:t>is the assumed shell thickness and</w:t>
      </w:r>
      <w:r>
        <w:rPr>
          <w:rFonts w:ascii="Times New Roman" w:eastAsia="Times New Roman" w:hAnsi="Times New Roman" w:cs="Times New Roman"/>
        </w:rPr>
        <w:t xml:space="preserve"> </w:t>
      </w:r>
      <w:r>
        <w:rPr>
          <w:rFonts w:ascii="Times New Roman" w:eastAsia="Times New Roman" w:hAnsi="Times New Roman" w:cs="Times New Roman"/>
          <w:i/>
          <w:iCs/>
        </w:rPr>
        <w:t>dr</w:t>
      </w:r>
      <w:r>
        <w:rPr>
          <w:rFonts w:ascii="Times New Roman" w:eastAsia="Times New Roman" w:hAnsi="Times New Roman" w:cs="Times New Roman"/>
          <w:vertAlign w:val="subscript"/>
        </w:rPr>
        <w:t>i</w:t>
      </w:r>
      <w:r>
        <w:rPr>
          <w:rFonts w:ascii="Times New Roman" w:eastAsia="Times New Roman" w:hAnsi="Times New Roman" w:cs="Times New Roman"/>
        </w:rPr>
        <w:t xml:space="preserve"> </w:t>
      </w:r>
      <w:r w:rsidRPr="006C070D">
        <w:t>is the width of the blade element. The individual element volumes were summed to give the total material volume:</w:t>
      </w:r>
    </w:p>
    <w:p w14:paraId="1E84A00A" w14:textId="77777777" w:rsidR="004013F7" w:rsidRDefault="004013F7" w:rsidP="004013F7">
      <w:pPr>
        <w:spacing w:before="180" w:after="220"/>
        <w:jc w:val="center"/>
      </w:pPr>
      <m:oMathPara>
        <m:oMath>
          <m:r>
            <w:rPr>
              <w:rFonts w:ascii="Cambria Math" w:hAnsi="Cambria Math"/>
            </w:rPr>
            <m:t>V=∑</m:t>
          </m:r>
          <m:sSub>
            <m:sSubPr>
              <m:ctrlPr>
                <w:rPr>
                  <w:rFonts w:ascii="Cambria Math" w:hAnsi="Cambria Math"/>
                </w:rPr>
              </m:ctrlPr>
            </m:sSubPr>
            <m:e>
              <m:r>
                <w:rPr>
                  <w:rFonts w:ascii="Cambria Math" w:hAnsi="Cambria Math"/>
                </w:rPr>
                <m:t>V</m:t>
              </m:r>
            </m:e>
            <m:sub>
              <m:r>
                <w:rPr>
                  <w:rFonts w:ascii="Cambria Math" w:hAnsi="Cambria Math"/>
                </w:rPr>
                <m:t>i</m:t>
              </m:r>
            </m:sub>
          </m:sSub>
        </m:oMath>
      </m:oMathPara>
    </w:p>
    <w:p w14:paraId="75440694" w14:textId="77777777" w:rsidR="00E149C4" w:rsidRDefault="00E149C4" w:rsidP="00E149C4">
      <w:pPr>
        <w:spacing w:after="160" w:line="276" w:lineRule="auto"/>
        <w:jc w:val="both"/>
      </w:pPr>
      <w:r w:rsidRPr="00E149C4">
        <w:t>The calculated material volume was:</w:t>
      </w:r>
    </w:p>
    <w:p w14:paraId="33B490F7" w14:textId="77777777" w:rsidR="006A627C" w:rsidRPr="003633FA" w:rsidRDefault="006A627C" w:rsidP="006A627C">
      <w:pPr>
        <w:spacing w:before="180" w:after="220"/>
        <w:jc w:val="center"/>
      </w:pPr>
      <m:oMathPara>
        <m:oMath>
          <m:r>
            <w:rPr>
              <w:rFonts w:ascii="Cambria Math" w:hAnsi="Cambria Math"/>
            </w:rPr>
            <m:t xml:space="preserve">V=4.821 </m:t>
          </m:r>
          <m:sSup>
            <m:sSupPr>
              <m:ctrlPr>
                <w:rPr>
                  <w:rFonts w:ascii="Cambria Math" w:hAnsi="Cambria Math"/>
                </w:rPr>
              </m:ctrlPr>
            </m:sSupPr>
            <m:e>
              <m:r>
                <w:rPr>
                  <w:rFonts w:ascii="Cambria Math" w:hAnsi="Cambria Math"/>
                </w:rPr>
                <m:t>m</m:t>
              </m:r>
            </m:e>
            <m:sup>
              <m:r>
                <w:rPr>
                  <w:rFonts w:ascii="Cambria Math" w:hAnsi="Cambria Math"/>
                </w:rPr>
                <m:t>3</m:t>
              </m:r>
            </m:sup>
          </m:sSup>
        </m:oMath>
      </m:oMathPara>
    </w:p>
    <w:p w14:paraId="5B6BA475" w14:textId="38FB7233" w:rsidR="003633FA" w:rsidRDefault="003633FA" w:rsidP="003633FA">
      <w:pPr>
        <w:pStyle w:val="Caption"/>
      </w:pPr>
      <w:bookmarkStart w:id="66" w:name="_Toc239615522"/>
      <w:r>
        <w:t xml:space="preserve">Table </w:t>
      </w:r>
      <w:fldSimple w:instr=" SEQ Table \* ARABIC ">
        <w:r w:rsidR="00E348CF">
          <w:rPr>
            <w:noProof/>
          </w:rPr>
          <w:t>12</w:t>
        </w:r>
      </w:fldSimple>
      <w:r>
        <w:t xml:space="preserve">: </w:t>
      </w:r>
      <w:bookmarkStart w:id="67" w:name="_Toc239516307"/>
      <w:bookmarkStart w:id="68" w:name="_Toc239524864"/>
      <w:r>
        <w:t>Calculated shell volume for each spanwise blade element.</w:t>
      </w:r>
      <w:bookmarkEnd w:id="66"/>
      <w:bookmarkEnd w:id="67"/>
      <w:bookmarkEnd w:id="68"/>
    </w:p>
    <w:p w14:paraId="48B3C5B5" w14:textId="2425C06A" w:rsidR="006A627C" w:rsidRDefault="00E72470" w:rsidP="00E72470">
      <w:pPr>
        <w:spacing w:after="160" w:line="276" w:lineRule="auto"/>
        <w:jc w:val="center"/>
      </w:pPr>
      <w:r w:rsidRPr="00E72470">
        <w:rPr>
          <w:noProof/>
        </w:rPr>
        <w:drawing>
          <wp:inline distT="0" distB="0" distL="0" distR="0" wp14:anchorId="5753736E" wp14:editId="37802365">
            <wp:extent cx="4914900" cy="2286000"/>
            <wp:effectExtent l="0" t="0" r="0" b="0"/>
            <wp:docPr id="799409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409394" name=""/>
                    <pic:cNvPicPr/>
                  </pic:nvPicPr>
                  <pic:blipFill>
                    <a:blip r:embed="rId26"/>
                    <a:stretch>
                      <a:fillRect/>
                    </a:stretch>
                  </pic:blipFill>
                  <pic:spPr>
                    <a:xfrm>
                      <a:off x="0" y="0"/>
                      <a:ext cx="4914900" cy="2286000"/>
                    </a:xfrm>
                    <a:prstGeom prst="rect">
                      <a:avLst/>
                    </a:prstGeom>
                  </pic:spPr>
                </pic:pic>
              </a:graphicData>
            </a:graphic>
          </wp:inline>
        </w:drawing>
      </w:r>
    </w:p>
    <w:p w14:paraId="7B920415" w14:textId="77777777" w:rsidR="000A36DA" w:rsidRDefault="000A36DA" w:rsidP="000A36DA">
      <w:pPr>
        <w:spacing w:after="160" w:line="276" w:lineRule="auto"/>
      </w:pPr>
      <w:r w:rsidRPr="000A36DA">
        <w:t>The mass of each candidate blade was calculated using:</w:t>
      </w:r>
    </w:p>
    <w:p w14:paraId="2BB39350" w14:textId="77777777" w:rsidR="000A36DA" w:rsidRDefault="000A36DA" w:rsidP="000A36DA">
      <w:pPr>
        <w:spacing w:before="180" w:after="220"/>
        <w:jc w:val="center"/>
      </w:pPr>
      <m:oMathPara>
        <m:oMath>
          <m:r>
            <w:rPr>
              <w:rFonts w:ascii="Cambria Math" w:hAnsi="Cambria Math"/>
            </w:rPr>
            <m:t>m=ρV</m:t>
          </m:r>
        </m:oMath>
      </m:oMathPara>
    </w:p>
    <w:p w14:paraId="23273D4E" w14:textId="77777777" w:rsidR="000A36DA" w:rsidRDefault="000A36DA" w:rsidP="000A36DA">
      <w:pPr>
        <w:spacing w:after="160" w:line="276" w:lineRule="auto"/>
        <w:jc w:val="both"/>
      </w:pPr>
      <w:r w:rsidRPr="000A36DA">
        <w:t xml:space="preserve">where </w:t>
      </w:r>
      <w:r>
        <w:rPr>
          <w:rFonts w:ascii="Times New Roman" w:eastAsia="Times New Roman" w:hAnsi="Times New Roman" w:cs="Times New Roman"/>
          <w:i/>
          <w:iCs/>
        </w:rPr>
        <w:t>ρ</w:t>
      </w:r>
      <w:r>
        <w:rPr>
          <w:rFonts w:ascii="Times New Roman" w:eastAsia="Times New Roman" w:hAnsi="Times New Roman" w:cs="Times New Roman"/>
        </w:rPr>
        <w:t xml:space="preserve"> </w:t>
      </w:r>
      <w:r w:rsidRPr="000A36DA">
        <w:t>is the material density.</w:t>
      </w:r>
    </w:p>
    <w:p w14:paraId="336799A0" w14:textId="77777777" w:rsidR="000A36DA" w:rsidRDefault="000A36DA" w:rsidP="000A36DA">
      <w:pPr>
        <w:spacing w:after="160" w:line="276" w:lineRule="auto"/>
        <w:jc w:val="both"/>
      </w:pPr>
      <w:r w:rsidRPr="000A36DA">
        <w:t>For example, the estimated GFRP blade mass was:</w:t>
      </w:r>
    </w:p>
    <w:p w14:paraId="287D631F" w14:textId="77777777" w:rsidR="000A36DA" w:rsidRDefault="000A36DA" w:rsidP="000A36DA">
      <w:pPr>
        <w:spacing w:before="180" w:after="220"/>
        <w:jc w:val="center"/>
      </w:pPr>
      <m:oMathPara>
        <m:oMath>
          <m:r>
            <w:rPr>
              <w:rFonts w:ascii="Cambria Math" w:hAnsi="Cambria Math"/>
            </w:rPr>
            <m:t>m=1900×4.821</m:t>
          </m:r>
        </m:oMath>
      </m:oMathPara>
    </w:p>
    <w:p w14:paraId="6D50677D" w14:textId="77777777" w:rsidR="000A36DA" w:rsidRDefault="000A36DA" w:rsidP="000A36DA">
      <w:pPr>
        <w:spacing w:before="40" w:after="220"/>
        <w:jc w:val="center"/>
      </w:pPr>
      <m:oMathPara>
        <m:oMath>
          <m:r>
            <w:rPr>
              <w:rFonts w:ascii="Cambria Math" w:hAnsi="Cambria Math"/>
            </w:rPr>
            <m:t>m≈9,161 kg</m:t>
          </m:r>
        </m:oMath>
      </m:oMathPara>
    </w:p>
    <w:p w14:paraId="409F0E56" w14:textId="77777777" w:rsidR="000A36DA" w:rsidRDefault="000A36DA" w:rsidP="000A36DA">
      <w:pPr>
        <w:spacing w:after="160" w:line="276" w:lineRule="auto"/>
        <w:jc w:val="both"/>
      </w:pPr>
      <w:r w:rsidRPr="000A36DA">
        <w:t>Raw material cost was then calculated from:</w:t>
      </w:r>
    </w:p>
    <w:p w14:paraId="30F5D0AF" w14:textId="77777777" w:rsidR="000A36DA" w:rsidRDefault="000A36DA" w:rsidP="000A36DA">
      <w:pPr>
        <w:spacing w:before="180" w:after="220"/>
        <w:jc w:val="center"/>
      </w:pPr>
      <m:oMathPara>
        <m:oMath>
          <m:r>
            <w:rPr>
              <w:rFonts w:ascii="Cambria Math" w:hAnsi="Cambria Math"/>
            </w:rPr>
            <w:lastRenderedPageBreak/>
            <m:t>C=m</m:t>
          </m:r>
          <m:sSub>
            <m:sSubPr>
              <m:ctrlPr>
                <w:rPr>
                  <w:rFonts w:ascii="Cambria Math" w:hAnsi="Cambria Math"/>
                </w:rPr>
              </m:ctrlPr>
            </m:sSubPr>
            <m:e>
              <m:r>
                <w:rPr>
                  <w:rFonts w:ascii="Cambria Math" w:hAnsi="Cambria Math"/>
                </w:rPr>
                <m:t>C</m:t>
              </m:r>
            </m:e>
            <m:sub>
              <m:r>
                <w:rPr>
                  <w:rFonts w:ascii="Cambria Math" w:hAnsi="Cambria Math"/>
                </w:rPr>
                <m:t>kg</m:t>
              </m:r>
            </m:sub>
          </m:sSub>
        </m:oMath>
      </m:oMathPara>
    </w:p>
    <w:p w14:paraId="6153A270" w14:textId="77777777" w:rsidR="000A36DA" w:rsidRDefault="000A36DA" w:rsidP="000A36DA">
      <w:pPr>
        <w:spacing w:after="160" w:line="276" w:lineRule="auto"/>
        <w:jc w:val="both"/>
      </w:pPr>
      <w:r w:rsidRPr="000A36DA">
        <w:t>where</w:t>
      </w:r>
      <w:r>
        <w:rPr>
          <w:rFonts w:ascii="Times New Roman" w:eastAsia="Times New Roman" w:hAnsi="Times New Roman" w:cs="Times New Roman"/>
        </w:rPr>
        <w:t xml:space="preserve"> </w:t>
      </w:r>
      <w:r>
        <w:rPr>
          <w:rFonts w:ascii="Times New Roman" w:eastAsia="Times New Roman" w:hAnsi="Times New Roman" w:cs="Times New Roman"/>
          <w:i/>
          <w:iCs/>
        </w:rPr>
        <w:t>C</w:t>
      </w:r>
      <w:r>
        <w:rPr>
          <w:rFonts w:ascii="Times New Roman" w:eastAsia="Times New Roman" w:hAnsi="Times New Roman" w:cs="Times New Roman"/>
          <w:vertAlign w:val="subscript"/>
        </w:rPr>
        <w:t>kg</w:t>
      </w:r>
      <w:r>
        <w:rPr>
          <w:rFonts w:ascii="Times New Roman" w:eastAsia="Times New Roman" w:hAnsi="Times New Roman" w:cs="Times New Roman"/>
        </w:rPr>
        <w:t xml:space="preserve"> </w:t>
      </w:r>
      <w:r w:rsidRPr="000A36DA">
        <w:t>is the assumed material cost per kilogram.</w:t>
      </w:r>
    </w:p>
    <w:p w14:paraId="608B8CDC" w14:textId="77777777" w:rsidR="000A36DA" w:rsidRDefault="000A36DA" w:rsidP="000A36DA">
      <w:pPr>
        <w:spacing w:after="160" w:line="276" w:lineRule="auto"/>
        <w:jc w:val="both"/>
      </w:pPr>
      <w:r w:rsidRPr="000A36DA">
        <w:t>For GFRP:</w:t>
      </w:r>
    </w:p>
    <w:p w14:paraId="64A7BC85" w14:textId="77777777" w:rsidR="000A36DA" w:rsidRDefault="000A36DA" w:rsidP="000A36DA">
      <w:pPr>
        <w:spacing w:before="180" w:after="220"/>
        <w:jc w:val="center"/>
      </w:pPr>
      <m:oMathPara>
        <m:oMath>
          <m:r>
            <w:rPr>
              <w:rFonts w:ascii="Cambria Math" w:hAnsi="Cambria Math"/>
            </w:rPr>
            <m:t>C=9161×2.25</m:t>
          </m:r>
        </m:oMath>
      </m:oMathPara>
    </w:p>
    <w:p w14:paraId="11F82A0A" w14:textId="77777777" w:rsidR="000A36DA" w:rsidRPr="000754B5" w:rsidRDefault="000A36DA" w:rsidP="000A36DA">
      <w:pPr>
        <w:spacing w:before="40" w:after="220"/>
        <w:jc w:val="center"/>
      </w:pPr>
      <m:oMathPara>
        <m:oMath>
          <m:r>
            <w:rPr>
              <w:rFonts w:ascii="Cambria Math" w:hAnsi="Cambria Math"/>
            </w:rPr>
            <m:t>C≈£20,612</m:t>
          </m:r>
        </m:oMath>
      </m:oMathPara>
    </w:p>
    <w:p w14:paraId="2B8A9B9F" w14:textId="77777777" w:rsidR="000754B5" w:rsidRDefault="000754B5" w:rsidP="000A36DA">
      <w:pPr>
        <w:spacing w:before="40" w:after="220"/>
        <w:jc w:val="center"/>
      </w:pPr>
    </w:p>
    <w:p w14:paraId="437ED28C" w14:textId="77777777" w:rsidR="00C1386F" w:rsidRDefault="00C1386F" w:rsidP="00E72470">
      <w:pPr>
        <w:pStyle w:val="Caption"/>
      </w:pPr>
    </w:p>
    <w:p w14:paraId="4ABFDC9A" w14:textId="2C4A295A" w:rsidR="00C1386F" w:rsidRDefault="00C1386F" w:rsidP="00E72470">
      <w:pPr>
        <w:pStyle w:val="Caption"/>
      </w:pPr>
      <w:bookmarkStart w:id="69" w:name="_Toc239615523"/>
      <w:r>
        <w:t xml:space="preserve">Table </w:t>
      </w:r>
      <w:fldSimple w:instr=" SEQ Table \* ARABIC ">
        <w:r w:rsidR="00E348CF">
          <w:rPr>
            <w:noProof/>
          </w:rPr>
          <w:t>13</w:t>
        </w:r>
      </w:fldSimple>
      <w:r>
        <w:t xml:space="preserve">: </w:t>
      </w:r>
      <w:bookmarkStart w:id="70" w:name="_Toc239516308"/>
      <w:bookmarkStart w:id="71" w:name="_Toc239524865"/>
      <w:r>
        <w:t xml:space="preserve">Material density, </w:t>
      </w:r>
      <w:r w:rsidR="00CB33EB">
        <w:t>estimated</w:t>
      </w:r>
      <w:r>
        <w:t xml:space="preserve"> blade mass, unit cost and calculated raw material cost per blade.</w:t>
      </w:r>
      <w:bookmarkEnd w:id="69"/>
      <w:bookmarkEnd w:id="70"/>
      <w:bookmarkEnd w:id="71"/>
    </w:p>
    <w:p w14:paraId="68E385D4" w14:textId="736026DD" w:rsidR="000A36DA" w:rsidRDefault="000754B5" w:rsidP="00E72470">
      <w:pPr>
        <w:pStyle w:val="Caption"/>
      </w:pPr>
      <w:r w:rsidRPr="000754B5">
        <w:rPr>
          <w:noProof/>
        </w:rPr>
        <w:drawing>
          <wp:inline distT="0" distB="0" distL="0" distR="0" wp14:anchorId="06A50EC3" wp14:editId="1A11FEEC">
            <wp:extent cx="5731510" cy="826770"/>
            <wp:effectExtent l="0" t="0" r="0" b="0"/>
            <wp:docPr id="213007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77606" name=""/>
                    <pic:cNvPicPr/>
                  </pic:nvPicPr>
                  <pic:blipFill>
                    <a:blip r:embed="rId27"/>
                    <a:stretch>
                      <a:fillRect/>
                    </a:stretch>
                  </pic:blipFill>
                  <pic:spPr>
                    <a:xfrm>
                      <a:off x="0" y="0"/>
                      <a:ext cx="5731510" cy="826770"/>
                    </a:xfrm>
                    <a:prstGeom prst="rect">
                      <a:avLst/>
                    </a:prstGeom>
                  </pic:spPr>
                </pic:pic>
              </a:graphicData>
            </a:graphic>
          </wp:inline>
        </w:drawing>
      </w:r>
    </w:p>
    <w:p w14:paraId="68CA9E52" w14:textId="77777777" w:rsidR="00396D82" w:rsidRDefault="00396D82" w:rsidP="00396D82">
      <w:pPr>
        <w:spacing w:after="160"/>
        <w:jc w:val="both"/>
      </w:pPr>
      <w:r w:rsidRPr="00396D82">
        <w:t>The GFRP unit cost of £2.25/kg was estimated from its constituent materials. A fibre volume fraction of 0.56 gives an approximate fibre weight fraction of 0.75. Using glass fibre at £2.00/kg and epoxy resin at £3.00/kg gives:</w:t>
      </w:r>
    </w:p>
    <w:p w14:paraId="4028B11E" w14:textId="77777777" w:rsidR="00396D82" w:rsidRDefault="00757A1C" w:rsidP="00396D82">
      <w:pPr>
        <w:spacing w:before="180" w:after="220"/>
        <w:jc w:val="center"/>
      </w:pPr>
      <m:oMathPara>
        <m:oMath>
          <m:sSub>
            <m:sSubPr>
              <m:ctrlPr>
                <w:rPr>
                  <w:rFonts w:ascii="Cambria Math" w:hAnsi="Cambria Math"/>
                </w:rPr>
              </m:ctrlPr>
            </m:sSubPr>
            <m:e>
              <m:r>
                <w:rPr>
                  <w:rFonts w:ascii="Cambria Math" w:hAnsi="Cambria Math"/>
                </w:rPr>
                <m:t>C</m:t>
              </m:r>
            </m:e>
            <m:sub>
              <m:r>
                <w:rPr>
                  <w:rFonts w:ascii="Cambria Math" w:hAnsi="Cambria Math"/>
                </w:rPr>
                <m:t>GFRP</m:t>
              </m:r>
            </m:sub>
          </m:sSub>
          <m:r>
            <w:rPr>
              <w:rFonts w:ascii="Cambria Math" w:hAnsi="Cambria Math"/>
            </w:rPr>
            <m:t>=</m:t>
          </m:r>
          <m:d>
            <m:dPr>
              <m:ctrlPr>
                <w:rPr>
                  <w:rFonts w:ascii="Cambria Math" w:hAnsi="Cambria Math"/>
                </w:rPr>
              </m:ctrlPr>
            </m:dPr>
            <m:e>
              <m:r>
                <w:rPr>
                  <w:rFonts w:ascii="Cambria Math" w:hAnsi="Cambria Math"/>
                </w:rPr>
                <m:t>0.75×2.00</m:t>
              </m:r>
            </m:e>
          </m:d>
          <m:r>
            <w:rPr>
              <w:rFonts w:ascii="Cambria Math" w:hAnsi="Cambria Math"/>
            </w:rPr>
            <m:t>+</m:t>
          </m:r>
          <m:d>
            <m:dPr>
              <m:ctrlPr>
                <w:rPr>
                  <w:rFonts w:ascii="Cambria Math" w:hAnsi="Cambria Math"/>
                </w:rPr>
              </m:ctrlPr>
            </m:dPr>
            <m:e>
              <m:r>
                <w:rPr>
                  <w:rFonts w:ascii="Cambria Math" w:hAnsi="Cambria Math"/>
                </w:rPr>
                <m:t>0.25×3.00</m:t>
              </m:r>
            </m:e>
          </m:d>
        </m:oMath>
      </m:oMathPara>
    </w:p>
    <w:p w14:paraId="741F9301" w14:textId="77777777" w:rsidR="00396D82" w:rsidRDefault="00757A1C" w:rsidP="00396D82">
      <w:pPr>
        <w:spacing w:before="40" w:after="220"/>
        <w:jc w:val="center"/>
      </w:pPr>
      <m:oMathPara>
        <m:oMath>
          <m:sSub>
            <m:sSubPr>
              <m:ctrlPr>
                <w:rPr>
                  <w:rFonts w:ascii="Cambria Math" w:hAnsi="Cambria Math"/>
                </w:rPr>
              </m:ctrlPr>
            </m:sSubPr>
            <m:e>
              <m:r>
                <w:rPr>
                  <w:rFonts w:ascii="Cambria Math" w:hAnsi="Cambria Math"/>
                </w:rPr>
                <m:t>C</m:t>
              </m:r>
            </m:e>
            <m:sub>
              <m:r>
                <w:rPr>
                  <w:rFonts w:ascii="Cambria Math" w:hAnsi="Cambria Math"/>
                </w:rPr>
                <m:t>GFRP</m:t>
              </m:r>
            </m:sub>
          </m:sSub>
          <m:r>
            <w:rPr>
              <w:rFonts w:ascii="Cambria Math" w:hAnsi="Cambria Math"/>
            </w:rPr>
            <m:t>=£2.25/kg</m:t>
          </m:r>
        </m:oMath>
      </m:oMathPara>
    </w:p>
    <w:p w14:paraId="7A5775A9" w14:textId="77777777" w:rsidR="00396D82" w:rsidRDefault="00396D82" w:rsidP="00396D82">
      <w:pPr>
        <w:spacing w:after="160"/>
        <w:jc w:val="both"/>
      </w:pPr>
      <w:r w:rsidRPr="00396D82">
        <w:t>These constituent prices were taken from Clarke et al. (2020) and are based on 2018 material prices. The value therefore represents a baseline estimate rather than a current supplier quotation.</w:t>
      </w:r>
    </w:p>
    <w:p w14:paraId="3BD0C34C" w14:textId="30D24A5D" w:rsidR="002D3CC5" w:rsidRPr="00631CAE" w:rsidRDefault="00396D82" w:rsidP="00631CAE">
      <w:pPr>
        <w:spacing w:after="160"/>
        <w:jc w:val="both"/>
      </w:pPr>
      <w:r w:rsidRPr="00396D82">
        <w:t>The £2.20/kg value for aluminium 6082-T6 and £35.00/kg for SiC were used as indicative cost assumptions for the preliminary comparison. Material prices vary with grade, order quantity and market conditions. The calculated costs should therefore be treated as comparative estimates rather than current commercial quotations.</w:t>
      </w:r>
      <w:r w:rsidR="002D3CC5">
        <w:br w:type="page"/>
      </w:r>
    </w:p>
    <w:p w14:paraId="7E86ED11" w14:textId="6065DCF2" w:rsidR="001F1D8C" w:rsidRDefault="001F1D8C" w:rsidP="001F1D8C">
      <w:pPr>
        <w:pStyle w:val="Heading2"/>
      </w:pPr>
      <w:bookmarkStart w:id="72" w:name="_Toc239615502"/>
      <w:r>
        <w:lastRenderedPageBreak/>
        <w:t>Appendix D — Additional CAD views</w:t>
      </w:r>
      <w:r w:rsidR="00FD7284">
        <w:t xml:space="preserve"> </w:t>
      </w:r>
      <w:r w:rsidR="00FD7284" w:rsidRPr="00FD7284">
        <w:t>and NACA 4412 Profiles</w:t>
      </w:r>
      <w:bookmarkEnd w:id="72"/>
    </w:p>
    <w:p w14:paraId="325358AE" w14:textId="38175602" w:rsidR="00FE5286" w:rsidRDefault="002D3CC5" w:rsidP="00C16887">
      <w:r w:rsidRPr="002D3CC5">
        <w:t xml:space="preserve">The NACA 4412 aerofoil profiles used to generate the blade geometry were calculated and plotted in Microsoft Excel. Figure </w:t>
      </w:r>
      <w:r w:rsidR="00536AE2">
        <w:t>6</w:t>
      </w:r>
      <w:r w:rsidRPr="002D3CC5">
        <w:t xml:space="preserve"> shows the profiles at the five required spanwise positions. The combined overlay demonstrates the reduction in</w:t>
      </w:r>
      <w:r w:rsidR="00FE5286">
        <w:t xml:space="preserve"> c</w:t>
      </w:r>
      <w:r w:rsidRPr="002D3CC5">
        <w:t>hord and thickness towards the blade tip.</w:t>
      </w:r>
    </w:p>
    <w:p w14:paraId="6F3C9E42" w14:textId="22494405" w:rsidR="00FE5286" w:rsidRDefault="00FE5286" w:rsidP="00C16887">
      <w:r>
        <w:fldChar w:fldCharType="begin"/>
      </w:r>
      <w:r>
        <w:instrText xml:space="preserve"> INCLUDEPICTURE "/Users/antonypugh/Library/Group Containers/UBF8T346G9.ms/WebArchiveCopyPasteTempFiles/com.microsoft.Word/content?id=file_000000004c3c8210a140ca851df5062f&amp;ts=496837&amp;p=fs&amp;cid=1&amp;sig=4bfdd32f1f73e8f2a8fdafb30503b78cf5737b64f501a25fc4866fd800655326&amp;v=0" \* MERGEFORMATINET </w:instrText>
      </w:r>
      <w:r>
        <w:fldChar w:fldCharType="separate"/>
      </w:r>
      <w:r>
        <w:rPr>
          <w:noProof/>
        </w:rPr>
        <w:drawing>
          <wp:inline distT="0" distB="0" distL="0" distR="0" wp14:anchorId="03713F3A" wp14:editId="74F0F1B1">
            <wp:extent cx="5731510" cy="1938020"/>
            <wp:effectExtent l="0" t="0" r="0" b="5080"/>
            <wp:docPr id="6339764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1938020"/>
                    </a:xfrm>
                    <a:prstGeom prst="rect">
                      <a:avLst/>
                    </a:prstGeom>
                    <a:noFill/>
                    <a:ln>
                      <a:noFill/>
                    </a:ln>
                  </pic:spPr>
                </pic:pic>
              </a:graphicData>
            </a:graphic>
          </wp:inline>
        </w:drawing>
      </w:r>
      <w:r>
        <w:fldChar w:fldCharType="end"/>
      </w:r>
    </w:p>
    <w:p w14:paraId="111EF7E7" w14:textId="264701CC" w:rsidR="00443BF1" w:rsidRDefault="00443BF1" w:rsidP="00443BF1">
      <w:pPr>
        <w:pStyle w:val="Caption"/>
      </w:pPr>
      <w:bookmarkStart w:id="73" w:name="_Toc239615508"/>
      <w:r>
        <w:t xml:space="preserve">Figure </w:t>
      </w:r>
      <w:fldSimple w:instr=" SEQ Figure \* ARABIC ">
        <w:r w:rsidR="00896852">
          <w:rPr>
            <w:noProof/>
          </w:rPr>
          <w:t>6</w:t>
        </w:r>
      </w:fldSimple>
      <w:r>
        <w:t xml:space="preserve">: </w:t>
      </w:r>
      <w:r w:rsidRPr="006F4A7A">
        <w:t>Excel-generated NACA 4412 aerofoil profiles at r/R=0.2," " 0.4," " 0.6," " 0.8 and 1.0, with a combined overlay of all blade sections.</w:t>
      </w:r>
      <w:bookmarkEnd w:id="73"/>
    </w:p>
    <w:p w14:paraId="6C00617E" w14:textId="676E4B0A" w:rsidR="00FE5286" w:rsidRDefault="00F50EB7" w:rsidP="00C16887">
      <w:r w:rsidRPr="00F50EB7">
        <w:t xml:space="preserve">The calculated aerofoil profiles were used to construct the blade geometry in SolidWorks. Figure </w:t>
      </w:r>
      <w:r w:rsidR="0057330B">
        <w:t>7</w:t>
      </w:r>
      <w:r w:rsidRPr="00F50EB7">
        <w:t xml:space="preserve"> shows the completed model from the front, left, top and trimetric orientations. These views demonstrate the spanwise taper and twist incorporated into the blade geometry.</w:t>
      </w:r>
    </w:p>
    <w:p w14:paraId="55CAE96A" w14:textId="41DD9094" w:rsidR="000E4E3E" w:rsidRDefault="000E4E3E" w:rsidP="00C16887">
      <w:r w:rsidRPr="000E4E3E">
        <w:rPr>
          <w:noProof/>
        </w:rPr>
        <w:drawing>
          <wp:inline distT="0" distB="0" distL="0" distR="0" wp14:anchorId="785F88E7" wp14:editId="6FA13A71">
            <wp:extent cx="5731510" cy="3107690"/>
            <wp:effectExtent l="0" t="0" r="0" b="3810"/>
            <wp:docPr id="1862584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584373" name=""/>
                    <pic:cNvPicPr/>
                  </pic:nvPicPr>
                  <pic:blipFill>
                    <a:blip r:embed="rId29"/>
                    <a:stretch>
                      <a:fillRect/>
                    </a:stretch>
                  </pic:blipFill>
                  <pic:spPr>
                    <a:xfrm>
                      <a:off x="0" y="0"/>
                      <a:ext cx="5731510" cy="3107690"/>
                    </a:xfrm>
                    <a:prstGeom prst="rect">
                      <a:avLst/>
                    </a:prstGeom>
                  </pic:spPr>
                </pic:pic>
              </a:graphicData>
            </a:graphic>
          </wp:inline>
        </w:drawing>
      </w:r>
    </w:p>
    <w:p w14:paraId="53578CC5" w14:textId="2B8D71C0" w:rsidR="00DB0593" w:rsidRDefault="00DB0593" w:rsidP="00DB0593">
      <w:pPr>
        <w:pStyle w:val="Caption"/>
      </w:pPr>
      <w:bookmarkStart w:id="74" w:name="_Toc239615509"/>
      <w:r>
        <w:t xml:space="preserve">Figure </w:t>
      </w:r>
      <w:fldSimple w:instr=" SEQ Figure \* ARABIC ">
        <w:r w:rsidR="00896852">
          <w:rPr>
            <w:noProof/>
          </w:rPr>
          <w:t>7</w:t>
        </w:r>
      </w:fldSimple>
      <w:r w:rsidRPr="001C5DF4">
        <w:t xml:space="preserve">: </w:t>
      </w:r>
      <w:bookmarkStart w:id="75" w:name="_Toc239516133"/>
      <w:r w:rsidRPr="001C5DF4">
        <w:t>Front, left, top and trimetric views of the completed NACA 4412 blade model.</w:t>
      </w:r>
      <w:bookmarkEnd w:id="74"/>
      <w:bookmarkEnd w:id="75"/>
    </w:p>
    <w:p w14:paraId="44FDDEBA" w14:textId="2CECD8CE" w:rsidR="00E055CD" w:rsidRDefault="00153F3D">
      <w:r w:rsidRPr="00153F3D">
        <w:lastRenderedPageBreak/>
        <w:t xml:space="preserve">The complete general arrangement drawing is provided in Figure </w:t>
      </w:r>
      <w:r w:rsidR="0057330B">
        <w:t>8</w:t>
      </w:r>
      <w:r w:rsidRPr="00153F3D">
        <w:t>. It shows the main blade views and the 31,020 mm modelled span. The drawing also contains the five required NACA 4412 sections at </w:t>
      </w:r>
      <m:oMath>
        <m:r>
          <w:rPr>
            <w:rFonts w:ascii="Cambria Math" w:hAnsi="Cambria Math"/>
          </w:rPr>
          <m:t>r/R=0.2,</m:t>
        </m:r>
        <m:r>
          <m:rPr>
            <m:nor/>
          </m:rPr>
          <m:t> </m:t>
        </m:r>
        <m:r>
          <w:rPr>
            <w:rFonts w:ascii="Cambria Math" w:hAnsi="Cambria Math"/>
          </w:rPr>
          <m:t>0.4,</m:t>
        </m:r>
        <m:r>
          <m:rPr>
            <m:nor/>
          </m:rPr>
          <m:t> </m:t>
        </m:r>
        <m:r>
          <w:rPr>
            <w:rFonts w:ascii="Cambria Math" w:hAnsi="Cambria Math"/>
          </w:rPr>
          <m:t>0.6,</m:t>
        </m:r>
        <m:r>
          <m:rPr>
            <m:nor/>
          </m:rPr>
          <m:t> </m:t>
        </m:r>
        <m:r>
          <w:rPr>
            <w:rFonts w:ascii="Cambria Math" w:hAnsi="Cambria Math"/>
          </w:rPr>
          <m:t>0.8</m:t>
        </m:r>
      </m:oMath>
      <w:r>
        <w:rPr>
          <w:rStyle w:val="apple-converted-space"/>
          <w:rFonts w:ascii="-webkit-standard" w:hAnsi="-webkit-standard"/>
          <w:color w:val="000000"/>
          <w:sz w:val="27"/>
          <w:szCs w:val="27"/>
        </w:rPr>
        <w:t> </w:t>
      </w:r>
      <w:r w:rsidRPr="00153F3D">
        <w:t>and </w:t>
      </w:r>
      <m:oMath>
        <m:r>
          <w:rPr>
            <w:rFonts w:ascii="Cambria Math" w:hAnsi="Cambria Math"/>
          </w:rPr>
          <m:t>1.0</m:t>
        </m:r>
      </m:oMath>
      <w:r>
        <w:rPr>
          <w:rFonts w:ascii="-webkit-standard" w:hAnsi="-webkit-standard"/>
          <w:color w:val="000000"/>
          <w:sz w:val="27"/>
          <w:szCs w:val="27"/>
        </w:rPr>
        <w:t xml:space="preserve">. </w:t>
      </w:r>
      <w:r w:rsidRPr="00153F3D">
        <w:t>The local chord, maximum thickness and corresponding twist angle are identified for each section.</w:t>
      </w:r>
    </w:p>
    <w:p w14:paraId="57434E13" w14:textId="37AC7048" w:rsidR="00F37693" w:rsidRDefault="006F5697" w:rsidP="00DB0593">
      <w:r w:rsidRPr="006F5697">
        <w:rPr>
          <w:noProof/>
        </w:rPr>
        <w:drawing>
          <wp:inline distT="0" distB="0" distL="0" distR="0" wp14:anchorId="5E05BBCF" wp14:editId="48CA5683">
            <wp:extent cx="5731510" cy="4271645"/>
            <wp:effectExtent l="0" t="0" r="0" b="0"/>
            <wp:docPr id="100686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6686" name=""/>
                    <pic:cNvPicPr/>
                  </pic:nvPicPr>
                  <pic:blipFill>
                    <a:blip r:embed="rId30"/>
                    <a:stretch>
                      <a:fillRect/>
                    </a:stretch>
                  </pic:blipFill>
                  <pic:spPr>
                    <a:xfrm>
                      <a:off x="0" y="0"/>
                      <a:ext cx="5731510" cy="4271645"/>
                    </a:xfrm>
                    <a:prstGeom prst="rect">
                      <a:avLst/>
                    </a:prstGeom>
                  </pic:spPr>
                </pic:pic>
              </a:graphicData>
            </a:graphic>
          </wp:inline>
        </w:drawing>
      </w:r>
    </w:p>
    <w:p w14:paraId="08FB3BBA" w14:textId="176703E1" w:rsidR="00DB0593" w:rsidRDefault="00DB0593" w:rsidP="00DB0593">
      <w:pPr>
        <w:pStyle w:val="Caption"/>
      </w:pPr>
      <w:bookmarkStart w:id="76" w:name="_Toc239615510"/>
      <w:r>
        <w:t xml:space="preserve">Figure </w:t>
      </w:r>
      <w:fldSimple w:instr=" SEQ Figure \* ARABIC ">
        <w:r w:rsidR="00896852">
          <w:rPr>
            <w:noProof/>
          </w:rPr>
          <w:t>8</w:t>
        </w:r>
      </w:fldSimple>
      <w:r w:rsidRPr="00CB55DA">
        <w:t xml:space="preserve">: </w:t>
      </w:r>
      <w:bookmarkStart w:id="77" w:name="_Toc239516134"/>
      <w:r w:rsidRPr="00CB55DA">
        <w:t>General arrangement drawing of the NACA 4412 wind turbine blade showing the main blade views, overall modelled span and dimensioned spanwise aerofoil sections.</w:t>
      </w:r>
      <w:bookmarkEnd w:id="76"/>
      <w:bookmarkEnd w:id="77"/>
    </w:p>
    <w:p w14:paraId="04666A14" w14:textId="4214C984" w:rsidR="006B751E" w:rsidRPr="006B751E" w:rsidRDefault="006B751E" w:rsidP="00F37693">
      <w:pPr>
        <w:pStyle w:val="Caption"/>
        <w:rPr>
          <w:i w:val="0"/>
          <w:iCs w:val="0"/>
          <w:color w:val="auto"/>
          <w:sz w:val="24"/>
          <w:szCs w:val="24"/>
        </w:rPr>
      </w:pPr>
    </w:p>
    <w:sectPr w:rsidR="006B751E" w:rsidRPr="006B751E" w:rsidSect="001F1D8C">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5AE394" w14:textId="77777777" w:rsidR="00757A1C" w:rsidRDefault="00757A1C">
      <w:pPr>
        <w:spacing w:after="0" w:line="240" w:lineRule="auto"/>
      </w:pPr>
      <w:r>
        <w:separator/>
      </w:r>
    </w:p>
  </w:endnote>
  <w:endnote w:type="continuationSeparator" w:id="0">
    <w:p w14:paraId="381EC9E4" w14:textId="77777777" w:rsidR="00757A1C" w:rsidRDefault="00757A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726FFA4" w14:textId="77777777" w:rsidR="00C107AB" w:rsidRDefault="00C107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987CA0" w14:textId="77777777" w:rsidR="001F1D8C" w:rsidRDefault="001F1D8C">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Pr>
        <w:noProof/>
        <w:color w:val="808080"/>
        <w:sz w:val="18"/>
        <w:szCs w:val="18"/>
      </w:rPr>
      <w:t>2</w:t>
    </w:r>
    <w:r>
      <w:rPr>
        <w:color w:val="80808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AF902E" w14:textId="77777777" w:rsidR="001F1D8C" w:rsidRDefault="001F1D8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8F90063" w14:textId="77777777" w:rsidR="00757A1C" w:rsidRDefault="00757A1C">
      <w:pPr>
        <w:spacing w:after="0" w:line="240" w:lineRule="auto"/>
      </w:pPr>
      <w:r>
        <w:separator/>
      </w:r>
    </w:p>
  </w:footnote>
  <w:footnote w:type="continuationSeparator" w:id="0">
    <w:p w14:paraId="42F9E962" w14:textId="77777777" w:rsidR="00757A1C" w:rsidRDefault="00757A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65E83F" w14:textId="77777777" w:rsidR="00C107AB" w:rsidRDefault="00C107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CB937D" w14:textId="77777777" w:rsidR="001F1D8C" w:rsidRDefault="001F1D8C">
    <w:pPr>
      <w:pBdr>
        <w:bottom w:val="single" w:sz="4" w:space="4" w:color="2E75B6"/>
      </w:pBdr>
      <w:tabs>
        <w:tab w:val="right" w:pos="9026"/>
      </w:tabs>
    </w:pPr>
    <w:r>
      <w:rPr>
        <w:color w:val="808080"/>
        <w:sz w:val="18"/>
        <w:szCs w:val="18"/>
      </w:rPr>
      <w:t>ACMA6000 – Advanced Processes &amp; Materials</w:t>
    </w:r>
    <w:r>
      <w:rPr>
        <w:color w:val="808080"/>
        <w:sz w:val="18"/>
        <w:szCs w:val="18"/>
      </w:rPr>
      <w:tab/>
      <w:t>Antony Pugh – 2221728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FBDA79" w14:textId="77777777" w:rsidR="001F1D8C" w:rsidRDefault="001F1D8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586036F"/>
    <w:multiLevelType w:val="hybridMultilevel"/>
    <w:tmpl w:val="EB38462C"/>
    <w:lvl w:ilvl="0" w:tplc="7EB8012A">
      <w:start w:val="1"/>
      <w:numFmt w:val="bullet"/>
      <w:lvlText w:val="•"/>
      <w:lvlJc w:val="left"/>
      <w:pPr>
        <w:ind w:left="720" w:hanging="360"/>
      </w:pPr>
    </w:lvl>
    <w:lvl w:ilvl="1" w:tplc="06F8C97A">
      <w:numFmt w:val="decimal"/>
      <w:lvlText w:val=""/>
      <w:lvlJc w:val="left"/>
    </w:lvl>
    <w:lvl w:ilvl="2" w:tplc="C1381A6A">
      <w:numFmt w:val="decimal"/>
      <w:lvlText w:val=""/>
      <w:lvlJc w:val="left"/>
    </w:lvl>
    <w:lvl w:ilvl="3" w:tplc="DD2A14EE">
      <w:numFmt w:val="decimal"/>
      <w:lvlText w:val=""/>
      <w:lvlJc w:val="left"/>
    </w:lvl>
    <w:lvl w:ilvl="4" w:tplc="520AC022">
      <w:numFmt w:val="decimal"/>
      <w:lvlText w:val=""/>
      <w:lvlJc w:val="left"/>
    </w:lvl>
    <w:lvl w:ilvl="5" w:tplc="6652D188">
      <w:numFmt w:val="decimal"/>
      <w:lvlText w:val=""/>
      <w:lvlJc w:val="left"/>
    </w:lvl>
    <w:lvl w:ilvl="6" w:tplc="FD16E670">
      <w:numFmt w:val="decimal"/>
      <w:lvlText w:val=""/>
      <w:lvlJc w:val="left"/>
    </w:lvl>
    <w:lvl w:ilvl="7" w:tplc="F28A3C4E">
      <w:numFmt w:val="decimal"/>
      <w:lvlText w:val=""/>
      <w:lvlJc w:val="left"/>
    </w:lvl>
    <w:lvl w:ilvl="8" w:tplc="010096C4">
      <w:numFmt w:val="decimal"/>
      <w:lvlText w:val=""/>
      <w:lvlJc w:val="left"/>
    </w:lvl>
  </w:abstractNum>
  <w:num w:numId="1" w16cid:durableId="1555115580">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8C"/>
    <w:rsid w:val="000004BD"/>
    <w:rsid w:val="000004F6"/>
    <w:rsid w:val="00001F49"/>
    <w:rsid w:val="0000208D"/>
    <w:rsid w:val="00013E92"/>
    <w:rsid w:val="0002022E"/>
    <w:rsid w:val="00020D04"/>
    <w:rsid w:val="000216E7"/>
    <w:rsid w:val="00022C40"/>
    <w:rsid w:val="0002309B"/>
    <w:rsid w:val="00025DF3"/>
    <w:rsid w:val="00031944"/>
    <w:rsid w:val="00034522"/>
    <w:rsid w:val="00034862"/>
    <w:rsid w:val="000369A1"/>
    <w:rsid w:val="000412B2"/>
    <w:rsid w:val="000426AC"/>
    <w:rsid w:val="000427B2"/>
    <w:rsid w:val="0005442F"/>
    <w:rsid w:val="00063F0A"/>
    <w:rsid w:val="000668D6"/>
    <w:rsid w:val="000702F1"/>
    <w:rsid w:val="00070FFA"/>
    <w:rsid w:val="000718F2"/>
    <w:rsid w:val="0007468C"/>
    <w:rsid w:val="0007472B"/>
    <w:rsid w:val="000754B5"/>
    <w:rsid w:val="00076EB4"/>
    <w:rsid w:val="00080340"/>
    <w:rsid w:val="00080DDD"/>
    <w:rsid w:val="00084613"/>
    <w:rsid w:val="0008577E"/>
    <w:rsid w:val="00085ED0"/>
    <w:rsid w:val="00086978"/>
    <w:rsid w:val="00087252"/>
    <w:rsid w:val="00090074"/>
    <w:rsid w:val="000914BE"/>
    <w:rsid w:val="000A092C"/>
    <w:rsid w:val="000A36DA"/>
    <w:rsid w:val="000A4633"/>
    <w:rsid w:val="000A6B74"/>
    <w:rsid w:val="000A7589"/>
    <w:rsid w:val="000B38EC"/>
    <w:rsid w:val="000B686D"/>
    <w:rsid w:val="000C0E20"/>
    <w:rsid w:val="000D2549"/>
    <w:rsid w:val="000D4256"/>
    <w:rsid w:val="000D75F6"/>
    <w:rsid w:val="000E2F8B"/>
    <w:rsid w:val="000E4E3E"/>
    <w:rsid w:val="000E63E0"/>
    <w:rsid w:val="000F2632"/>
    <w:rsid w:val="000F7264"/>
    <w:rsid w:val="001032EF"/>
    <w:rsid w:val="00106F41"/>
    <w:rsid w:val="001172CE"/>
    <w:rsid w:val="0011797E"/>
    <w:rsid w:val="00121881"/>
    <w:rsid w:val="00121B08"/>
    <w:rsid w:val="00123B17"/>
    <w:rsid w:val="00123D5E"/>
    <w:rsid w:val="0012797B"/>
    <w:rsid w:val="00131EE1"/>
    <w:rsid w:val="0013742F"/>
    <w:rsid w:val="00142D90"/>
    <w:rsid w:val="00144B40"/>
    <w:rsid w:val="00147E07"/>
    <w:rsid w:val="001539C8"/>
    <w:rsid w:val="00153F3D"/>
    <w:rsid w:val="0015581C"/>
    <w:rsid w:val="0016111A"/>
    <w:rsid w:val="001619BD"/>
    <w:rsid w:val="001632BD"/>
    <w:rsid w:val="00165C2A"/>
    <w:rsid w:val="00173AFD"/>
    <w:rsid w:val="00193850"/>
    <w:rsid w:val="001966D6"/>
    <w:rsid w:val="00196874"/>
    <w:rsid w:val="00196BFD"/>
    <w:rsid w:val="00197674"/>
    <w:rsid w:val="00197D2D"/>
    <w:rsid w:val="001A147A"/>
    <w:rsid w:val="001A39CA"/>
    <w:rsid w:val="001B0341"/>
    <w:rsid w:val="001B5231"/>
    <w:rsid w:val="001C42E3"/>
    <w:rsid w:val="001C481B"/>
    <w:rsid w:val="001C519F"/>
    <w:rsid w:val="001D19ED"/>
    <w:rsid w:val="001D7DFF"/>
    <w:rsid w:val="001E125C"/>
    <w:rsid w:val="001E2CC6"/>
    <w:rsid w:val="001E7F4E"/>
    <w:rsid w:val="001F1D8C"/>
    <w:rsid w:val="0020376E"/>
    <w:rsid w:val="00215BE7"/>
    <w:rsid w:val="00220253"/>
    <w:rsid w:val="002263EC"/>
    <w:rsid w:val="00227AA6"/>
    <w:rsid w:val="00234F2C"/>
    <w:rsid w:val="00237F29"/>
    <w:rsid w:val="00240482"/>
    <w:rsid w:val="00240B82"/>
    <w:rsid w:val="00245F58"/>
    <w:rsid w:val="00246563"/>
    <w:rsid w:val="002477B6"/>
    <w:rsid w:val="00252A0B"/>
    <w:rsid w:val="002530D5"/>
    <w:rsid w:val="00257718"/>
    <w:rsid w:val="00263F4D"/>
    <w:rsid w:val="00264016"/>
    <w:rsid w:val="00264B39"/>
    <w:rsid w:val="00270BE4"/>
    <w:rsid w:val="00272012"/>
    <w:rsid w:val="002731FA"/>
    <w:rsid w:val="0027336A"/>
    <w:rsid w:val="00276C25"/>
    <w:rsid w:val="00277339"/>
    <w:rsid w:val="00280B85"/>
    <w:rsid w:val="00286711"/>
    <w:rsid w:val="00292E5A"/>
    <w:rsid w:val="002960AE"/>
    <w:rsid w:val="0029763C"/>
    <w:rsid w:val="002A1A9E"/>
    <w:rsid w:val="002A54D9"/>
    <w:rsid w:val="002A6F2D"/>
    <w:rsid w:val="002A7791"/>
    <w:rsid w:val="002B2C8B"/>
    <w:rsid w:val="002C07C4"/>
    <w:rsid w:val="002C1480"/>
    <w:rsid w:val="002C4CBD"/>
    <w:rsid w:val="002D021C"/>
    <w:rsid w:val="002D060C"/>
    <w:rsid w:val="002D3CC5"/>
    <w:rsid w:val="002D416D"/>
    <w:rsid w:val="002D6A4E"/>
    <w:rsid w:val="002E41C5"/>
    <w:rsid w:val="002E6457"/>
    <w:rsid w:val="002E79C1"/>
    <w:rsid w:val="00300F04"/>
    <w:rsid w:val="0030357F"/>
    <w:rsid w:val="00303FA5"/>
    <w:rsid w:val="003071A4"/>
    <w:rsid w:val="00307FF8"/>
    <w:rsid w:val="00311136"/>
    <w:rsid w:val="00312186"/>
    <w:rsid w:val="00312B8E"/>
    <w:rsid w:val="00327387"/>
    <w:rsid w:val="00330E7C"/>
    <w:rsid w:val="00330FDA"/>
    <w:rsid w:val="00331904"/>
    <w:rsid w:val="00334C04"/>
    <w:rsid w:val="00336AF0"/>
    <w:rsid w:val="00337B01"/>
    <w:rsid w:val="0034336D"/>
    <w:rsid w:val="0035730F"/>
    <w:rsid w:val="00360B18"/>
    <w:rsid w:val="003633FA"/>
    <w:rsid w:val="00370F1B"/>
    <w:rsid w:val="003710FF"/>
    <w:rsid w:val="0037221C"/>
    <w:rsid w:val="00380F96"/>
    <w:rsid w:val="0038527C"/>
    <w:rsid w:val="0039069B"/>
    <w:rsid w:val="00394AAE"/>
    <w:rsid w:val="00396D82"/>
    <w:rsid w:val="003A622E"/>
    <w:rsid w:val="003C1F7A"/>
    <w:rsid w:val="003C279E"/>
    <w:rsid w:val="003C6287"/>
    <w:rsid w:val="003C7DCA"/>
    <w:rsid w:val="003D133B"/>
    <w:rsid w:val="003D15F9"/>
    <w:rsid w:val="003D5E85"/>
    <w:rsid w:val="003D633C"/>
    <w:rsid w:val="003E273D"/>
    <w:rsid w:val="003E69C5"/>
    <w:rsid w:val="003E6D49"/>
    <w:rsid w:val="003E7008"/>
    <w:rsid w:val="003F0A39"/>
    <w:rsid w:val="003F61BF"/>
    <w:rsid w:val="003F7437"/>
    <w:rsid w:val="004013F7"/>
    <w:rsid w:val="0040229C"/>
    <w:rsid w:val="00402675"/>
    <w:rsid w:val="00403208"/>
    <w:rsid w:val="00405195"/>
    <w:rsid w:val="00407467"/>
    <w:rsid w:val="004133CB"/>
    <w:rsid w:val="00415FB8"/>
    <w:rsid w:val="004174AD"/>
    <w:rsid w:val="004229C2"/>
    <w:rsid w:val="00425ED5"/>
    <w:rsid w:val="00427086"/>
    <w:rsid w:val="00427FCF"/>
    <w:rsid w:val="00430E99"/>
    <w:rsid w:val="00431717"/>
    <w:rsid w:val="004322B1"/>
    <w:rsid w:val="004362A7"/>
    <w:rsid w:val="00436B46"/>
    <w:rsid w:val="004377A8"/>
    <w:rsid w:val="00441A37"/>
    <w:rsid w:val="00443BF1"/>
    <w:rsid w:val="004478FE"/>
    <w:rsid w:val="00451A96"/>
    <w:rsid w:val="00454018"/>
    <w:rsid w:val="00472C78"/>
    <w:rsid w:val="00473D10"/>
    <w:rsid w:val="00481A0B"/>
    <w:rsid w:val="0048384C"/>
    <w:rsid w:val="004840AD"/>
    <w:rsid w:val="004850CF"/>
    <w:rsid w:val="0049073A"/>
    <w:rsid w:val="0049248E"/>
    <w:rsid w:val="00496729"/>
    <w:rsid w:val="004A3E8C"/>
    <w:rsid w:val="004A4853"/>
    <w:rsid w:val="004A6CE7"/>
    <w:rsid w:val="004A7F8D"/>
    <w:rsid w:val="004B52E6"/>
    <w:rsid w:val="004C0774"/>
    <w:rsid w:val="004C5D1B"/>
    <w:rsid w:val="004D196F"/>
    <w:rsid w:val="004D4C3E"/>
    <w:rsid w:val="004D557F"/>
    <w:rsid w:val="004E0DDD"/>
    <w:rsid w:val="004E5C98"/>
    <w:rsid w:val="004F1625"/>
    <w:rsid w:val="004F26A1"/>
    <w:rsid w:val="004F5F72"/>
    <w:rsid w:val="004F764A"/>
    <w:rsid w:val="00500B01"/>
    <w:rsid w:val="00500E63"/>
    <w:rsid w:val="0050169C"/>
    <w:rsid w:val="005017FE"/>
    <w:rsid w:val="005025FD"/>
    <w:rsid w:val="00504123"/>
    <w:rsid w:val="0050450F"/>
    <w:rsid w:val="00505779"/>
    <w:rsid w:val="00513C2F"/>
    <w:rsid w:val="005240E7"/>
    <w:rsid w:val="00524400"/>
    <w:rsid w:val="00535200"/>
    <w:rsid w:val="00536AE2"/>
    <w:rsid w:val="005372F1"/>
    <w:rsid w:val="00537633"/>
    <w:rsid w:val="00544DDD"/>
    <w:rsid w:val="005451B1"/>
    <w:rsid w:val="00547BA2"/>
    <w:rsid w:val="0055250B"/>
    <w:rsid w:val="00564C76"/>
    <w:rsid w:val="0057101C"/>
    <w:rsid w:val="00571837"/>
    <w:rsid w:val="0057330B"/>
    <w:rsid w:val="00574FAB"/>
    <w:rsid w:val="005762C5"/>
    <w:rsid w:val="0058054D"/>
    <w:rsid w:val="00587ED6"/>
    <w:rsid w:val="00591F1C"/>
    <w:rsid w:val="0059290B"/>
    <w:rsid w:val="005A0CE9"/>
    <w:rsid w:val="005A44D6"/>
    <w:rsid w:val="005A5B3E"/>
    <w:rsid w:val="005A6B07"/>
    <w:rsid w:val="005A6B14"/>
    <w:rsid w:val="005B0930"/>
    <w:rsid w:val="005C4EB0"/>
    <w:rsid w:val="005C5819"/>
    <w:rsid w:val="005D235C"/>
    <w:rsid w:val="005D32EB"/>
    <w:rsid w:val="005D382E"/>
    <w:rsid w:val="005D7603"/>
    <w:rsid w:val="005E12ED"/>
    <w:rsid w:val="005E51B9"/>
    <w:rsid w:val="005F2F97"/>
    <w:rsid w:val="005F4406"/>
    <w:rsid w:val="005F4973"/>
    <w:rsid w:val="006022D1"/>
    <w:rsid w:val="00606854"/>
    <w:rsid w:val="00606C50"/>
    <w:rsid w:val="00610DA9"/>
    <w:rsid w:val="00615ED6"/>
    <w:rsid w:val="006227CC"/>
    <w:rsid w:val="00626825"/>
    <w:rsid w:val="00626A7E"/>
    <w:rsid w:val="00631CAE"/>
    <w:rsid w:val="006330D5"/>
    <w:rsid w:val="00633864"/>
    <w:rsid w:val="006363D0"/>
    <w:rsid w:val="0065111C"/>
    <w:rsid w:val="00653D61"/>
    <w:rsid w:val="006607F1"/>
    <w:rsid w:val="00663EE8"/>
    <w:rsid w:val="00664691"/>
    <w:rsid w:val="006662DD"/>
    <w:rsid w:val="006701D5"/>
    <w:rsid w:val="00672C5C"/>
    <w:rsid w:val="00677891"/>
    <w:rsid w:val="006871BB"/>
    <w:rsid w:val="0069691B"/>
    <w:rsid w:val="006A2EE9"/>
    <w:rsid w:val="006A3516"/>
    <w:rsid w:val="006A423A"/>
    <w:rsid w:val="006A627C"/>
    <w:rsid w:val="006A7A3B"/>
    <w:rsid w:val="006B1C63"/>
    <w:rsid w:val="006B4B42"/>
    <w:rsid w:val="006B5C78"/>
    <w:rsid w:val="006B751E"/>
    <w:rsid w:val="006C070D"/>
    <w:rsid w:val="006C4221"/>
    <w:rsid w:val="006C6D74"/>
    <w:rsid w:val="006D01A4"/>
    <w:rsid w:val="006D23F6"/>
    <w:rsid w:val="006D7912"/>
    <w:rsid w:val="006D7FE9"/>
    <w:rsid w:val="006E161C"/>
    <w:rsid w:val="006E718F"/>
    <w:rsid w:val="006E79C3"/>
    <w:rsid w:val="006F0DC1"/>
    <w:rsid w:val="006F2649"/>
    <w:rsid w:val="006F5697"/>
    <w:rsid w:val="00700ADD"/>
    <w:rsid w:val="007023EA"/>
    <w:rsid w:val="00704DDC"/>
    <w:rsid w:val="0071216D"/>
    <w:rsid w:val="00712A5F"/>
    <w:rsid w:val="00712AAF"/>
    <w:rsid w:val="00714563"/>
    <w:rsid w:val="0072142D"/>
    <w:rsid w:val="007233AC"/>
    <w:rsid w:val="0072361E"/>
    <w:rsid w:val="00724996"/>
    <w:rsid w:val="007274F6"/>
    <w:rsid w:val="00727BD7"/>
    <w:rsid w:val="0073174A"/>
    <w:rsid w:val="00733DB3"/>
    <w:rsid w:val="0073533C"/>
    <w:rsid w:val="007525AB"/>
    <w:rsid w:val="00757A1C"/>
    <w:rsid w:val="00757F18"/>
    <w:rsid w:val="00762822"/>
    <w:rsid w:val="007649D0"/>
    <w:rsid w:val="0076528A"/>
    <w:rsid w:val="0076536F"/>
    <w:rsid w:val="00765557"/>
    <w:rsid w:val="0077343F"/>
    <w:rsid w:val="0079045D"/>
    <w:rsid w:val="00790EC4"/>
    <w:rsid w:val="007938A9"/>
    <w:rsid w:val="00793E8A"/>
    <w:rsid w:val="007A23F4"/>
    <w:rsid w:val="007A3CD7"/>
    <w:rsid w:val="007A41A6"/>
    <w:rsid w:val="007A4B0A"/>
    <w:rsid w:val="007A7D19"/>
    <w:rsid w:val="007C62BC"/>
    <w:rsid w:val="007C6AE0"/>
    <w:rsid w:val="007D2B2D"/>
    <w:rsid w:val="007D4699"/>
    <w:rsid w:val="007D7A2C"/>
    <w:rsid w:val="007E0863"/>
    <w:rsid w:val="007E48AB"/>
    <w:rsid w:val="007F3655"/>
    <w:rsid w:val="007F3D9A"/>
    <w:rsid w:val="007F461E"/>
    <w:rsid w:val="007F4FD9"/>
    <w:rsid w:val="00801117"/>
    <w:rsid w:val="008043A4"/>
    <w:rsid w:val="00806D63"/>
    <w:rsid w:val="00810274"/>
    <w:rsid w:val="00813A2E"/>
    <w:rsid w:val="00816135"/>
    <w:rsid w:val="00822D92"/>
    <w:rsid w:val="0084016E"/>
    <w:rsid w:val="00842B43"/>
    <w:rsid w:val="0084752D"/>
    <w:rsid w:val="008611AB"/>
    <w:rsid w:val="00862111"/>
    <w:rsid w:val="00866000"/>
    <w:rsid w:val="00867F91"/>
    <w:rsid w:val="00876808"/>
    <w:rsid w:val="00877B8E"/>
    <w:rsid w:val="0088333F"/>
    <w:rsid w:val="0088570D"/>
    <w:rsid w:val="008878CD"/>
    <w:rsid w:val="00890238"/>
    <w:rsid w:val="00891A12"/>
    <w:rsid w:val="00896852"/>
    <w:rsid w:val="00897A13"/>
    <w:rsid w:val="008A31A0"/>
    <w:rsid w:val="008A7E85"/>
    <w:rsid w:val="008B00F0"/>
    <w:rsid w:val="008B29B9"/>
    <w:rsid w:val="008B4141"/>
    <w:rsid w:val="008B47FF"/>
    <w:rsid w:val="008B614A"/>
    <w:rsid w:val="008C062F"/>
    <w:rsid w:val="008C4C50"/>
    <w:rsid w:val="008C74B9"/>
    <w:rsid w:val="008D0C82"/>
    <w:rsid w:val="008D4329"/>
    <w:rsid w:val="008E0F90"/>
    <w:rsid w:val="008E127F"/>
    <w:rsid w:val="008E1364"/>
    <w:rsid w:val="008E63C2"/>
    <w:rsid w:val="00901D06"/>
    <w:rsid w:val="00905A86"/>
    <w:rsid w:val="009062DF"/>
    <w:rsid w:val="00906586"/>
    <w:rsid w:val="00911A9A"/>
    <w:rsid w:val="009219A1"/>
    <w:rsid w:val="00921B84"/>
    <w:rsid w:val="00924D63"/>
    <w:rsid w:val="00927DCB"/>
    <w:rsid w:val="009302DF"/>
    <w:rsid w:val="00931083"/>
    <w:rsid w:val="009361C8"/>
    <w:rsid w:val="0094308E"/>
    <w:rsid w:val="00944949"/>
    <w:rsid w:val="00946344"/>
    <w:rsid w:val="009466E7"/>
    <w:rsid w:val="0096017E"/>
    <w:rsid w:val="009635CB"/>
    <w:rsid w:val="00963855"/>
    <w:rsid w:val="00965B92"/>
    <w:rsid w:val="00965CAE"/>
    <w:rsid w:val="00970BBD"/>
    <w:rsid w:val="00974A1B"/>
    <w:rsid w:val="009759ED"/>
    <w:rsid w:val="00975F8F"/>
    <w:rsid w:val="00976960"/>
    <w:rsid w:val="00982EF6"/>
    <w:rsid w:val="0098381F"/>
    <w:rsid w:val="00990792"/>
    <w:rsid w:val="00990FAC"/>
    <w:rsid w:val="0099659E"/>
    <w:rsid w:val="009967E3"/>
    <w:rsid w:val="00997ED9"/>
    <w:rsid w:val="009A70D7"/>
    <w:rsid w:val="009C45A4"/>
    <w:rsid w:val="009D1F6E"/>
    <w:rsid w:val="009D60A2"/>
    <w:rsid w:val="009E4235"/>
    <w:rsid w:val="009E46E8"/>
    <w:rsid w:val="009E7017"/>
    <w:rsid w:val="009F0FE8"/>
    <w:rsid w:val="00A03A2A"/>
    <w:rsid w:val="00A06804"/>
    <w:rsid w:val="00A109CF"/>
    <w:rsid w:val="00A1121E"/>
    <w:rsid w:val="00A13665"/>
    <w:rsid w:val="00A1438C"/>
    <w:rsid w:val="00A16B84"/>
    <w:rsid w:val="00A16BA4"/>
    <w:rsid w:val="00A232DF"/>
    <w:rsid w:val="00A24856"/>
    <w:rsid w:val="00A3003A"/>
    <w:rsid w:val="00A301E1"/>
    <w:rsid w:val="00A33495"/>
    <w:rsid w:val="00A353D4"/>
    <w:rsid w:val="00A3774B"/>
    <w:rsid w:val="00A41FF0"/>
    <w:rsid w:val="00A430BF"/>
    <w:rsid w:val="00A43884"/>
    <w:rsid w:val="00A50E38"/>
    <w:rsid w:val="00A56EC2"/>
    <w:rsid w:val="00A62846"/>
    <w:rsid w:val="00A62CE6"/>
    <w:rsid w:val="00A639E3"/>
    <w:rsid w:val="00A63E9B"/>
    <w:rsid w:val="00A6524C"/>
    <w:rsid w:val="00A67956"/>
    <w:rsid w:val="00A7514F"/>
    <w:rsid w:val="00A7569F"/>
    <w:rsid w:val="00A765B5"/>
    <w:rsid w:val="00A81418"/>
    <w:rsid w:val="00A8461E"/>
    <w:rsid w:val="00A91FEE"/>
    <w:rsid w:val="00A92734"/>
    <w:rsid w:val="00A959CB"/>
    <w:rsid w:val="00A964C7"/>
    <w:rsid w:val="00AA614A"/>
    <w:rsid w:val="00AA70F8"/>
    <w:rsid w:val="00AA7E79"/>
    <w:rsid w:val="00AB7317"/>
    <w:rsid w:val="00AB773E"/>
    <w:rsid w:val="00AC07B3"/>
    <w:rsid w:val="00AC08D1"/>
    <w:rsid w:val="00AC4DB9"/>
    <w:rsid w:val="00AC5C34"/>
    <w:rsid w:val="00AC6DBB"/>
    <w:rsid w:val="00AD5141"/>
    <w:rsid w:val="00AE0369"/>
    <w:rsid w:val="00AE1A8A"/>
    <w:rsid w:val="00AE2A45"/>
    <w:rsid w:val="00AF0D8D"/>
    <w:rsid w:val="00AF2F0C"/>
    <w:rsid w:val="00AF3E4E"/>
    <w:rsid w:val="00AF4226"/>
    <w:rsid w:val="00AF6A6E"/>
    <w:rsid w:val="00B07B12"/>
    <w:rsid w:val="00B10FE6"/>
    <w:rsid w:val="00B12314"/>
    <w:rsid w:val="00B12A29"/>
    <w:rsid w:val="00B140F5"/>
    <w:rsid w:val="00B17B5A"/>
    <w:rsid w:val="00B17C84"/>
    <w:rsid w:val="00B17E66"/>
    <w:rsid w:val="00B17FDF"/>
    <w:rsid w:val="00B20CCB"/>
    <w:rsid w:val="00B2382C"/>
    <w:rsid w:val="00B24EFB"/>
    <w:rsid w:val="00B25FFB"/>
    <w:rsid w:val="00B3074A"/>
    <w:rsid w:val="00B32C41"/>
    <w:rsid w:val="00B401A8"/>
    <w:rsid w:val="00B43F37"/>
    <w:rsid w:val="00B4568D"/>
    <w:rsid w:val="00B50552"/>
    <w:rsid w:val="00B55CDC"/>
    <w:rsid w:val="00B575DB"/>
    <w:rsid w:val="00B6056F"/>
    <w:rsid w:val="00B627EC"/>
    <w:rsid w:val="00B65B1F"/>
    <w:rsid w:val="00B703A5"/>
    <w:rsid w:val="00B73E3F"/>
    <w:rsid w:val="00B805E6"/>
    <w:rsid w:val="00B93BEC"/>
    <w:rsid w:val="00B96F80"/>
    <w:rsid w:val="00BA09FD"/>
    <w:rsid w:val="00BA49CF"/>
    <w:rsid w:val="00BB228F"/>
    <w:rsid w:val="00BB2B94"/>
    <w:rsid w:val="00BC36F4"/>
    <w:rsid w:val="00BC48EF"/>
    <w:rsid w:val="00BC4B6C"/>
    <w:rsid w:val="00BD4340"/>
    <w:rsid w:val="00BD62BE"/>
    <w:rsid w:val="00BE5E46"/>
    <w:rsid w:val="00BE60A8"/>
    <w:rsid w:val="00BF30C9"/>
    <w:rsid w:val="00C107AB"/>
    <w:rsid w:val="00C1284E"/>
    <w:rsid w:val="00C1386F"/>
    <w:rsid w:val="00C16887"/>
    <w:rsid w:val="00C22CF4"/>
    <w:rsid w:val="00C3389C"/>
    <w:rsid w:val="00C366D5"/>
    <w:rsid w:val="00C36966"/>
    <w:rsid w:val="00C449B5"/>
    <w:rsid w:val="00C44FBE"/>
    <w:rsid w:val="00C45BAD"/>
    <w:rsid w:val="00C50932"/>
    <w:rsid w:val="00C51888"/>
    <w:rsid w:val="00C5197F"/>
    <w:rsid w:val="00C533E8"/>
    <w:rsid w:val="00C53DC6"/>
    <w:rsid w:val="00C62D89"/>
    <w:rsid w:val="00C80572"/>
    <w:rsid w:val="00C830A0"/>
    <w:rsid w:val="00C968D4"/>
    <w:rsid w:val="00CA07C8"/>
    <w:rsid w:val="00CA1888"/>
    <w:rsid w:val="00CA2B23"/>
    <w:rsid w:val="00CA56F7"/>
    <w:rsid w:val="00CB1604"/>
    <w:rsid w:val="00CB33EB"/>
    <w:rsid w:val="00CB6EE6"/>
    <w:rsid w:val="00CB7D53"/>
    <w:rsid w:val="00CC3E42"/>
    <w:rsid w:val="00CC7AC7"/>
    <w:rsid w:val="00CD01A9"/>
    <w:rsid w:val="00CD04DB"/>
    <w:rsid w:val="00CD0678"/>
    <w:rsid w:val="00CD32AD"/>
    <w:rsid w:val="00CD51F5"/>
    <w:rsid w:val="00CD7740"/>
    <w:rsid w:val="00CE2DE9"/>
    <w:rsid w:val="00CE31BE"/>
    <w:rsid w:val="00CF4E61"/>
    <w:rsid w:val="00CF5351"/>
    <w:rsid w:val="00CF6E84"/>
    <w:rsid w:val="00D031F6"/>
    <w:rsid w:val="00D0322E"/>
    <w:rsid w:val="00D033CB"/>
    <w:rsid w:val="00D151AF"/>
    <w:rsid w:val="00D247D1"/>
    <w:rsid w:val="00D24809"/>
    <w:rsid w:val="00D25826"/>
    <w:rsid w:val="00D274F4"/>
    <w:rsid w:val="00D32742"/>
    <w:rsid w:val="00D33B34"/>
    <w:rsid w:val="00D33DC1"/>
    <w:rsid w:val="00D34BAA"/>
    <w:rsid w:val="00D363B4"/>
    <w:rsid w:val="00D42E9C"/>
    <w:rsid w:val="00D473B8"/>
    <w:rsid w:val="00D524FD"/>
    <w:rsid w:val="00D52505"/>
    <w:rsid w:val="00D55DD3"/>
    <w:rsid w:val="00D60D7A"/>
    <w:rsid w:val="00D61F84"/>
    <w:rsid w:val="00D626DF"/>
    <w:rsid w:val="00D71048"/>
    <w:rsid w:val="00D7139E"/>
    <w:rsid w:val="00D71E1C"/>
    <w:rsid w:val="00D72F2B"/>
    <w:rsid w:val="00D74B4C"/>
    <w:rsid w:val="00D906A9"/>
    <w:rsid w:val="00D90CA1"/>
    <w:rsid w:val="00D91011"/>
    <w:rsid w:val="00D91C4C"/>
    <w:rsid w:val="00D93ACD"/>
    <w:rsid w:val="00D94058"/>
    <w:rsid w:val="00D9719F"/>
    <w:rsid w:val="00DA4963"/>
    <w:rsid w:val="00DA5085"/>
    <w:rsid w:val="00DA604E"/>
    <w:rsid w:val="00DB0593"/>
    <w:rsid w:val="00DB3BDF"/>
    <w:rsid w:val="00DC17D0"/>
    <w:rsid w:val="00DC5C39"/>
    <w:rsid w:val="00DC5EA9"/>
    <w:rsid w:val="00DD1D23"/>
    <w:rsid w:val="00DD218A"/>
    <w:rsid w:val="00DD5287"/>
    <w:rsid w:val="00DD7E5B"/>
    <w:rsid w:val="00DE448E"/>
    <w:rsid w:val="00DE4B54"/>
    <w:rsid w:val="00DE54DB"/>
    <w:rsid w:val="00DE5E97"/>
    <w:rsid w:val="00DE7BA8"/>
    <w:rsid w:val="00DF19EC"/>
    <w:rsid w:val="00DF279D"/>
    <w:rsid w:val="00DF3C40"/>
    <w:rsid w:val="00E03CA6"/>
    <w:rsid w:val="00E055CD"/>
    <w:rsid w:val="00E05984"/>
    <w:rsid w:val="00E0798D"/>
    <w:rsid w:val="00E10DC5"/>
    <w:rsid w:val="00E13A38"/>
    <w:rsid w:val="00E149C4"/>
    <w:rsid w:val="00E2125B"/>
    <w:rsid w:val="00E21AE7"/>
    <w:rsid w:val="00E22473"/>
    <w:rsid w:val="00E23856"/>
    <w:rsid w:val="00E2589E"/>
    <w:rsid w:val="00E269A0"/>
    <w:rsid w:val="00E26D55"/>
    <w:rsid w:val="00E348CF"/>
    <w:rsid w:val="00E40CA9"/>
    <w:rsid w:val="00E428A6"/>
    <w:rsid w:val="00E45FD3"/>
    <w:rsid w:val="00E525C8"/>
    <w:rsid w:val="00E533E1"/>
    <w:rsid w:val="00E57848"/>
    <w:rsid w:val="00E6313D"/>
    <w:rsid w:val="00E632AD"/>
    <w:rsid w:val="00E6722F"/>
    <w:rsid w:val="00E72470"/>
    <w:rsid w:val="00E74C54"/>
    <w:rsid w:val="00E75D27"/>
    <w:rsid w:val="00E76A38"/>
    <w:rsid w:val="00E80881"/>
    <w:rsid w:val="00E826C4"/>
    <w:rsid w:val="00E86DD7"/>
    <w:rsid w:val="00E87BD0"/>
    <w:rsid w:val="00E9345F"/>
    <w:rsid w:val="00E94DC5"/>
    <w:rsid w:val="00E9637B"/>
    <w:rsid w:val="00E966E2"/>
    <w:rsid w:val="00EA113C"/>
    <w:rsid w:val="00EA4A8E"/>
    <w:rsid w:val="00EB62C6"/>
    <w:rsid w:val="00EC00C3"/>
    <w:rsid w:val="00ED0D14"/>
    <w:rsid w:val="00ED2436"/>
    <w:rsid w:val="00ED3408"/>
    <w:rsid w:val="00ED3BAF"/>
    <w:rsid w:val="00ED3C9D"/>
    <w:rsid w:val="00ED4F22"/>
    <w:rsid w:val="00EE272E"/>
    <w:rsid w:val="00EE43AE"/>
    <w:rsid w:val="00F053BF"/>
    <w:rsid w:val="00F1031A"/>
    <w:rsid w:val="00F112DC"/>
    <w:rsid w:val="00F14CB7"/>
    <w:rsid w:val="00F209F4"/>
    <w:rsid w:val="00F31BF3"/>
    <w:rsid w:val="00F340C4"/>
    <w:rsid w:val="00F35245"/>
    <w:rsid w:val="00F37693"/>
    <w:rsid w:val="00F4221E"/>
    <w:rsid w:val="00F50EB7"/>
    <w:rsid w:val="00F5166D"/>
    <w:rsid w:val="00F6065B"/>
    <w:rsid w:val="00F60B49"/>
    <w:rsid w:val="00F71388"/>
    <w:rsid w:val="00F726EB"/>
    <w:rsid w:val="00F745ED"/>
    <w:rsid w:val="00F76EDE"/>
    <w:rsid w:val="00F81280"/>
    <w:rsid w:val="00F9397F"/>
    <w:rsid w:val="00F93DB1"/>
    <w:rsid w:val="00F94D00"/>
    <w:rsid w:val="00F968AE"/>
    <w:rsid w:val="00FA14E1"/>
    <w:rsid w:val="00FB3ACB"/>
    <w:rsid w:val="00FB593F"/>
    <w:rsid w:val="00FB6494"/>
    <w:rsid w:val="00FC61EC"/>
    <w:rsid w:val="00FC6DF8"/>
    <w:rsid w:val="00FC7414"/>
    <w:rsid w:val="00FC75A1"/>
    <w:rsid w:val="00FD1CA6"/>
    <w:rsid w:val="00FD55FE"/>
    <w:rsid w:val="00FD7284"/>
    <w:rsid w:val="00FE1C8D"/>
    <w:rsid w:val="00FE304D"/>
    <w:rsid w:val="00FE3EED"/>
    <w:rsid w:val="00FE5286"/>
    <w:rsid w:val="00FF28CE"/>
    <w:rsid w:val="00FF3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F6720"/>
  <w15:chartTrackingRefBased/>
  <w15:docId w15:val="{B276CFEB-C2C3-D04B-913D-268FE37C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D8C"/>
    <w:pPr>
      <w:spacing w:after="120" w:line="360"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1F1D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1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D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D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D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D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D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D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D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D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D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D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D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D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D8C"/>
    <w:rPr>
      <w:rFonts w:eastAsiaTheme="majorEastAsia" w:cstheme="majorBidi"/>
      <w:color w:val="272727" w:themeColor="text1" w:themeTint="D8"/>
    </w:rPr>
  </w:style>
  <w:style w:type="paragraph" w:styleId="Title">
    <w:name w:val="Title"/>
    <w:basedOn w:val="Normal"/>
    <w:next w:val="Normal"/>
    <w:link w:val="TitleChar"/>
    <w:uiPriority w:val="10"/>
    <w:qFormat/>
    <w:rsid w:val="001F1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D8C"/>
    <w:pPr>
      <w:spacing w:before="160"/>
      <w:jc w:val="center"/>
    </w:pPr>
    <w:rPr>
      <w:i/>
      <w:iCs/>
      <w:color w:val="404040" w:themeColor="text1" w:themeTint="BF"/>
    </w:rPr>
  </w:style>
  <w:style w:type="character" w:customStyle="1" w:styleId="QuoteChar">
    <w:name w:val="Quote Char"/>
    <w:basedOn w:val="DefaultParagraphFont"/>
    <w:link w:val="Quote"/>
    <w:uiPriority w:val="29"/>
    <w:rsid w:val="001F1D8C"/>
    <w:rPr>
      <w:i/>
      <w:iCs/>
      <w:color w:val="404040" w:themeColor="text1" w:themeTint="BF"/>
    </w:rPr>
  </w:style>
  <w:style w:type="paragraph" w:styleId="ListParagraph">
    <w:name w:val="List Paragraph"/>
    <w:basedOn w:val="Normal"/>
    <w:qFormat/>
    <w:rsid w:val="001F1D8C"/>
    <w:pPr>
      <w:ind w:left="720"/>
      <w:contextualSpacing/>
    </w:pPr>
  </w:style>
  <w:style w:type="character" w:styleId="IntenseEmphasis">
    <w:name w:val="Intense Emphasis"/>
    <w:basedOn w:val="DefaultParagraphFont"/>
    <w:uiPriority w:val="21"/>
    <w:qFormat/>
    <w:rsid w:val="001F1D8C"/>
    <w:rPr>
      <w:i/>
      <w:iCs/>
      <w:color w:val="0F4761" w:themeColor="accent1" w:themeShade="BF"/>
    </w:rPr>
  </w:style>
  <w:style w:type="paragraph" w:styleId="IntenseQuote">
    <w:name w:val="Intense Quote"/>
    <w:basedOn w:val="Normal"/>
    <w:next w:val="Normal"/>
    <w:link w:val="IntenseQuoteChar"/>
    <w:uiPriority w:val="30"/>
    <w:qFormat/>
    <w:rsid w:val="001F1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D8C"/>
    <w:rPr>
      <w:i/>
      <w:iCs/>
      <w:color w:val="0F4761" w:themeColor="accent1" w:themeShade="BF"/>
    </w:rPr>
  </w:style>
  <w:style w:type="character" w:styleId="IntenseReference">
    <w:name w:val="Intense Reference"/>
    <w:basedOn w:val="DefaultParagraphFont"/>
    <w:uiPriority w:val="32"/>
    <w:qFormat/>
    <w:rsid w:val="001F1D8C"/>
    <w:rPr>
      <w:b/>
      <w:bCs/>
      <w:smallCaps/>
      <w:color w:val="0F4761" w:themeColor="accent1" w:themeShade="BF"/>
      <w:spacing w:val="5"/>
    </w:rPr>
  </w:style>
  <w:style w:type="character" w:styleId="Hyperlink">
    <w:name w:val="Hyperlink"/>
    <w:uiPriority w:val="99"/>
    <w:unhideWhenUsed/>
    <w:rsid w:val="001F1D8C"/>
    <w:rPr>
      <w:color w:val="0563C1"/>
      <w:u w:val="single"/>
    </w:rPr>
  </w:style>
  <w:style w:type="paragraph" w:styleId="Caption">
    <w:name w:val="caption"/>
    <w:qFormat/>
    <w:rsid w:val="001F1D8C"/>
    <w:pPr>
      <w:spacing w:line="360" w:lineRule="auto"/>
    </w:pPr>
    <w:rPr>
      <w:rFonts w:ascii="Arial" w:eastAsia="Arial" w:hAnsi="Arial" w:cs="Arial"/>
      <w:i/>
      <w:iCs/>
      <w:color w:val="404040"/>
      <w:kern w:val="0"/>
      <w:sz w:val="20"/>
      <w:szCs w:val="20"/>
      <w:lang w:eastAsia="en-GB"/>
      <w14:ligatures w14:val="none"/>
    </w:rPr>
  </w:style>
  <w:style w:type="paragraph" w:styleId="TOC1">
    <w:name w:val="toc 1"/>
    <w:basedOn w:val="Normal"/>
    <w:next w:val="Normal"/>
    <w:autoRedefine/>
    <w:uiPriority w:val="39"/>
    <w:unhideWhenUsed/>
    <w:rsid w:val="001F1D8C"/>
    <w:pPr>
      <w:spacing w:after="100"/>
    </w:pPr>
  </w:style>
  <w:style w:type="paragraph" w:styleId="TOC2">
    <w:name w:val="toc 2"/>
    <w:basedOn w:val="Normal"/>
    <w:next w:val="Normal"/>
    <w:autoRedefine/>
    <w:uiPriority w:val="39"/>
    <w:unhideWhenUsed/>
    <w:rsid w:val="001F1D8C"/>
    <w:pPr>
      <w:spacing w:after="100"/>
      <w:ind w:left="240"/>
    </w:pPr>
  </w:style>
  <w:style w:type="character" w:customStyle="1" w:styleId="apple-converted-space">
    <w:name w:val="apple-converted-space"/>
    <w:basedOn w:val="DefaultParagraphFont"/>
    <w:rsid w:val="004C5D1B"/>
  </w:style>
  <w:style w:type="paragraph" w:styleId="Header">
    <w:name w:val="header"/>
    <w:basedOn w:val="Normal"/>
    <w:link w:val="HeaderChar"/>
    <w:uiPriority w:val="99"/>
    <w:unhideWhenUsed/>
    <w:rsid w:val="00C10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7AB"/>
    <w:rPr>
      <w:rFonts w:ascii="Arial" w:eastAsia="Arial" w:hAnsi="Arial" w:cs="Arial"/>
      <w:kern w:val="0"/>
      <w:lang w:eastAsia="en-GB"/>
      <w14:ligatures w14:val="none"/>
    </w:rPr>
  </w:style>
  <w:style w:type="paragraph" w:styleId="Footer">
    <w:name w:val="footer"/>
    <w:basedOn w:val="Normal"/>
    <w:link w:val="FooterChar"/>
    <w:uiPriority w:val="99"/>
    <w:unhideWhenUsed/>
    <w:rsid w:val="00C10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7AB"/>
    <w:rPr>
      <w:rFonts w:ascii="Arial" w:eastAsia="Arial" w:hAnsi="Arial" w:cs="Arial"/>
      <w:kern w:val="0"/>
      <w:lang w:eastAsia="en-GB"/>
      <w14:ligatures w14:val="none"/>
    </w:rPr>
  </w:style>
  <w:style w:type="character" w:customStyle="1" w:styleId="mord">
    <w:name w:val="mord"/>
    <w:basedOn w:val="DefaultParagraphFont"/>
    <w:rsid w:val="00B805E6"/>
  </w:style>
  <w:style w:type="character" w:styleId="PlaceholderText">
    <w:name w:val="Placeholder Text"/>
    <w:basedOn w:val="DefaultParagraphFont"/>
    <w:uiPriority w:val="99"/>
    <w:semiHidden/>
    <w:rsid w:val="00B805E6"/>
    <w:rPr>
      <w:color w:val="666666"/>
    </w:rPr>
  </w:style>
  <w:style w:type="character" w:styleId="Strong">
    <w:name w:val="Strong"/>
    <w:basedOn w:val="DefaultParagraphFont"/>
    <w:uiPriority w:val="22"/>
    <w:qFormat/>
    <w:rsid w:val="00123D5E"/>
    <w:rPr>
      <w:b/>
      <w:bCs/>
    </w:rPr>
  </w:style>
  <w:style w:type="character" w:styleId="Emphasis">
    <w:name w:val="Emphasis"/>
    <w:basedOn w:val="DefaultParagraphFont"/>
    <w:uiPriority w:val="20"/>
    <w:qFormat/>
    <w:rsid w:val="000B686D"/>
    <w:rPr>
      <w:i/>
      <w:iCs/>
    </w:rPr>
  </w:style>
  <w:style w:type="paragraph" w:styleId="TableofFigures">
    <w:name w:val="table of figures"/>
    <w:basedOn w:val="Normal"/>
    <w:next w:val="Normal"/>
    <w:uiPriority w:val="99"/>
    <w:unhideWhenUsed/>
    <w:rsid w:val="00CA07C8"/>
    <w:pPr>
      <w:spacing w:after="0"/>
    </w:pPr>
  </w:style>
  <w:style w:type="character" w:customStyle="1" w:styleId="mbin">
    <w:name w:val="mbin"/>
    <w:basedOn w:val="DefaultParagraphFont"/>
    <w:rsid w:val="00990792"/>
  </w:style>
  <w:style w:type="paragraph" w:styleId="NormalWeb">
    <w:name w:val="Normal (Web)"/>
    <w:basedOn w:val="Normal"/>
    <w:uiPriority w:val="99"/>
    <w:semiHidden/>
    <w:unhideWhenUsed/>
    <w:rsid w:val="00B32C41"/>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www.montana.edu/composites/documents/3D%20Static%20Property%20Report-2.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EFB2D-F51F-0047-849D-4E1C74D2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703</TotalTime>
  <Pages>27</Pages>
  <Words>5924</Words>
  <Characters>34870</Characters>
  <Application>Microsoft Office Word</Application>
  <DocSecurity>0</DocSecurity>
  <Lines>692</Lines>
  <Paragraphs>277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Pugh (2221728)</dc:creator>
  <cp:keywords/>
  <dc:description/>
  <cp:lastModifiedBy>Antony Pugh</cp:lastModifiedBy>
  <cp:revision>681</cp:revision>
  <dcterms:created xsi:type="dcterms:W3CDTF">2026-06-06T15:12:00Z</dcterms:created>
  <dcterms:modified xsi:type="dcterms:W3CDTF">2026-09-06T18:48:00Z</dcterms:modified>
  <cp:category/>
</cp:coreProperties>
</file>