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8831B" w14:textId="725CDACF" w:rsidR="001570B8" w:rsidRPr="001570B8" w:rsidRDefault="00046E67" w:rsidP="001570B8">
      <w:pPr>
        <w:rPr>
          <w:rFonts w:ascii="Arial" w:hAnsi="Arial" w:cs="Arial"/>
          <w:b/>
          <w:bCs/>
        </w:rPr>
      </w:pPr>
      <w:r>
        <w:rPr>
          <w:rFonts w:ascii="Arial" w:hAnsi="Arial" w:cs="Arial"/>
          <w:b/>
          <w:bCs/>
        </w:rPr>
        <w:t>BSc</w:t>
      </w:r>
      <w:r w:rsidR="00630168">
        <w:rPr>
          <w:rFonts w:ascii="Arial" w:hAnsi="Arial" w:cs="Arial"/>
          <w:b/>
          <w:bCs/>
        </w:rPr>
        <w:t xml:space="preserve"> Health and Social care </w:t>
      </w:r>
    </w:p>
    <w:p w14:paraId="00C2D9D2" w14:textId="2590E243" w:rsidR="001570B8" w:rsidRDefault="00C95F5D" w:rsidP="001570B8">
      <w:pPr>
        <w:rPr>
          <w:rFonts w:ascii="Arial" w:hAnsi="Arial" w:cs="Arial"/>
          <w:b/>
          <w:bCs/>
        </w:rPr>
      </w:pPr>
      <w:r>
        <w:rPr>
          <w:rFonts w:ascii="Arial" w:hAnsi="Arial" w:cs="Arial"/>
          <w:b/>
          <w:bCs/>
        </w:rPr>
        <w:t xml:space="preserve">Principles of health and social care </w:t>
      </w:r>
      <w:r w:rsidR="00046E67">
        <w:rPr>
          <w:rFonts w:ascii="Arial" w:hAnsi="Arial" w:cs="Arial"/>
          <w:b/>
          <w:bCs/>
        </w:rPr>
        <w:t xml:space="preserve">practise </w:t>
      </w:r>
    </w:p>
    <w:p w14:paraId="6A81EBC5" w14:textId="2207B491" w:rsidR="00046E67" w:rsidRPr="001570B8" w:rsidRDefault="00046E67" w:rsidP="001570B8">
      <w:pPr>
        <w:rPr>
          <w:rFonts w:ascii="Arial" w:hAnsi="Arial" w:cs="Arial"/>
          <w:b/>
          <w:bCs/>
        </w:rPr>
      </w:pPr>
      <w:r>
        <w:rPr>
          <w:rFonts w:ascii="Arial" w:hAnsi="Arial" w:cs="Arial"/>
          <w:b/>
          <w:bCs/>
        </w:rPr>
        <w:t>BMHP5016</w:t>
      </w:r>
    </w:p>
    <w:p w14:paraId="4E2AF72C" w14:textId="63BDDA4D" w:rsidR="001570B8" w:rsidRPr="001570B8" w:rsidRDefault="001570B8" w:rsidP="001570B8">
      <w:pPr>
        <w:rPr>
          <w:rFonts w:ascii="Arial" w:hAnsi="Arial" w:cs="Arial"/>
        </w:rPr>
      </w:pPr>
      <w:r w:rsidRPr="001570B8">
        <w:rPr>
          <w:rFonts w:ascii="Arial" w:hAnsi="Arial" w:cs="Arial"/>
          <w:b/>
          <w:bCs/>
        </w:rPr>
        <w:t xml:space="preserve">Student Number: </w:t>
      </w:r>
      <w:r w:rsidR="00684559">
        <w:rPr>
          <w:rFonts w:ascii="Arial" w:hAnsi="Arial" w:cs="Arial"/>
        </w:rPr>
        <w:t>2410084</w:t>
      </w:r>
    </w:p>
    <w:p w14:paraId="6159416E" w14:textId="3484B202" w:rsidR="001570B8" w:rsidRPr="001570B8" w:rsidRDefault="001570B8" w:rsidP="001570B8">
      <w:pPr>
        <w:rPr>
          <w:rFonts w:ascii="Arial" w:hAnsi="Arial" w:cs="Arial"/>
        </w:rPr>
      </w:pPr>
      <w:r w:rsidRPr="001570B8">
        <w:rPr>
          <w:rFonts w:ascii="Arial" w:hAnsi="Arial" w:cs="Arial"/>
          <w:b/>
          <w:bCs/>
        </w:rPr>
        <w:t>Student Name:</w:t>
      </w:r>
      <w:r w:rsidR="00684559">
        <w:rPr>
          <w:rFonts w:ascii="Arial" w:hAnsi="Arial" w:cs="Arial"/>
        </w:rPr>
        <w:t xml:space="preserve"> Kiera Handley</w:t>
      </w:r>
    </w:p>
    <w:p w14:paraId="382FF439" w14:textId="77777777" w:rsidR="001570B8" w:rsidRPr="001570B8" w:rsidRDefault="001570B8" w:rsidP="001570B8">
      <w:pPr>
        <w:rPr>
          <w:rFonts w:ascii="Arial" w:hAnsi="Arial" w:cs="Arial"/>
          <w:b/>
          <w:bCs/>
        </w:rPr>
      </w:pPr>
    </w:p>
    <w:p w14:paraId="4039FF13" w14:textId="5B74EBA5" w:rsidR="001570B8" w:rsidRPr="001570B8" w:rsidRDefault="00040C49" w:rsidP="001570B8">
      <w:pPr>
        <w:rPr>
          <w:rFonts w:ascii="Arial" w:hAnsi="Arial" w:cs="Arial"/>
          <w:b/>
          <w:bCs/>
          <w:lang w:val="fr-FR"/>
        </w:rPr>
      </w:pPr>
      <w:r>
        <w:rPr>
          <w:rFonts w:ascii="Arial" w:hAnsi="Arial" w:cs="Arial"/>
          <w:b/>
          <w:bCs/>
          <w:lang w:val="fr-FR"/>
        </w:rPr>
        <w:t>Refe</w:t>
      </w:r>
      <w:r w:rsidR="003D53FC">
        <w:rPr>
          <w:rFonts w:ascii="Arial" w:hAnsi="Arial" w:cs="Arial"/>
          <w:b/>
          <w:bCs/>
          <w:lang w:val="fr-FR"/>
        </w:rPr>
        <w:t>lction</w:t>
      </w:r>
      <w:r w:rsidR="00684559" w:rsidRPr="000E563C">
        <w:rPr>
          <w:rFonts w:ascii="Arial" w:hAnsi="Arial" w:cs="Arial"/>
          <w:b/>
          <w:bCs/>
          <w:lang w:val="fr-FR"/>
        </w:rPr>
        <w:t xml:space="preserve"> report </w:t>
      </w:r>
    </w:p>
    <w:p w14:paraId="40D39133" w14:textId="032FC263" w:rsidR="001570B8" w:rsidRPr="001570B8" w:rsidRDefault="001570B8" w:rsidP="001570B8">
      <w:pPr>
        <w:rPr>
          <w:rFonts w:ascii="Arial" w:hAnsi="Arial" w:cs="Arial"/>
          <w:lang w:val="fr-FR"/>
        </w:rPr>
      </w:pPr>
      <w:proofErr w:type="gramStart"/>
      <w:r w:rsidRPr="001570B8">
        <w:rPr>
          <w:rFonts w:ascii="Arial" w:hAnsi="Arial" w:cs="Arial"/>
          <w:b/>
          <w:bCs/>
          <w:lang w:val="fr-FR"/>
        </w:rPr>
        <w:t>Date</w:t>
      </w:r>
      <w:r w:rsidR="000E563C" w:rsidRPr="000E563C">
        <w:rPr>
          <w:rFonts w:ascii="Arial" w:hAnsi="Arial" w:cs="Arial"/>
          <w:b/>
          <w:bCs/>
          <w:lang w:val="fr-FR"/>
        </w:rPr>
        <w:t>:</w:t>
      </w:r>
      <w:proofErr w:type="gramEnd"/>
      <w:r w:rsidR="000E563C" w:rsidRPr="000E563C">
        <w:rPr>
          <w:rFonts w:ascii="Arial" w:hAnsi="Arial" w:cs="Arial"/>
          <w:b/>
          <w:bCs/>
          <w:lang w:val="fr-FR"/>
        </w:rPr>
        <w:t xml:space="preserve"> </w:t>
      </w:r>
      <w:r w:rsidR="000E563C" w:rsidRPr="000E563C">
        <w:rPr>
          <w:rFonts w:ascii="Arial" w:hAnsi="Arial" w:cs="Arial"/>
          <w:lang w:val="fr-FR"/>
        </w:rPr>
        <w:t>27/02/2026</w:t>
      </w:r>
    </w:p>
    <w:p w14:paraId="75591C93" w14:textId="77777777" w:rsidR="00B75BCC" w:rsidRPr="000E563C" w:rsidRDefault="00B75BCC" w:rsidP="0081427E">
      <w:pPr>
        <w:rPr>
          <w:rFonts w:ascii="Arial" w:hAnsi="Arial" w:cs="Arial"/>
          <w:lang w:val="fr-FR"/>
        </w:rPr>
      </w:pPr>
    </w:p>
    <w:p w14:paraId="796B1FFC" w14:textId="77777777" w:rsidR="00B75BCC" w:rsidRPr="000E563C" w:rsidRDefault="00B75BCC" w:rsidP="0081427E">
      <w:pPr>
        <w:rPr>
          <w:rFonts w:ascii="Arial" w:hAnsi="Arial" w:cs="Arial"/>
          <w:lang w:val="fr-FR"/>
        </w:rPr>
      </w:pPr>
    </w:p>
    <w:p w14:paraId="110C4B31" w14:textId="77777777" w:rsidR="00B75BCC" w:rsidRPr="000E563C" w:rsidRDefault="00B75BCC" w:rsidP="0081427E">
      <w:pPr>
        <w:rPr>
          <w:rFonts w:ascii="Arial" w:hAnsi="Arial" w:cs="Arial"/>
          <w:lang w:val="fr-FR"/>
        </w:rPr>
      </w:pPr>
    </w:p>
    <w:p w14:paraId="556EFE51" w14:textId="77777777" w:rsidR="00B75BCC" w:rsidRPr="000E563C" w:rsidRDefault="00B75BCC" w:rsidP="0081427E">
      <w:pPr>
        <w:rPr>
          <w:rFonts w:ascii="Arial" w:hAnsi="Arial" w:cs="Arial"/>
          <w:lang w:val="fr-FR"/>
        </w:rPr>
      </w:pPr>
    </w:p>
    <w:p w14:paraId="344F8C3E" w14:textId="77777777" w:rsidR="00B75BCC" w:rsidRPr="000E563C" w:rsidRDefault="00B75BCC" w:rsidP="0081427E">
      <w:pPr>
        <w:rPr>
          <w:rFonts w:ascii="Arial" w:hAnsi="Arial" w:cs="Arial"/>
          <w:lang w:val="fr-FR"/>
        </w:rPr>
      </w:pPr>
    </w:p>
    <w:p w14:paraId="796C02B1" w14:textId="77777777" w:rsidR="00B75BCC" w:rsidRPr="000E563C" w:rsidRDefault="00B75BCC" w:rsidP="0081427E">
      <w:pPr>
        <w:rPr>
          <w:rFonts w:ascii="Arial" w:hAnsi="Arial" w:cs="Arial"/>
          <w:lang w:val="fr-FR"/>
        </w:rPr>
      </w:pPr>
    </w:p>
    <w:p w14:paraId="6554614E" w14:textId="77777777" w:rsidR="00B75BCC" w:rsidRPr="000E563C" w:rsidRDefault="00B75BCC" w:rsidP="0081427E">
      <w:pPr>
        <w:rPr>
          <w:rFonts w:ascii="Arial" w:hAnsi="Arial" w:cs="Arial"/>
          <w:lang w:val="fr-FR"/>
        </w:rPr>
      </w:pPr>
    </w:p>
    <w:p w14:paraId="52A16C25" w14:textId="77777777" w:rsidR="00B75BCC" w:rsidRPr="000E563C" w:rsidRDefault="00B75BCC" w:rsidP="0081427E">
      <w:pPr>
        <w:rPr>
          <w:rFonts w:ascii="Arial" w:hAnsi="Arial" w:cs="Arial"/>
          <w:lang w:val="fr-FR"/>
        </w:rPr>
      </w:pPr>
    </w:p>
    <w:p w14:paraId="50E72EAB" w14:textId="77777777" w:rsidR="00B75BCC" w:rsidRPr="000E563C" w:rsidRDefault="00B75BCC" w:rsidP="0081427E">
      <w:pPr>
        <w:rPr>
          <w:rFonts w:ascii="Arial" w:hAnsi="Arial" w:cs="Arial"/>
          <w:lang w:val="fr-FR"/>
        </w:rPr>
      </w:pPr>
    </w:p>
    <w:p w14:paraId="326CC41C" w14:textId="77777777" w:rsidR="00B75BCC" w:rsidRPr="000E563C" w:rsidRDefault="00B75BCC" w:rsidP="0081427E">
      <w:pPr>
        <w:rPr>
          <w:rFonts w:ascii="Arial" w:hAnsi="Arial" w:cs="Arial"/>
          <w:lang w:val="fr-FR"/>
        </w:rPr>
      </w:pPr>
    </w:p>
    <w:p w14:paraId="11F437D2" w14:textId="77777777" w:rsidR="004F384E" w:rsidRPr="000E563C" w:rsidRDefault="004F384E" w:rsidP="0081427E">
      <w:pPr>
        <w:rPr>
          <w:rFonts w:ascii="Arial" w:hAnsi="Arial" w:cs="Arial"/>
          <w:lang w:val="fr-FR"/>
        </w:rPr>
      </w:pPr>
    </w:p>
    <w:p w14:paraId="7623082F" w14:textId="77777777" w:rsidR="004F384E" w:rsidRPr="000E563C" w:rsidRDefault="004F384E" w:rsidP="0081427E">
      <w:pPr>
        <w:rPr>
          <w:rFonts w:ascii="Arial" w:hAnsi="Arial" w:cs="Arial"/>
          <w:lang w:val="fr-FR"/>
        </w:rPr>
      </w:pPr>
    </w:p>
    <w:p w14:paraId="7FD28EE7" w14:textId="77777777" w:rsidR="004F384E" w:rsidRPr="000E563C" w:rsidRDefault="004F384E" w:rsidP="0081427E">
      <w:pPr>
        <w:rPr>
          <w:rFonts w:ascii="Arial" w:hAnsi="Arial" w:cs="Arial"/>
          <w:lang w:val="fr-FR"/>
        </w:rPr>
      </w:pPr>
    </w:p>
    <w:p w14:paraId="4AA96116" w14:textId="77777777" w:rsidR="004F384E" w:rsidRPr="000E563C" w:rsidRDefault="004F384E" w:rsidP="0081427E">
      <w:pPr>
        <w:rPr>
          <w:rFonts w:ascii="Arial" w:hAnsi="Arial" w:cs="Arial"/>
          <w:lang w:val="fr-FR"/>
        </w:rPr>
      </w:pPr>
    </w:p>
    <w:p w14:paraId="5E480C63" w14:textId="77777777" w:rsidR="004F384E" w:rsidRPr="000E563C" w:rsidRDefault="004F384E" w:rsidP="0081427E">
      <w:pPr>
        <w:rPr>
          <w:rFonts w:ascii="Arial" w:hAnsi="Arial" w:cs="Arial"/>
          <w:lang w:val="fr-FR"/>
        </w:rPr>
      </w:pPr>
    </w:p>
    <w:p w14:paraId="3FBAE04E" w14:textId="77777777" w:rsidR="004F384E" w:rsidRPr="000E563C" w:rsidRDefault="004F384E" w:rsidP="0081427E">
      <w:pPr>
        <w:rPr>
          <w:rFonts w:ascii="Arial" w:hAnsi="Arial" w:cs="Arial"/>
          <w:lang w:val="fr-FR"/>
        </w:rPr>
      </w:pPr>
    </w:p>
    <w:p w14:paraId="374EC0A2" w14:textId="77777777" w:rsidR="004F384E" w:rsidRPr="000E563C" w:rsidRDefault="004F384E" w:rsidP="0081427E">
      <w:pPr>
        <w:rPr>
          <w:rFonts w:ascii="Arial" w:hAnsi="Arial" w:cs="Arial"/>
          <w:lang w:val="fr-FR"/>
        </w:rPr>
      </w:pPr>
    </w:p>
    <w:p w14:paraId="4BB66F70" w14:textId="77777777" w:rsidR="004F384E" w:rsidRPr="000E563C" w:rsidRDefault="004F384E" w:rsidP="0081427E">
      <w:pPr>
        <w:rPr>
          <w:rFonts w:ascii="Arial" w:hAnsi="Arial" w:cs="Arial"/>
          <w:lang w:val="fr-FR"/>
        </w:rPr>
      </w:pPr>
    </w:p>
    <w:p w14:paraId="4D8B9470" w14:textId="77777777" w:rsidR="004F384E" w:rsidRPr="000E563C" w:rsidRDefault="004F384E" w:rsidP="0081427E">
      <w:pPr>
        <w:rPr>
          <w:rFonts w:ascii="Arial" w:hAnsi="Arial" w:cs="Arial"/>
          <w:lang w:val="fr-FR"/>
        </w:rPr>
      </w:pPr>
    </w:p>
    <w:p w14:paraId="391934B2" w14:textId="77777777" w:rsidR="004F384E" w:rsidRPr="000E563C" w:rsidRDefault="004F384E" w:rsidP="0081427E">
      <w:pPr>
        <w:rPr>
          <w:rFonts w:ascii="Arial" w:hAnsi="Arial" w:cs="Arial"/>
          <w:lang w:val="fr-FR"/>
        </w:rPr>
      </w:pPr>
    </w:p>
    <w:p w14:paraId="0F23CFDA" w14:textId="77777777" w:rsidR="004F384E" w:rsidRPr="000E563C" w:rsidRDefault="004F384E" w:rsidP="0081427E">
      <w:pPr>
        <w:rPr>
          <w:rFonts w:ascii="Arial" w:hAnsi="Arial" w:cs="Arial"/>
          <w:lang w:val="fr-FR"/>
        </w:rPr>
      </w:pPr>
    </w:p>
    <w:p w14:paraId="72E2F481" w14:textId="1B7A95EC" w:rsidR="004F384E" w:rsidRPr="000E563C" w:rsidRDefault="004F384E" w:rsidP="0081427E">
      <w:pPr>
        <w:rPr>
          <w:rFonts w:ascii="Arial" w:hAnsi="Arial" w:cs="Arial"/>
          <w:b/>
          <w:bCs/>
          <w:sz w:val="36"/>
          <w:szCs w:val="36"/>
          <w:lang w:val="fr-FR"/>
        </w:rPr>
      </w:pPr>
    </w:p>
    <w:p w14:paraId="153333FC" w14:textId="77777777" w:rsidR="00F67649" w:rsidRDefault="00F67649" w:rsidP="0081427E">
      <w:pPr>
        <w:rPr>
          <w:rFonts w:ascii="Arial" w:hAnsi="Arial" w:cs="Arial"/>
          <w:lang w:val="fr-FR"/>
        </w:rPr>
      </w:pPr>
    </w:p>
    <w:p w14:paraId="0CACFF6D" w14:textId="6F1F0C99" w:rsidR="0081427E" w:rsidRPr="0081427E" w:rsidRDefault="0081427E" w:rsidP="0081427E">
      <w:pPr>
        <w:rPr>
          <w:rFonts w:ascii="Arial" w:hAnsi="Arial" w:cs="Arial"/>
        </w:rPr>
      </w:pPr>
      <w:r w:rsidRPr="0081427E">
        <w:rPr>
          <w:rFonts w:ascii="Arial" w:hAnsi="Arial" w:cs="Arial"/>
        </w:rPr>
        <w:lastRenderedPageBreak/>
        <w:t xml:space="preserve">Health and social care in the United Kingdom </w:t>
      </w:r>
      <w:proofErr w:type="gramStart"/>
      <w:r w:rsidRPr="0081427E">
        <w:rPr>
          <w:rFonts w:ascii="Arial" w:hAnsi="Arial" w:cs="Arial"/>
        </w:rPr>
        <w:t>is</w:t>
      </w:r>
      <w:proofErr w:type="gramEnd"/>
      <w:r w:rsidRPr="0081427E">
        <w:rPr>
          <w:rFonts w:ascii="Arial" w:hAnsi="Arial" w:cs="Arial"/>
        </w:rPr>
        <w:t xml:space="preserve"> built on important principles that aim to protect the wellbeing, safety and rights of individuals who use services. These principles help professionals deliver support that is respectful, </w:t>
      </w:r>
      <w:r w:rsidRPr="005A7D37">
        <w:rPr>
          <w:rFonts w:ascii="Arial" w:hAnsi="Arial" w:cs="Arial"/>
        </w:rPr>
        <w:t>effective,</w:t>
      </w:r>
      <w:r w:rsidRPr="0081427E">
        <w:rPr>
          <w:rFonts w:ascii="Arial" w:hAnsi="Arial" w:cs="Arial"/>
        </w:rPr>
        <w:t xml:space="preserve"> and legally compliant. Three of the most significant principles in this field are person</w:t>
      </w:r>
      <w:r w:rsidRPr="0081427E">
        <w:rPr>
          <w:rFonts w:ascii="Arial" w:hAnsi="Arial" w:cs="Arial"/>
        </w:rPr>
        <w:noBreakHyphen/>
        <w:t xml:space="preserve">centred care, partnership working and ethical practice. These principles are widely recognised in national guidance, </w:t>
      </w:r>
      <w:r w:rsidRPr="005A7D37">
        <w:rPr>
          <w:rFonts w:ascii="Arial" w:hAnsi="Arial" w:cs="Arial"/>
        </w:rPr>
        <w:t>legislation,</w:t>
      </w:r>
      <w:r w:rsidRPr="0081427E">
        <w:rPr>
          <w:rFonts w:ascii="Arial" w:hAnsi="Arial" w:cs="Arial"/>
        </w:rPr>
        <w:t xml:space="preserve"> and professional standards, and they influence how care is planned, </w:t>
      </w:r>
      <w:r w:rsidR="00185359" w:rsidRPr="005A7D37">
        <w:rPr>
          <w:rFonts w:ascii="Arial" w:hAnsi="Arial" w:cs="Arial"/>
        </w:rPr>
        <w:t>delivered,</w:t>
      </w:r>
      <w:r w:rsidRPr="0081427E">
        <w:rPr>
          <w:rFonts w:ascii="Arial" w:hAnsi="Arial" w:cs="Arial"/>
        </w:rPr>
        <w:t xml:space="preserve"> and reviewed (NICE, 2023; HCPC, 2024). The aim of this report is to explore why these principles matter, how they are used in practice and how they have influenced my own development as a future health and social care practitioner.</w:t>
      </w:r>
    </w:p>
    <w:p w14:paraId="63CFBF2E" w14:textId="66ECBE49" w:rsidR="0081427E" w:rsidRPr="0081427E" w:rsidRDefault="0081427E" w:rsidP="0081427E">
      <w:pPr>
        <w:rPr>
          <w:rFonts w:ascii="Arial" w:hAnsi="Arial" w:cs="Arial"/>
        </w:rPr>
      </w:pPr>
      <w:r w:rsidRPr="0081427E">
        <w:rPr>
          <w:rFonts w:ascii="Arial" w:hAnsi="Arial" w:cs="Arial"/>
        </w:rPr>
        <w:t xml:space="preserve">The report refers to legislation such as the Care Act 2014 and the Health and Care Act 2022, which set out clear expectations for promoting wellbeing, protecting </w:t>
      </w:r>
      <w:r w:rsidRPr="005A7D37">
        <w:rPr>
          <w:rFonts w:ascii="Arial" w:hAnsi="Arial" w:cs="Arial"/>
        </w:rPr>
        <w:t>rights,</w:t>
      </w:r>
      <w:r w:rsidRPr="0081427E">
        <w:rPr>
          <w:rFonts w:ascii="Arial" w:hAnsi="Arial" w:cs="Arial"/>
        </w:rPr>
        <w:t xml:space="preserve"> and improving the quality and coordination of support. These laws help ensure that practice is safe and accountable. The discussion also draws on theories including Maslow’s Hierarchy of Needs (Maslow, 1943), which highlights the importance of meeting basic and emotional needs, and Bronfenbrenner’s Ecological Systems Theory (Bronfenbrenner, 1979), which shows how different environments influence a person’s development and care experience. Understanding these theories helps explain why people require support that is both holistic and responsive.</w:t>
      </w:r>
    </w:p>
    <w:p w14:paraId="33E62599" w14:textId="4A3D01AB" w:rsidR="0081427E" w:rsidRPr="0081427E" w:rsidRDefault="0081427E" w:rsidP="0081427E">
      <w:pPr>
        <w:rPr>
          <w:rFonts w:ascii="Arial" w:hAnsi="Arial" w:cs="Arial"/>
        </w:rPr>
      </w:pPr>
      <w:r w:rsidRPr="0081427E">
        <w:rPr>
          <w:rFonts w:ascii="Arial" w:hAnsi="Arial" w:cs="Arial"/>
        </w:rPr>
        <w:t>A case study from the Social Care Institute for Excellence (SCIE, 2023) is used to demonstrate how these principles work in real settings. This example helps show how person</w:t>
      </w:r>
      <w:r w:rsidRPr="0081427E">
        <w:rPr>
          <w:rFonts w:ascii="Arial" w:hAnsi="Arial" w:cs="Arial"/>
        </w:rPr>
        <w:noBreakHyphen/>
        <w:t xml:space="preserve">centred approaches, </w:t>
      </w:r>
      <w:r w:rsidRPr="005A7D37">
        <w:rPr>
          <w:rFonts w:ascii="Arial" w:hAnsi="Arial" w:cs="Arial"/>
        </w:rPr>
        <w:t>teamwork,</w:t>
      </w:r>
      <w:r w:rsidRPr="0081427E">
        <w:rPr>
          <w:rFonts w:ascii="Arial" w:hAnsi="Arial" w:cs="Arial"/>
        </w:rPr>
        <w:t xml:space="preserve"> and ethical decision</w:t>
      </w:r>
      <w:r w:rsidRPr="0081427E">
        <w:rPr>
          <w:rFonts w:ascii="Arial" w:hAnsi="Arial" w:cs="Arial"/>
        </w:rPr>
        <w:noBreakHyphen/>
        <w:t xml:space="preserve">making can improve the daily lives of vulnerable individuals. The report concludes with a personal reflection using Gibbs’ Reflective Cycle, which allows me to consider how my skills are developing and what areas I still need to improve </w:t>
      </w:r>
      <w:proofErr w:type="gramStart"/>
      <w:r w:rsidRPr="0081427E">
        <w:rPr>
          <w:rFonts w:ascii="Arial" w:hAnsi="Arial" w:cs="Arial"/>
        </w:rPr>
        <w:t>in order to</w:t>
      </w:r>
      <w:proofErr w:type="gramEnd"/>
      <w:r w:rsidRPr="0081427E">
        <w:rPr>
          <w:rFonts w:ascii="Arial" w:hAnsi="Arial" w:cs="Arial"/>
        </w:rPr>
        <w:t xml:space="preserve"> deliver safe, </w:t>
      </w:r>
      <w:r w:rsidR="00EF59CD" w:rsidRPr="005A7D37">
        <w:rPr>
          <w:rFonts w:ascii="Arial" w:hAnsi="Arial" w:cs="Arial"/>
        </w:rPr>
        <w:t>effective,</w:t>
      </w:r>
      <w:r w:rsidRPr="0081427E">
        <w:rPr>
          <w:rFonts w:ascii="Arial" w:hAnsi="Arial" w:cs="Arial"/>
        </w:rPr>
        <w:t xml:space="preserve"> and compassionate care in the future.</w:t>
      </w:r>
    </w:p>
    <w:p w14:paraId="00EEDBC3" w14:textId="77777777" w:rsidR="0081427E" w:rsidRPr="005A7D37" w:rsidRDefault="0081427E" w:rsidP="00DC51E9">
      <w:pPr>
        <w:rPr>
          <w:rFonts w:ascii="Arial" w:hAnsi="Arial" w:cs="Arial"/>
        </w:rPr>
      </w:pPr>
    </w:p>
    <w:p w14:paraId="056F7FB2" w14:textId="462E985C" w:rsidR="00DC51E9" w:rsidRPr="00DC51E9" w:rsidRDefault="00DC51E9" w:rsidP="00DC51E9">
      <w:pPr>
        <w:rPr>
          <w:rFonts w:ascii="Arial" w:hAnsi="Arial" w:cs="Arial"/>
        </w:rPr>
      </w:pPr>
      <w:r w:rsidRPr="00DC51E9">
        <w:rPr>
          <w:rFonts w:ascii="Arial" w:hAnsi="Arial" w:cs="Arial"/>
        </w:rPr>
        <w:t>Person</w:t>
      </w:r>
      <w:r w:rsidRPr="00DC51E9">
        <w:rPr>
          <w:rFonts w:ascii="Arial" w:hAnsi="Arial" w:cs="Arial"/>
        </w:rPr>
        <w:noBreakHyphen/>
        <w:t xml:space="preserve">centred care is a principle that focuses on placing the individual at the centre of all decisions about their care. It requires professionals to listen carefully, respect personal preferences and work in ways that support the person's independence and dignity (NICE, 2023). This approach is strongly supported by the Care Act 2014, which states that local authorities and care providers must promote a person’s wellbeing and involve them in planning their support. Wellbeing can include emotional, physical, mental, </w:t>
      </w:r>
      <w:r w:rsidR="00EF59CD" w:rsidRPr="005A7D37">
        <w:rPr>
          <w:rFonts w:ascii="Arial" w:hAnsi="Arial" w:cs="Arial"/>
        </w:rPr>
        <w:t>social,</w:t>
      </w:r>
      <w:r w:rsidRPr="00DC51E9">
        <w:rPr>
          <w:rFonts w:ascii="Arial" w:hAnsi="Arial" w:cs="Arial"/>
        </w:rPr>
        <w:t xml:space="preserve"> and economic aspects, demonstrating how complex and holistic care must be (Care Act 2014). Person</w:t>
      </w:r>
      <w:r w:rsidRPr="00DC51E9">
        <w:rPr>
          <w:rFonts w:ascii="Arial" w:hAnsi="Arial" w:cs="Arial"/>
        </w:rPr>
        <w:noBreakHyphen/>
        <w:t xml:space="preserve">centred care is important because it encourages individuals to be active participants in their own care rather than passive recipients. This leads to better engagement, improved </w:t>
      </w:r>
      <w:r w:rsidR="0081427E" w:rsidRPr="005A7D37">
        <w:rPr>
          <w:rFonts w:ascii="Arial" w:hAnsi="Arial" w:cs="Arial"/>
        </w:rPr>
        <w:t>satisfaction,</w:t>
      </w:r>
      <w:r w:rsidRPr="00DC51E9">
        <w:rPr>
          <w:rFonts w:ascii="Arial" w:hAnsi="Arial" w:cs="Arial"/>
        </w:rPr>
        <w:t xml:space="preserve"> and more positive outcomes.</w:t>
      </w:r>
    </w:p>
    <w:p w14:paraId="2182913A" w14:textId="28FE2CF8" w:rsidR="00DC51E9" w:rsidRPr="00DC51E9" w:rsidRDefault="00DC51E9" w:rsidP="00DC51E9">
      <w:pPr>
        <w:rPr>
          <w:rFonts w:ascii="Arial" w:hAnsi="Arial" w:cs="Arial"/>
        </w:rPr>
      </w:pPr>
      <w:r w:rsidRPr="00DC51E9">
        <w:rPr>
          <w:rFonts w:ascii="Arial" w:hAnsi="Arial" w:cs="Arial"/>
        </w:rPr>
        <w:t>Maslow’s Hierarchy of Needs (1943) helps explain why person</w:t>
      </w:r>
      <w:r w:rsidRPr="00DC51E9">
        <w:rPr>
          <w:rFonts w:ascii="Arial" w:hAnsi="Arial" w:cs="Arial"/>
        </w:rPr>
        <w:noBreakHyphen/>
        <w:t>centred care is effective. According to Maslow, individuals have a series of needs that must be met to achieve wellbeing. These include basic physical needs, safety, love and belonging, esteem and self</w:t>
      </w:r>
      <w:r w:rsidRPr="00DC51E9">
        <w:rPr>
          <w:rFonts w:ascii="Arial" w:hAnsi="Arial" w:cs="Arial"/>
        </w:rPr>
        <w:noBreakHyphen/>
        <w:t>actualisation. Person</w:t>
      </w:r>
      <w:r w:rsidRPr="00DC51E9">
        <w:rPr>
          <w:rFonts w:ascii="Arial" w:hAnsi="Arial" w:cs="Arial"/>
        </w:rPr>
        <w:noBreakHyphen/>
        <w:t xml:space="preserve">centred care supports these needs by ensuring the individual feels respected, listened </w:t>
      </w:r>
      <w:r w:rsidR="0081427E" w:rsidRPr="005A7D37">
        <w:rPr>
          <w:rFonts w:ascii="Arial" w:hAnsi="Arial" w:cs="Arial"/>
        </w:rPr>
        <w:t>to,</w:t>
      </w:r>
      <w:r w:rsidRPr="00DC51E9">
        <w:rPr>
          <w:rFonts w:ascii="Arial" w:hAnsi="Arial" w:cs="Arial"/>
        </w:rPr>
        <w:t xml:space="preserve"> and valued. For example, respecting someone’s choices can help them feel a sense of control and belonging. When individuals feel safe and understood, they are more likely to engage positively with services. This demonstrates why person</w:t>
      </w:r>
      <w:r w:rsidRPr="00DC51E9">
        <w:rPr>
          <w:rFonts w:ascii="Arial" w:hAnsi="Arial" w:cs="Arial"/>
        </w:rPr>
        <w:noBreakHyphen/>
        <w:t>centred care is essential for effective practice.</w:t>
      </w:r>
    </w:p>
    <w:p w14:paraId="290A3570" w14:textId="77777777" w:rsidR="00DC51E9" w:rsidRPr="00DC51E9" w:rsidRDefault="00DC51E9" w:rsidP="00DC51E9">
      <w:pPr>
        <w:rPr>
          <w:rFonts w:ascii="Arial" w:hAnsi="Arial" w:cs="Arial"/>
        </w:rPr>
      </w:pPr>
      <w:r w:rsidRPr="00DC51E9">
        <w:rPr>
          <w:rFonts w:ascii="Arial" w:hAnsi="Arial" w:cs="Arial"/>
        </w:rPr>
        <w:t>Another principle that is central to health and social care is partnership working. Partnership working involves professionals from different areas working together with the individual and their family or carers to provide joined</w:t>
      </w:r>
      <w:r w:rsidRPr="00DC51E9">
        <w:rPr>
          <w:rFonts w:ascii="Arial" w:hAnsi="Arial" w:cs="Arial"/>
        </w:rPr>
        <w:noBreakHyphen/>
        <w:t xml:space="preserve">up support. This often includes GPs, nurses, social workers, occupational therapists, support workers and sometimes voluntary organisations. </w:t>
      </w:r>
      <w:r w:rsidRPr="00DC51E9">
        <w:rPr>
          <w:rFonts w:ascii="Arial" w:hAnsi="Arial" w:cs="Arial"/>
        </w:rPr>
        <w:lastRenderedPageBreak/>
        <w:t>The Health and Care Act 2022 promotes integrated care systems (ICSs), which aim to create closer partnerships between health and social care providers to improve the quality and efficiency of services (DHSC, 2022). Partnership working is important because no single professional or organisation can meet all the needs of individuals, especially those with complex conditions. When professionals share information and collaborate, care becomes more coordinated, reducing duplication and preventing gaps in support.</w:t>
      </w:r>
    </w:p>
    <w:p w14:paraId="07B0DB96" w14:textId="77777777" w:rsidR="00DC51E9" w:rsidRPr="00DC51E9" w:rsidRDefault="00DC51E9" w:rsidP="00DC51E9">
      <w:pPr>
        <w:rPr>
          <w:rFonts w:ascii="Arial" w:hAnsi="Arial" w:cs="Arial"/>
        </w:rPr>
      </w:pPr>
      <w:r w:rsidRPr="00DC51E9">
        <w:rPr>
          <w:rFonts w:ascii="Arial" w:hAnsi="Arial" w:cs="Arial"/>
        </w:rPr>
        <w:t>Bronfenbrenner’s Ecological Systems Theory (1979) helps to explain why partnership working is effective. According to the theory, a person’s development and wellbeing are influenced by different systems such as family, community, health services and wider society. Partnership working brings these systems together and ensures that they support the person in a consistent and coordinated way. This makes it easier to meet the individual’s needs and adapt care when circumstances change. In practice, partnership working improves communication, reduces mistakes and helps professionals draw on each other’s strengths.</w:t>
      </w:r>
    </w:p>
    <w:p w14:paraId="26E4D16D" w14:textId="7FDB9FFB" w:rsidR="00DC51E9" w:rsidRPr="00DC51E9" w:rsidRDefault="00DC51E9" w:rsidP="00DC51E9">
      <w:pPr>
        <w:rPr>
          <w:rFonts w:ascii="Arial" w:hAnsi="Arial" w:cs="Arial"/>
        </w:rPr>
      </w:pPr>
      <w:r w:rsidRPr="00DC51E9">
        <w:rPr>
          <w:rFonts w:ascii="Arial" w:hAnsi="Arial" w:cs="Arial"/>
        </w:rPr>
        <w:t xml:space="preserve">Ethical practice is the third principle explored in this report. Ethical practice refers to following moral principles, professional </w:t>
      </w:r>
      <w:r w:rsidR="00EF59CD" w:rsidRPr="005A7D37">
        <w:rPr>
          <w:rFonts w:ascii="Arial" w:hAnsi="Arial" w:cs="Arial"/>
        </w:rPr>
        <w:t>values,</w:t>
      </w:r>
      <w:r w:rsidRPr="00DC51E9">
        <w:rPr>
          <w:rFonts w:ascii="Arial" w:hAnsi="Arial" w:cs="Arial"/>
        </w:rPr>
        <w:t xml:space="preserve"> and legal duties. These include respecting dignity, promoting fairness, maintaining confidentiality, safeguarding vulnerable </w:t>
      </w:r>
      <w:r w:rsidR="00EF59CD" w:rsidRPr="005A7D37">
        <w:rPr>
          <w:rFonts w:ascii="Arial" w:hAnsi="Arial" w:cs="Arial"/>
        </w:rPr>
        <w:t>people,</w:t>
      </w:r>
      <w:r w:rsidRPr="00DC51E9">
        <w:rPr>
          <w:rFonts w:ascii="Arial" w:hAnsi="Arial" w:cs="Arial"/>
        </w:rPr>
        <w:t xml:space="preserve"> and acting with honesty and integrity (HCPC, 2024; NMC, 2018). Ethical practice is important because it builds trust between professionals and individuals who use services. Without strong ethics, people may experience discrimination, poor treatment or even harm.</w:t>
      </w:r>
    </w:p>
    <w:p w14:paraId="33430476" w14:textId="77777777" w:rsidR="00DC51E9" w:rsidRPr="00DC51E9" w:rsidRDefault="00DC51E9" w:rsidP="00DC51E9">
      <w:pPr>
        <w:rPr>
          <w:rFonts w:ascii="Arial" w:hAnsi="Arial" w:cs="Arial"/>
        </w:rPr>
      </w:pPr>
      <w:r w:rsidRPr="00DC51E9">
        <w:rPr>
          <w:rFonts w:ascii="Arial" w:hAnsi="Arial" w:cs="Arial"/>
        </w:rPr>
        <w:t>The Mental Capacity Act 2005 further supports ethical practice by ensuring that people are supported to make their own decisions wherever possible. When a person lacks the mental capacity to make a particular decision, professionals must act in the person’s best interests and follow the least restrictive option (Mental Capacity Act 2005). Ethical dilemmas are common in health and social care, especially when an individual’s choices conflict with safety concerns. Professionals must balance respect for autonomy with the need to protect individuals from harm. Safeguarding responsibilities also form an important part of ethical practice, ensuring that professionals recognise and report signs of abuse or neglect.</w:t>
      </w:r>
    </w:p>
    <w:p w14:paraId="2D0EEFBF" w14:textId="60E93598" w:rsidR="00DC51E9" w:rsidRPr="00DC51E9" w:rsidRDefault="00DC51E9" w:rsidP="00DC51E9">
      <w:pPr>
        <w:rPr>
          <w:rFonts w:ascii="Arial" w:hAnsi="Arial" w:cs="Arial"/>
        </w:rPr>
      </w:pPr>
      <w:r w:rsidRPr="00DC51E9">
        <w:rPr>
          <w:rFonts w:ascii="Arial" w:hAnsi="Arial" w:cs="Arial"/>
        </w:rPr>
        <w:t>A real</w:t>
      </w:r>
      <w:r w:rsidRPr="00DC51E9">
        <w:rPr>
          <w:rFonts w:ascii="Arial" w:hAnsi="Arial" w:cs="Arial"/>
        </w:rPr>
        <w:noBreakHyphen/>
        <w:t>life example that demonstrates how these principles work together is the case of Mary, an older woman living with dementia who receives community</w:t>
      </w:r>
      <w:r w:rsidRPr="00DC51E9">
        <w:rPr>
          <w:rFonts w:ascii="Arial" w:hAnsi="Arial" w:cs="Arial"/>
        </w:rPr>
        <w:noBreakHyphen/>
        <w:t xml:space="preserve">based support. This example is based on case studies from the Social Care Institute for Excellence (SCIE, 2023). Mary experiences memory loss, </w:t>
      </w:r>
      <w:r w:rsidR="007B380C" w:rsidRPr="005A7D37">
        <w:rPr>
          <w:rFonts w:ascii="Arial" w:hAnsi="Arial" w:cs="Arial"/>
        </w:rPr>
        <w:t>confusion,</w:t>
      </w:r>
      <w:r w:rsidRPr="00DC51E9">
        <w:rPr>
          <w:rFonts w:ascii="Arial" w:hAnsi="Arial" w:cs="Arial"/>
        </w:rPr>
        <w:t xml:space="preserve"> and anxiety, which affect her ability to manage daily tasks. Person</w:t>
      </w:r>
      <w:r w:rsidRPr="00DC51E9">
        <w:rPr>
          <w:rFonts w:ascii="Arial" w:hAnsi="Arial" w:cs="Arial"/>
        </w:rPr>
        <w:noBreakHyphen/>
        <w:t xml:space="preserve">centred care was used to develop a personalised care plan that reflected her interests, </w:t>
      </w:r>
      <w:r w:rsidR="00EF59CD" w:rsidRPr="005A7D37">
        <w:rPr>
          <w:rFonts w:ascii="Arial" w:hAnsi="Arial" w:cs="Arial"/>
        </w:rPr>
        <w:t>routines,</w:t>
      </w:r>
      <w:r w:rsidRPr="00DC51E9">
        <w:rPr>
          <w:rFonts w:ascii="Arial" w:hAnsi="Arial" w:cs="Arial"/>
        </w:rPr>
        <w:t xml:space="preserve"> and strengths. For example, staff learned that Mary enjoyed gardening and encouraged her to take part in simple gardening tasks. This helped maintain her identity and reduced her anxiety, demonstrating how person</w:t>
      </w:r>
      <w:r w:rsidRPr="00DC51E9">
        <w:rPr>
          <w:rFonts w:ascii="Arial" w:hAnsi="Arial" w:cs="Arial"/>
        </w:rPr>
        <w:noBreakHyphen/>
        <w:t>centred care supports wellbeing.</w:t>
      </w:r>
    </w:p>
    <w:p w14:paraId="311033CD" w14:textId="21B700E4" w:rsidR="00DC51E9" w:rsidRPr="00DC51E9" w:rsidRDefault="00DC51E9" w:rsidP="00DC51E9">
      <w:pPr>
        <w:rPr>
          <w:rFonts w:ascii="Arial" w:hAnsi="Arial" w:cs="Arial"/>
        </w:rPr>
      </w:pPr>
      <w:r w:rsidRPr="00DC51E9">
        <w:rPr>
          <w:rFonts w:ascii="Arial" w:hAnsi="Arial" w:cs="Arial"/>
        </w:rPr>
        <w:t xml:space="preserve">Partnership working played an important role in Mary’s support. Her care team included her GP, a social worker, community nurses, an occupational </w:t>
      </w:r>
      <w:r w:rsidR="00F23652" w:rsidRPr="005A7D37">
        <w:rPr>
          <w:rFonts w:ascii="Arial" w:hAnsi="Arial" w:cs="Arial"/>
        </w:rPr>
        <w:t>therapist,</w:t>
      </w:r>
      <w:r w:rsidRPr="00DC51E9">
        <w:rPr>
          <w:rFonts w:ascii="Arial" w:hAnsi="Arial" w:cs="Arial"/>
        </w:rPr>
        <w:t xml:space="preserve"> and her family. Regular meetings were held to share updates and plan future support. This approach is encouraged by the Health and Care Act 2022, which promotes integrated care and collaboration across services (DHSC, 2022). Through effective partnership working, Mary’s changing needs were identified quickly and appropriate support was put in place.</w:t>
      </w:r>
    </w:p>
    <w:p w14:paraId="55A008E7" w14:textId="77777777" w:rsidR="00DC51E9" w:rsidRPr="00DC51E9" w:rsidRDefault="00DC51E9" w:rsidP="00DC51E9">
      <w:pPr>
        <w:rPr>
          <w:rFonts w:ascii="Arial" w:hAnsi="Arial" w:cs="Arial"/>
        </w:rPr>
      </w:pPr>
      <w:r w:rsidRPr="00DC51E9">
        <w:rPr>
          <w:rFonts w:ascii="Arial" w:hAnsi="Arial" w:cs="Arial"/>
        </w:rPr>
        <w:t>Ethical practice was also essential in Mary’s case. Because dementia affects decision</w:t>
      </w:r>
      <w:r w:rsidRPr="00DC51E9">
        <w:rPr>
          <w:rFonts w:ascii="Arial" w:hAnsi="Arial" w:cs="Arial"/>
        </w:rPr>
        <w:noBreakHyphen/>
        <w:t xml:space="preserve">making, professionals used the Mental Capacity Act 2005 to assess her capacity for different decisions. When she lacked capacity, they made decisions in her best interests while still considering her personal wishes. Confidentiality was respected in accordance with </w:t>
      </w:r>
      <w:r w:rsidRPr="00DC51E9">
        <w:rPr>
          <w:rFonts w:ascii="Arial" w:hAnsi="Arial" w:cs="Arial"/>
        </w:rPr>
        <w:lastRenderedPageBreak/>
        <w:t>professional codes (HCPC, 2024; NMC, 2018), and safeguarding procedures were followed when Mary became distressed or at risk of harm. Using these principles together improved Mary’s wellbeing, increased her engagement and supported her family.</w:t>
      </w:r>
    </w:p>
    <w:p w14:paraId="7782600E" w14:textId="77777777" w:rsidR="00DC51E9" w:rsidRPr="00DC51E9" w:rsidRDefault="00DC51E9" w:rsidP="00DC51E9">
      <w:pPr>
        <w:rPr>
          <w:rFonts w:ascii="Arial" w:hAnsi="Arial" w:cs="Arial"/>
        </w:rPr>
      </w:pPr>
      <w:r w:rsidRPr="00DC51E9">
        <w:rPr>
          <w:rFonts w:ascii="Arial" w:hAnsi="Arial" w:cs="Arial"/>
        </w:rPr>
        <w:t>Reflecting on my own experience, I have learned how important these principles are in real practice. Through voluntary work and academic activities, I have gained a better understanding of how person</w:t>
      </w:r>
      <w:r w:rsidRPr="00DC51E9">
        <w:rPr>
          <w:rFonts w:ascii="Arial" w:hAnsi="Arial" w:cs="Arial"/>
        </w:rPr>
        <w:noBreakHyphen/>
        <w:t>centred care, partnership working and ethical practice shape professional behaviour. I feel confident applying person</w:t>
      </w:r>
      <w:r w:rsidRPr="00DC51E9">
        <w:rPr>
          <w:rFonts w:ascii="Arial" w:hAnsi="Arial" w:cs="Arial"/>
        </w:rPr>
        <w:noBreakHyphen/>
        <w:t>centred care because I enjoy supporting people in ways that respect their individuality. For example, when supporting adults with learning disabilities, I would always ask about their preferences and involve them in choosing activities. This helped build trust and improved their engagement.</w:t>
      </w:r>
    </w:p>
    <w:p w14:paraId="5FABE6A1" w14:textId="1036EAFA" w:rsidR="00DC51E9" w:rsidRPr="00DC51E9" w:rsidRDefault="00DC51E9" w:rsidP="00DC51E9">
      <w:pPr>
        <w:rPr>
          <w:rFonts w:ascii="Arial" w:hAnsi="Arial" w:cs="Arial"/>
        </w:rPr>
      </w:pPr>
      <w:r w:rsidRPr="00DC51E9">
        <w:rPr>
          <w:rFonts w:ascii="Arial" w:hAnsi="Arial" w:cs="Arial"/>
        </w:rPr>
        <w:t xml:space="preserve">However, I have found partnership working more challenging. Sometimes, I feel unsure about speaking up during group discussions or raising questions with more experienced professionals. Understanding the importance of partnership working in policies such as the Health and Care Act 2022 (DHSC, 2022) has made me realise that developing confidence in teamwork is essential. Ethical practice has also been challenging at times, especially when dealing with safeguarding concerns. I sometimes worried about whether I was making the right decision or whether I should report something. Reflecting on professional codes such as those from the HCPC (2024) and NMC (2018) has helped me understand that ethics requires clear judgement, </w:t>
      </w:r>
      <w:r w:rsidR="00F23652" w:rsidRPr="005A7D37">
        <w:rPr>
          <w:rFonts w:ascii="Arial" w:hAnsi="Arial" w:cs="Arial"/>
        </w:rPr>
        <w:t>communication,</w:t>
      </w:r>
      <w:r w:rsidRPr="00DC51E9">
        <w:rPr>
          <w:rFonts w:ascii="Arial" w:hAnsi="Arial" w:cs="Arial"/>
        </w:rPr>
        <w:t xml:space="preserve"> and experience.</w:t>
      </w:r>
    </w:p>
    <w:p w14:paraId="60BB9DC1" w14:textId="77777777" w:rsidR="00DC51E9" w:rsidRPr="00DC51E9" w:rsidRDefault="00DC51E9" w:rsidP="00DC51E9">
      <w:pPr>
        <w:rPr>
          <w:rFonts w:ascii="Arial" w:hAnsi="Arial" w:cs="Arial"/>
        </w:rPr>
      </w:pPr>
      <w:r w:rsidRPr="00DC51E9">
        <w:rPr>
          <w:rFonts w:ascii="Arial" w:hAnsi="Arial" w:cs="Arial"/>
        </w:rPr>
        <w:t>Through reflection, I have identified strengths and areas for development. My strengths include empathy, listening skills and the ability to build positive relationships, all of which support person</w:t>
      </w:r>
      <w:r w:rsidRPr="00DC51E9">
        <w:rPr>
          <w:rFonts w:ascii="Arial" w:hAnsi="Arial" w:cs="Arial"/>
        </w:rPr>
        <w:noBreakHyphen/>
        <w:t>centred practice. However, I need to develop confidence in communicating with professionals and understanding ethical frameworks more fully. To improve my skills, I plan to take part in more voluntary work, engage more actively in group activities at university, complete additional training on safeguarding and confidentiality and seek guidance from mentors. Using reflective tools such as Gibbs’ Reflective Cycle will also help me monitor my progress.</w:t>
      </w:r>
    </w:p>
    <w:p w14:paraId="5EFECA6D" w14:textId="52111008" w:rsidR="00185359" w:rsidRPr="00185359" w:rsidRDefault="00185359" w:rsidP="00185359">
      <w:pPr>
        <w:rPr>
          <w:rFonts w:ascii="Arial" w:hAnsi="Arial" w:cs="Arial"/>
        </w:rPr>
      </w:pPr>
      <w:r w:rsidRPr="00185359">
        <w:rPr>
          <w:rFonts w:ascii="Arial" w:hAnsi="Arial" w:cs="Arial"/>
        </w:rPr>
        <w:t>Overall, person</w:t>
      </w:r>
      <w:r w:rsidRPr="00185359">
        <w:rPr>
          <w:rFonts w:ascii="Arial" w:hAnsi="Arial" w:cs="Arial"/>
        </w:rPr>
        <w:noBreakHyphen/>
        <w:t xml:space="preserve">centred care, partnership </w:t>
      </w:r>
      <w:r w:rsidR="005A7D37" w:rsidRPr="005A7D37">
        <w:rPr>
          <w:rFonts w:ascii="Arial" w:hAnsi="Arial" w:cs="Arial"/>
        </w:rPr>
        <w:t>working,</w:t>
      </w:r>
      <w:r w:rsidRPr="00185359">
        <w:rPr>
          <w:rFonts w:ascii="Arial" w:hAnsi="Arial" w:cs="Arial"/>
        </w:rPr>
        <w:t xml:space="preserve"> and ethical practice are essential principles in health and social care. They ensure that support is safe, </w:t>
      </w:r>
      <w:r w:rsidR="005A7D37" w:rsidRPr="005A7D37">
        <w:rPr>
          <w:rFonts w:ascii="Arial" w:hAnsi="Arial" w:cs="Arial"/>
        </w:rPr>
        <w:t>respectful,</w:t>
      </w:r>
      <w:r w:rsidRPr="00185359">
        <w:rPr>
          <w:rFonts w:ascii="Arial" w:hAnsi="Arial" w:cs="Arial"/>
        </w:rPr>
        <w:t xml:space="preserve"> and focused on each person’s individual needs, </w:t>
      </w:r>
      <w:r w:rsidR="005A7D37" w:rsidRPr="005A7D37">
        <w:rPr>
          <w:rFonts w:ascii="Arial" w:hAnsi="Arial" w:cs="Arial"/>
        </w:rPr>
        <w:t>values,</w:t>
      </w:r>
      <w:r w:rsidRPr="00185359">
        <w:rPr>
          <w:rFonts w:ascii="Arial" w:hAnsi="Arial" w:cs="Arial"/>
        </w:rPr>
        <w:t xml:space="preserve"> and rights. Person</w:t>
      </w:r>
      <w:r w:rsidRPr="00185359">
        <w:rPr>
          <w:rFonts w:ascii="Arial" w:hAnsi="Arial" w:cs="Arial"/>
        </w:rPr>
        <w:noBreakHyphen/>
        <w:t xml:space="preserve">centred care encourages independence and dignity, partnership working brings different professionals and services together to provide coordinated support, and ethical practice ensures that care workers act with fairness, </w:t>
      </w:r>
      <w:r w:rsidR="005A7D37" w:rsidRPr="005A7D37">
        <w:rPr>
          <w:rFonts w:ascii="Arial" w:hAnsi="Arial" w:cs="Arial"/>
        </w:rPr>
        <w:t>compassion,</w:t>
      </w:r>
      <w:r w:rsidRPr="00185359">
        <w:rPr>
          <w:rFonts w:ascii="Arial" w:hAnsi="Arial" w:cs="Arial"/>
        </w:rPr>
        <w:t xml:space="preserve"> and professional responsibility. Together, they help create a high standard of care that protects the wellbeing of individuals who rely on services.</w:t>
      </w:r>
    </w:p>
    <w:p w14:paraId="6FA8964E" w14:textId="28953E45" w:rsidR="00185359" w:rsidRPr="00185359" w:rsidRDefault="00185359" w:rsidP="00185359">
      <w:pPr>
        <w:rPr>
          <w:rFonts w:ascii="Arial" w:hAnsi="Arial" w:cs="Arial"/>
        </w:rPr>
      </w:pPr>
      <w:r w:rsidRPr="00185359">
        <w:rPr>
          <w:rFonts w:ascii="Arial" w:hAnsi="Arial" w:cs="Arial"/>
        </w:rPr>
        <w:t xml:space="preserve">The example of Mary demonstrates how these principles can make a significant difference in real practice by improving wellbeing, supporting family </w:t>
      </w:r>
      <w:r w:rsidR="005A7D37" w:rsidRPr="005A7D37">
        <w:rPr>
          <w:rFonts w:ascii="Arial" w:hAnsi="Arial" w:cs="Arial"/>
        </w:rPr>
        <w:t>involvement,</w:t>
      </w:r>
      <w:r w:rsidRPr="00185359">
        <w:rPr>
          <w:rFonts w:ascii="Arial" w:hAnsi="Arial" w:cs="Arial"/>
        </w:rPr>
        <w:t xml:space="preserve"> and helping professionals respond effectively to changing needs. This shows that the principles are not only theoretical ideas but practical tools that guide everyday decisions. My own reflection also highlights the importance of continually developing communication, ethical </w:t>
      </w:r>
      <w:r w:rsidR="005A7D37" w:rsidRPr="005A7D37">
        <w:rPr>
          <w:rFonts w:ascii="Arial" w:hAnsi="Arial" w:cs="Arial"/>
        </w:rPr>
        <w:t>understanding,</w:t>
      </w:r>
      <w:r w:rsidRPr="00185359">
        <w:rPr>
          <w:rFonts w:ascii="Arial" w:hAnsi="Arial" w:cs="Arial"/>
        </w:rPr>
        <w:t xml:space="preserve"> and teamwork skills to become a confident practitioner who can apply these principles effectively.</w:t>
      </w:r>
    </w:p>
    <w:p w14:paraId="319B1EF4" w14:textId="5A36D3F3" w:rsidR="00185359" w:rsidRPr="00185359" w:rsidRDefault="00185359" w:rsidP="00185359">
      <w:pPr>
        <w:rPr>
          <w:rFonts w:ascii="Arial" w:hAnsi="Arial" w:cs="Arial"/>
        </w:rPr>
      </w:pPr>
      <w:r w:rsidRPr="00185359">
        <w:rPr>
          <w:rFonts w:ascii="Arial" w:hAnsi="Arial" w:cs="Arial"/>
        </w:rPr>
        <w:t xml:space="preserve">As health and social care continue to evolve, these principles will remain central to good practice. They help ensure that individuals receive care that is meaningful, </w:t>
      </w:r>
      <w:r w:rsidR="005A7D37" w:rsidRPr="005A7D37">
        <w:rPr>
          <w:rFonts w:ascii="Arial" w:hAnsi="Arial" w:cs="Arial"/>
        </w:rPr>
        <w:t>safe,</w:t>
      </w:r>
      <w:r w:rsidRPr="00185359">
        <w:rPr>
          <w:rFonts w:ascii="Arial" w:hAnsi="Arial" w:cs="Arial"/>
        </w:rPr>
        <w:t xml:space="preserve"> and empowering. By continuing to learn and reflect, practitioners can build the professional skills needed to deliver care that truly improves people’s lives.</w:t>
      </w:r>
    </w:p>
    <w:p w14:paraId="363A9C77" w14:textId="77777777" w:rsidR="00185359" w:rsidRPr="005A7D37" w:rsidRDefault="00185359" w:rsidP="00DC51E9">
      <w:pPr>
        <w:rPr>
          <w:rFonts w:ascii="Arial" w:hAnsi="Arial" w:cs="Arial"/>
        </w:rPr>
      </w:pPr>
    </w:p>
    <w:p w14:paraId="38D61F3C" w14:textId="5D76EBA2" w:rsidR="00DC51E9" w:rsidRPr="00DC51E9" w:rsidRDefault="00DC51E9" w:rsidP="00DC51E9">
      <w:pPr>
        <w:rPr>
          <w:rFonts w:ascii="Arial" w:hAnsi="Arial" w:cs="Arial"/>
          <w:sz w:val="36"/>
          <w:szCs w:val="36"/>
        </w:rPr>
      </w:pPr>
      <w:r w:rsidRPr="00DC51E9">
        <w:rPr>
          <w:rFonts w:ascii="Arial" w:hAnsi="Arial" w:cs="Arial"/>
          <w:b/>
          <w:bCs/>
          <w:sz w:val="36"/>
          <w:szCs w:val="36"/>
        </w:rPr>
        <w:lastRenderedPageBreak/>
        <w:t>References</w:t>
      </w:r>
    </w:p>
    <w:p w14:paraId="097902D0" w14:textId="77777777" w:rsidR="00DC51E9" w:rsidRPr="00DC51E9" w:rsidRDefault="00DC51E9" w:rsidP="00DC51E9">
      <w:pPr>
        <w:rPr>
          <w:rFonts w:ascii="Arial" w:hAnsi="Arial" w:cs="Arial"/>
        </w:rPr>
      </w:pPr>
      <w:r w:rsidRPr="00DC51E9">
        <w:rPr>
          <w:rFonts w:ascii="Arial" w:hAnsi="Arial" w:cs="Arial"/>
        </w:rPr>
        <w:t xml:space="preserve">Bronfenbrenner, U. (1979) </w:t>
      </w:r>
      <w:r w:rsidRPr="00DC51E9">
        <w:rPr>
          <w:rFonts w:ascii="Arial" w:hAnsi="Arial" w:cs="Arial"/>
          <w:i/>
          <w:iCs/>
        </w:rPr>
        <w:t>The Ecology of Human Development</w:t>
      </w:r>
      <w:r w:rsidRPr="00DC51E9">
        <w:rPr>
          <w:rFonts w:ascii="Arial" w:hAnsi="Arial" w:cs="Arial"/>
        </w:rPr>
        <w:t>. Harvard University Press.</w:t>
      </w:r>
    </w:p>
    <w:p w14:paraId="026D9A04" w14:textId="77777777" w:rsidR="00DC51E9" w:rsidRPr="00DC51E9" w:rsidRDefault="00DC51E9" w:rsidP="00DC51E9">
      <w:pPr>
        <w:rPr>
          <w:rFonts w:ascii="Arial" w:hAnsi="Arial" w:cs="Arial"/>
        </w:rPr>
      </w:pPr>
      <w:r w:rsidRPr="00DC51E9">
        <w:rPr>
          <w:rFonts w:ascii="Arial" w:hAnsi="Arial" w:cs="Arial"/>
        </w:rPr>
        <w:t>Care Act 2014. (2014) c.23. The Stationery Office.</w:t>
      </w:r>
    </w:p>
    <w:p w14:paraId="41BA44A0" w14:textId="032D91DB" w:rsidR="00DC51E9" w:rsidRPr="00DC51E9" w:rsidRDefault="00DC51E9" w:rsidP="00DC51E9">
      <w:pPr>
        <w:rPr>
          <w:rFonts w:ascii="Arial" w:hAnsi="Arial" w:cs="Arial"/>
        </w:rPr>
      </w:pPr>
      <w:r w:rsidRPr="00DC51E9">
        <w:rPr>
          <w:rFonts w:ascii="Arial" w:hAnsi="Arial" w:cs="Arial"/>
        </w:rPr>
        <w:t xml:space="preserve">CQC (2021) </w:t>
      </w:r>
      <w:r w:rsidRPr="00DC51E9">
        <w:rPr>
          <w:rFonts w:ascii="Arial" w:hAnsi="Arial" w:cs="Arial"/>
          <w:i/>
          <w:iCs/>
        </w:rPr>
        <w:t>What we do</w:t>
      </w:r>
      <w:r w:rsidRPr="00DC51E9">
        <w:rPr>
          <w:rFonts w:ascii="Arial" w:hAnsi="Arial" w:cs="Arial"/>
        </w:rPr>
        <w:t xml:space="preserve">. Available at: </w:t>
      </w:r>
      <w:hyperlink r:id="rId5" w:history="1">
        <w:r w:rsidR="005F62D8" w:rsidRPr="00DC51E9">
          <w:rPr>
            <w:rStyle w:val="Hyperlink"/>
            <w:rFonts w:ascii="Arial" w:hAnsi="Arial" w:cs="Arial"/>
          </w:rPr>
          <w:t>https://www.cqc.org.uk/</w:t>
        </w:r>
      </w:hyperlink>
      <w:r w:rsidR="005F62D8">
        <w:rPr>
          <w:rFonts w:ascii="Arial" w:hAnsi="Arial" w:cs="Arial"/>
        </w:rPr>
        <w:t xml:space="preserve"> </w:t>
      </w:r>
      <w:r w:rsidRPr="00DC51E9">
        <w:rPr>
          <w:rFonts w:ascii="Arial" w:hAnsi="Arial" w:cs="Arial"/>
        </w:rPr>
        <w:t>(Accessed: 24 February 2026).</w:t>
      </w:r>
    </w:p>
    <w:p w14:paraId="21E7784F" w14:textId="77777777" w:rsidR="00DC51E9" w:rsidRPr="00DC51E9" w:rsidRDefault="00DC51E9" w:rsidP="00DC51E9">
      <w:pPr>
        <w:rPr>
          <w:rFonts w:ascii="Arial" w:hAnsi="Arial" w:cs="Arial"/>
        </w:rPr>
      </w:pPr>
      <w:r w:rsidRPr="00DC51E9">
        <w:rPr>
          <w:rFonts w:ascii="Arial" w:hAnsi="Arial" w:cs="Arial"/>
        </w:rPr>
        <w:t xml:space="preserve">DHSC (2022) </w:t>
      </w:r>
      <w:r w:rsidRPr="00DC51E9">
        <w:rPr>
          <w:rFonts w:ascii="Arial" w:hAnsi="Arial" w:cs="Arial"/>
          <w:i/>
          <w:iCs/>
        </w:rPr>
        <w:t>Health and Care Act 2022</w:t>
      </w:r>
      <w:r w:rsidRPr="00DC51E9">
        <w:rPr>
          <w:rFonts w:ascii="Arial" w:hAnsi="Arial" w:cs="Arial"/>
        </w:rPr>
        <w:t>. HMSO.</w:t>
      </w:r>
    </w:p>
    <w:p w14:paraId="47FF326F" w14:textId="4B93A5CA" w:rsidR="00DC51E9" w:rsidRPr="00DC51E9" w:rsidRDefault="00DC51E9" w:rsidP="00DC51E9">
      <w:pPr>
        <w:rPr>
          <w:rFonts w:ascii="Arial" w:hAnsi="Arial" w:cs="Arial"/>
        </w:rPr>
      </w:pPr>
      <w:r w:rsidRPr="00DC51E9">
        <w:rPr>
          <w:rFonts w:ascii="Arial" w:hAnsi="Arial" w:cs="Arial"/>
        </w:rPr>
        <w:t xml:space="preserve">HCPC (2024) </w:t>
      </w:r>
      <w:r w:rsidRPr="00DC51E9">
        <w:rPr>
          <w:rFonts w:ascii="Arial" w:hAnsi="Arial" w:cs="Arial"/>
          <w:i/>
          <w:iCs/>
        </w:rPr>
        <w:t xml:space="preserve">Standards of conduct, </w:t>
      </w:r>
      <w:proofErr w:type="gramStart"/>
      <w:r w:rsidRPr="00DC51E9">
        <w:rPr>
          <w:rFonts w:ascii="Arial" w:hAnsi="Arial" w:cs="Arial"/>
          <w:i/>
          <w:iCs/>
        </w:rPr>
        <w:t>performance</w:t>
      </w:r>
      <w:proofErr w:type="gramEnd"/>
      <w:r w:rsidRPr="00DC51E9">
        <w:rPr>
          <w:rFonts w:ascii="Arial" w:hAnsi="Arial" w:cs="Arial"/>
          <w:i/>
          <w:iCs/>
        </w:rPr>
        <w:t xml:space="preserve"> and ethics</w:t>
      </w:r>
      <w:r w:rsidRPr="00DC51E9">
        <w:rPr>
          <w:rFonts w:ascii="Arial" w:hAnsi="Arial" w:cs="Arial"/>
        </w:rPr>
        <w:t xml:space="preserve">. Available at: </w:t>
      </w:r>
      <w:hyperlink r:id="rId6" w:history="1">
        <w:r w:rsidR="005F62D8" w:rsidRPr="00DC51E9">
          <w:rPr>
            <w:rStyle w:val="Hyperlink"/>
            <w:rFonts w:ascii="Arial" w:hAnsi="Arial" w:cs="Arial"/>
          </w:rPr>
          <w:t>https://www.hcpc-uk.org/standards/</w:t>
        </w:r>
      </w:hyperlink>
      <w:r w:rsidR="005F62D8">
        <w:rPr>
          <w:rFonts w:ascii="Arial" w:hAnsi="Arial" w:cs="Arial"/>
        </w:rPr>
        <w:t xml:space="preserve"> </w:t>
      </w:r>
      <w:r w:rsidRPr="00DC51E9">
        <w:rPr>
          <w:rFonts w:ascii="Arial" w:hAnsi="Arial" w:cs="Arial"/>
        </w:rPr>
        <w:t>(Accessed: 24 February 2026).</w:t>
      </w:r>
    </w:p>
    <w:p w14:paraId="243EADF5" w14:textId="77777777" w:rsidR="00DC51E9" w:rsidRPr="00DC51E9" w:rsidRDefault="00DC51E9" w:rsidP="00DC51E9">
      <w:pPr>
        <w:rPr>
          <w:rFonts w:ascii="Arial" w:hAnsi="Arial" w:cs="Arial"/>
        </w:rPr>
      </w:pPr>
      <w:r w:rsidRPr="00DC51E9">
        <w:rPr>
          <w:rFonts w:ascii="Arial" w:hAnsi="Arial" w:cs="Arial"/>
        </w:rPr>
        <w:t xml:space="preserve">Maslow, A.H. (1943) ‘A theory of human motivation’, </w:t>
      </w:r>
      <w:r w:rsidRPr="00DC51E9">
        <w:rPr>
          <w:rFonts w:ascii="Arial" w:hAnsi="Arial" w:cs="Arial"/>
          <w:i/>
          <w:iCs/>
        </w:rPr>
        <w:t>Psychological Review</w:t>
      </w:r>
      <w:r w:rsidRPr="00DC51E9">
        <w:rPr>
          <w:rFonts w:ascii="Arial" w:hAnsi="Arial" w:cs="Arial"/>
        </w:rPr>
        <w:t>, 50(4), pp. 370–396.</w:t>
      </w:r>
    </w:p>
    <w:p w14:paraId="13A45D7C" w14:textId="77777777" w:rsidR="00DC51E9" w:rsidRPr="00DC51E9" w:rsidRDefault="00DC51E9" w:rsidP="00DC51E9">
      <w:pPr>
        <w:rPr>
          <w:rFonts w:ascii="Arial" w:hAnsi="Arial" w:cs="Arial"/>
        </w:rPr>
      </w:pPr>
      <w:r w:rsidRPr="00DC51E9">
        <w:rPr>
          <w:rFonts w:ascii="Arial" w:hAnsi="Arial" w:cs="Arial"/>
        </w:rPr>
        <w:t>Mental Capacity Act 2005. (2005) c.9. The Stationery Office.</w:t>
      </w:r>
    </w:p>
    <w:p w14:paraId="23A30A7B" w14:textId="2D6212C5" w:rsidR="00DC51E9" w:rsidRPr="00DC51E9" w:rsidRDefault="00DC51E9" w:rsidP="00DC51E9">
      <w:pPr>
        <w:rPr>
          <w:rFonts w:ascii="Arial" w:hAnsi="Arial" w:cs="Arial"/>
        </w:rPr>
      </w:pPr>
      <w:r w:rsidRPr="00DC51E9">
        <w:rPr>
          <w:rFonts w:ascii="Arial" w:hAnsi="Arial" w:cs="Arial"/>
        </w:rPr>
        <w:t xml:space="preserve">NICE (2023) </w:t>
      </w:r>
      <w:r w:rsidRPr="00DC51E9">
        <w:rPr>
          <w:rFonts w:ascii="Arial" w:hAnsi="Arial" w:cs="Arial"/>
          <w:i/>
          <w:iCs/>
        </w:rPr>
        <w:t>Person-centred care overview</w:t>
      </w:r>
      <w:r w:rsidRPr="00DC51E9">
        <w:rPr>
          <w:rFonts w:ascii="Arial" w:hAnsi="Arial" w:cs="Arial"/>
        </w:rPr>
        <w:t xml:space="preserve">. Available at: </w:t>
      </w:r>
      <w:hyperlink r:id="rId7" w:history="1">
        <w:r w:rsidR="005F62D8" w:rsidRPr="00DC51E9">
          <w:rPr>
            <w:rStyle w:val="Hyperlink"/>
            <w:rFonts w:ascii="Arial" w:hAnsi="Arial" w:cs="Arial"/>
          </w:rPr>
          <w:t>https://www.nice.org.uk/</w:t>
        </w:r>
      </w:hyperlink>
      <w:r w:rsidR="005F62D8">
        <w:rPr>
          <w:rFonts w:ascii="Arial" w:hAnsi="Arial" w:cs="Arial"/>
        </w:rPr>
        <w:t xml:space="preserve"> </w:t>
      </w:r>
      <w:r w:rsidRPr="00DC51E9">
        <w:rPr>
          <w:rFonts w:ascii="Arial" w:hAnsi="Arial" w:cs="Arial"/>
        </w:rPr>
        <w:t>(Accessed: 24 February 2026).</w:t>
      </w:r>
    </w:p>
    <w:p w14:paraId="40D5DF82" w14:textId="77777777" w:rsidR="00DC51E9" w:rsidRPr="00DC51E9" w:rsidRDefault="00DC51E9" w:rsidP="00DC51E9">
      <w:pPr>
        <w:rPr>
          <w:rFonts w:ascii="Arial" w:hAnsi="Arial" w:cs="Arial"/>
        </w:rPr>
      </w:pPr>
      <w:r w:rsidRPr="00DC51E9">
        <w:rPr>
          <w:rFonts w:ascii="Arial" w:hAnsi="Arial" w:cs="Arial"/>
        </w:rPr>
        <w:t xml:space="preserve">NMC (2018) </w:t>
      </w:r>
      <w:r w:rsidRPr="00DC51E9">
        <w:rPr>
          <w:rFonts w:ascii="Arial" w:hAnsi="Arial" w:cs="Arial"/>
          <w:i/>
          <w:iCs/>
        </w:rPr>
        <w:t>The Code</w:t>
      </w:r>
      <w:r w:rsidRPr="00DC51E9">
        <w:rPr>
          <w:rFonts w:ascii="Arial" w:hAnsi="Arial" w:cs="Arial"/>
        </w:rPr>
        <w:t>. Nursing and Midwifery Council.</w:t>
      </w:r>
    </w:p>
    <w:p w14:paraId="67EC5B5C" w14:textId="47FD3176" w:rsidR="00DC51E9" w:rsidRPr="00DC51E9" w:rsidRDefault="00DC51E9" w:rsidP="00DC51E9">
      <w:pPr>
        <w:rPr>
          <w:rFonts w:ascii="Arial" w:hAnsi="Arial" w:cs="Arial"/>
        </w:rPr>
      </w:pPr>
      <w:r w:rsidRPr="00DC51E9">
        <w:rPr>
          <w:rFonts w:ascii="Arial" w:hAnsi="Arial" w:cs="Arial"/>
        </w:rPr>
        <w:t xml:space="preserve">SCIE (2023) </w:t>
      </w:r>
      <w:r w:rsidRPr="00DC51E9">
        <w:rPr>
          <w:rFonts w:ascii="Arial" w:hAnsi="Arial" w:cs="Arial"/>
          <w:i/>
          <w:iCs/>
        </w:rPr>
        <w:t>Dementia: Person-centred care case studies</w:t>
      </w:r>
      <w:r w:rsidRPr="00DC51E9">
        <w:rPr>
          <w:rFonts w:ascii="Arial" w:hAnsi="Arial" w:cs="Arial"/>
        </w:rPr>
        <w:t xml:space="preserve">. Available at: </w:t>
      </w:r>
      <w:hyperlink r:id="rId8" w:history="1">
        <w:r w:rsidR="005F62D8" w:rsidRPr="00DC51E9">
          <w:rPr>
            <w:rStyle w:val="Hyperlink"/>
            <w:rFonts w:ascii="Arial" w:hAnsi="Arial" w:cs="Arial"/>
          </w:rPr>
          <w:t>https://www.scie.org.uk/</w:t>
        </w:r>
      </w:hyperlink>
      <w:r w:rsidR="005F62D8">
        <w:rPr>
          <w:rFonts w:ascii="Arial" w:hAnsi="Arial" w:cs="Arial"/>
        </w:rPr>
        <w:t xml:space="preserve"> </w:t>
      </w:r>
      <w:r w:rsidRPr="00DC51E9">
        <w:rPr>
          <w:rFonts w:ascii="Arial" w:hAnsi="Arial" w:cs="Arial"/>
        </w:rPr>
        <w:t>(Accessed: 24 February 2026).</w:t>
      </w:r>
    </w:p>
    <w:p w14:paraId="4E7D9A0F" w14:textId="27F0BA8F" w:rsidR="00DC51E9" w:rsidRPr="005A7D37" w:rsidRDefault="00DC51E9">
      <w:pPr>
        <w:rPr>
          <w:rFonts w:ascii="Arial" w:hAnsi="Arial" w:cs="Arial"/>
        </w:rPr>
      </w:pPr>
      <w:r w:rsidRPr="00DC51E9">
        <w:rPr>
          <w:rFonts w:ascii="Arial" w:hAnsi="Arial" w:cs="Arial"/>
        </w:rPr>
        <w:t xml:space="preserve">Skills for Care (2021) </w:t>
      </w:r>
      <w:r w:rsidRPr="00DC51E9">
        <w:rPr>
          <w:rFonts w:ascii="Arial" w:hAnsi="Arial" w:cs="Arial"/>
          <w:i/>
          <w:iCs/>
        </w:rPr>
        <w:t>The 6Cs of care</w:t>
      </w:r>
      <w:r w:rsidRPr="00DC51E9">
        <w:rPr>
          <w:rFonts w:ascii="Arial" w:hAnsi="Arial" w:cs="Arial"/>
        </w:rPr>
        <w:t xml:space="preserve">. Available at: </w:t>
      </w:r>
      <w:hyperlink r:id="rId9" w:history="1">
        <w:r w:rsidR="005A7D37" w:rsidRPr="00DC51E9">
          <w:rPr>
            <w:rStyle w:val="Hyperlink"/>
            <w:rFonts w:ascii="Arial" w:hAnsi="Arial" w:cs="Arial"/>
          </w:rPr>
          <w:t>https://www.skillsforcare.org.uk/</w:t>
        </w:r>
      </w:hyperlink>
      <w:r w:rsidR="005A7D37">
        <w:rPr>
          <w:rFonts w:ascii="Arial" w:hAnsi="Arial" w:cs="Arial"/>
        </w:rPr>
        <w:t xml:space="preserve"> </w:t>
      </w:r>
      <w:r w:rsidRPr="00DC51E9">
        <w:rPr>
          <w:rFonts w:ascii="Arial" w:hAnsi="Arial" w:cs="Arial"/>
        </w:rPr>
        <w:t>(Accessed: 24 February 2026).</w:t>
      </w:r>
    </w:p>
    <w:sectPr w:rsidR="00DC51E9" w:rsidRPr="005A7D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75F5E"/>
    <w:multiLevelType w:val="multilevel"/>
    <w:tmpl w:val="E280C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9672F3"/>
    <w:multiLevelType w:val="multilevel"/>
    <w:tmpl w:val="4FE8E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BCA"/>
    <w:rsid w:val="00002C05"/>
    <w:rsid w:val="00040C49"/>
    <w:rsid w:val="00046E67"/>
    <w:rsid w:val="000C61E3"/>
    <w:rsid w:val="000E563C"/>
    <w:rsid w:val="0012596C"/>
    <w:rsid w:val="001570B8"/>
    <w:rsid w:val="00185359"/>
    <w:rsid w:val="003B7611"/>
    <w:rsid w:val="003D0EA5"/>
    <w:rsid w:val="003D53FC"/>
    <w:rsid w:val="00405D1F"/>
    <w:rsid w:val="004F384E"/>
    <w:rsid w:val="005257C9"/>
    <w:rsid w:val="005442B3"/>
    <w:rsid w:val="00553674"/>
    <w:rsid w:val="005A7D37"/>
    <w:rsid w:val="005F62D8"/>
    <w:rsid w:val="006105BB"/>
    <w:rsid w:val="00630168"/>
    <w:rsid w:val="0063680A"/>
    <w:rsid w:val="00644B5B"/>
    <w:rsid w:val="00684559"/>
    <w:rsid w:val="00691D79"/>
    <w:rsid w:val="00731BC3"/>
    <w:rsid w:val="00757F4F"/>
    <w:rsid w:val="007B380C"/>
    <w:rsid w:val="0081427E"/>
    <w:rsid w:val="008A4919"/>
    <w:rsid w:val="00963274"/>
    <w:rsid w:val="00A30ACA"/>
    <w:rsid w:val="00AA3453"/>
    <w:rsid w:val="00AB5FB5"/>
    <w:rsid w:val="00AF44CA"/>
    <w:rsid w:val="00B75569"/>
    <w:rsid w:val="00B75BCC"/>
    <w:rsid w:val="00C95F5D"/>
    <w:rsid w:val="00CD0CE8"/>
    <w:rsid w:val="00CD4BCA"/>
    <w:rsid w:val="00DC51E9"/>
    <w:rsid w:val="00EB4195"/>
    <w:rsid w:val="00ED7008"/>
    <w:rsid w:val="00EF2B54"/>
    <w:rsid w:val="00EF59CD"/>
    <w:rsid w:val="00F23652"/>
    <w:rsid w:val="00F67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DC2D31"/>
  <w15:chartTrackingRefBased/>
  <w15:docId w15:val="{E96081DC-B0A5-453B-B2F1-9509EB6CA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5D1F"/>
    <w:rPr>
      <w:color w:val="0563C1" w:themeColor="hyperlink"/>
      <w:u w:val="single"/>
    </w:rPr>
  </w:style>
  <w:style w:type="character" w:styleId="UnresolvedMention">
    <w:name w:val="Unresolved Mention"/>
    <w:basedOn w:val="DefaultParagraphFont"/>
    <w:uiPriority w:val="99"/>
    <w:semiHidden/>
    <w:unhideWhenUsed/>
    <w:rsid w:val="00405D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08057">
      <w:bodyDiv w:val="1"/>
      <w:marLeft w:val="0"/>
      <w:marRight w:val="0"/>
      <w:marTop w:val="0"/>
      <w:marBottom w:val="0"/>
      <w:divBdr>
        <w:top w:val="none" w:sz="0" w:space="0" w:color="auto"/>
        <w:left w:val="none" w:sz="0" w:space="0" w:color="auto"/>
        <w:bottom w:val="none" w:sz="0" w:space="0" w:color="auto"/>
        <w:right w:val="none" w:sz="0" w:space="0" w:color="auto"/>
      </w:divBdr>
      <w:divsChild>
        <w:div w:id="1053264">
          <w:marLeft w:val="0"/>
          <w:marRight w:val="0"/>
          <w:marTop w:val="0"/>
          <w:marBottom w:val="0"/>
          <w:divBdr>
            <w:top w:val="none" w:sz="0" w:space="0" w:color="auto"/>
            <w:left w:val="none" w:sz="0" w:space="0" w:color="auto"/>
            <w:bottom w:val="none" w:sz="0" w:space="0" w:color="auto"/>
            <w:right w:val="none" w:sz="0" w:space="0" w:color="auto"/>
          </w:divBdr>
        </w:div>
      </w:divsChild>
    </w:div>
    <w:div w:id="150214294">
      <w:bodyDiv w:val="1"/>
      <w:marLeft w:val="0"/>
      <w:marRight w:val="0"/>
      <w:marTop w:val="0"/>
      <w:marBottom w:val="0"/>
      <w:divBdr>
        <w:top w:val="none" w:sz="0" w:space="0" w:color="auto"/>
        <w:left w:val="none" w:sz="0" w:space="0" w:color="auto"/>
        <w:bottom w:val="none" w:sz="0" w:space="0" w:color="auto"/>
        <w:right w:val="none" w:sz="0" w:space="0" w:color="auto"/>
      </w:divBdr>
      <w:divsChild>
        <w:div w:id="1784376608">
          <w:marLeft w:val="0"/>
          <w:marRight w:val="0"/>
          <w:marTop w:val="0"/>
          <w:marBottom w:val="0"/>
          <w:divBdr>
            <w:top w:val="none" w:sz="0" w:space="0" w:color="auto"/>
            <w:left w:val="none" w:sz="0" w:space="0" w:color="auto"/>
            <w:bottom w:val="none" w:sz="0" w:space="0" w:color="auto"/>
            <w:right w:val="none" w:sz="0" w:space="0" w:color="auto"/>
          </w:divBdr>
        </w:div>
      </w:divsChild>
    </w:div>
    <w:div w:id="219831909">
      <w:bodyDiv w:val="1"/>
      <w:marLeft w:val="0"/>
      <w:marRight w:val="0"/>
      <w:marTop w:val="0"/>
      <w:marBottom w:val="0"/>
      <w:divBdr>
        <w:top w:val="none" w:sz="0" w:space="0" w:color="auto"/>
        <w:left w:val="none" w:sz="0" w:space="0" w:color="auto"/>
        <w:bottom w:val="none" w:sz="0" w:space="0" w:color="auto"/>
        <w:right w:val="none" w:sz="0" w:space="0" w:color="auto"/>
      </w:divBdr>
      <w:divsChild>
        <w:div w:id="1304509731">
          <w:marLeft w:val="0"/>
          <w:marRight w:val="0"/>
          <w:marTop w:val="0"/>
          <w:marBottom w:val="0"/>
          <w:divBdr>
            <w:top w:val="none" w:sz="0" w:space="0" w:color="auto"/>
            <w:left w:val="none" w:sz="0" w:space="0" w:color="auto"/>
            <w:bottom w:val="none" w:sz="0" w:space="0" w:color="auto"/>
            <w:right w:val="none" w:sz="0" w:space="0" w:color="auto"/>
          </w:divBdr>
        </w:div>
      </w:divsChild>
    </w:div>
    <w:div w:id="334042351">
      <w:bodyDiv w:val="1"/>
      <w:marLeft w:val="0"/>
      <w:marRight w:val="0"/>
      <w:marTop w:val="0"/>
      <w:marBottom w:val="0"/>
      <w:divBdr>
        <w:top w:val="none" w:sz="0" w:space="0" w:color="auto"/>
        <w:left w:val="none" w:sz="0" w:space="0" w:color="auto"/>
        <w:bottom w:val="none" w:sz="0" w:space="0" w:color="auto"/>
        <w:right w:val="none" w:sz="0" w:space="0" w:color="auto"/>
      </w:divBdr>
      <w:divsChild>
        <w:div w:id="348802534">
          <w:marLeft w:val="0"/>
          <w:marRight w:val="0"/>
          <w:marTop w:val="0"/>
          <w:marBottom w:val="0"/>
          <w:divBdr>
            <w:top w:val="none" w:sz="0" w:space="0" w:color="auto"/>
            <w:left w:val="none" w:sz="0" w:space="0" w:color="auto"/>
            <w:bottom w:val="none" w:sz="0" w:space="0" w:color="auto"/>
            <w:right w:val="none" w:sz="0" w:space="0" w:color="auto"/>
          </w:divBdr>
        </w:div>
      </w:divsChild>
    </w:div>
    <w:div w:id="979920187">
      <w:bodyDiv w:val="1"/>
      <w:marLeft w:val="0"/>
      <w:marRight w:val="0"/>
      <w:marTop w:val="0"/>
      <w:marBottom w:val="0"/>
      <w:divBdr>
        <w:top w:val="none" w:sz="0" w:space="0" w:color="auto"/>
        <w:left w:val="none" w:sz="0" w:space="0" w:color="auto"/>
        <w:bottom w:val="none" w:sz="0" w:space="0" w:color="auto"/>
        <w:right w:val="none" w:sz="0" w:space="0" w:color="auto"/>
      </w:divBdr>
      <w:divsChild>
        <w:div w:id="930898018">
          <w:marLeft w:val="0"/>
          <w:marRight w:val="0"/>
          <w:marTop w:val="0"/>
          <w:marBottom w:val="0"/>
          <w:divBdr>
            <w:top w:val="none" w:sz="0" w:space="0" w:color="auto"/>
            <w:left w:val="none" w:sz="0" w:space="0" w:color="auto"/>
            <w:bottom w:val="none" w:sz="0" w:space="0" w:color="auto"/>
            <w:right w:val="none" w:sz="0" w:space="0" w:color="auto"/>
          </w:divBdr>
        </w:div>
      </w:divsChild>
    </w:div>
    <w:div w:id="1040327647">
      <w:bodyDiv w:val="1"/>
      <w:marLeft w:val="0"/>
      <w:marRight w:val="0"/>
      <w:marTop w:val="0"/>
      <w:marBottom w:val="0"/>
      <w:divBdr>
        <w:top w:val="none" w:sz="0" w:space="0" w:color="auto"/>
        <w:left w:val="none" w:sz="0" w:space="0" w:color="auto"/>
        <w:bottom w:val="none" w:sz="0" w:space="0" w:color="auto"/>
        <w:right w:val="none" w:sz="0" w:space="0" w:color="auto"/>
      </w:divBdr>
      <w:divsChild>
        <w:div w:id="1749303592">
          <w:marLeft w:val="0"/>
          <w:marRight w:val="0"/>
          <w:marTop w:val="0"/>
          <w:marBottom w:val="0"/>
          <w:divBdr>
            <w:top w:val="none" w:sz="0" w:space="0" w:color="auto"/>
            <w:left w:val="none" w:sz="0" w:space="0" w:color="auto"/>
            <w:bottom w:val="none" w:sz="0" w:space="0" w:color="auto"/>
            <w:right w:val="none" w:sz="0" w:space="0" w:color="auto"/>
          </w:divBdr>
        </w:div>
      </w:divsChild>
    </w:div>
    <w:div w:id="1275789575">
      <w:bodyDiv w:val="1"/>
      <w:marLeft w:val="0"/>
      <w:marRight w:val="0"/>
      <w:marTop w:val="0"/>
      <w:marBottom w:val="0"/>
      <w:divBdr>
        <w:top w:val="none" w:sz="0" w:space="0" w:color="auto"/>
        <w:left w:val="none" w:sz="0" w:space="0" w:color="auto"/>
        <w:bottom w:val="none" w:sz="0" w:space="0" w:color="auto"/>
        <w:right w:val="none" w:sz="0" w:space="0" w:color="auto"/>
      </w:divBdr>
      <w:divsChild>
        <w:div w:id="139886336">
          <w:marLeft w:val="0"/>
          <w:marRight w:val="0"/>
          <w:marTop w:val="0"/>
          <w:marBottom w:val="0"/>
          <w:divBdr>
            <w:top w:val="none" w:sz="0" w:space="0" w:color="auto"/>
            <w:left w:val="none" w:sz="0" w:space="0" w:color="auto"/>
            <w:bottom w:val="none" w:sz="0" w:space="0" w:color="auto"/>
            <w:right w:val="none" w:sz="0" w:space="0" w:color="auto"/>
          </w:divBdr>
        </w:div>
      </w:divsChild>
    </w:div>
    <w:div w:id="1429040811">
      <w:bodyDiv w:val="1"/>
      <w:marLeft w:val="0"/>
      <w:marRight w:val="0"/>
      <w:marTop w:val="0"/>
      <w:marBottom w:val="0"/>
      <w:divBdr>
        <w:top w:val="none" w:sz="0" w:space="0" w:color="auto"/>
        <w:left w:val="none" w:sz="0" w:space="0" w:color="auto"/>
        <w:bottom w:val="none" w:sz="0" w:space="0" w:color="auto"/>
        <w:right w:val="none" w:sz="0" w:space="0" w:color="auto"/>
      </w:divBdr>
      <w:divsChild>
        <w:div w:id="6089004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org.uk/" TargetMode="External"/><Relationship Id="rId3" Type="http://schemas.openxmlformats.org/officeDocument/2006/relationships/settings" Target="settings.xml"/><Relationship Id="rId7" Type="http://schemas.openxmlformats.org/officeDocument/2006/relationships/hyperlink" Target="https://www.nic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cpc-uk.org/standards/" TargetMode="External"/><Relationship Id="rId11" Type="http://schemas.openxmlformats.org/officeDocument/2006/relationships/theme" Target="theme/theme1.xml"/><Relationship Id="rId5" Type="http://schemas.openxmlformats.org/officeDocument/2006/relationships/hyperlink" Target="https://www.cqc.org.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1817</Words>
  <Characters>11242</Characters>
  <Application>Microsoft Office Word</Application>
  <DocSecurity>0</DocSecurity>
  <Lines>93</Lines>
  <Paragraphs>26</Paragraphs>
  <ScaleCrop>false</ScaleCrop>
  <Company/>
  <LinksUpToDate>false</LinksUpToDate>
  <CharactersWithSpaces>13033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 Leanne Handley (2410084)</dc:creator>
  <cp:keywords/>
  <dc:description/>
  <cp:lastModifiedBy>Kiera Leanne Handley (2410084)</cp:lastModifiedBy>
  <cp:revision>45</cp:revision>
  <dcterms:created xsi:type="dcterms:W3CDTF">2026-02-24T23:33:00Z</dcterms:created>
  <dcterms:modified xsi:type="dcterms:W3CDTF">2026-02-27T17:18:00Z</dcterms:modified>
</cp:coreProperties>
</file>