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743332613"/>
        <w:docPartObj>
          <w:docPartGallery w:val="Cover Pages"/>
          <w:docPartUnique/>
        </w:docPartObj>
      </w:sdtPr>
      <w:sdtEndPr>
        <w:rPr>
          <w:rFonts w:eastAsiaTheme="minorHAnsi"/>
          <w:b/>
          <w:bCs/>
          <w:sz w:val="32"/>
          <w:szCs w:val="32"/>
          <w:lang w:val="en-GB"/>
        </w:rPr>
      </w:sdtEndPr>
      <w:sdtContent>
        <w:p w14:paraId="4A0A2AB5" w14:textId="75D43A9C" w:rsidR="00CE6E95" w:rsidRDefault="00CE6E95">
          <w:pPr>
            <w:pStyle w:val="NoSpacing"/>
            <w:rPr>
              <w:sz w:val="2"/>
            </w:rPr>
          </w:pPr>
        </w:p>
        <w:p w14:paraId="0315403E" w14:textId="77777777" w:rsidR="00CE6E95" w:rsidRDefault="00CE6E95">
          <w:r>
            <w:rPr>
              <w:noProof/>
            </w:rPr>
            <mc:AlternateContent>
              <mc:Choice Requires="wps">
                <w:drawing>
                  <wp:anchor distT="0" distB="0" distL="114300" distR="114300" simplePos="0" relativeHeight="251661312" behindDoc="0" locked="0" layoutInCell="1" allowOverlap="1" wp14:anchorId="614E3FDF" wp14:editId="11F53472">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sz w:val="96"/>
                                    <w:szCs w:val="9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50C98BF" w14:textId="02DC7ED3" w:rsidR="00CE6E95" w:rsidRPr="00CE6E95" w:rsidRDefault="00CE6E95">
                                    <w:pPr>
                                      <w:pStyle w:val="NoSpacing"/>
                                      <w:rPr>
                                        <w:rFonts w:asciiTheme="majorHAnsi" w:eastAsiaTheme="majorEastAsia" w:hAnsiTheme="majorHAnsi" w:cstheme="majorBidi"/>
                                        <w:b/>
                                        <w:bCs/>
                                        <w:caps/>
                                        <w:color w:val="8496B0" w:themeColor="text2" w:themeTint="99"/>
                                        <w:sz w:val="96"/>
                                        <w:szCs w:val="96"/>
                                      </w:rPr>
                                    </w:pPr>
                                    <w:r w:rsidRPr="00CE6E95">
                                      <w:rPr>
                                        <w:b/>
                                        <w:bCs/>
                                        <w:sz w:val="96"/>
                                        <w:szCs w:val="96"/>
                                      </w:rPr>
                                      <w:t>Assessment 2</w:t>
                                    </w:r>
                                  </w:p>
                                </w:sdtContent>
                              </w:sdt>
                              <w:p w14:paraId="0F4CAB4F" w14:textId="5BE9999B" w:rsidR="00CE6E95" w:rsidRPr="00CE6E95" w:rsidRDefault="00CE6E95">
                                <w:pPr>
                                  <w:pStyle w:val="NoSpacing"/>
                                  <w:spacing w:before="120"/>
                                  <w:rPr>
                                    <w:color w:val="4472C4" w:themeColor="accent1"/>
                                    <w:sz w:val="44"/>
                                    <w:szCs w:val="44"/>
                                  </w:rPr>
                                </w:pPr>
                                <w:sdt>
                                  <w:sdtPr>
                                    <w:rPr>
                                      <w:b/>
                                      <w:bCs/>
                                      <w:sz w:val="44"/>
                                      <w:szCs w:val="4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CE6E95">
                                      <w:rPr>
                                        <w:b/>
                                        <w:bCs/>
                                        <w:sz w:val="44"/>
                                        <w:szCs w:val="44"/>
                                      </w:rPr>
                                      <w:t>LCBB5004</w:t>
                                    </w:r>
                                  </w:sdtContent>
                                </w:sdt>
                                <w:r w:rsidRPr="00CE6E95">
                                  <w:rPr>
                                    <w:noProof/>
                                    <w:sz w:val="28"/>
                                    <w:szCs w:val="28"/>
                                  </w:rPr>
                                  <w:t xml:space="preserve"> </w:t>
                                </w:r>
                              </w:p>
                              <w:p w14:paraId="0B54B9F6" w14:textId="77777777" w:rsidR="00CE6E95" w:rsidRDefault="00CE6E9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14E3FDF"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b/>
                              <w:bCs/>
                              <w:sz w:val="96"/>
                              <w:szCs w:val="9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450C98BF" w14:textId="02DC7ED3" w:rsidR="00CE6E95" w:rsidRPr="00CE6E95" w:rsidRDefault="00CE6E95">
                              <w:pPr>
                                <w:pStyle w:val="NoSpacing"/>
                                <w:rPr>
                                  <w:rFonts w:asciiTheme="majorHAnsi" w:eastAsiaTheme="majorEastAsia" w:hAnsiTheme="majorHAnsi" w:cstheme="majorBidi"/>
                                  <w:b/>
                                  <w:bCs/>
                                  <w:caps/>
                                  <w:color w:val="8496B0" w:themeColor="text2" w:themeTint="99"/>
                                  <w:sz w:val="96"/>
                                  <w:szCs w:val="96"/>
                                </w:rPr>
                              </w:pPr>
                              <w:r w:rsidRPr="00CE6E95">
                                <w:rPr>
                                  <w:b/>
                                  <w:bCs/>
                                  <w:sz w:val="96"/>
                                  <w:szCs w:val="96"/>
                                </w:rPr>
                                <w:t>Assessment 2</w:t>
                              </w:r>
                            </w:p>
                          </w:sdtContent>
                        </w:sdt>
                        <w:p w14:paraId="0F4CAB4F" w14:textId="5BE9999B" w:rsidR="00CE6E95" w:rsidRPr="00CE6E95" w:rsidRDefault="00CE6E95">
                          <w:pPr>
                            <w:pStyle w:val="NoSpacing"/>
                            <w:spacing w:before="120"/>
                            <w:rPr>
                              <w:color w:val="4472C4" w:themeColor="accent1"/>
                              <w:sz w:val="44"/>
                              <w:szCs w:val="44"/>
                            </w:rPr>
                          </w:pPr>
                          <w:sdt>
                            <w:sdtPr>
                              <w:rPr>
                                <w:b/>
                                <w:bCs/>
                                <w:sz w:val="44"/>
                                <w:szCs w:val="44"/>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CE6E95">
                                <w:rPr>
                                  <w:b/>
                                  <w:bCs/>
                                  <w:sz w:val="44"/>
                                  <w:szCs w:val="44"/>
                                </w:rPr>
                                <w:t>LCBB5004</w:t>
                              </w:r>
                            </w:sdtContent>
                          </w:sdt>
                          <w:r w:rsidRPr="00CE6E95">
                            <w:rPr>
                              <w:noProof/>
                              <w:sz w:val="28"/>
                              <w:szCs w:val="28"/>
                            </w:rPr>
                            <w:t xml:space="preserve"> </w:t>
                          </w:r>
                        </w:p>
                        <w:p w14:paraId="0B54B9F6" w14:textId="77777777" w:rsidR="00CE6E95" w:rsidRDefault="00CE6E95"/>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06E9A926" wp14:editId="4D0ABEF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50D1A7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304CF15C" wp14:editId="12D411EB">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6341B7" w14:textId="0F15DD95" w:rsidR="00CE6E95" w:rsidRDefault="00CE6E95">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Date : 09/01/2023</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1DCDEE7" w14:textId="5A95B98F" w:rsidR="00CE6E95" w:rsidRDefault="00CE6E95">
                                    <w:pPr>
                                      <w:pStyle w:val="NoSpacing"/>
                                      <w:jc w:val="right"/>
                                      <w:rPr>
                                        <w:color w:val="4472C4" w:themeColor="accent1"/>
                                        <w:sz w:val="36"/>
                                        <w:szCs w:val="36"/>
                                      </w:rPr>
                                    </w:pPr>
                                    <w:r>
                                      <w:rPr>
                                        <w:color w:val="4472C4" w:themeColor="accent1"/>
                                        <w:sz w:val="36"/>
                                        <w:szCs w:val="36"/>
                                      </w:rPr>
                                      <w:t>Lecturer : Ze Zook</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304CF15C"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36341B7" w14:textId="0F15DD95" w:rsidR="00CE6E95" w:rsidRDefault="00CE6E95">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Pr>
                                  <w:color w:val="4472C4" w:themeColor="accent1"/>
                                  <w:sz w:val="36"/>
                                  <w:szCs w:val="36"/>
                                </w:rPr>
                                <w:t>Date : 09/01/2023</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21DCDEE7" w14:textId="5A95B98F" w:rsidR="00CE6E95" w:rsidRDefault="00CE6E95">
                              <w:pPr>
                                <w:pStyle w:val="NoSpacing"/>
                                <w:jc w:val="right"/>
                                <w:rPr>
                                  <w:color w:val="4472C4" w:themeColor="accent1"/>
                                  <w:sz w:val="36"/>
                                  <w:szCs w:val="36"/>
                                </w:rPr>
                              </w:pPr>
                              <w:r>
                                <w:rPr>
                                  <w:color w:val="4472C4" w:themeColor="accent1"/>
                                  <w:sz w:val="36"/>
                                  <w:szCs w:val="36"/>
                                </w:rPr>
                                <w:t>Lecturer : Ze Zook</w:t>
                              </w:r>
                            </w:p>
                          </w:sdtContent>
                        </w:sdt>
                      </w:txbxContent>
                    </v:textbox>
                    <w10:wrap anchorx="page" anchory="margin"/>
                  </v:shape>
                </w:pict>
              </mc:Fallback>
            </mc:AlternateContent>
          </w:r>
        </w:p>
        <w:p w14:paraId="07A32F82" w14:textId="6CC02063" w:rsidR="00CE6E95" w:rsidRDefault="00CE6E95">
          <w:pPr>
            <w:rPr>
              <w:b/>
              <w:bCs/>
              <w:sz w:val="32"/>
              <w:szCs w:val="32"/>
            </w:rPr>
          </w:pPr>
          <w:r>
            <w:rPr>
              <w:b/>
              <w:bCs/>
              <w:sz w:val="32"/>
              <w:szCs w:val="32"/>
            </w:rPr>
            <w:br w:type="page"/>
          </w:r>
        </w:p>
      </w:sdtContent>
    </w:sdt>
    <w:p w14:paraId="2F2BFE62" w14:textId="5CF6EB06" w:rsidR="00FA11D6" w:rsidRPr="00CE6E95" w:rsidRDefault="007B72F9" w:rsidP="00CE6E95">
      <w:pPr>
        <w:jc w:val="both"/>
        <w:rPr>
          <w:b/>
          <w:bCs/>
          <w:sz w:val="32"/>
          <w:szCs w:val="32"/>
        </w:rPr>
      </w:pPr>
      <w:r w:rsidRPr="00CE6E95">
        <w:rPr>
          <w:b/>
          <w:bCs/>
          <w:sz w:val="32"/>
          <w:szCs w:val="32"/>
        </w:rPr>
        <w:lastRenderedPageBreak/>
        <w:t xml:space="preserve">This report will discuss several delicate situations in the UK that led to the lack of employees in the public sector and why the healthcare sector suffered more than the rest. At the same time, they will be debated ways to help against staff shortages in the health sector and how important these </w:t>
      </w:r>
      <w:proofErr w:type="spellStart"/>
      <w:r w:rsidRPr="00CE6E95">
        <w:rPr>
          <w:b/>
          <w:bCs/>
          <w:sz w:val="32"/>
          <w:szCs w:val="32"/>
        </w:rPr>
        <w:t>behaviors</w:t>
      </w:r>
      <w:proofErr w:type="spellEnd"/>
      <w:r w:rsidRPr="00CE6E95">
        <w:rPr>
          <w:b/>
          <w:bCs/>
          <w:sz w:val="32"/>
          <w:szCs w:val="32"/>
        </w:rPr>
        <w:t xml:space="preserve"> are for human resources working in the UK.</w:t>
      </w:r>
    </w:p>
    <w:p w14:paraId="1056F5CC" w14:textId="2EB4A6B1" w:rsidR="00FA11D6" w:rsidRPr="00CE6E95" w:rsidRDefault="00FA11D6" w:rsidP="00CE6E95">
      <w:pPr>
        <w:jc w:val="both"/>
        <w:rPr>
          <w:b/>
          <w:bCs/>
          <w:sz w:val="32"/>
          <w:szCs w:val="32"/>
        </w:rPr>
      </w:pPr>
      <w:r w:rsidRPr="00CE6E95">
        <w:rPr>
          <w:b/>
          <w:bCs/>
          <w:sz w:val="32"/>
          <w:szCs w:val="32"/>
        </w:rPr>
        <w:t xml:space="preserve">Human resources departments need to adapt their roles to remain competitive in the talent acquisition market and to keep the best employees engaged. Human resource professionals need to be conversant in supply and demand theory and have mastered the art of matching the right workers with the demand for their company's products. Human resource professionals need this in order to do their work. Human resource managers must also explain how the availability of key skills is affected by the supply of people from both within and outside the </w:t>
      </w:r>
      <w:r w:rsidR="007B72F9" w:rsidRPr="00CE6E95">
        <w:rPr>
          <w:b/>
          <w:bCs/>
          <w:sz w:val="32"/>
          <w:szCs w:val="32"/>
        </w:rPr>
        <w:t>organization</w:t>
      </w:r>
      <w:r w:rsidRPr="00CE6E95">
        <w:rPr>
          <w:b/>
          <w:bCs/>
          <w:sz w:val="32"/>
          <w:szCs w:val="32"/>
        </w:rPr>
        <w:t xml:space="preserve">, as well as provide market information that is backed up by data. This means that strategies must be in place to close the gap between employee skills and </w:t>
      </w:r>
      <w:r w:rsidR="007B72F9" w:rsidRPr="00CE6E95">
        <w:rPr>
          <w:b/>
          <w:bCs/>
          <w:sz w:val="32"/>
          <w:szCs w:val="32"/>
        </w:rPr>
        <w:t>organizational</w:t>
      </w:r>
      <w:r w:rsidRPr="00CE6E95">
        <w:rPr>
          <w:b/>
          <w:bCs/>
          <w:sz w:val="32"/>
          <w:szCs w:val="32"/>
        </w:rPr>
        <w:t xml:space="preserve"> goals as soon as possible. These measures need to be implemented immediately. Those in HR management roles should think like designers when it comes to the challenge of </w:t>
      </w:r>
      <w:r w:rsidR="007B72F9" w:rsidRPr="00CE6E95">
        <w:rPr>
          <w:b/>
          <w:bCs/>
          <w:sz w:val="32"/>
          <w:szCs w:val="32"/>
        </w:rPr>
        <w:t>organizing</w:t>
      </w:r>
      <w:r w:rsidRPr="00CE6E95">
        <w:rPr>
          <w:b/>
          <w:bCs/>
          <w:sz w:val="32"/>
          <w:szCs w:val="32"/>
        </w:rPr>
        <w:t xml:space="preserve"> employees' work. Full-time employees, contractors, and independent contractors alike will be able to carry out their duties and complete their tasks in the most productive and satisfying manner possible thanks to this measure. Everyone in the workforce will be affected by this. The findings of the poll indicate that it is crucial to create communities of work in order to ensure that the workforce is made of people from a broad variety of various backgrounds, including those who are in temporary roles, who are outsourced, or who are partly retired.</w:t>
      </w:r>
      <w:r w:rsidR="007B72F9" w:rsidRPr="00CE6E95">
        <w:rPr>
          <w:sz w:val="32"/>
          <w:szCs w:val="32"/>
        </w:rPr>
        <w:t xml:space="preserve"> </w:t>
      </w:r>
      <w:r w:rsidR="007B72F9" w:rsidRPr="00CE6E95">
        <w:rPr>
          <w:b/>
          <w:bCs/>
          <w:sz w:val="32"/>
          <w:szCs w:val="32"/>
        </w:rPr>
        <w:t xml:space="preserve">There is no indication that hiring activity will decrease in the UK labour market anytime soon. Although this is good news for the jobless as well as staffing firms, the nation still has vast skill gaps that will further increase if the </w:t>
      </w:r>
      <w:r w:rsidR="007B72F9" w:rsidRPr="00CE6E95">
        <w:rPr>
          <w:b/>
          <w:bCs/>
          <w:sz w:val="32"/>
          <w:szCs w:val="32"/>
        </w:rPr>
        <w:lastRenderedPageBreak/>
        <w:t>number of job opportunities continues to rise at the same rapid pace. Human resources have to step up to the plate and become a leader in strategic workforce planning, in addition to its more traditional functions of hiring new staff and disseminating standardized training programs. As part of this role, you'll be tasked with advising the business on how to optimize its use of talent ecosystems, forecasting the most important skills for the coming years, and regularly updating the company's current learning offering and curriculum to foster the growth of these crucial in-house competencies. Managers in charge of human resources should evaluate their current talent management systems to ensure they are competitive when hiring in-demand workers. This should be done in tandem with planned and targeted recruitment initiatives, dedicated training and development initiatives, and flexible policies that enable the reallocation of resources as needed.</w:t>
      </w:r>
      <w:r w:rsidR="007B72F9" w:rsidRPr="00CE6E95">
        <w:rPr>
          <w:sz w:val="32"/>
          <w:szCs w:val="32"/>
        </w:rPr>
        <w:t xml:space="preserve"> </w:t>
      </w:r>
      <w:r w:rsidR="007B72F9" w:rsidRPr="00CE6E95">
        <w:rPr>
          <w:b/>
          <w:bCs/>
          <w:sz w:val="32"/>
          <w:szCs w:val="32"/>
        </w:rPr>
        <w:t>While human capital is crucial, we must also urge UK authorities to adopt a strategy that will increase the country's access to talent in a way that is competitive globally. We also need to create an enticing immigration system for highly trained workers who work independently. Human resources will also play a crucial part, thus this is essential. We'll need to do this to recover the ground we've lost.</w:t>
      </w:r>
    </w:p>
    <w:p w14:paraId="2284CCCD" w14:textId="5BB189E5" w:rsidR="007B72F9" w:rsidRPr="00CE6E95" w:rsidRDefault="007B72F9" w:rsidP="00CE6E95">
      <w:pPr>
        <w:jc w:val="both"/>
        <w:rPr>
          <w:b/>
          <w:bCs/>
          <w:sz w:val="32"/>
          <w:szCs w:val="32"/>
        </w:rPr>
      </w:pPr>
    </w:p>
    <w:p w14:paraId="45040396" w14:textId="6C37DEFD" w:rsidR="007B72F9" w:rsidRPr="00CE6E95" w:rsidRDefault="009B0D6C" w:rsidP="00CE6E95">
      <w:pPr>
        <w:jc w:val="both"/>
        <w:rPr>
          <w:b/>
          <w:bCs/>
          <w:sz w:val="32"/>
          <w:szCs w:val="32"/>
        </w:rPr>
      </w:pPr>
      <w:r w:rsidRPr="00CE6E95">
        <w:rPr>
          <w:b/>
          <w:bCs/>
          <w:sz w:val="32"/>
          <w:szCs w:val="32"/>
        </w:rPr>
        <w:t xml:space="preserve">According to the Chartered Institute of Personnel and Development (CIPD) map, inquisitiveness is a trait that encourages professionals to concentrate on the future and simultaneously embrace open-mindedness and inquisitiveness. This results in the creation of unique approaches, which eventually provide value to the company. An inquisitive human resources consultant in band three, for instance, may provide solutions to the issue of employee unproductivity by investigating the underlying issues inside an organization in a way that fosters the medium- and long-term </w:t>
      </w:r>
      <w:r w:rsidRPr="00CE6E95">
        <w:rPr>
          <w:b/>
          <w:bCs/>
          <w:sz w:val="32"/>
          <w:szCs w:val="32"/>
        </w:rPr>
        <w:lastRenderedPageBreak/>
        <w:t>performance of the firm. Band-four workers, particularly managers, should follow their passions to uncover crucial solutions that boost the HR department's efficiency. They need to act in this manner. Thus, the map helps to raise HR experts' level of knowledge by directing the efforts of those at different tiers of the field.</w:t>
      </w:r>
      <w:r w:rsidRPr="00CE6E95">
        <w:rPr>
          <w:sz w:val="32"/>
          <w:szCs w:val="32"/>
        </w:rPr>
        <w:t xml:space="preserve"> </w:t>
      </w:r>
      <w:r w:rsidRPr="00CE6E95">
        <w:rPr>
          <w:b/>
          <w:bCs/>
          <w:sz w:val="32"/>
          <w:szCs w:val="32"/>
        </w:rPr>
        <w:t xml:space="preserve">The CIPD professional map is designed to help human resources specialists better illustrate their functions and the foundational elements of efficient operation. Professionals in human resource management apply their expertise to the task of overseeing the organization as a whole, as well as its many departments and divisions, in order to </w:t>
      </w:r>
      <w:proofErr w:type="spellStart"/>
      <w:r w:rsidRPr="00CE6E95">
        <w:rPr>
          <w:b/>
          <w:bCs/>
          <w:sz w:val="32"/>
          <w:szCs w:val="32"/>
        </w:rPr>
        <w:t>fulfill</w:t>
      </w:r>
      <w:proofErr w:type="spellEnd"/>
      <w:r w:rsidRPr="00CE6E95">
        <w:rPr>
          <w:b/>
          <w:bCs/>
          <w:sz w:val="32"/>
          <w:szCs w:val="32"/>
        </w:rPr>
        <w:t xml:space="preserve"> the needs of all its constituents. Human resource professionals may go up the CIPD ladder by participating in </w:t>
      </w:r>
      <w:proofErr w:type="spellStart"/>
      <w:r w:rsidRPr="00CE6E95">
        <w:rPr>
          <w:b/>
          <w:bCs/>
          <w:sz w:val="32"/>
          <w:szCs w:val="32"/>
        </w:rPr>
        <w:t>behaviors</w:t>
      </w:r>
      <w:proofErr w:type="spellEnd"/>
      <w:r w:rsidRPr="00CE6E95">
        <w:rPr>
          <w:b/>
          <w:bCs/>
          <w:sz w:val="32"/>
          <w:szCs w:val="32"/>
        </w:rPr>
        <w:t xml:space="preserve"> such as teamwork and curiosity at various levels. In turn, this strengthens the credibility of HR specialists.</w:t>
      </w:r>
      <w:r w:rsidRPr="00CE6E95">
        <w:rPr>
          <w:sz w:val="32"/>
          <w:szCs w:val="32"/>
        </w:rPr>
        <w:t xml:space="preserve"> </w:t>
      </w:r>
      <w:r w:rsidRPr="00CE6E95">
        <w:rPr>
          <w:b/>
          <w:bCs/>
          <w:sz w:val="32"/>
          <w:szCs w:val="32"/>
        </w:rPr>
        <w:t xml:space="preserve">In its simplest form, the map illustrates the knowledge and skills used by the most effective human resources professionals at various stages of their careers. Many people are finding this information to be helpful, and it is made clear in the map's simplest form. The map is now being used by a variety of organizations and HR professionals to assess and enhance HR capabilities at the person, team, department, and enterprise levels. As a result of its adaptability, the map allows HR specialists to zero in on problems that are particularly pressing for their organization. However, the CIPD advises beginning in the middle of the map, since here is where real changes in performance and success can be shown to have taken place. Here's where you'll start to see real improvements in productivity and achievement. The </w:t>
      </w:r>
      <w:proofErr w:type="spellStart"/>
      <w:r w:rsidRPr="00CE6E95">
        <w:rPr>
          <w:b/>
          <w:bCs/>
          <w:sz w:val="32"/>
          <w:szCs w:val="32"/>
        </w:rPr>
        <w:t>center's</w:t>
      </w:r>
      <w:proofErr w:type="spellEnd"/>
      <w:r w:rsidRPr="00CE6E95">
        <w:rPr>
          <w:b/>
          <w:bCs/>
          <w:sz w:val="32"/>
          <w:szCs w:val="32"/>
        </w:rPr>
        <w:t xml:space="preserve"> two main professional focuses are the Insights, Strategy, and Solutions initiative and the Leading HR initiative. [Housed at] The survey found that these are the qualities shared by all high-achieving human resources professionals, regardless of their position, area of expertise, or level of experience.</w:t>
      </w:r>
    </w:p>
    <w:p w14:paraId="19E3E09F" w14:textId="562CF0AD" w:rsidR="007B72F9" w:rsidRPr="00CE6E95" w:rsidRDefault="007B72F9" w:rsidP="00CE6E95">
      <w:pPr>
        <w:jc w:val="both"/>
        <w:rPr>
          <w:b/>
          <w:bCs/>
          <w:sz w:val="32"/>
          <w:szCs w:val="32"/>
        </w:rPr>
      </w:pPr>
    </w:p>
    <w:p w14:paraId="151A108A" w14:textId="23F942FE" w:rsidR="007B72F9" w:rsidRPr="00CE6E95" w:rsidRDefault="007B72F9" w:rsidP="00CE6E95">
      <w:pPr>
        <w:jc w:val="both"/>
        <w:rPr>
          <w:b/>
          <w:bCs/>
          <w:sz w:val="32"/>
          <w:szCs w:val="32"/>
        </w:rPr>
      </w:pPr>
    </w:p>
    <w:p w14:paraId="2C8BE157" w14:textId="77777777" w:rsidR="007B72F9" w:rsidRPr="00CE6E95" w:rsidRDefault="007B72F9" w:rsidP="00CE6E95">
      <w:pPr>
        <w:jc w:val="both"/>
        <w:rPr>
          <w:b/>
          <w:bCs/>
          <w:sz w:val="32"/>
          <w:szCs w:val="32"/>
        </w:rPr>
      </w:pPr>
    </w:p>
    <w:p w14:paraId="1872CD70" w14:textId="7ECADB7C" w:rsidR="00E17EB9" w:rsidRPr="00CE6E95" w:rsidRDefault="008942D5" w:rsidP="00CE6E95">
      <w:pPr>
        <w:jc w:val="both"/>
        <w:rPr>
          <w:b/>
          <w:bCs/>
          <w:sz w:val="32"/>
          <w:szCs w:val="32"/>
        </w:rPr>
      </w:pPr>
      <w:r w:rsidRPr="00CE6E95">
        <w:rPr>
          <w:b/>
          <w:bCs/>
          <w:sz w:val="32"/>
          <w:szCs w:val="32"/>
        </w:rPr>
        <w:t>The situation demonstrates that there is a shortage of skills in the vast majority of economic sectors, and in many cases, the skills that are in the highest demand are either not being taught within organizations or are not a priority. The situation demonstrates that there is a shortage of skills in the vast majority of economic sectors. The scenario is evidence that there is a scarcity of skilled workers in the great majority of the economy's many sectors. Even though many businesses still consider retraining and further education to be "nice to have" employee benefits, these kinds of programs are going to become essential components of businesses' long-term plans if they want to reduce the negative effects that a potential skills gap could have on their rates of growth and profitability. Even though many businesses still consider retraining and further education to be "nice to have" employee benefits,</w:t>
      </w:r>
      <w:r w:rsidR="00E17EB9" w:rsidRPr="00CE6E95">
        <w:rPr>
          <w:b/>
          <w:bCs/>
          <w:sz w:val="32"/>
          <w:szCs w:val="32"/>
        </w:rPr>
        <w:t xml:space="preserve"> The need for human labour has almost returned to the exact same level that it was before the breakout. The figures, on the other hand, suggest that the rise in the number of job openings is not the result of an increase in the demand for workers. Instead, the data suggest that the increase in job openings is attributable to a decrease in the labour force between the first quarters (Jan-March) of the years 2020 and 2022, which is greater than the increase in job openings over the same time period. This is the case because the decrease in the labour force is greater than the increase in job openings. The reasons given by people for why they do not actively participate in the labour market have experienced substantial shifts over the course of the last few years. The significant decrease in labour supply that occurred among those aged 16 to 64 (those of working age) in the aftermath of the first COVID lockdown was primarily caused by increases in both long-term illnesses and early retirement. This resulted in a decrease in the total number of people who were available to work.</w:t>
      </w:r>
    </w:p>
    <w:p w14:paraId="5CD4B04F" w14:textId="667CB956" w:rsidR="00E17EB9" w:rsidRPr="00CE6E95" w:rsidRDefault="00E17EB9" w:rsidP="00CE6E95">
      <w:pPr>
        <w:jc w:val="both"/>
        <w:rPr>
          <w:b/>
          <w:bCs/>
          <w:sz w:val="32"/>
          <w:szCs w:val="32"/>
        </w:rPr>
      </w:pPr>
    </w:p>
    <w:p w14:paraId="59DF14FF" w14:textId="674793A0" w:rsidR="00E17EB9" w:rsidRPr="00CE6E95" w:rsidRDefault="00E17EB9" w:rsidP="00CE6E95">
      <w:pPr>
        <w:jc w:val="both"/>
        <w:rPr>
          <w:b/>
          <w:bCs/>
          <w:sz w:val="32"/>
          <w:szCs w:val="32"/>
        </w:rPr>
      </w:pPr>
      <w:r w:rsidRPr="00CE6E95">
        <w:rPr>
          <w:b/>
          <w:bCs/>
          <w:sz w:val="32"/>
          <w:szCs w:val="32"/>
        </w:rPr>
        <w:t>The regions in the UK with a high concentration of job opportunities and substantial forecasted economic contractions would likely experience the former if they are unable to swiftly attract new staff. However, areas where employment vacancies have decreased or growth in openings has slowed compared to pre-pandemic levels are also grounds for worry. There may not be enough work for everyone if these areas have been struck particularly hard by factors like the global supply chain disruptions and the pandemic. To effectively address the UK's labour deficit, it will be necessary to adopt measures specific to certain regions. More often than not, regions in need of extra jobs, particularly higher-paying ones, need regions that are ready to make long-term investments in both their infrastructure and the capacities of their workers. However, innovative approaches are needed to help areas that are desperate for new labour. Local and national governments could ensure an appropriate supply of cheap housing in the area, and businesses may provide enticing packages like flexible hours and training.</w:t>
      </w:r>
      <w:r w:rsidR="0001339B" w:rsidRPr="00CE6E95">
        <w:rPr>
          <w:b/>
          <w:bCs/>
          <w:sz w:val="32"/>
          <w:szCs w:val="32"/>
        </w:rPr>
        <w:t xml:space="preserve"> Recent years have seen many administrations propose and enact new strategies to address staffing shortages in the National Health Service (NHS) and the adult social care sectors of the economy. Several measures have been taken, including the publication of a white paper on the issue of adult social care reform, the commissioning of NHS England to produce a long-term staffing strategy, and the authorization of wage increases for NHS personnel. However, as will be demonstrated in the next section, these steps have been </w:t>
      </w:r>
      <w:r w:rsidR="00D05C7E" w:rsidRPr="00CE6E95">
        <w:rPr>
          <w:b/>
          <w:bCs/>
          <w:sz w:val="32"/>
          <w:szCs w:val="32"/>
        </w:rPr>
        <w:t>criticized</w:t>
      </w:r>
      <w:r w:rsidR="0001339B" w:rsidRPr="00CE6E95">
        <w:rPr>
          <w:b/>
          <w:bCs/>
          <w:sz w:val="32"/>
          <w:szCs w:val="32"/>
        </w:rPr>
        <w:t xml:space="preserve"> for a number of reasons, including the fact that they do not go far enough to tackle the issues at hand. These measures have been </w:t>
      </w:r>
      <w:r w:rsidR="00D05C7E" w:rsidRPr="00CE6E95">
        <w:rPr>
          <w:b/>
          <w:bCs/>
          <w:sz w:val="32"/>
          <w:szCs w:val="32"/>
        </w:rPr>
        <w:t>criticized</w:t>
      </w:r>
      <w:r w:rsidR="0001339B" w:rsidRPr="00CE6E95">
        <w:rPr>
          <w:b/>
          <w:bCs/>
          <w:sz w:val="32"/>
          <w:szCs w:val="32"/>
        </w:rPr>
        <w:t xml:space="preserve"> because they fall short of what might be done to resolve the issues.</w:t>
      </w:r>
      <w:r w:rsidR="00163E4F" w:rsidRPr="00CE6E95">
        <w:rPr>
          <w:b/>
          <w:bCs/>
          <w:sz w:val="32"/>
          <w:szCs w:val="32"/>
        </w:rPr>
        <w:t xml:space="preserve"> People who want to immigrate to the United Kingdom through the skilled worker route are required to get a score of at least 70 out of a possible 100 points under the country's point-based immigration system. According to </w:t>
      </w:r>
      <w:r w:rsidR="00163E4F" w:rsidRPr="00CE6E95">
        <w:rPr>
          <w:b/>
          <w:bCs/>
          <w:sz w:val="32"/>
          <w:szCs w:val="32"/>
        </w:rPr>
        <w:lastRenderedPageBreak/>
        <w:t xml:space="preserve">the information provided by the government, a position on the list of shortage occupations was worth 20 points. In addition to the statutory requirements, which included possessing </w:t>
      </w:r>
      <w:r w:rsidR="00D05C7E" w:rsidRPr="00CE6E95">
        <w:rPr>
          <w:b/>
          <w:bCs/>
          <w:sz w:val="32"/>
          <w:szCs w:val="32"/>
        </w:rPr>
        <w:t>an</w:t>
      </w:r>
      <w:r w:rsidR="00163E4F" w:rsidRPr="00CE6E95">
        <w:rPr>
          <w:b/>
          <w:bCs/>
          <w:sz w:val="32"/>
          <w:szCs w:val="32"/>
        </w:rPr>
        <w:t xml:space="preserve"> "acceptable quality" of English, it specified that receiving an offer from a </w:t>
      </w:r>
      <w:r w:rsidR="00D05C7E" w:rsidRPr="00CE6E95">
        <w:rPr>
          <w:b/>
          <w:bCs/>
          <w:sz w:val="32"/>
          <w:szCs w:val="32"/>
        </w:rPr>
        <w:t>licensed</w:t>
      </w:r>
      <w:r w:rsidR="00163E4F" w:rsidRPr="00CE6E95">
        <w:rPr>
          <w:b/>
          <w:bCs/>
          <w:sz w:val="32"/>
          <w:szCs w:val="32"/>
        </w:rPr>
        <w:t xml:space="preserve"> sponsor and achieving the requisite level of ability were both worth 50 points. According to the government, this would guarantee that employees in these professions attained the minimum threshold of 70 points required for qualifying.</w:t>
      </w:r>
    </w:p>
    <w:p w14:paraId="6CC92678" w14:textId="3CFC7C90" w:rsidR="00E17EB9" w:rsidRDefault="009B4353" w:rsidP="00CE6E95">
      <w:pPr>
        <w:jc w:val="both"/>
        <w:rPr>
          <w:b/>
          <w:bCs/>
          <w:sz w:val="32"/>
          <w:szCs w:val="32"/>
        </w:rPr>
      </w:pPr>
      <w:r w:rsidRPr="00CE6E95">
        <w:rPr>
          <w:b/>
          <w:bCs/>
          <w:sz w:val="32"/>
          <w:szCs w:val="32"/>
        </w:rPr>
        <w:t>In a broader sense, it is obvious that a multidisciplinary strategy is necessary to handle the current issue we are dealing with, which is a skills shortage. A strategy that tries to enhance the way individuals conduct their tasks and take delight in growing their knowledge will assist both the nurture of current talent inside the organization and the pursuit of expertise from outside sources. The plan's focus is on making employees more efficient and inspiring them to learn more about their fields. This is because the strategy intends to improve how employees carry out their responsibilities and because people like learning new things. To avoid being in a hopeless catch-22 scenario caused by the UK's chronic skills gap, we have no option but to work together. This was the planned outcome from the start. Now, more than ever before, HR has the opportunity to step in and manage these difficulties by backing a system that allows organizations to engage people, retain talent, and upskill personnel in order to create a bright and successful future workforce. Human Resources backs this system. There has never been a better opportunity than now.</w:t>
      </w:r>
    </w:p>
    <w:p w14:paraId="3D438371" w14:textId="62166BCD" w:rsidR="00CE6E95" w:rsidRDefault="00CE6E95" w:rsidP="00CE6E95">
      <w:pPr>
        <w:jc w:val="both"/>
        <w:rPr>
          <w:b/>
          <w:bCs/>
          <w:sz w:val="32"/>
          <w:szCs w:val="32"/>
        </w:rPr>
      </w:pPr>
    </w:p>
    <w:p w14:paraId="11328AF1" w14:textId="5B08EF81" w:rsidR="00CE6E95" w:rsidRDefault="00CE6E95" w:rsidP="00CE6E95">
      <w:pPr>
        <w:jc w:val="both"/>
        <w:rPr>
          <w:b/>
          <w:bCs/>
          <w:sz w:val="32"/>
          <w:szCs w:val="32"/>
        </w:rPr>
      </w:pPr>
    </w:p>
    <w:p w14:paraId="00D90B4C" w14:textId="21931783" w:rsidR="00CE6E95" w:rsidRDefault="00CE6E95" w:rsidP="00CE6E95">
      <w:pPr>
        <w:jc w:val="both"/>
        <w:rPr>
          <w:b/>
          <w:bCs/>
          <w:sz w:val="32"/>
          <w:szCs w:val="32"/>
        </w:rPr>
      </w:pPr>
    </w:p>
    <w:p w14:paraId="22F9B936" w14:textId="61430992" w:rsidR="00CE6E95" w:rsidRDefault="00CE6E95" w:rsidP="00CE6E95">
      <w:pPr>
        <w:jc w:val="both"/>
        <w:rPr>
          <w:b/>
          <w:bCs/>
          <w:sz w:val="32"/>
          <w:szCs w:val="32"/>
        </w:rPr>
      </w:pPr>
    </w:p>
    <w:sdt>
      <w:sdtPr>
        <w:rPr>
          <w:sz w:val="44"/>
          <w:szCs w:val="44"/>
        </w:rPr>
        <w:id w:val="-270020885"/>
        <w:docPartObj>
          <w:docPartGallery w:val="Bibliographies"/>
          <w:docPartUnique/>
        </w:docPartObj>
      </w:sdtPr>
      <w:sdtEndPr>
        <w:rPr>
          <w:rFonts w:asciiTheme="minorHAnsi" w:eastAsiaTheme="minorHAnsi" w:hAnsiTheme="minorHAnsi" w:cstheme="minorBidi"/>
          <w:color w:val="auto"/>
          <w:sz w:val="32"/>
          <w:szCs w:val="32"/>
          <w:lang w:val="en-GB"/>
        </w:rPr>
      </w:sdtEndPr>
      <w:sdtContent>
        <w:p w14:paraId="470E754D" w14:textId="3218AEBB" w:rsidR="007933FA" w:rsidRPr="007933FA" w:rsidRDefault="007933FA">
          <w:pPr>
            <w:pStyle w:val="Heading1"/>
            <w:rPr>
              <w:sz w:val="44"/>
              <w:szCs w:val="44"/>
            </w:rPr>
          </w:pPr>
          <w:r w:rsidRPr="007933FA">
            <w:rPr>
              <w:sz w:val="44"/>
              <w:szCs w:val="44"/>
            </w:rPr>
            <w:t>References</w:t>
          </w:r>
        </w:p>
        <w:sdt>
          <w:sdtPr>
            <w:rPr>
              <w:sz w:val="32"/>
              <w:szCs w:val="32"/>
            </w:rPr>
            <w:id w:val="-573587230"/>
            <w:bibliography/>
          </w:sdtPr>
          <w:sdtContent>
            <w:p w14:paraId="44378173" w14:textId="77777777" w:rsidR="007933FA" w:rsidRPr="007933FA" w:rsidRDefault="007933FA" w:rsidP="007933FA">
              <w:pPr>
                <w:pStyle w:val="Bibliography"/>
                <w:rPr>
                  <w:noProof/>
                  <w:sz w:val="36"/>
                  <w:szCs w:val="36"/>
                  <w:lang w:val="en-US"/>
                </w:rPr>
              </w:pPr>
              <w:r w:rsidRPr="007933FA">
                <w:rPr>
                  <w:sz w:val="32"/>
                  <w:szCs w:val="32"/>
                </w:rPr>
                <w:fldChar w:fldCharType="begin"/>
              </w:r>
              <w:r w:rsidRPr="007933FA">
                <w:rPr>
                  <w:sz w:val="32"/>
                  <w:szCs w:val="32"/>
                </w:rPr>
                <w:instrText xml:space="preserve"> BIBLIOGRAPHY </w:instrText>
              </w:r>
              <w:r w:rsidRPr="007933FA">
                <w:rPr>
                  <w:sz w:val="32"/>
                  <w:szCs w:val="32"/>
                </w:rPr>
                <w:fldChar w:fldCharType="separate"/>
              </w:r>
              <w:r w:rsidRPr="007933FA">
                <w:rPr>
                  <w:noProof/>
                  <w:sz w:val="32"/>
                  <w:szCs w:val="32"/>
                  <w:lang w:val="en-US"/>
                </w:rPr>
                <w:t xml:space="preserve">Bowles, N., 2018. </w:t>
              </w:r>
              <w:r w:rsidRPr="007933FA">
                <w:rPr>
                  <w:i/>
                  <w:iCs/>
                  <w:noProof/>
                  <w:sz w:val="32"/>
                  <w:szCs w:val="32"/>
                  <w:lang w:val="en-US"/>
                </w:rPr>
                <w:t xml:space="preserve">Hr zone. </w:t>
              </w:r>
              <w:r w:rsidRPr="007933FA">
                <w:rPr>
                  <w:noProof/>
                  <w:sz w:val="32"/>
                  <w:szCs w:val="32"/>
                  <w:lang w:val="en-US"/>
                </w:rPr>
                <w:t xml:space="preserve">[Online] </w:t>
              </w:r>
              <w:r w:rsidRPr="007933FA">
                <w:rPr>
                  <w:noProof/>
                  <w:sz w:val="32"/>
                  <w:szCs w:val="32"/>
                  <w:lang w:val="en-US"/>
                </w:rPr>
                <w:br/>
                <w:t xml:space="preserve">Available at: </w:t>
              </w:r>
              <w:r w:rsidRPr="007933FA">
                <w:rPr>
                  <w:noProof/>
                  <w:sz w:val="32"/>
                  <w:szCs w:val="32"/>
                  <w:u w:val="single"/>
                  <w:lang w:val="en-US"/>
                </w:rPr>
                <w:t>https://www.hrzone.com/community/blogs/nick-bowles/how-hr-can-solve-the-skills-shortage-crisis</w:t>
              </w:r>
            </w:p>
            <w:p w14:paraId="206E019B" w14:textId="77777777" w:rsidR="007933FA" w:rsidRPr="007933FA" w:rsidRDefault="007933FA" w:rsidP="007933FA">
              <w:pPr>
                <w:pStyle w:val="Bibliography"/>
                <w:rPr>
                  <w:noProof/>
                  <w:sz w:val="32"/>
                  <w:szCs w:val="32"/>
                  <w:lang w:val="en-US"/>
                </w:rPr>
              </w:pPr>
              <w:r w:rsidRPr="007933FA">
                <w:rPr>
                  <w:noProof/>
                  <w:sz w:val="32"/>
                  <w:szCs w:val="32"/>
                  <w:lang w:val="en-US"/>
                </w:rPr>
                <w:t xml:space="preserve">Hurrell, S. A., 2016. Rethinking the soft skills deficit blame game: Employers, skills withdrawal and the reporting of soft skills gaps. </w:t>
              </w:r>
              <w:r w:rsidRPr="007933FA">
                <w:rPr>
                  <w:i/>
                  <w:iCs/>
                  <w:noProof/>
                  <w:sz w:val="32"/>
                  <w:szCs w:val="32"/>
                  <w:lang w:val="en-US"/>
                </w:rPr>
                <w:t xml:space="preserve">Human Relations, </w:t>
              </w:r>
              <w:r w:rsidRPr="007933FA">
                <w:rPr>
                  <w:noProof/>
                  <w:sz w:val="32"/>
                  <w:szCs w:val="32"/>
                  <w:lang w:val="en-US"/>
                </w:rPr>
                <w:t>69(3), pp. 605-628.</w:t>
              </w:r>
            </w:p>
            <w:p w14:paraId="37404F35" w14:textId="77777777" w:rsidR="007933FA" w:rsidRPr="007933FA" w:rsidRDefault="007933FA" w:rsidP="007933FA">
              <w:pPr>
                <w:pStyle w:val="Bibliography"/>
                <w:rPr>
                  <w:noProof/>
                  <w:sz w:val="32"/>
                  <w:szCs w:val="32"/>
                  <w:lang w:val="en-US"/>
                </w:rPr>
              </w:pPr>
              <w:r w:rsidRPr="007933FA">
                <w:rPr>
                  <w:noProof/>
                  <w:sz w:val="32"/>
                  <w:szCs w:val="32"/>
                  <w:lang w:val="en-US"/>
                </w:rPr>
                <w:t xml:space="preserve">Sutherland, J., 2009. </w:t>
              </w:r>
              <w:r w:rsidRPr="007933FA">
                <w:rPr>
                  <w:i/>
                  <w:iCs/>
                  <w:noProof/>
                  <w:sz w:val="32"/>
                  <w:szCs w:val="32"/>
                  <w:lang w:val="en-US"/>
                </w:rPr>
                <w:t xml:space="preserve">Skills and training in Great Britain: further evidence, </w:t>
              </w:r>
              <w:r w:rsidRPr="007933FA">
                <w:rPr>
                  <w:noProof/>
                  <w:sz w:val="32"/>
                  <w:szCs w:val="32"/>
                  <w:lang w:val="en-US"/>
                </w:rPr>
                <w:t>51(7).</w:t>
              </w:r>
            </w:p>
            <w:p w14:paraId="392B6B10" w14:textId="77777777" w:rsidR="007933FA" w:rsidRPr="007933FA" w:rsidRDefault="007933FA" w:rsidP="007933FA">
              <w:pPr>
                <w:pStyle w:val="Bibliography"/>
                <w:rPr>
                  <w:noProof/>
                  <w:sz w:val="32"/>
                  <w:szCs w:val="32"/>
                  <w:lang w:val="en-US"/>
                </w:rPr>
              </w:pPr>
              <w:r w:rsidRPr="007933FA">
                <w:rPr>
                  <w:noProof/>
                  <w:sz w:val="32"/>
                  <w:szCs w:val="32"/>
                  <w:lang w:val="en-US"/>
                </w:rPr>
                <w:t xml:space="preserve">Waitzman, E., 2022. </w:t>
              </w:r>
              <w:r w:rsidRPr="007933FA">
                <w:rPr>
                  <w:i/>
                  <w:iCs/>
                  <w:noProof/>
                  <w:sz w:val="32"/>
                  <w:szCs w:val="32"/>
                  <w:lang w:val="en-US"/>
                </w:rPr>
                <w:t xml:space="preserve">UK Parliament. </w:t>
              </w:r>
              <w:r w:rsidRPr="007933FA">
                <w:rPr>
                  <w:noProof/>
                  <w:sz w:val="32"/>
                  <w:szCs w:val="32"/>
                  <w:lang w:val="en-US"/>
                </w:rPr>
                <w:t xml:space="preserve">[Online] </w:t>
              </w:r>
              <w:r w:rsidRPr="007933FA">
                <w:rPr>
                  <w:noProof/>
                  <w:sz w:val="32"/>
                  <w:szCs w:val="32"/>
                  <w:lang w:val="en-US"/>
                </w:rPr>
                <w:br/>
                <w:t xml:space="preserve">Available at: </w:t>
              </w:r>
              <w:r w:rsidRPr="007933FA">
                <w:rPr>
                  <w:noProof/>
                  <w:sz w:val="32"/>
                  <w:szCs w:val="32"/>
                  <w:u w:val="single"/>
                  <w:lang w:val="en-US"/>
                </w:rPr>
                <w:t>https://lordslibrary.parliament.uk/staff-shortages-in-the-nhs-and-social-care-sectors/</w:t>
              </w:r>
            </w:p>
            <w:p w14:paraId="51B7113D" w14:textId="77777777" w:rsidR="007933FA" w:rsidRPr="007933FA" w:rsidRDefault="007933FA" w:rsidP="007933FA">
              <w:pPr>
                <w:pStyle w:val="Bibliography"/>
                <w:rPr>
                  <w:noProof/>
                  <w:sz w:val="32"/>
                  <w:szCs w:val="32"/>
                  <w:lang w:val="en-US"/>
                </w:rPr>
              </w:pPr>
              <w:r w:rsidRPr="007933FA">
                <w:rPr>
                  <w:noProof/>
                  <w:sz w:val="32"/>
                  <w:szCs w:val="32"/>
                  <w:lang w:val="en-US"/>
                </w:rPr>
                <w:t xml:space="preserve">Wruuck, G. B. P., 2019. Skill Shortages and Skill Mismatch in Europe: A Review of the Literature. </w:t>
              </w:r>
            </w:p>
            <w:p w14:paraId="10B6E9E9" w14:textId="47FC38B7" w:rsidR="007933FA" w:rsidRPr="007933FA" w:rsidRDefault="007933FA" w:rsidP="007933FA">
              <w:pPr>
                <w:rPr>
                  <w:sz w:val="32"/>
                  <w:szCs w:val="32"/>
                </w:rPr>
              </w:pPr>
              <w:r w:rsidRPr="007933FA">
                <w:rPr>
                  <w:b/>
                  <w:bCs/>
                  <w:noProof/>
                  <w:sz w:val="32"/>
                  <w:szCs w:val="32"/>
                </w:rPr>
                <w:fldChar w:fldCharType="end"/>
              </w:r>
            </w:p>
          </w:sdtContent>
        </w:sdt>
      </w:sdtContent>
    </w:sdt>
    <w:p w14:paraId="298E0DA8" w14:textId="77777777" w:rsidR="00CE6E95" w:rsidRPr="007933FA" w:rsidRDefault="00CE6E95" w:rsidP="00CE6E95">
      <w:pPr>
        <w:jc w:val="both"/>
        <w:rPr>
          <w:b/>
          <w:bCs/>
          <w:sz w:val="44"/>
          <w:szCs w:val="44"/>
        </w:rPr>
      </w:pPr>
    </w:p>
    <w:sectPr w:rsidR="00CE6E95" w:rsidRPr="007933FA" w:rsidSect="00CE6E9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5B6"/>
    <w:rsid w:val="0001339B"/>
    <w:rsid w:val="0014340F"/>
    <w:rsid w:val="00163E4F"/>
    <w:rsid w:val="007933FA"/>
    <w:rsid w:val="007B72F9"/>
    <w:rsid w:val="008942D5"/>
    <w:rsid w:val="009B0D6C"/>
    <w:rsid w:val="009B4353"/>
    <w:rsid w:val="00B065B6"/>
    <w:rsid w:val="00CE6E95"/>
    <w:rsid w:val="00D05C7E"/>
    <w:rsid w:val="00E17EB9"/>
    <w:rsid w:val="00E34ADE"/>
    <w:rsid w:val="00FA1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EC944"/>
  <w15:chartTrackingRefBased/>
  <w15:docId w15:val="{7CA1F185-E6EF-4340-969C-815C6ABE1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3F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E6E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E6E95"/>
    <w:rPr>
      <w:rFonts w:eastAsiaTheme="minorEastAsia"/>
      <w:lang w:val="en-US"/>
    </w:rPr>
  </w:style>
  <w:style w:type="character" w:customStyle="1" w:styleId="Heading1Char">
    <w:name w:val="Heading 1 Char"/>
    <w:basedOn w:val="DefaultParagraphFont"/>
    <w:link w:val="Heading1"/>
    <w:uiPriority w:val="9"/>
    <w:rsid w:val="007933FA"/>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933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2894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Gio19</b:Tag>
    <b:SourceType>JournalArticle</b:SourceType>
    <b:Guid>{2D6C7252-C604-4A41-9D7D-2D83C55FE8F2}</b:Guid>
    <b:Title>Skill Shortages and Skill Mismatch in Europe: A Review of the Literature</b:Title>
    <b:Year>2019</b:Year>
    <b:Author>
      <b:Author>
        <b:NameList>
          <b:Person>
            <b:Last>Wruuck</b:Last>
            <b:First>Giorgio</b:First>
            <b:Middle>Brunello Patricia</b:Middle>
          </b:Person>
        </b:NameList>
      </b:Author>
    </b:Author>
    <b:RefOrder>1</b:RefOrder>
  </b:Source>
  <b:Source>
    <b:Tag>Joh09</b:Tag>
    <b:SourceType>JournalArticle</b:SourceType>
    <b:Guid>{019ECA6D-17C5-428A-9645-AFF24BCFCD17}</b:Guid>
    <b:Author>
      <b:Author>
        <b:NameList>
          <b:Person>
            <b:Last>Sutherland</b:Last>
            <b:First>John</b:First>
          </b:Person>
        </b:NameList>
      </b:Author>
    </b:Author>
    <b:JournalName>Skills and training in Great Britain: further evidence</b:JournalName>
    <b:Year>2009</b:Year>
    <b:Volume>51</b:Volume>
    <b:Issue>7</b:Issue>
    <b:RefOrder>2</b:RefOrder>
  </b:Source>
  <b:Source>
    <b:Tag>Sco16</b:Tag>
    <b:SourceType>JournalArticle</b:SourceType>
    <b:Guid>{0195598F-99AE-4E2C-8E34-31DB71AAB72A}</b:Guid>
    <b:Author>
      <b:Author>
        <b:NameList>
          <b:Person>
            <b:Last>Hurrell</b:Last>
            <b:First>Scott</b:First>
            <b:Middle>A</b:Middle>
          </b:Person>
        </b:NameList>
      </b:Author>
    </b:Author>
    <b:Title>Rethinking the soft skills deficit blame game: Employers, skills withdrawal and the reporting of soft skills gaps</b:Title>
    <b:JournalName>Human Relations</b:JournalName>
    <b:Year>2016</b:Year>
    <b:Pages>605-628</b:Pages>
    <b:Volume>69</b:Volume>
    <b:Issue>3</b:Issue>
    <b:RefOrder>3</b:RefOrder>
  </b:Source>
  <b:Source>
    <b:Tag>Ere22</b:Tag>
    <b:SourceType>InternetSite</b:SourceType>
    <b:Guid>{5985FBD2-50B6-4CEC-A7AA-5CF77901159A}</b:Guid>
    <b:Title>UK Parliament</b:Title>
    <b:Year>2022</b:Year>
    <b:Author>
      <b:Author>
        <b:NameList>
          <b:Person>
            <b:Last>Waitzman</b:Last>
            <b:First>Eren</b:First>
          </b:Person>
        </b:NameList>
      </b:Author>
    </b:Author>
    <b:URL>https://lordslibrary.parliament.uk/staff-shortages-in-the-nhs-and-social-care-sectors/</b:URL>
    <b:RefOrder>4</b:RefOrder>
  </b:Source>
  <b:Source>
    <b:Tag>Nic18</b:Tag>
    <b:SourceType>InternetSite</b:SourceType>
    <b:Guid>{B1FE9AAA-6D19-450D-80BA-697BBEA37D2A}</b:Guid>
    <b:Author>
      <b:Author>
        <b:NameList>
          <b:Person>
            <b:Last>Bowles</b:Last>
            <b:First>Nick</b:First>
          </b:Person>
        </b:NameList>
      </b:Author>
    </b:Author>
    <b:Title>Hr zone </b:Title>
    <b:Year>2018</b:Year>
    <b:URL>https://www.hrzone.com/community/blogs/nick-bowles/how-hr-can-solve-the-skills-shortage-crisis</b:URL>
    <b:RefOrder>5</b:RefOrder>
  </b:Source>
</b:Sources>
</file>

<file path=customXml/itemProps1.xml><?xml version="1.0" encoding="utf-8"?>
<ds:datastoreItem xmlns:ds="http://schemas.openxmlformats.org/officeDocument/2006/customXml" ds:itemID="{DC7C1E67-00E0-4034-956A-B1793DC06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1860</Words>
  <Characters>10606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Date : 09/01/2023</Company>
  <LinksUpToDate>false</LinksUpToDate>
  <CharactersWithSpaces>12442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LCBB5004</dc:subject>
  <dc:creator>David Porumboiu</dc:creator>
  <cp:keywords/>
  <dc:description/>
  <cp:lastModifiedBy>David Porumboiu</cp:lastModifiedBy>
  <cp:revision>2</cp:revision>
  <dcterms:created xsi:type="dcterms:W3CDTF">2023-01-09T16:53:00Z</dcterms:created>
  <dcterms:modified xsi:type="dcterms:W3CDTF">2023-01-09T16:53:00Z</dcterms:modified>
  <cp:category>Lecturer : Ze Zook</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d65c0ebe-bdd8-4ca8-8ba5-312b7826d1d3</vt:lpwstr>
  </property>
</Properties>
</file>