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2A5171" w14:textId="77777777" w:rsidR="00E3506F" w:rsidRDefault="00E3506F">
      <w:pPr>
        <w:jc w:val="center"/>
        <w:rPr>
          <w:b/>
          <w:bCs/>
          <w:sz w:val="32"/>
          <w:szCs w:val="32"/>
        </w:rPr>
      </w:pPr>
    </w:p>
    <w:p w14:paraId="03832FE6" w14:textId="77777777" w:rsidR="00E3506F" w:rsidRDefault="00E3506F">
      <w:pPr>
        <w:jc w:val="center"/>
        <w:rPr>
          <w:b/>
          <w:bCs/>
          <w:sz w:val="32"/>
          <w:szCs w:val="32"/>
        </w:rPr>
      </w:pPr>
    </w:p>
    <w:p w14:paraId="090ED2C2" w14:textId="589A2B5E" w:rsidR="007637EA" w:rsidRDefault="007637EA" w:rsidP="007637EA">
      <w:pPr>
        <w:jc w:val="center"/>
        <w:rPr>
          <w:b/>
          <w:bCs/>
          <w:sz w:val="32"/>
          <w:szCs w:val="32"/>
        </w:rPr>
      </w:pPr>
    </w:p>
    <w:p w14:paraId="138A11BD" w14:textId="77777777" w:rsidR="007637EA" w:rsidRDefault="007637EA" w:rsidP="007637EA">
      <w:pPr>
        <w:jc w:val="center"/>
        <w:rPr>
          <w:b/>
          <w:bCs/>
          <w:sz w:val="32"/>
          <w:szCs w:val="32"/>
        </w:rPr>
      </w:pPr>
    </w:p>
    <w:p w14:paraId="18B81F8A" w14:textId="1E1A1D38" w:rsidR="007637EA" w:rsidRDefault="007637EA" w:rsidP="00535572">
      <w:pPr>
        <w:jc w:val="center"/>
        <w:rPr>
          <w:b/>
          <w:bCs/>
          <w:sz w:val="32"/>
          <w:szCs w:val="32"/>
        </w:rPr>
      </w:pPr>
      <w:r>
        <w:rPr>
          <w:b/>
          <w:bCs/>
          <w:sz w:val="32"/>
          <w:szCs w:val="32"/>
        </w:rPr>
        <w:t xml:space="preserve">Student Name: Vahora </w:t>
      </w:r>
      <w:r w:rsidR="008771B4">
        <w:rPr>
          <w:b/>
          <w:bCs/>
          <w:sz w:val="32"/>
          <w:szCs w:val="32"/>
        </w:rPr>
        <w:t>Saniya</w:t>
      </w:r>
      <w:r w:rsidR="00E86CB9">
        <w:rPr>
          <w:b/>
          <w:bCs/>
          <w:sz w:val="32"/>
          <w:szCs w:val="32"/>
        </w:rPr>
        <w:t>b</w:t>
      </w:r>
      <w:r w:rsidR="008771B4">
        <w:rPr>
          <w:b/>
          <w:bCs/>
          <w:sz w:val="32"/>
          <w:szCs w:val="32"/>
        </w:rPr>
        <w:t>en</w:t>
      </w:r>
      <w:r>
        <w:rPr>
          <w:b/>
          <w:bCs/>
          <w:sz w:val="32"/>
          <w:szCs w:val="32"/>
        </w:rPr>
        <w:t xml:space="preserve"> Sirajbhai</w:t>
      </w:r>
    </w:p>
    <w:p w14:paraId="5E2D8404" w14:textId="1B7B2C9F" w:rsidR="007637EA" w:rsidRDefault="007637EA" w:rsidP="00535572">
      <w:pPr>
        <w:jc w:val="center"/>
        <w:rPr>
          <w:b/>
          <w:bCs/>
          <w:sz w:val="32"/>
          <w:szCs w:val="32"/>
        </w:rPr>
      </w:pPr>
      <w:r>
        <w:rPr>
          <w:b/>
          <w:bCs/>
          <w:sz w:val="32"/>
          <w:szCs w:val="32"/>
        </w:rPr>
        <w:t>Student I’D: 2541192</w:t>
      </w:r>
    </w:p>
    <w:p w14:paraId="3CC9F37C" w14:textId="7AF43390" w:rsidR="007637EA" w:rsidRDefault="007637EA" w:rsidP="00535572">
      <w:pPr>
        <w:jc w:val="center"/>
        <w:rPr>
          <w:b/>
          <w:bCs/>
          <w:sz w:val="32"/>
          <w:szCs w:val="32"/>
        </w:rPr>
      </w:pPr>
      <w:r>
        <w:rPr>
          <w:b/>
          <w:bCs/>
          <w:sz w:val="32"/>
          <w:szCs w:val="32"/>
        </w:rPr>
        <w:t>Programme: Master of Business Administration</w:t>
      </w:r>
    </w:p>
    <w:p w14:paraId="7CEA58D4" w14:textId="2B6DADE5" w:rsidR="00E3506F" w:rsidRDefault="00000000" w:rsidP="00535572">
      <w:pPr>
        <w:jc w:val="center"/>
        <w:rPr>
          <w:b/>
          <w:bCs/>
          <w:sz w:val="32"/>
          <w:szCs w:val="32"/>
        </w:rPr>
      </w:pPr>
      <w:r>
        <w:rPr>
          <w:b/>
          <w:bCs/>
          <w:sz w:val="32"/>
          <w:szCs w:val="32"/>
        </w:rPr>
        <w:t>Module Code: LCMB7002</w:t>
      </w:r>
    </w:p>
    <w:p w14:paraId="455EBC52" w14:textId="77777777" w:rsidR="00E3506F" w:rsidRDefault="00000000" w:rsidP="00535572">
      <w:pPr>
        <w:jc w:val="center"/>
        <w:rPr>
          <w:b/>
          <w:bCs/>
          <w:sz w:val="32"/>
          <w:szCs w:val="32"/>
        </w:rPr>
      </w:pPr>
      <w:r>
        <w:rPr>
          <w:b/>
          <w:bCs/>
          <w:sz w:val="32"/>
          <w:szCs w:val="32"/>
        </w:rPr>
        <w:t>Module: Financial Management</w:t>
      </w:r>
    </w:p>
    <w:p w14:paraId="5E6B60A4" w14:textId="77777777" w:rsidR="00E3506F" w:rsidRDefault="00000000" w:rsidP="00535572">
      <w:pPr>
        <w:jc w:val="center"/>
        <w:rPr>
          <w:b/>
          <w:bCs/>
          <w:sz w:val="32"/>
          <w:szCs w:val="32"/>
        </w:rPr>
      </w:pPr>
      <w:r>
        <w:rPr>
          <w:b/>
          <w:bCs/>
          <w:sz w:val="32"/>
          <w:szCs w:val="32"/>
        </w:rPr>
        <w:t>Assignment Title: Assessment component: Financial performance and management</w:t>
      </w:r>
    </w:p>
    <w:p w14:paraId="781CD35B" w14:textId="2D4749A6" w:rsidR="007637EA" w:rsidRDefault="007637EA" w:rsidP="00535572">
      <w:pPr>
        <w:jc w:val="center"/>
        <w:rPr>
          <w:b/>
          <w:bCs/>
          <w:sz w:val="32"/>
          <w:szCs w:val="32"/>
        </w:rPr>
      </w:pPr>
      <w:r>
        <w:rPr>
          <w:b/>
          <w:bCs/>
          <w:sz w:val="32"/>
          <w:szCs w:val="32"/>
        </w:rPr>
        <w:t>Word Count: 5000</w:t>
      </w:r>
    </w:p>
    <w:p w14:paraId="315538C2" w14:textId="31D62AE6" w:rsidR="007637EA" w:rsidRDefault="007637EA" w:rsidP="00535572">
      <w:pPr>
        <w:jc w:val="center"/>
        <w:rPr>
          <w:b/>
          <w:bCs/>
          <w:sz w:val="32"/>
          <w:szCs w:val="32"/>
        </w:rPr>
      </w:pPr>
      <w:r>
        <w:rPr>
          <w:b/>
          <w:bCs/>
          <w:sz w:val="32"/>
          <w:szCs w:val="32"/>
        </w:rPr>
        <w:t>Last submission Date: 13 August 2026</w:t>
      </w:r>
    </w:p>
    <w:p w14:paraId="17908932" w14:textId="77777777" w:rsidR="00E3506F" w:rsidRDefault="00000000" w:rsidP="00535572">
      <w:pPr>
        <w:pStyle w:val="Heading1"/>
        <w:jc w:val="center"/>
      </w:pPr>
      <w:bookmarkStart w:id="0" w:name="_2ugd5ys6o3ic" w:colFirst="0" w:colLast="0"/>
      <w:bookmarkEnd w:id="0"/>
      <w:r>
        <w:br w:type="page"/>
      </w:r>
    </w:p>
    <w:p w14:paraId="1EEBF658" w14:textId="77777777" w:rsidR="00E3506F" w:rsidRDefault="00000000">
      <w:pPr>
        <w:pStyle w:val="Heading1"/>
        <w:jc w:val="center"/>
      </w:pPr>
      <w:bookmarkStart w:id="1" w:name="_gvv7lhx3wcor" w:colFirst="0" w:colLast="0"/>
      <w:bookmarkStart w:id="2" w:name="_Toc237392255"/>
      <w:bookmarkEnd w:id="1"/>
      <w:r>
        <w:lastRenderedPageBreak/>
        <w:t>Table of Contents</w:t>
      </w:r>
      <w:bookmarkEnd w:id="2"/>
    </w:p>
    <w:sdt>
      <w:sdtPr>
        <w:id w:val="-1093297510"/>
        <w:docPartObj>
          <w:docPartGallery w:val="Table of Contents"/>
          <w:docPartUnique/>
        </w:docPartObj>
      </w:sdtPr>
      <w:sdtContent>
        <w:p w14:paraId="1E8C4307" w14:textId="02F1DD82" w:rsidR="00C02E40" w:rsidRDefault="00000000">
          <w:pPr>
            <w:pStyle w:val="TOC1"/>
            <w:tabs>
              <w:tab w:val="right" w:pos="9350"/>
            </w:tabs>
            <w:rPr>
              <w:rFonts w:asciiTheme="minorHAnsi" w:eastAsiaTheme="minorEastAsia" w:hAnsiTheme="minorHAnsi" w:cstheme="minorBidi"/>
              <w:noProof/>
              <w:kern w:val="2"/>
              <w:lang w:val="en-IN"/>
              <w14:ligatures w14:val="standardContextual"/>
            </w:rPr>
          </w:pPr>
          <w:r>
            <w:fldChar w:fldCharType="begin"/>
          </w:r>
          <w:r>
            <w:instrText xml:space="preserve"> TOC \h \u \z \t "Heading 1,1,Heading 2,2,Heading 3,3,Heading 4,4,Heading 5,5,Heading 6,6,"</w:instrText>
          </w:r>
          <w:r>
            <w:fldChar w:fldCharType="separate"/>
          </w:r>
          <w:hyperlink w:anchor="_Toc237392255" w:history="1">
            <w:r w:rsidR="00C02E40" w:rsidRPr="00C437A6">
              <w:rPr>
                <w:rStyle w:val="Hyperlink"/>
                <w:noProof/>
              </w:rPr>
              <w:t>Table of Contents</w:t>
            </w:r>
            <w:r w:rsidR="00C02E40">
              <w:rPr>
                <w:noProof/>
                <w:webHidden/>
              </w:rPr>
              <w:tab/>
            </w:r>
            <w:r w:rsidR="00C02E40">
              <w:rPr>
                <w:noProof/>
                <w:webHidden/>
              </w:rPr>
              <w:fldChar w:fldCharType="begin"/>
            </w:r>
            <w:r w:rsidR="00C02E40">
              <w:rPr>
                <w:noProof/>
                <w:webHidden/>
              </w:rPr>
              <w:instrText xml:space="preserve"> PAGEREF _Toc237392255 \h </w:instrText>
            </w:r>
            <w:r w:rsidR="00C02E40">
              <w:rPr>
                <w:noProof/>
                <w:webHidden/>
              </w:rPr>
            </w:r>
            <w:r w:rsidR="00C02E40">
              <w:rPr>
                <w:noProof/>
                <w:webHidden/>
              </w:rPr>
              <w:fldChar w:fldCharType="separate"/>
            </w:r>
            <w:r w:rsidR="00C02E40">
              <w:rPr>
                <w:noProof/>
                <w:webHidden/>
              </w:rPr>
              <w:t>2</w:t>
            </w:r>
            <w:r w:rsidR="00C02E40">
              <w:rPr>
                <w:noProof/>
                <w:webHidden/>
              </w:rPr>
              <w:fldChar w:fldCharType="end"/>
            </w:r>
          </w:hyperlink>
        </w:p>
        <w:p w14:paraId="05F436CB" w14:textId="023FE91A" w:rsidR="00C02E40" w:rsidRDefault="00C02E40">
          <w:pPr>
            <w:pStyle w:val="TOC1"/>
            <w:tabs>
              <w:tab w:val="right" w:pos="9350"/>
            </w:tabs>
            <w:rPr>
              <w:rFonts w:asciiTheme="minorHAnsi" w:eastAsiaTheme="minorEastAsia" w:hAnsiTheme="minorHAnsi" w:cstheme="minorBidi"/>
              <w:noProof/>
              <w:kern w:val="2"/>
              <w:lang w:val="en-IN"/>
              <w14:ligatures w14:val="standardContextual"/>
            </w:rPr>
          </w:pPr>
          <w:hyperlink w:anchor="_Toc237392256" w:history="1">
            <w:r w:rsidRPr="00C437A6">
              <w:rPr>
                <w:rStyle w:val="Hyperlink"/>
                <w:noProof/>
              </w:rPr>
              <w:t>Part 1: Financial Health Check</w:t>
            </w:r>
            <w:r>
              <w:rPr>
                <w:noProof/>
                <w:webHidden/>
              </w:rPr>
              <w:tab/>
            </w:r>
            <w:r>
              <w:rPr>
                <w:noProof/>
                <w:webHidden/>
              </w:rPr>
              <w:fldChar w:fldCharType="begin"/>
            </w:r>
            <w:r>
              <w:rPr>
                <w:noProof/>
                <w:webHidden/>
              </w:rPr>
              <w:instrText xml:space="preserve"> PAGEREF _Toc237392256 \h </w:instrText>
            </w:r>
            <w:r>
              <w:rPr>
                <w:noProof/>
                <w:webHidden/>
              </w:rPr>
            </w:r>
            <w:r>
              <w:rPr>
                <w:noProof/>
                <w:webHidden/>
              </w:rPr>
              <w:fldChar w:fldCharType="separate"/>
            </w:r>
            <w:r>
              <w:rPr>
                <w:noProof/>
                <w:webHidden/>
              </w:rPr>
              <w:t>4</w:t>
            </w:r>
            <w:r>
              <w:rPr>
                <w:noProof/>
                <w:webHidden/>
              </w:rPr>
              <w:fldChar w:fldCharType="end"/>
            </w:r>
          </w:hyperlink>
        </w:p>
        <w:p w14:paraId="04E6B5A8" w14:textId="2E3FD7D6"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57" w:history="1">
            <w:r w:rsidRPr="00C437A6">
              <w:rPr>
                <w:rStyle w:val="Hyperlink"/>
                <w:noProof/>
              </w:rPr>
              <w:t>1.1 Overview of Financial Statements</w:t>
            </w:r>
            <w:r>
              <w:rPr>
                <w:noProof/>
                <w:webHidden/>
              </w:rPr>
              <w:tab/>
            </w:r>
            <w:r>
              <w:rPr>
                <w:noProof/>
                <w:webHidden/>
              </w:rPr>
              <w:fldChar w:fldCharType="begin"/>
            </w:r>
            <w:r>
              <w:rPr>
                <w:noProof/>
                <w:webHidden/>
              </w:rPr>
              <w:instrText xml:space="preserve"> PAGEREF _Toc237392257 \h </w:instrText>
            </w:r>
            <w:r>
              <w:rPr>
                <w:noProof/>
                <w:webHidden/>
              </w:rPr>
            </w:r>
            <w:r>
              <w:rPr>
                <w:noProof/>
                <w:webHidden/>
              </w:rPr>
              <w:fldChar w:fldCharType="separate"/>
            </w:r>
            <w:r>
              <w:rPr>
                <w:noProof/>
                <w:webHidden/>
              </w:rPr>
              <w:t>4</w:t>
            </w:r>
            <w:r>
              <w:rPr>
                <w:noProof/>
                <w:webHidden/>
              </w:rPr>
              <w:fldChar w:fldCharType="end"/>
            </w:r>
          </w:hyperlink>
        </w:p>
        <w:p w14:paraId="21D3B271" w14:textId="7E6B283B"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58" w:history="1">
            <w:r w:rsidRPr="00C437A6">
              <w:rPr>
                <w:rStyle w:val="Hyperlink"/>
                <w:noProof/>
              </w:rPr>
              <w:t>1.2 Five-Year Trend Analysis</w:t>
            </w:r>
            <w:r>
              <w:rPr>
                <w:noProof/>
                <w:webHidden/>
              </w:rPr>
              <w:tab/>
            </w:r>
            <w:r>
              <w:rPr>
                <w:noProof/>
                <w:webHidden/>
              </w:rPr>
              <w:fldChar w:fldCharType="begin"/>
            </w:r>
            <w:r>
              <w:rPr>
                <w:noProof/>
                <w:webHidden/>
              </w:rPr>
              <w:instrText xml:space="preserve"> PAGEREF _Toc237392258 \h </w:instrText>
            </w:r>
            <w:r>
              <w:rPr>
                <w:noProof/>
                <w:webHidden/>
              </w:rPr>
            </w:r>
            <w:r>
              <w:rPr>
                <w:noProof/>
                <w:webHidden/>
              </w:rPr>
              <w:fldChar w:fldCharType="separate"/>
            </w:r>
            <w:r>
              <w:rPr>
                <w:noProof/>
                <w:webHidden/>
              </w:rPr>
              <w:t>4</w:t>
            </w:r>
            <w:r>
              <w:rPr>
                <w:noProof/>
                <w:webHidden/>
              </w:rPr>
              <w:fldChar w:fldCharType="end"/>
            </w:r>
          </w:hyperlink>
        </w:p>
        <w:p w14:paraId="51716CAC" w14:textId="666F448C"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59" w:history="1">
            <w:r w:rsidRPr="00C437A6">
              <w:rPr>
                <w:rStyle w:val="Hyperlink"/>
                <w:noProof/>
              </w:rPr>
              <w:t>1.3 Ratio Analysis</w:t>
            </w:r>
            <w:r>
              <w:rPr>
                <w:noProof/>
                <w:webHidden/>
              </w:rPr>
              <w:tab/>
            </w:r>
            <w:r>
              <w:rPr>
                <w:noProof/>
                <w:webHidden/>
              </w:rPr>
              <w:fldChar w:fldCharType="begin"/>
            </w:r>
            <w:r>
              <w:rPr>
                <w:noProof/>
                <w:webHidden/>
              </w:rPr>
              <w:instrText xml:space="preserve"> PAGEREF _Toc237392259 \h </w:instrText>
            </w:r>
            <w:r>
              <w:rPr>
                <w:noProof/>
                <w:webHidden/>
              </w:rPr>
            </w:r>
            <w:r>
              <w:rPr>
                <w:noProof/>
                <w:webHidden/>
              </w:rPr>
              <w:fldChar w:fldCharType="separate"/>
            </w:r>
            <w:r>
              <w:rPr>
                <w:noProof/>
                <w:webHidden/>
              </w:rPr>
              <w:t>6</w:t>
            </w:r>
            <w:r>
              <w:rPr>
                <w:noProof/>
                <w:webHidden/>
              </w:rPr>
              <w:fldChar w:fldCharType="end"/>
            </w:r>
          </w:hyperlink>
        </w:p>
        <w:p w14:paraId="0762D13D" w14:textId="4C51777D" w:rsidR="00C02E40" w:rsidRDefault="00C02E40">
          <w:pPr>
            <w:pStyle w:val="TOC3"/>
            <w:tabs>
              <w:tab w:val="right" w:pos="9350"/>
            </w:tabs>
            <w:rPr>
              <w:rFonts w:asciiTheme="minorHAnsi" w:eastAsiaTheme="minorEastAsia" w:hAnsiTheme="minorHAnsi" w:cstheme="minorBidi"/>
              <w:noProof/>
              <w:kern w:val="2"/>
              <w:lang w:val="en-IN"/>
              <w14:ligatures w14:val="standardContextual"/>
            </w:rPr>
          </w:pPr>
          <w:hyperlink w:anchor="_Toc237392260" w:history="1">
            <w:r w:rsidRPr="00C437A6">
              <w:rPr>
                <w:rStyle w:val="Hyperlink"/>
                <w:noProof/>
              </w:rPr>
              <w:t>1.3.1 Profitability Ratios</w:t>
            </w:r>
            <w:r>
              <w:rPr>
                <w:noProof/>
                <w:webHidden/>
              </w:rPr>
              <w:tab/>
            </w:r>
            <w:r>
              <w:rPr>
                <w:noProof/>
                <w:webHidden/>
              </w:rPr>
              <w:fldChar w:fldCharType="begin"/>
            </w:r>
            <w:r>
              <w:rPr>
                <w:noProof/>
                <w:webHidden/>
              </w:rPr>
              <w:instrText xml:space="preserve"> PAGEREF _Toc237392260 \h </w:instrText>
            </w:r>
            <w:r>
              <w:rPr>
                <w:noProof/>
                <w:webHidden/>
              </w:rPr>
            </w:r>
            <w:r>
              <w:rPr>
                <w:noProof/>
                <w:webHidden/>
              </w:rPr>
              <w:fldChar w:fldCharType="separate"/>
            </w:r>
            <w:r>
              <w:rPr>
                <w:noProof/>
                <w:webHidden/>
              </w:rPr>
              <w:t>6</w:t>
            </w:r>
            <w:r>
              <w:rPr>
                <w:noProof/>
                <w:webHidden/>
              </w:rPr>
              <w:fldChar w:fldCharType="end"/>
            </w:r>
          </w:hyperlink>
        </w:p>
        <w:p w14:paraId="7501C0F6" w14:textId="01A1205B" w:rsidR="00C02E40" w:rsidRDefault="00C02E40">
          <w:pPr>
            <w:pStyle w:val="TOC3"/>
            <w:tabs>
              <w:tab w:val="right" w:pos="9350"/>
            </w:tabs>
            <w:rPr>
              <w:rFonts w:asciiTheme="minorHAnsi" w:eastAsiaTheme="minorEastAsia" w:hAnsiTheme="minorHAnsi" w:cstheme="minorBidi"/>
              <w:noProof/>
              <w:kern w:val="2"/>
              <w:lang w:val="en-IN"/>
              <w14:ligatures w14:val="standardContextual"/>
            </w:rPr>
          </w:pPr>
          <w:hyperlink w:anchor="_Toc237392261" w:history="1">
            <w:r w:rsidRPr="00C437A6">
              <w:rPr>
                <w:rStyle w:val="Hyperlink"/>
                <w:noProof/>
              </w:rPr>
              <w:t>1.3.2 Investment Ratios</w:t>
            </w:r>
            <w:r>
              <w:rPr>
                <w:noProof/>
                <w:webHidden/>
              </w:rPr>
              <w:tab/>
            </w:r>
            <w:r>
              <w:rPr>
                <w:noProof/>
                <w:webHidden/>
              </w:rPr>
              <w:fldChar w:fldCharType="begin"/>
            </w:r>
            <w:r>
              <w:rPr>
                <w:noProof/>
                <w:webHidden/>
              </w:rPr>
              <w:instrText xml:space="preserve"> PAGEREF _Toc237392261 \h </w:instrText>
            </w:r>
            <w:r>
              <w:rPr>
                <w:noProof/>
                <w:webHidden/>
              </w:rPr>
            </w:r>
            <w:r>
              <w:rPr>
                <w:noProof/>
                <w:webHidden/>
              </w:rPr>
              <w:fldChar w:fldCharType="separate"/>
            </w:r>
            <w:r>
              <w:rPr>
                <w:noProof/>
                <w:webHidden/>
              </w:rPr>
              <w:t>7</w:t>
            </w:r>
            <w:r>
              <w:rPr>
                <w:noProof/>
                <w:webHidden/>
              </w:rPr>
              <w:fldChar w:fldCharType="end"/>
            </w:r>
          </w:hyperlink>
        </w:p>
        <w:p w14:paraId="5F549939" w14:textId="762BD360" w:rsidR="00C02E40" w:rsidRDefault="00C02E40">
          <w:pPr>
            <w:pStyle w:val="TOC3"/>
            <w:tabs>
              <w:tab w:val="right" w:pos="9350"/>
            </w:tabs>
            <w:rPr>
              <w:rFonts w:asciiTheme="minorHAnsi" w:eastAsiaTheme="minorEastAsia" w:hAnsiTheme="minorHAnsi" w:cstheme="minorBidi"/>
              <w:noProof/>
              <w:kern w:val="2"/>
              <w:lang w:val="en-IN"/>
              <w14:ligatures w14:val="standardContextual"/>
            </w:rPr>
          </w:pPr>
          <w:hyperlink w:anchor="_Toc237392262" w:history="1">
            <w:r w:rsidRPr="00C437A6">
              <w:rPr>
                <w:rStyle w:val="Hyperlink"/>
                <w:noProof/>
              </w:rPr>
              <w:t>1.3.3 Efficiency Ratios</w:t>
            </w:r>
            <w:r>
              <w:rPr>
                <w:noProof/>
                <w:webHidden/>
              </w:rPr>
              <w:tab/>
            </w:r>
            <w:r>
              <w:rPr>
                <w:noProof/>
                <w:webHidden/>
              </w:rPr>
              <w:fldChar w:fldCharType="begin"/>
            </w:r>
            <w:r>
              <w:rPr>
                <w:noProof/>
                <w:webHidden/>
              </w:rPr>
              <w:instrText xml:space="preserve"> PAGEREF _Toc237392262 \h </w:instrText>
            </w:r>
            <w:r>
              <w:rPr>
                <w:noProof/>
                <w:webHidden/>
              </w:rPr>
            </w:r>
            <w:r>
              <w:rPr>
                <w:noProof/>
                <w:webHidden/>
              </w:rPr>
              <w:fldChar w:fldCharType="separate"/>
            </w:r>
            <w:r>
              <w:rPr>
                <w:noProof/>
                <w:webHidden/>
              </w:rPr>
              <w:t>8</w:t>
            </w:r>
            <w:r>
              <w:rPr>
                <w:noProof/>
                <w:webHidden/>
              </w:rPr>
              <w:fldChar w:fldCharType="end"/>
            </w:r>
          </w:hyperlink>
        </w:p>
        <w:p w14:paraId="4B870349" w14:textId="11F7A4BE" w:rsidR="00C02E40" w:rsidRDefault="00C02E40">
          <w:pPr>
            <w:pStyle w:val="TOC3"/>
            <w:tabs>
              <w:tab w:val="right" w:pos="9350"/>
            </w:tabs>
            <w:rPr>
              <w:rFonts w:asciiTheme="minorHAnsi" w:eastAsiaTheme="minorEastAsia" w:hAnsiTheme="minorHAnsi" w:cstheme="minorBidi"/>
              <w:noProof/>
              <w:kern w:val="2"/>
              <w:lang w:val="en-IN"/>
              <w14:ligatures w14:val="standardContextual"/>
            </w:rPr>
          </w:pPr>
          <w:hyperlink w:anchor="_Toc237392263" w:history="1">
            <w:r w:rsidRPr="00C437A6">
              <w:rPr>
                <w:rStyle w:val="Hyperlink"/>
                <w:noProof/>
              </w:rPr>
              <w:t>1.3.4 Liquidity Ratios</w:t>
            </w:r>
            <w:r>
              <w:rPr>
                <w:noProof/>
                <w:webHidden/>
              </w:rPr>
              <w:tab/>
            </w:r>
            <w:r>
              <w:rPr>
                <w:noProof/>
                <w:webHidden/>
              </w:rPr>
              <w:fldChar w:fldCharType="begin"/>
            </w:r>
            <w:r>
              <w:rPr>
                <w:noProof/>
                <w:webHidden/>
              </w:rPr>
              <w:instrText xml:space="preserve"> PAGEREF _Toc237392263 \h </w:instrText>
            </w:r>
            <w:r>
              <w:rPr>
                <w:noProof/>
                <w:webHidden/>
              </w:rPr>
            </w:r>
            <w:r>
              <w:rPr>
                <w:noProof/>
                <w:webHidden/>
              </w:rPr>
              <w:fldChar w:fldCharType="separate"/>
            </w:r>
            <w:r>
              <w:rPr>
                <w:noProof/>
                <w:webHidden/>
              </w:rPr>
              <w:t>9</w:t>
            </w:r>
            <w:r>
              <w:rPr>
                <w:noProof/>
                <w:webHidden/>
              </w:rPr>
              <w:fldChar w:fldCharType="end"/>
            </w:r>
          </w:hyperlink>
        </w:p>
        <w:p w14:paraId="1595F0B9" w14:textId="62881001" w:rsidR="00C02E40" w:rsidRDefault="00C02E40">
          <w:pPr>
            <w:pStyle w:val="TOC3"/>
            <w:tabs>
              <w:tab w:val="right" w:pos="9350"/>
            </w:tabs>
            <w:rPr>
              <w:rFonts w:asciiTheme="minorHAnsi" w:eastAsiaTheme="minorEastAsia" w:hAnsiTheme="minorHAnsi" w:cstheme="minorBidi"/>
              <w:noProof/>
              <w:kern w:val="2"/>
              <w:lang w:val="en-IN"/>
              <w14:ligatures w14:val="standardContextual"/>
            </w:rPr>
          </w:pPr>
          <w:hyperlink w:anchor="_Toc237392264" w:history="1">
            <w:r w:rsidRPr="00C437A6">
              <w:rPr>
                <w:rStyle w:val="Hyperlink"/>
                <w:noProof/>
              </w:rPr>
              <w:t>1.3.5 Gearing Ratios</w:t>
            </w:r>
            <w:r>
              <w:rPr>
                <w:noProof/>
                <w:webHidden/>
              </w:rPr>
              <w:tab/>
            </w:r>
            <w:r>
              <w:rPr>
                <w:noProof/>
                <w:webHidden/>
              </w:rPr>
              <w:fldChar w:fldCharType="begin"/>
            </w:r>
            <w:r>
              <w:rPr>
                <w:noProof/>
                <w:webHidden/>
              </w:rPr>
              <w:instrText xml:space="preserve"> PAGEREF _Toc237392264 \h </w:instrText>
            </w:r>
            <w:r>
              <w:rPr>
                <w:noProof/>
                <w:webHidden/>
              </w:rPr>
            </w:r>
            <w:r>
              <w:rPr>
                <w:noProof/>
                <w:webHidden/>
              </w:rPr>
              <w:fldChar w:fldCharType="separate"/>
            </w:r>
            <w:r>
              <w:rPr>
                <w:noProof/>
                <w:webHidden/>
              </w:rPr>
              <w:t>10</w:t>
            </w:r>
            <w:r>
              <w:rPr>
                <w:noProof/>
                <w:webHidden/>
              </w:rPr>
              <w:fldChar w:fldCharType="end"/>
            </w:r>
          </w:hyperlink>
        </w:p>
        <w:p w14:paraId="34409D95" w14:textId="20AB2773" w:rsidR="00C02E40" w:rsidRDefault="00C02E40">
          <w:pPr>
            <w:pStyle w:val="TOC3"/>
            <w:tabs>
              <w:tab w:val="right" w:pos="9350"/>
            </w:tabs>
            <w:rPr>
              <w:rFonts w:asciiTheme="minorHAnsi" w:eastAsiaTheme="minorEastAsia" w:hAnsiTheme="minorHAnsi" w:cstheme="minorBidi"/>
              <w:noProof/>
              <w:kern w:val="2"/>
              <w:lang w:val="en-IN"/>
              <w14:ligatures w14:val="standardContextual"/>
            </w:rPr>
          </w:pPr>
          <w:hyperlink w:anchor="_Toc237392265" w:history="1">
            <w:r w:rsidRPr="00C437A6">
              <w:rPr>
                <w:rStyle w:val="Hyperlink"/>
                <w:noProof/>
              </w:rPr>
              <w:t>1.3.6 Cash Flow Ratios</w:t>
            </w:r>
            <w:r>
              <w:rPr>
                <w:noProof/>
                <w:webHidden/>
              </w:rPr>
              <w:tab/>
            </w:r>
            <w:r>
              <w:rPr>
                <w:noProof/>
                <w:webHidden/>
              </w:rPr>
              <w:fldChar w:fldCharType="begin"/>
            </w:r>
            <w:r>
              <w:rPr>
                <w:noProof/>
                <w:webHidden/>
              </w:rPr>
              <w:instrText xml:space="preserve"> PAGEREF _Toc237392265 \h </w:instrText>
            </w:r>
            <w:r>
              <w:rPr>
                <w:noProof/>
                <w:webHidden/>
              </w:rPr>
            </w:r>
            <w:r>
              <w:rPr>
                <w:noProof/>
                <w:webHidden/>
              </w:rPr>
              <w:fldChar w:fldCharType="separate"/>
            </w:r>
            <w:r>
              <w:rPr>
                <w:noProof/>
                <w:webHidden/>
              </w:rPr>
              <w:t>11</w:t>
            </w:r>
            <w:r>
              <w:rPr>
                <w:noProof/>
                <w:webHidden/>
              </w:rPr>
              <w:fldChar w:fldCharType="end"/>
            </w:r>
          </w:hyperlink>
        </w:p>
        <w:p w14:paraId="2DEA35B2" w14:textId="0285D6D0" w:rsidR="00C02E40" w:rsidRDefault="00C02E40">
          <w:pPr>
            <w:pStyle w:val="TOC3"/>
            <w:tabs>
              <w:tab w:val="right" w:pos="9350"/>
            </w:tabs>
            <w:rPr>
              <w:rFonts w:asciiTheme="minorHAnsi" w:eastAsiaTheme="minorEastAsia" w:hAnsiTheme="minorHAnsi" w:cstheme="minorBidi"/>
              <w:noProof/>
              <w:kern w:val="2"/>
              <w:lang w:val="en-IN"/>
              <w14:ligatures w14:val="standardContextual"/>
            </w:rPr>
          </w:pPr>
          <w:hyperlink w:anchor="_Toc237392266" w:history="1">
            <w:r w:rsidRPr="00C437A6">
              <w:rPr>
                <w:rStyle w:val="Hyperlink"/>
                <w:noProof/>
              </w:rPr>
              <w:t>1.4 Overall Financial Performance Evaluation</w:t>
            </w:r>
            <w:r>
              <w:rPr>
                <w:noProof/>
                <w:webHidden/>
              </w:rPr>
              <w:tab/>
            </w:r>
            <w:r>
              <w:rPr>
                <w:noProof/>
                <w:webHidden/>
              </w:rPr>
              <w:fldChar w:fldCharType="begin"/>
            </w:r>
            <w:r>
              <w:rPr>
                <w:noProof/>
                <w:webHidden/>
              </w:rPr>
              <w:instrText xml:space="preserve"> PAGEREF _Toc237392266 \h </w:instrText>
            </w:r>
            <w:r>
              <w:rPr>
                <w:noProof/>
                <w:webHidden/>
              </w:rPr>
            </w:r>
            <w:r>
              <w:rPr>
                <w:noProof/>
                <w:webHidden/>
              </w:rPr>
              <w:fldChar w:fldCharType="separate"/>
            </w:r>
            <w:r>
              <w:rPr>
                <w:noProof/>
                <w:webHidden/>
              </w:rPr>
              <w:t>12</w:t>
            </w:r>
            <w:r>
              <w:rPr>
                <w:noProof/>
                <w:webHidden/>
              </w:rPr>
              <w:fldChar w:fldCharType="end"/>
            </w:r>
          </w:hyperlink>
        </w:p>
        <w:p w14:paraId="0D1ABBF8" w14:textId="72D1E74B" w:rsidR="00C02E40" w:rsidRDefault="00C02E40">
          <w:pPr>
            <w:pStyle w:val="TOC3"/>
            <w:tabs>
              <w:tab w:val="right" w:pos="9350"/>
            </w:tabs>
            <w:rPr>
              <w:rFonts w:asciiTheme="minorHAnsi" w:eastAsiaTheme="minorEastAsia" w:hAnsiTheme="minorHAnsi" w:cstheme="minorBidi"/>
              <w:noProof/>
              <w:kern w:val="2"/>
              <w:lang w:val="en-IN"/>
              <w14:ligatures w14:val="standardContextual"/>
            </w:rPr>
          </w:pPr>
          <w:hyperlink w:anchor="_Toc237392267" w:history="1">
            <w:r w:rsidRPr="00C437A6">
              <w:rPr>
                <w:rStyle w:val="Hyperlink"/>
                <w:noProof/>
              </w:rPr>
              <w:t>1.5 Ratio Summary Table</w:t>
            </w:r>
            <w:r>
              <w:rPr>
                <w:noProof/>
                <w:webHidden/>
              </w:rPr>
              <w:tab/>
            </w:r>
            <w:r>
              <w:rPr>
                <w:noProof/>
                <w:webHidden/>
              </w:rPr>
              <w:fldChar w:fldCharType="begin"/>
            </w:r>
            <w:r>
              <w:rPr>
                <w:noProof/>
                <w:webHidden/>
              </w:rPr>
              <w:instrText xml:space="preserve"> PAGEREF _Toc237392267 \h </w:instrText>
            </w:r>
            <w:r>
              <w:rPr>
                <w:noProof/>
                <w:webHidden/>
              </w:rPr>
            </w:r>
            <w:r>
              <w:rPr>
                <w:noProof/>
                <w:webHidden/>
              </w:rPr>
              <w:fldChar w:fldCharType="separate"/>
            </w:r>
            <w:r>
              <w:rPr>
                <w:noProof/>
                <w:webHidden/>
              </w:rPr>
              <w:t>12</w:t>
            </w:r>
            <w:r>
              <w:rPr>
                <w:noProof/>
                <w:webHidden/>
              </w:rPr>
              <w:fldChar w:fldCharType="end"/>
            </w:r>
          </w:hyperlink>
        </w:p>
        <w:p w14:paraId="55A9C573" w14:textId="0228A2FA" w:rsidR="00C02E40" w:rsidRDefault="00C02E40">
          <w:pPr>
            <w:pStyle w:val="TOC1"/>
            <w:tabs>
              <w:tab w:val="right" w:pos="9350"/>
            </w:tabs>
            <w:rPr>
              <w:rFonts w:asciiTheme="minorHAnsi" w:eastAsiaTheme="minorEastAsia" w:hAnsiTheme="minorHAnsi" w:cstheme="minorBidi"/>
              <w:noProof/>
              <w:kern w:val="2"/>
              <w:lang w:val="en-IN"/>
              <w14:ligatures w14:val="standardContextual"/>
            </w:rPr>
          </w:pPr>
          <w:hyperlink w:anchor="_Toc237392268" w:history="1">
            <w:r w:rsidRPr="00C437A6">
              <w:rPr>
                <w:rStyle w:val="Hyperlink"/>
                <w:noProof/>
              </w:rPr>
              <w:t>Part 2: Working Capital Management Analysis</w:t>
            </w:r>
            <w:r>
              <w:rPr>
                <w:noProof/>
                <w:webHidden/>
              </w:rPr>
              <w:tab/>
            </w:r>
            <w:r>
              <w:rPr>
                <w:noProof/>
                <w:webHidden/>
              </w:rPr>
              <w:fldChar w:fldCharType="begin"/>
            </w:r>
            <w:r>
              <w:rPr>
                <w:noProof/>
                <w:webHidden/>
              </w:rPr>
              <w:instrText xml:space="preserve"> PAGEREF _Toc237392268 \h </w:instrText>
            </w:r>
            <w:r>
              <w:rPr>
                <w:noProof/>
                <w:webHidden/>
              </w:rPr>
            </w:r>
            <w:r>
              <w:rPr>
                <w:noProof/>
                <w:webHidden/>
              </w:rPr>
              <w:fldChar w:fldCharType="separate"/>
            </w:r>
            <w:r>
              <w:rPr>
                <w:noProof/>
                <w:webHidden/>
              </w:rPr>
              <w:t>13</w:t>
            </w:r>
            <w:r>
              <w:rPr>
                <w:noProof/>
                <w:webHidden/>
              </w:rPr>
              <w:fldChar w:fldCharType="end"/>
            </w:r>
          </w:hyperlink>
        </w:p>
        <w:p w14:paraId="6D08BAFF" w14:textId="00089287"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69" w:history="1">
            <w:r w:rsidRPr="00C437A6">
              <w:rPr>
                <w:rStyle w:val="Hyperlink"/>
                <w:noProof/>
              </w:rPr>
              <w:t>2.1 Introduction</w:t>
            </w:r>
            <w:r>
              <w:rPr>
                <w:noProof/>
                <w:webHidden/>
              </w:rPr>
              <w:tab/>
            </w:r>
            <w:r>
              <w:rPr>
                <w:noProof/>
                <w:webHidden/>
              </w:rPr>
              <w:fldChar w:fldCharType="begin"/>
            </w:r>
            <w:r>
              <w:rPr>
                <w:noProof/>
                <w:webHidden/>
              </w:rPr>
              <w:instrText xml:space="preserve"> PAGEREF _Toc237392269 \h </w:instrText>
            </w:r>
            <w:r>
              <w:rPr>
                <w:noProof/>
                <w:webHidden/>
              </w:rPr>
            </w:r>
            <w:r>
              <w:rPr>
                <w:noProof/>
                <w:webHidden/>
              </w:rPr>
              <w:fldChar w:fldCharType="separate"/>
            </w:r>
            <w:r>
              <w:rPr>
                <w:noProof/>
                <w:webHidden/>
              </w:rPr>
              <w:t>13</w:t>
            </w:r>
            <w:r>
              <w:rPr>
                <w:noProof/>
                <w:webHidden/>
              </w:rPr>
              <w:fldChar w:fldCharType="end"/>
            </w:r>
          </w:hyperlink>
        </w:p>
        <w:p w14:paraId="02FAA9E6" w14:textId="201E2CF1"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70" w:history="1">
            <w:r w:rsidRPr="00C437A6">
              <w:rPr>
                <w:rStyle w:val="Hyperlink"/>
                <w:noProof/>
              </w:rPr>
              <w:t>2.2 Cash Operating Cycle</w:t>
            </w:r>
            <w:r>
              <w:rPr>
                <w:noProof/>
                <w:webHidden/>
              </w:rPr>
              <w:tab/>
            </w:r>
            <w:r>
              <w:rPr>
                <w:noProof/>
                <w:webHidden/>
              </w:rPr>
              <w:fldChar w:fldCharType="begin"/>
            </w:r>
            <w:r>
              <w:rPr>
                <w:noProof/>
                <w:webHidden/>
              </w:rPr>
              <w:instrText xml:space="preserve"> PAGEREF _Toc237392270 \h </w:instrText>
            </w:r>
            <w:r>
              <w:rPr>
                <w:noProof/>
                <w:webHidden/>
              </w:rPr>
            </w:r>
            <w:r>
              <w:rPr>
                <w:noProof/>
                <w:webHidden/>
              </w:rPr>
              <w:fldChar w:fldCharType="separate"/>
            </w:r>
            <w:r>
              <w:rPr>
                <w:noProof/>
                <w:webHidden/>
              </w:rPr>
              <w:t>13</w:t>
            </w:r>
            <w:r>
              <w:rPr>
                <w:noProof/>
                <w:webHidden/>
              </w:rPr>
              <w:fldChar w:fldCharType="end"/>
            </w:r>
          </w:hyperlink>
        </w:p>
        <w:p w14:paraId="65548756" w14:textId="114665D1"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71" w:history="1">
            <w:r w:rsidRPr="00C437A6">
              <w:rPr>
                <w:rStyle w:val="Hyperlink"/>
                <w:noProof/>
              </w:rPr>
              <w:t>2.3 Working Capital Problems</w:t>
            </w:r>
            <w:r>
              <w:rPr>
                <w:noProof/>
                <w:webHidden/>
              </w:rPr>
              <w:tab/>
            </w:r>
            <w:r>
              <w:rPr>
                <w:noProof/>
                <w:webHidden/>
              </w:rPr>
              <w:fldChar w:fldCharType="begin"/>
            </w:r>
            <w:r>
              <w:rPr>
                <w:noProof/>
                <w:webHidden/>
              </w:rPr>
              <w:instrText xml:space="preserve"> PAGEREF _Toc237392271 \h </w:instrText>
            </w:r>
            <w:r>
              <w:rPr>
                <w:noProof/>
                <w:webHidden/>
              </w:rPr>
            </w:r>
            <w:r>
              <w:rPr>
                <w:noProof/>
                <w:webHidden/>
              </w:rPr>
              <w:fldChar w:fldCharType="separate"/>
            </w:r>
            <w:r>
              <w:rPr>
                <w:noProof/>
                <w:webHidden/>
              </w:rPr>
              <w:t>14</w:t>
            </w:r>
            <w:r>
              <w:rPr>
                <w:noProof/>
                <w:webHidden/>
              </w:rPr>
              <w:fldChar w:fldCharType="end"/>
            </w:r>
          </w:hyperlink>
        </w:p>
        <w:p w14:paraId="76D8E394" w14:textId="66696231"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72" w:history="1">
            <w:r w:rsidRPr="00C437A6">
              <w:rPr>
                <w:rStyle w:val="Hyperlink"/>
                <w:noProof/>
              </w:rPr>
              <w:t>2.4 Strategies to Improve Liquidity</w:t>
            </w:r>
            <w:r>
              <w:rPr>
                <w:noProof/>
                <w:webHidden/>
              </w:rPr>
              <w:tab/>
            </w:r>
            <w:r>
              <w:rPr>
                <w:noProof/>
                <w:webHidden/>
              </w:rPr>
              <w:fldChar w:fldCharType="begin"/>
            </w:r>
            <w:r>
              <w:rPr>
                <w:noProof/>
                <w:webHidden/>
              </w:rPr>
              <w:instrText xml:space="preserve"> PAGEREF _Toc237392272 \h </w:instrText>
            </w:r>
            <w:r>
              <w:rPr>
                <w:noProof/>
                <w:webHidden/>
              </w:rPr>
            </w:r>
            <w:r>
              <w:rPr>
                <w:noProof/>
                <w:webHidden/>
              </w:rPr>
              <w:fldChar w:fldCharType="separate"/>
            </w:r>
            <w:r>
              <w:rPr>
                <w:noProof/>
                <w:webHidden/>
              </w:rPr>
              <w:t>15</w:t>
            </w:r>
            <w:r>
              <w:rPr>
                <w:noProof/>
                <w:webHidden/>
              </w:rPr>
              <w:fldChar w:fldCharType="end"/>
            </w:r>
          </w:hyperlink>
        </w:p>
        <w:p w14:paraId="799FA6D7" w14:textId="481ABEBF"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73" w:history="1">
            <w:r w:rsidRPr="00C437A6">
              <w:rPr>
                <w:rStyle w:val="Hyperlink"/>
                <w:noProof/>
              </w:rPr>
              <w:t>2.5 Financing Options</w:t>
            </w:r>
            <w:r>
              <w:rPr>
                <w:noProof/>
                <w:webHidden/>
              </w:rPr>
              <w:tab/>
            </w:r>
            <w:r>
              <w:rPr>
                <w:noProof/>
                <w:webHidden/>
              </w:rPr>
              <w:fldChar w:fldCharType="begin"/>
            </w:r>
            <w:r>
              <w:rPr>
                <w:noProof/>
                <w:webHidden/>
              </w:rPr>
              <w:instrText xml:space="preserve"> PAGEREF _Toc237392273 \h </w:instrText>
            </w:r>
            <w:r>
              <w:rPr>
                <w:noProof/>
                <w:webHidden/>
              </w:rPr>
            </w:r>
            <w:r>
              <w:rPr>
                <w:noProof/>
                <w:webHidden/>
              </w:rPr>
              <w:fldChar w:fldCharType="separate"/>
            </w:r>
            <w:r>
              <w:rPr>
                <w:noProof/>
                <w:webHidden/>
              </w:rPr>
              <w:t>15</w:t>
            </w:r>
            <w:r>
              <w:rPr>
                <w:noProof/>
                <w:webHidden/>
              </w:rPr>
              <w:fldChar w:fldCharType="end"/>
            </w:r>
          </w:hyperlink>
        </w:p>
        <w:p w14:paraId="7CD06C87" w14:textId="3D70309B" w:rsidR="00C02E40" w:rsidRDefault="00C02E40">
          <w:pPr>
            <w:pStyle w:val="TOC1"/>
            <w:tabs>
              <w:tab w:val="right" w:pos="9350"/>
            </w:tabs>
            <w:rPr>
              <w:rFonts w:asciiTheme="minorHAnsi" w:eastAsiaTheme="minorEastAsia" w:hAnsiTheme="minorHAnsi" w:cstheme="minorBidi"/>
              <w:noProof/>
              <w:kern w:val="2"/>
              <w:lang w:val="en-IN"/>
              <w14:ligatures w14:val="standardContextual"/>
            </w:rPr>
          </w:pPr>
          <w:hyperlink w:anchor="_Toc237392274" w:history="1">
            <w:r w:rsidRPr="00C437A6">
              <w:rPr>
                <w:rStyle w:val="Hyperlink"/>
                <w:noProof/>
              </w:rPr>
              <w:t>Part 3: Strategic Financial Restructuring Plan</w:t>
            </w:r>
            <w:r>
              <w:rPr>
                <w:noProof/>
                <w:webHidden/>
              </w:rPr>
              <w:tab/>
            </w:r>
            <w:r>
              <w:rPr>
                <w:noProof/>
                <w:webHidden/>
              </w:rPr>
              <w:fldChar w:fldCharType="begin"/>
            </w:r>
            <w:r>
              <w:rPr>
                <w:noProof/>
                <w:webHidden/>
              </w:rPr>
              <w:instrText xml:space="preserve"> PAGEREF _Toc237392274 \h </w:instrText>
            </w:r>
            <w:r>
              <w:rPr>
                <w:noProof/>
                <w:webHidden/>
              </w:rPr>
            </w:r>
            <w:r>
              <w:rPr>
                <w:noProof/>
                <w:webHidden/>
              </w:rPr>
              <w:fldChar w:fldCharType="separate"/>
            </w:r>
            <w:r>
              <w:rPr>
                <w:noProof/>
                <w:webHidden/>
              </w:rPr>
              <w:t>16</w:t>
            </w:r>
            <w:r>
              <w:rPr>
                <w:noProof/>
                <w:webHidden/>
              </w:rPr>
              <w:fldChar w:fldCharType="end"/>
            </w:r>
          </w:hyperlink>
        </w:p>
        <w:p w14:paraId="62E082EF" w14:textId="32BCB6B4"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75" w:history="1">
            <w:r w:rsidRPr="00C437A6">
              <w:rPr>
                <w:rStyle w:val="Hyperlink"/>
                <w:noProof/>
              </w:rPr>
              <w:t>3.1 Need for Financial Restructuring</w:t>
            </w:r>
            <w:r>
              <w:rPr>
                <w:noProof/>
                <w:webHidden/>
              </w:rPr>
              <w:tab/>
            </w:r>
            <w:r>
              <w:rPr>
                <w:noProof/>
                <w:webHidden/>
              </w:rPr>
              <w:fldChar w:fldCharType="begin"/>
            </w:r>
            <w:r>
              <w:rPr>
                <w:noProof/>
                <w:webHidden/>
              </w:rPr>
              <w:instrText xml:space="preserve"> PAGEREF _Toc237392275 \h </w:instrText>
            </w:r>
            <w:r>
              <w:rPr>
                <w:noProof/>
                <w:webHidden/>
              </w:rPr>
            </w:r>
            <w:r>
              <w:rPr>
                <w:noProof/>
                <w:webHidden/>
              </w:rPr>
              <w:fldChar w:fldCharType="separate"/>
            </w:r>
            <w:r>
              <w:rPr>
                <w:noProof/>
                <w:webHidden/>
              </w:rPr>
              <w:t>16</w:t>
            </w:r>
            <w:r>
              <w:rPr>
                <w:noProof/>
                <w:webHidden/>
              </w:rPr>
              <w:fldChar w:fldCharType="end"/>
            </w:r>
          </w:hyperlink>
        </w:p>
        <w:p w14:paraId="5A0BE975" w14:textId="50A2618F"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76" w:history="1">
            <w:r w:rsidRPr="00C437A6">
              <w:rPr>
                <w:rStyle w:val="Hyperlink"/>
                <w:noProof/>
              </w:rPr>
              <w:t>3.2 Financial Restructuring Options</w:t>
            </w:r>
            <w:r>
              <w:rPr>
                <w:noProof/>
                <w:webHidden/>
              </w:rPr>
              <w:tab/>
            </w:r>
            <w:r>
              <w:rPr>
                <w:noProof/>
                <w:webHidden/>
              </w:rPr>
              <w:fldChar w:fldCharType="begin"/>
            </w:r>
            <w:r>
              <w:rPr>
                <w:noProof/>
                <w:webHidden/>
              </w:rPr>
              <w:instrText xml:space="preserve"> PAGEREF _Toc237392276 \h </w:instrText>
            </w:r>
            <w:r>
              <w:rPr>
                <w:noProof/>
                <w:webHidden/>
              </w:rPr>
            </w:r>
            <w:r>
              <w:rPr>
                <w:noProof/>
                <w:webHidden/>
              </w:rPr>
              <w:fldChar w:fldCharType="separate"/>
            </w:r>
            <w:r>
              <w:rPr>
                <w:noProof/>
                <w:webHidden/>
              </w:rPr>
              <w:t>17</w:t>
            </w:r>
            <w:r>
              <w:rPr>
                <w:noProof/>
                <w:webHidden/>
              </w:rPr>
              <w:fldChar w:fldCharType="end"/>
            </w:r>
          </w:hyperlink>
        </w:p>
        <w:p w14:paraId="16081728" w14:textId="1DBCC5A0"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77" w:history="1">
            <w:r w:rsidRPr="00C437A6">
              <w:rPr>
                <w:rStyle w:val="Hyperlink"/>
                <w:noProof/>
              </w:rPr>
              <w:t>3.3 Impact on Shareholder Value, Debt Structure, and Operational Flexibility</w:t>
            </w:r>
            <w:r>
              <w:rPr>
                <w:noProof/>
                <w:webHidden/>
              </w:rPr>
              <w:tab/>
            </w:r>
            <w:r>
              <w:rPr>
                <w:noProof/>
                <w:webHidden/>
              </w:rPr>
              <w:fldChar w:fldCharType="begin"/>
            </w:r>
            <w:r>
              <w:rPr>
                <w:noProof/>
                <w:webHidden/>
              </w:rPr>
              <w:instrText xml:space="preserve"> PAGEREF _Toc237392277 \h </w:instrText>
            </w:r>
            <w:r>
              <w:rPr>
                <w:noProof/>
                <w:webHidden/>
              </w:rPr>
            </w:r>
            <w:r>
              <w:rPr>
                <w:noProof/>
                <w:webHidden/>
              </w:rPr>
              <w:fldChar w:fldCharType="separate"/>
            </w:r>
            <w:r>
              <w:rPr>
                <w:noProof/>
                <w:webHidden/>
              </w:rPr>
              <w:t>17</w:t>
            </w:r>
            <w:r>
              <w:rPr>
                <w:noProof/>
                <w:webHidden/>
              </w:rPr>
              <w:fldChar w:fldCharType="end"/>
            </w:r>
          </w:hyperlink>
        </w:p>
        <w:p w14:paraId="4F6D115A" w14:textId="1D89D791"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78" w:history="1">
            <w:r w:rsidRPr="00C437A6">
              <w:rPr>
                <w:rStyle w:val="Hyperlink"/>
                <w:noProof/>
              </w:rPr>
              <w:t>3.4 International Considerations</w:t>
            </w:r>
            <w:r>
              <w:rPr>
                <w:noProof/>
                <w:webHidden/>
              </w:rPr>
              <w:tab/>
            </w:r>
            <w:r>
              <w:rPr>
                <w:noProof/>
                <w:webHidden/>
              </w:rPr>
              <w:fldChar w:fldCharType="begin"/>
            </w:r>
            <w:r>
              <w:rPr>
                <w:noProof/>
                <w:webHidden/>
              </w:rPr>
              <w:instrText xml:space="preserve"> PAGEREF _Toc237392278 \h </w:instrText>
            </w:r>
            <w:r>
              <w:rPr>
                <w:noProof/>
                <w:webHidden/>
              </w:rPr>
            </w:r>
            <w:r>
              <w:rPr>
                <w:noProof/>
                <w:webHidden/>
              </w:rPr>
              <w:fldChar w:fldCharType="separate"/>
            </w:r>
            <w:r>
              <w:rPr>
                <w:noProof/>
                <w:webHidden/>
              </w:rPr>
              <w:t>18</w:t>
            </w:r>
            <w:r>
              <w:rPr>
                <w:noProof/>
                <w:webHidden/>
              </w:rPr>
              <w:fldChar w:fldCharType="end"/>
            </w:r>
          </w:hyperlink>
        </w:p>
        <w:p w14:paraId="263F8FE6" w14:textId="71C9243B"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79" w:history="1">
            <w:r w:rsidRPr="00C437A6">
              <w:rPr>
                <w:rStyle w:val="Hyperlink"/>
                <w:noProof/>
              </w:rPr>
              <w:t>3.5 Ethical and ESG Considerations</w:t>
            </w:r>
            <w:r>
              <w:rPr>
                <w:noProof/>
                <w:webHidden/>
              </w:rPr>
              <w:tab/>
            </w:r>
            <w:r>
              <w:rPr>
                <w:noProof/>
                <w:webHidden/>
              </w:rPr>
              <w:fldChar w:fldCharType="begin"/>
            </w:r>
            <w:r>
              <w:rPr>
                <w:noProof/>
                <w:webHidden/>
              </w:rPr>
              <w:instrText xml:space="preserve"> PAGEREF _Toc237392279 \h </w:instrText>
            </w:r>
            <w:r>
              <w:rPr>
                <w:noProof/>
                <w:webHidden/>
              </w:rPr>
            </w:r>
            <w:r>
              <w:rPr>
                <w:noProof/>
                <w:webHidden/>
              </w:rPr>
              <w:fldChar w:fldCharType="separate"/>
            </w:r>
            <w:r>
              <w:rPr>
                <w:noProof/>
                <w:webHidden/>
              </w:rPr>
              <w:t>18</w:t>
            </w:r>
            <w:r>
              <w:rPr>
                <w:noProof/>
                <w:webHidden/>
              </w:rPr>
              <w:fldChar w:fldCharType="end"/>
            </w:r>
          </w:hyperlink>
        </w:p>
        <w:p w14:paraId="6F803B1A" w14:textId="63881210" w:rsidR="00C02E40" w:rsidRDefault="00C02E40">
          <w:pPr>
            <w:pStyle w:val="TOC1"/>
            <w:tabs>
              <w:tab w:val="right" w:pos="9350"/>
            </w:tabs>
            <w:rPr>
              <w:rFonts w:asciiTheme="minorHAnsi" w:eastAsiaTheme="minorEastAsia" w:hAnsiTheme="minorHAnsi" w:cstheme="minorBidi"/>
              <w:noProof/>
              <w:kern w:val="2"/>
              <w:lang w:val="en-IN"/>
              <w14:ligatures w14:val="standardContextual"/>
            </w:rPr>
          </w:pPr>
          <w:hyperlink w:anchor="_Toc237392280" w:history="1">
            <w:r w:rsidRPr="00C437A6">
              <w:rPr>
                <w:rStyle w:val="Hyperlink"/>
                <w:noProof/>
              </w:rPr>
              <w:t>Part 4: Investment Appraisal and Capital Budgeting</w:t>
            </w:r>
            <w:r>
              <w:rPr>
                <w:noProof/>
                <w:webHidden/>
              </w:rPr>
              <w:tab/>
            </w:r>
            <w:r>
              <w:rPr>
                <w:noProof/>
                <w:webHidden/>
              </w:rPr>
              <w:fldChar w:fldCharType="begin"/>
            </w:r>
            <w:r>
              <w:rPr>
                <w:noProof/>
                <w:webHidden/>
              </w:rPr>
              <w:instrText xml:space="preserve"> PAGEREF _Toc237392280 \h </w:instrText>
            </w:r>
            <w:r>
              <w:rPr>
                <w:noProof/>
                <w:webHidden/>
              </w:rPr>
            </w:r>
            <w:r>
              <w:rPr>
                <w:noProof/>
                <w:webHidden/>
              </w:rPr>
              <w:fldChar w:fldCharType="separate"/>
            </w:r>
            <w:r>
              <w:rPr>
                <w:noProof/>
                <w:webHidden/>
              </w:rPr>
              <w:t>19</w:t>
            </w:r>
            <w:r>
              <w:rPr>
                <w:noProof/>
                <w:webHidden/>
              </w:rPr>
              <w:fldChar w:fldCharType="end"/>
            </w:r>
          </w:hyperlink>
        </w:p>
        <w:p w14:paraId="25683867" w14:textId="3DD06A54"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81" w:history="1">
            <w:r w:rsidRPr="00C437A6">
              <w:rPr>
                <w:rStyle w:val="Hyperlink"/>
                <w:noProof/>
              </w:rPr>
              <w:t>4.1 Project Information</w:t>
            </w:r>
            <w:r>
              <w:rPr>
                <w:noProof/>
                <w:webHidden/>
              </w:rPr>
              <w:tab/>
            </w:r>
            <w:r>
              <w:rPr>
                <w:noProof/>
                <w:webHidden/>
              </w:rPr>
              <w:fldChar w:fldCharType="begin"/>
            </w:r>
            <w:r>
              <w:rPr>
                <w:noProof/>
                <w:webHidden/>
              </w:rPr>
              <w:instrText xml:space="preserve"> PAGEREF _Toc237392281 \h </w:instrText>
            </w:r>
            <w:r>
              <w:rPr>
                <w:noProof/>
                <w:webHidden/>
              </w:rPr>
            </w:r>
            <w:r>
              <w:rPr>
                <w:noProof/>
                <w:webHidden/>
              </w:rPr>
              <w:fldChar w:fldCharType="separate"/>
            </w:r>
            <w:r>
              <w:rPr>
                <w:noProof/>
                <w:webHidden/>
              </w:rPr>
              <w:t>19</w:t>
            </w:r>
            <w:r>
              <w:rPr>
                <w:noProof/>
                <w:webHidden/>
              </w:rPr>
              <w:fldChar w:fldCharType="end"/>
            </w:r>
          </w:hyperlink>
        </w:p>
        <w:p w14:paraId="2A4886E2" w14:textId="3802918A"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82" w:history="1">
            <w:r w:rsidRPr="00C437A6">
              <w:rPr>
                <w:rStyle w:val="Hyperlink"/>
                <w:noProof/>
              </w:rPr>
              <w:t>4.2 Payback Period</w:t>
            </w:r>
            <w:r>
              <w:rPr>
                <w:noProof/>
                <w:webHidden/>
              </w:rPr>
              <w:tab/>
            </w:r>
            <w:r>
              <w:rPr>
                <w:noProof/>
                <w:webHidden/>
              </w:rPr>
              <w:fldChar w:fldCharType="begin"/>
            </w:r>
            <w:r>
              <w:rPr>
                <w:noProof/>
                <w:webHidden/>
              </w:rPr>
              <w:instrText xml:space="preserve"> PAGEREF _Toc237392282 \h </w:instrText>
            </w:r>
            <w:r>
              <w:rPr>
                <w:noProof/>
                <w:webHidden/>
              </w:rPr>
            </w:r>
            <w:r>
              <w:rPr>
                <w:noProof/>
                <w:webHidden/>
              </w:rPr>
              <w:fldChar w:fldCharType="separate"/>
            </w:r>
            <w:r>
              <w:rPr>
                <w:noProof/>
                <w:webHidden/>
              </w:rPr>
              <w:t>20</w:t>
            </w:r>
            <w:r>
              <w:rPr>
                <w:noProof/>
                <w:webHidden/>
              </w:rPr>
              <w:fldChar w:fldCharType="end"/>
            </w:r>
          </w:hyperlink>
        </w:p>
        <w:p w14:paraId="3B6B602C" w14:textId="7EA9040E"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83" w:history="1">
            <w:r w:rsidRPr="00C437A6">
              <w:rPr>
                <w:rStyle w:val="Hyperlink"/>
                <w:noProof/>
              </w:rPr>
              <w:t>4.3 Accounting Rate of Return (ARR)</w:t>
            </w:r>
            <w:r>
              <w:rPr>
                <w:noProof/>
                <w:webHidden/>
              </w:rPr>
              <w:tab/>
            </w:r>
            <w:r>
              <w:rPr>
                <w:noProof/>
                <w:webHidden/>
              </w:rPr>
              <w:fldChar w:fldCharType="begin"/>
            </w:r>
            <w:r>
              <w:rPr>
                <w:noProof/>
                <w:webHidden/>
              </w:rPr>
              <w:instrText xml:space="preserve"> PAGEREF _Toc237392283 \h </w:instrText>
            </w:r>
            <w:r>
              <w:rPr>
                <w:noProof/>
                <w:webHidden/>
              </w:rPr>
            </w:r>
            <w:r>
              <w:rPr>
                <w:noProof/>
                <w:webHidden/>
              </w:rPr>
              <w:fldChar w:fldCharType="separate"/>
            </w:r>
            <w:r>
              <w:rPr>
                <w:noProof/>
                <w:webHidden/>
              </w:rPr>
              <w:t>21</w:t>
            </w:r>
            <w:r>
              <w:rPr>
                <w:noProof/>
                <w:webHidden/>
              </w:rPr>
              <w:fldChar w:fldCharType="end"/>
            </w:r>
          </w:hyperlink>
        </w:p>
        <w:p w14:paraId="21554A2F" w14:textId="657ECFC8"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84" w:history="1">
            <w:r w:rsidRPr="00C437A6">
              <w:rPr>
                <w:rStyle w:val="Hyperlink"/>
                <w:noProof/>
              </w:rPr>
              <w:t>4.4 Net Present Value (NPV)</w:t>
            </w:r>
            <w:r>
              <w:rPr>
                <w:noProof/>
                <w:webHidden/>
              </w:rPr>
              <w:tab/>
            </w:r>
            <w:r>
              <w:rPr>
                <w:noProof/>
                <w:webHidden/>
              </w:rPr>
              <w:fldChar w:fldCharType="begin"/>
            </w:r>
            <w:r>
              <w:rPr>
                <w:noProof/>
                <w:webHidden/>
              </w:rPr>
              <w:instrText xml:space="preserve"> PAGEREF _Toc237392284 \h </w:instrText>
            </w:r>
            <w:r>
              <w:rPr>
                <w:noProof/>
                <w:webHidden/>
              </w:rPr>
            </w:r>
            <w:r>
              <w:rPr>
                <w:noProof/>
                <w:webHidden/>
              </w:rPr>
              <w:fldChar w:fldCharType="separate"/>
            </w:r>
            <w:r>
              <w:rPr>
                <w:noProof/>
                <w:webHidden/>
              </w:rPr>
              <w:t>22</w:t>
            </w:r>
            <w:r>
              <w:rPr>
                <w:noProof/>
                <w:webHidden/>
              </w:rPr>
              <w:fldChar w:fldCharType="end"/>
            </w:r>
          </w:hyperlink>
        </w:p>
        <w:p w14:paraId="600BAA84" w14:textId="173A73EC"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85" w:history="1">
            <w:r w:rsidRPr="00C437A6">
              <w:rPr>
                <w:rStyle w:val="Hyperlink"/>
                <w:noProof/>
              </w:rPr>
              <w:t>4.5 Profitability Index (PI)</w:t>
            </w:r>
            <w:r>
              <w:rPr>
                <w:noProof/>
                <w:webHidden/>
              </w:rPr>
              <w:tab/>
            </w:r>
            <w:r>
              <w:rPr>
                <w:noProof/>
                <w:webHidden/>
              </w:rPr>
              <w:fldChar w:fldCharType="begin"/>
            </w:r>
            <w:r>
              <w:rPr>
                <w:noProof/>
                <w:webHidden/>
              </w:rPr>
              <w:instrText xml:space="preserve"> PAGEREF _Toc237392285 \h </w:instrText>
            </w:r>
            <w:r>
              <w:rPr>
                <w:noProof/>
                <w:webHidden/>
              </w:rPr>
            </w:r>
            <w:r>
              <w:rPr>
                <w:noProof/>
                <w:webHidden/>
              </w:rPr>
              <w:fldChar w:fldCharType="separate"/>
            </w:r>
            <w:r>
              <w:rPr>
                <w:noProof/>
                <w:webHidden/>
              </w:rPr>
              <w:t>24</w:t>
            </w:r>
            <w:r>
              <w:rPr>
                <w:noProof/>
                <w:webHidden/>
              </w:rPr>
              <w:fldChar w:fldCharType="end"/>
            </w:r>
          </w:hyperlink>
        </w:p>
        <w:p w14:paraId="3A9961B2" w14:textId="4EB702F8"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86" w:history="1">
            <w:r w:rsidRPr="00C437A6">
              <w:rPr>
                <w:rStyle w:val="Hyperlink"/>
                <w:noProof/>
              </w:rPr>
              <w:t>4.6 Internal Rate of Return (IRR)</w:t>
            </w:r>
            <w:r>
              <w:rPr>
                <w:noProof/>
                <w:webHidden/>
              </w:rPr>
              <w:tab/>
            </w:r>
            <w:r>
              <w:rPr>
                <w:noProof/>
                <w:webHidden/>
              </w:rPr>
              <w:fldChar w:fldCharType="begin"/>
            </w:r>
            <w:r>
              <w:rPr>
                <w:noProof/>
                <w:webHidden/>
              </w:rPr>
              <w:instrText xml:space="preserve"> PAGEREF _Toc237392286 \h </w:instrText>
            </w:r>
            <w:r>
              <w:rPr>
                <w:noProof/>
                <w:webHidden/>
              </w:rPr>
            </w:r>
            <w:r>
              <w:rPr>
                <w:noProof/>
                <w:webHidden/>
              </w:rPr>
              <w:fldChar w:fldCharType="separate"/>
            </w:r>
            <w:r>
              <w:rPr>
                <w:noProof/>
                <w:webHidden/>
              </w:rPr>
              <w:t>25</w:t>
            </w:r>
            <w:r>
              <w:rPr>
                <w:noProof/>
                <w:webHidden/>
              </w:rPr>
              <w:fldChar w:fldCharType="end"/>
            </w:r>
          </w:hyperlink>
        </w:p>
        <w:p w14:paraId="2945B80A" w14:textId="532E9205"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87" w:history="1">
            <w:r w:rsidRPr="00C437A6">
              <w:rPr>
                <w:rStyle w:val="Hyperlink"/>
                <w:noProof/>
              </w:rPr>
              <w:t>4.7 Comparative Evaluation</w:t>
            </w:r>
            <w:r>
              <w:rPr>
                <w:noProof/>
                <w:webHidden/>
              </w:rPr>
              <w:tab/>
            </w:r>
            <w:r>
              <w:rPr>
                <w:noProof/>
                <w:webHidden/>
              </w:rPr>
              <w:fldChar w:fldCharType="begin"/>
            </w:r>
            <w:r>
              <w:rPr>
                <w:noProof/>
                <w:webHidden/>
              </w:rPr>
              <w:instrText xml:space="preserve"> PAGEREF _Toc237392287 \h </w:instrText>
            </w:r>
            <w:r>
              <w:rPr>
                <w:noProof/>
                <w:webHidden/>
              </w:rPr>
            </w:r>
            <w:r>
              <w:rPr>
                <w:noProof/>
                <w:webHidden/>
              </w:rPr>
              <w:fldChar w:fldCharType="separate"/>
            </w:r>
            <w:r>
              <w:rPr>
                <w:noProof/>
                <w:webHidden/>
              </w:rPr>
              <w:t>26</w:t>
            </w:r>
            <w:r>
              <w:rPr>
                <w:noProof/>
                <w:webHidden/>
              </w:rPr>
              <w:fldChar w:fldCharType="end"/>
            </w:r>
          </w:hyperlink>
        </w:p>
        <w:p w14:paraId="72B23152" w14:textId="12276137"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88" w:history="1">
            <w:r w:rsidRPr="00C437A6">
              <w:rPr>
                <w:rStyle w:val="Hyperlink"/>
                <w:noProof/>
              </w:rPr>
              <w:t>4.8 Recommended Project</w:t>
            </w:r>
            <w:r>
              <w:rPr>
                <w:noProof/>
                <w:webHidden/>
              </w:rPr>
              <w:tab/>
            </w:r>
            <w:r>
              <w:rPr>
                <w:noProof/>
                <w:webHidden/>
              </w:rPr>
              <w:fldChar w:fldCharType="begin"/>
            </w:r>
            <w:r>
              <w:rPr>
                <w:noProof/>
                <w:webHidden/>
              </w:rPr>
              <w:instrText xml:space="preserve"> PAGEREF _Toc237392288 \h </w:instrText>
            </w:r>
            <w:r>
              <w:rPr>
                <w:noProof/>
                <w:webHidden/>
              </w:rPr>
            </w:r>
            <w:r>
              <w:rPr>
                <w:noProof/>
                <w:webHidden/>
              </w:rPr>
              <w:fldChar w:fldCharType="separate"/>
            </w:r>
            <w:r>
              <w:rPr>
                <w:noProof/>
                <w:webHidden/>
              </w:rPr>
              <w:t>26</w:t>
            </w:r>
            <w:r>
              <w:rPr>
                <w:noProof/>
                <w:webHidden/>
              </w:rPr>
              <w:fldChar w:fldCharType="end"/>
            </w:r>
          </w:hyperlink>
        </w:p>
        <w:p w14:paraId="391B00E3" w14:textId="432FCBD6"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89" w:history="1">
            <w:r w:rsidRPr="00C437A6">
              <w:rPr>
                <w:rStyle w:val="Hyperlink"/>
                <w:noProof/>
              </w:rPr>
              <w:t>4.9 Capital Rationing</w:t>
            </w:r>
            <w:r>
              <w:rPr>
                <w:noProof/>
                <w:webHidden/>
              </w:rPr>
              <w:tab/>
            </w:r>
            <w:r>
              <w:rPr>
                <w:noProof/>
                <w:webHidden/>
              </w:rPr>
              <w:fldChar w:fldCharType="begin"/>
            </w:r>
            <w:r>
              <w:rPr>
                <w:noProof/>
                <w:webHidden/>
              </w:rPr>
              <w:instrText xml:space="preserve"> PAGEREF _Toc237392289 \h </w:instrText>
            </w:r>
            <w:r>
              <w:rPr>
                <w:noProof/>
                <w:webHidden/>
              </w:rPr>
            </w:r>
            <w:r>
              <w:rPr>
                <w:noProof/>
                <w:webHidden/>
              </w:rPr>
              <w:fldChar w:fldCharType="separate"/>
            </w:r>
            <w:r>
              <w:rPr>
                <w:noProof/>
                <w:webHidden/>
              </w:rPr>
              <w:t>26</w:t>
            </w:r>
            <w:r>
              <w:rPr>
                <w:noProof/>
                <w:webHidden/>
              </w:rPr>
              <w:fldChar w:fldCharType="end"/>
            </w:r>
          </w:hyperlink>
        </w:p>
        <w:p w14:paraId="5BFDE618" w14:textId="229994DD" w:rsidR="00C02E40" w:rsidRDefault="00C02E40">
          <w:pPr>
            <w:pStyle w:val="TOC1"/>
            <w:tabs>
              <w:tab w:val="right" w:pos="9350"/>
            </w:tabs>
            <w:rPr>
              <w:rFonts w:asciiTheme="minorHAnsi" w:eastAsiaTheme="minorEastAsia" w:hAnsiTheme="minorHAnsi" w:cstheme="minorBidi"/>
              <w:noProof/>
              <w:kern w:val="2"/>
              <w:lang w:val="en-IN"/>
              <w14:ligatures w14:val="standardContextual"/>
            </w:rPr>
          </w:pPr>
          <w:hyperlink w:anchor="_Toc237392290" w:history="1">
            <w:r w:rsidRPr="00C437A6">
              <w:rPr>
                <w:rStyle w:val="Hyperlink"/>
                <w:noProof/>
              </w:rPr>
              <w:t>Part 5: Critical Reflection on AI Usage</w:t>
            </w:r>
            <w:r>
              <w:rPr>
                <w:noProof/>
                <w:webHidden/>
              </w:rPr>
              <w:tab/>
            </w:r>
            <w:r>
              <w:rPr>
                <w:noProof/>
                <w:webHidden/>
              </w:rPr>
              <w:fldChar w:fldCharType="begin"/>
            </w:r>
            <w:r>
              <w:rPr>
                <w:noProof/>
                <w:webHidden/>
              </w:rPr>
              <w:instrText xml:space="preserve"> PAGEREF _Toc237392290 \h </w:instrText>
            </w:r>
            <w:r>
              <w:rPr>
                <w:noProof/>
                <w:webHidden/>
              </w:rPr>
            </w:r>
            <w:r>
              <w:rPr>
                <w:noProof/>
                <w:webHidden/>
              </w:rPr>
              <w:fldChar w:fldCharType="separate"/>
            </w:r>
            <w:r>
              <w:rPr>
                <w:noProof/>
                <w:webHidden/>
              </w:rPr>
              <w:t>27</w:t>
            </w:r>
            <w:r>
              <w:rPr>
                <w:noProof/>
                <w:webHidden/>
              </w:rPr>
              <w:fldChar w:fldCharType="end"/>
            </w:r>
          </w:hyperlink>
        </w:p>
        <w:p w14:paraId="36711A8F" w14:textId="457F5408"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91" w:history="1">
            <w:r w:rsidRPr="00C437A6">
              <w:rPr>
                <w:rStyle w:val="Hyperlink"/>
                <w:noProof/>
              </w:rPr>
              <w:t>5.1 Tool Disclosure</w:t>
            </w:r>
            <w:r>
              <w:rPr>
                <w:noProof/>
                <w:webHidden/>
              </w:rPr>
              <w:tab/>
            </w:r>
            <w:r>
              <w:rPr>
                <w:noProof/>
                <w:webHidden/>
              </w:rPr>
              <w:fldChar w:fldCharType="begin"/>
            </w:r>
            <w:r>
              <w:rPr>
                <w:noProof/>
                <w:webHidden/>
              </w:rPr>
              <w:instrText xml:space="preserve"> PAGEREF _Toc237392291 \h </w:instrText>
            </w:r>
            <w:r>
              <w:rPr>
                <w:noProof/>
                <w:webHidden/>
              </w:rPr>
            </w:r>
            <w:r>
              <w:rPr>
                <w:noProof/>
                <w:webHidden/>
              </w:rPr>
              <w:fldChar w:fldCharType="separate"/>
            </w:r>
            <w:r>
              <w:rPr>
                <w:noProof/>
                <w:webHidden/>
              </w:rPr>
              <w:t>27</w:t>
            </w:r>
            <w:r>
              <w:rPr>
                <w:noProof/>
                <w:webHidden/>
              </w:rPr>
              <w:fldChar w:fldCharType="end"/>
            </w:r>
          </w:hyperlink>
        </w:p>
        <w:p w14:paraId="2C14B2BF" w14:textId="427EC744"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92" w:history="1">
            <w:r w:rsidRPr="00C437A6">
              <w:rPr>
                <w:rStyle w:val="Hyperlink"/>
                <w:noProof/>
              </w:rPr>
              <w:t>5.2 Verification of AI Outputs</w:t>
            </w:r>
            <w:r>
              <w:rPr>
                <w:noProof/>
                <w:webHidden/>
              </w:rPr>
              <w:tab/>
            </w:r>
            <w:r>
              <w:rPr>
                <w:noProof/>
                <w:webHidden/>
              </w:rPr>
              <w:fldChar w:fldCharType="begin"/>
            </w:r>
            <w:r>
              <w:rPr>
                <w:noProof/>
                <w:webHidden/>
              </w:rPr>
              <w:instrText xml:space="preserve"> PAGEREF _Toc237392292 \h </w:instrText>
            </w:r>
            <w:r>
              <w:rPr>
                <w:noProof/>
                <w:webHidden/>
              </w:rPr>
            </w:r>
            <w:r>
              <w:rPr>
                <w:noProof/>
                <w:webHidden/>
              </w:rPr>
              <w:fldChar w:fldCharType="separate"/>
            </w:r>
            <w:r>
              <w:rPr>
                <w:noProof/>
                <w:webHidden/>
              </w:rPr>
              <w:t>27</w:t>
            </w:r>
            <w:r>
              <w:rPr>
                <w:noProof/>
                <w:webHidden/>
              </w:rPr>
              <w:fldChar w:fldCharType="end"/>
            </w:r>
          </w:hyperlink>
        </w:p>
        <w:p w14:paraId="311A1836" w14:textId="26463D9A"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93" w:history="1">
            <w:r w:rsidRPr="00C437A6">
              <w:rPr>
                <w:rStyle w:val="Hyperlink"/>
                <w:noProof/>
              </w:rPr>
              <w:t>5.3 Identification of Hallucinations</w:t>
            </w:r>
            <w:r>
              <w:rPr>
                <w:noProof/>
                <w:webHidden/>
              </w:rPr>
              <w:tab/>
            </w:r>
            <w:r>
              <w:rPr>
                <w:noProof/>
                <w:webHidden/>
              </w:rPr>
              <w:fldChar w:fldCharType="begin"/>
            </w:r>
            <w:r>
              <w:rPr>
                <w:noProof/>
                <w:webHidden/>
              </w:rPr>
              <w:instrText xml:space="preserve"> PAGEREF _Toc237392293 \h </w:instrText>
            </w:r>
            <w:r>
              <w:rPr>
                <w:noProof/>
                <w:webHidden/>
              </w:rPr>
            </w:r>
            <w:r>
              <w:rPr>
                <w:noProof/>
                <w:webHidden/>
              </w:rPr>
              <w:fldChar w:fldCharType="separate"/>
            </w:r>
            <w:r>
              <w:rPr>
                <w:noProof/>
                <w:webHidden/>
              </w:rPr>
              <w:t>27</w:t>
            </w:r>
            <w:r>
              <w:rPr>
                <w:noProof/>
                <w:webHidden/>
              </w:rPr>
              <w:fldChar w:fldCharType="end"/>
            </w:r>
          </w:hyperlink>
        </w:p>
        <w:p w14:paraId="511FACC1" w14:textId="320EAE52"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94" w:history="1">
            <w:r w:rsidRPr="00C437A6">
              <w:rPr>
                <w:rStyle w:val="Hyperlink"/>
                <w:noProof/>
              </w:rPr>
              <w:t>5.4 AI Contribution vs Personal Analysis</w:t>
            </w:r>
            <w:r>
              <w:rPr>
                <w:noProof/>
                <w:webHidden/>
              </w:rPr>
              <w:tab/>
            </w:r>
            <w:r>
              <w:rPr>
                <w:noProof/>
                <w:webHidden/>
              </w:rPr>
              <w:fldChar w:fldCharType="begin"/>
            </w:r>
            <w:r>
              <w:rPr>
                <w:noProof/>
                <w:webHidden/>
              </w:rPr>
              <w:instrText xml:space="preserve"> PAGEREF _Toc237392294 \h </w:instrText>
            </w:r>
            <w:r>
              <w:rPr>
                <w:noProof/>
                <w:webHidden/>
              </w:rPr>
            </w:r>
            <w:r>
              <w:rPr>
                <w:noProof/>
                <w:webHidden/>
              </w:rPr>
              <w:fldChar w:fldCharType="separate"/>
            </w:r>
            <w:r>
              <w:rPr>
                <w:noProof/>
                <w:webHidden/>
              </w:rPr>
              <w:t>28</w:t>
            </w:r>
            <w:r>
              <w:rPr>
                <w:noProof/>
                <w:webHidden/>
              </w:rPr>
              <w:fldChar w:fldCharType="end"/>
            </w:r>
          </w:hyperlink>
        </w:p>
        <w:p w14:paraId="4733397C" w14:textId="238F5182" w:rsidR="00C02E40" w:rsidRDefault="00C02E40">
          <w:pPr>
            <w:pStyle w:val="TOC2"/>
            <w:tabs>
              <w:tab w:val="right" w:pos="9350"/>
            </w:tabs>
            <w:rPr>
              <w:rFonts w:asciiTheme="minorHAnsi" w:eastAsiaTheme="minorEastAsia" w:hAnsiTheme="minorHAnsi" w:cstheme="minorBidi"/>
              <w:noProof/>
              <w:kern w:val="2"/>
              <w:lang w:val="en-IN"/>
              <w14:ligatures w14:val="standardContextual"/>
            </w:rPr>
          </w:pPr>
          <w:hyperlink w:anchor="_Toc237392295" w:history="1">
            <w:r w:rsidRPr="00C437A6">
              <w:rPr>
                <w:rStyle w:val="Hyperlink"/>
                <w:noProof/>
              </w:rPr>
              <w:t>5.5 Ethical and Professional Reflection</w:t>
            </w:r>
            <w:r>
              <w:rPr>
                <w:noProof/>
                <w:webHidden/>
              </w:rPr>
              <w:tab/>
            </w:r>
            <w:r>
              <w:rPr>
                <w:noProof/>
                <w:webHidden/>
              </w:rPr>
              <w:fldChar w:fldCharType="begin"/>
            </w:r>
            <w:r>
              <w:rPr>
                <w:noProof/>
                <w:webHidden/>
              </w:rPr>
              <w:instrText xml:space="preserve"> PAGEREF _Toc237392295 \h </w:instrText>
            </w:r>
            <w:r>
              <w:rPr>
                <w:noProof/>
                <w:webHidden/>
              </w:rPr>
            </w:r>
            <w:r>
              <w:rPr>
                <w:noProof/>
                <w:webHidden/>
              </w:rPr>
              <w:fldChar w:fldCharType="separate"/>
            </w:r>
            <w:r>
              <w:rPr>
                <w:noProof/>
                <w:webHidden/>
              </w:rPr>
              <w:t>28</w:t>
            </w:r>
            <w:r>
              <w:rPr>
                <w:noProof/>
                <w:webHidden/>
              </w:rPr>
              <w:fldChar w:fldCharType="end"/>
            </w:r>
          </w:hyperlink>
        </w:p>
        <w:p w14:paraId="13312DEE" w14:textId="695E7343" w:rsidR="00C02E40" w:rsidRDefault="00C02E40">
          <w:pPr>
            <w:pStyle w:val="TOC1"/>
            <w:tabs>
              <w:tab w:val="right" w:pos="9350"/>
            </w:tabs>
            <w:rPr>
              <w:rFonts w:asciiTheme="minorHAnsi" w:eastAsiaTheme="minorEastAsia" w:hAnsiTheme="minorHAnsi" w:cstheme="minorBidi"/>
              <w:noProof/>
              <w:kern w:val="2"/>
              <w:lang w:val="en-IN"/>
              <w14:ligatures w14:val="standardContextual"/>
            </w:rPr>
          </w:pPr>
          <w:hyperlink w:anchor="_Toc237392296" w:history="1">
            <w:r w:rsidRPr="00C437A6">
              <w:rPr>
                <w:rStyle w:val="Hyperlink"/>
                <w:noProof/>
              </w:rPr>
              <w:t>References</w:t>
            </w:r>
            <w:r>
              <w:rPr>
                <w:noProof/>
                <w:webHidden/>
              </w:rPr>
              <w:tab/>
            </w:r>
            <w:r>
              <w:rPr>
                <w:noProof/>
                <w:webHidden/>
              </w:rPr>
              <w:fldChar w:fldCharType="begin"/>
            </w:r>
            <w:r>
              <w:rPr>
                <w:noProof/>
                <w:webHidden/>
              </w:rPr>
              <w:instrText xml:space="preserve"> PAGEREF _Toc237392296 \h </w:instrText>
            </w:r>
            <w:r>
              <w:rPr>
                <w:noProof/>
                <w:webHidden/>
              </w:rPr>
            </w:r>
            <w:r>
              <w:rPr>
                <w:noProof/>
                <w:webHidden/>
              </w:rPr>
              <w:fldChar w:fldCharType="separate"/>
            </w:r>
            <w:r>
              <w:rPr>
                <w:noProof/>
                <w:webHidden/>
              </w:rPr>
              <w:t>29</w:t>
            </w:r>
            <w:r>
              <w:rPr>
                <w:noProof/>
                <w:webHidden/>
              </w:rPr>
              <w:fldChar w:fldCharType="end"/>
            </w:r>
          </w:hyperlink>
        </w:p>
        <w:p w14:paraId="60BBBBCE" w14:textId="1FACE2F3" w:rsidR="00C02E40" w:rsidRDefault="00C02E40">
          <w:pPr>
            <w:pStyle w:val="TOC1"/>
            <w:tabs>
              <w:tab w:val="right" w:pos="9350"/>
            </w:tabs>
            <w:rPr>
              <w:rFonts w:asciiTheme="minorHAnsi" w:eastAsiaTheme="minorEastAsia" w:hAnsiTheme="minorHAnsi" w:cstheme="minorBidi"/>
              <w:noProof/>
              <w:kern w:val="2"/>
              <w:lang w:val="en-IN"/>
              <w14:ligatures w14:val="standardContextual"/>
            </w:rPr>
          </w:pPr>
          <w:hyperlink w:anchor="_Toc237392297" w:history="1">
            <w:r w:rsidRPr="00C437A6">
              <w:rPr>
                <w:rStyle w:val="Hyperlink"/>
                <w:noProof/>
              </w:rPr>
              <w:t>Appendix</w:t>
            </w:r>
            <w:r>
              <w:rPr>
                <w:noProof/>
                <w:webHidden/>
              </w:rPr>
              <w:tab/>
            </w:r>
            <w:r>
              <w:rPr>
                <w:noProof/>
                <w:webHidden/>
              </w:rPr>
              <w:fldChar w:fldCharType="begin"/>
            </w:r>
            <w:r>
              <w:rPr>
                <w:noProof/>
                <w:webHidden/>
              </w:rPr>
              <w:instrText xml:space="preserve"> PAGEREF _Toc237392297 \h </w:instrText>
            </w:r>
            <w:r>
              <w:rPr>
                <w:noProof/>
                <w:webHidden/>
              </w:rPr>
            </w:r>
            <w:r>
              <w:rPr>
                <w:noProof/>
                <w:webHidden/>
              </w:rPr>
              <w:fldChar w:fldCharType="separate"/>
            </w:r>
            <w:r>
              <w:rPr>
                <w:noProof/>
                <w:webHidden/>
              </w:rPr>
              <w:t>35</w:t>
            </w:r>
            <w:r>
              <w:rPr>
                <w:noProof/>
                <w:webHidden/>
              </w:rPr>
              <w:fldChar w:fldCharType="end"/>
            </w:r>
          </w:hyperlink>
        </w:p>
        <w:p w14:paraId="0E0F0B35" w14:textId="1D20BE75" w:rsidR="00E3506F" w:rsidRDefault="00000000">
          <w:pPr>
            <w:widowControl w:val="0"/>
            <w:tabs>
              <w:tab w:val="right" w:pos="12000"/>
            </w:tabs>
            <w:spacing w:before="60" w:line="240" w:lineRule="auto"/>
            <w:jc w:val="left"/>
            <w:rPr>
              <w:b/>
              <w:bCs/>
              <w:color w:val="000000"/>
            </w:rPr>
          </w:pPr>
          <w:r>
            <w:fldChar w:fldCharType="end"/>
          </w:r>
        </w:p>
      </w:sdtContent>
    </w:sdt>
    <w:p w14:paraId="722DB6C2" w14:textId="77777777" w:rsidR="00E3506F" w:rsidRDefault="00000000">
      <w:r>
        <w:br w:type="page"/>
      </w:r>
    </w:p>
    <w:p w14:paraId="5EC92DC1" w14:textId="77777777" w:rsidR="00E3506F" w:rsidRDefault="00000000">
      <w:pPr>
        <w:pStyle w:val="Heading1"/>
      </w:pPr>
      <w:bookmarkStart w:id="3" w:name="_Toc237392256"/>
      <w:r>
        <w:lastRenderedPageBreak/>
        <w:t>Part 1: Financial Health Check</w:t>
      </w:r>
      <w:bookmarkEnd w:id="3"/>
    </w:p>
    <w:p w14:paraId="66ED39ED" w14:textId="77777777" w:rsidR="00E3506F" w:rsidRDefault="00000000">
      <w:pPr>
        <w:pStyle w:val="Heading2"/>
      </w:pPr>
      <w:bookmarkStart w:id="4" w:name="_Toc237392257"/>
      <w:r>
        <w:t>1.1 Overview of Financial Statements</w:t>
      </w:r>
      <w:bookmarkEnd w:id="4"/>
      <w:r>
        <w:t xml:space="preserve"> </w:t>
      </w:r>
    </w:p>
    <w:p w14:paraId="35D419C2" w14:textId="4AB4A321" w:rsidR="00E3506F" w:rsidRDefault="00000000">
      <w:r>
        <w:t>The majority of the hospitality business recovered after the pandemic (Virgil, 2023). Consolidated revenue of Shangri-La Hotels &amp; Resorts increased from $2,185.4 million in 2024 to $2,234 million in 2025, marking growth in the four consecutive years (Shangri-La, 2026). The jump in revenue in 2023 to reach $2,141.8 driven by the reopening of the key market after COVID, particularly in Mainland China (Mingtian</w:t>
      </w:r>
      <w:r w:rsidR="00244B04">
        <w:t>di</w:t>
      </w:r>
      <w:r>
        <w:t>, 2024).</w:t>
      </w:r>
    </w:p>
    <w:p w14:paraId="24ECE718" w14:textId="4AAFA527" w:rsidR="00E3506F" w:rsidRDefault="00000000">
      <w:r>
        <w:t>The group reported a net profit of $184 million in 2023 after reporting a loss in the previous two years. Slight moderation in the net profit attributed to shareholders in 2025 was also identified as the company continues to grow its EBITDA by 3.4% to USD 520.9 million (Shangri-La, 2026). It is supported by the healthy cash position with the cash and bank balance of 2.5 billion USD and committed undrawn facilities of USD 759 million as of December 2025. The strategic focus of the company on operational efficiency and disciplined treasury management also ensures stable financial performance (Shangri La, 2026).</w:t>
      </w:r>
    </w:p>
    <w:p w14:paraId="2F6A3F5D" w14:textId="77777777" w:rsidR="00E3506F" w:rsidRDefault="00000000">
      <w:pPr>
        <w:pStyle w:val="Heading2"/>
      </w:pPr>
      <w:bookmarkStart w:id="5" w:name="_Toc237392258"/>
      <w:r>
        <w:t>1.2 Five-Year Trend Analysis</w:t>
      </w:r>
      <w:bookmarkEnd w:id="5"/>
    </w:p>
    <w:p w14:paraId="1A0D9CBE" w14:textId="77777777" w:rsidR="00E3506F" w:rsidRDefault="00000000">
      <w:pPr>
        <w:jc w:val="center"/>
        <w:rPr>
          <w:b/>
          <w:bCs/>
        </w:rPr>
      </w:pPr>
      <w:r>
        <w:rPr>
          <w:b/>
          <w:bCs/>
          <w:noProof/>
        </w:rPr>
        <w:drawing>
          <wp:inline distT="114300" distB="114300" distL="114300" distR="114300" wp14:anchorId="1CBE3BA6" wp14:editId="490311C4">
            <wp:extent cx="5425026" cy="3508400"/>
            <wp:effectExtent l="25400" t="25400" r="25400" b="25400"/>
            <wp:docPr id="41"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6"/>
                    <a:srcRect/>
                    <a:stretch>
                      <a:fillRect/>
                    </a:stretch>
                  </pic:blipFill>
                  <pic:spPr>
                    <a:xfrm>
                      <a:off x="0" y="0"/>
                      <a:ext cx="5425026" cy="3508400"/>
                    </a:xfrm>
                    <a:prstGeom prst="rect">
                      <a:avLst/>
                    </a:prstGeom>
                    <a:ln w="25400">
                      <a:solidFill>
                        <a:srgbClr val="000000"/>
                      </a:solidFill>
                      <a:prstDash val="solid"/>
                    </a:ln>
                  </pic:spPr>
                </pic:pic>
              </a:graphicData>
            </a:graphic>
          </wp:inline>
        </w:drawing>
      </w:r>
    </w:p>
    <w:p w14:paraId="1742E337" w14:textId="77777777" w:rsidR="00E3506F" w:rsidRDefault="00000000">
      <w:pPr>
        <w:jc w:val="center"/>
        <w:rPr>
          <w:b/>
          <w:bCs/>
        </w:rPr>
      </w:pPr>
      <w:r>
        <w:rPr>
          <w:b/>
          <w:bCs/>
        </w:rPr>
        <w:t>Figure 01: Five-Year Trend Analysis of Revenue, Operating Cost and Net Profit (Loss)</w:t>
      </w:r>
    </w:p>
    <w:p w14:paraId="7C1385AD" w14:textId="139DD07B" w:rsidR="00E3506F" w:rsidRDefault="00000000">
      <w:pPr>
        <w:jc w:val="center"/>
      </w:pPr>
      <w:r>
        <w:rPr>
          <w:b/>
          <w:bCs/>
        </w:rPr>
        <w:t xml:space="preserve">Source: </w:t>
      </w:r>
      <w:r>
        <w:t>(M</w:t>
      </w:r>
      <w:r w:rsidR="00244B04">
        <w:t>S-</w:t>
      </w:r>
      <w:r>
        <w:t>Excel)</w:t>
      </w:r>
    </w:p>
    <w:p w14:paraId="13FC2FBE" w14:textId="77777777" w:rsidR="00E3506F" w:rsidRDefault="00000000">
      <w:pPr>
        <w:jc w:val="center"/>
        <w:rPr>
          <w:b/>
          <w:bCs/>
        </w:rPr>
      </w:pPr>
      <w:r>
        <w:rPr>
          <w:b/>
          <w:bCs/>
          <w:noProof/>
        </w:rPr>
        <w:lastRenderedPageBreak/>
        <w:drawing>
          <wp:inline distT="114300" distB="114300" distL="114300" distR="114300" wp14:anchorId="15CD6A77" wp14:editId="047A1E0B">
            <wp:extent cx="5943600" cy="939800"/>
            <wp:effectExtent l="25400" t="25400" r="25400" b="25400"/>
            <wp:docPr id="27"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7"/>
                    <a:srcRect/>
                    <a:stretch>
                      <a:fillRect/>
                    </a:stretch>
                  </pic:blipFill>
                  <pic:spPr>
                    <a:xfrm>
                      <a:off x="0" y="0"/>
                      <a:ext cx="5943600" cy="939800"/>
                    </a:xfrm>
                    <a:prstGeom prst="rect">
                      <a:avLst/>
                    </a:prstGeom>
                    <a:ln w="25400">
                      <a:solidFill>
                        <a:srgbClr val="000000"/>
                      </a:solidFill>
                      <a:prstDash val="solid"/>
                    </a:ln>
                  </pic:spPr>
                </pic:pic>
              </a:graphicData>
            </a:graphic>
          </wp:inline>
        </w:drawing>
      </w:r>
    </w:p>
    <w:p w14:paraId="4CC04318" w14:textId="77777777" w:rsidR="00E3506F" w:rsidRDefault="00000000">
      <w:pPr>
        <w:jc w:val="center"/>
        <w:rPr>
          <w:b/>
          <w:bCs/>
        </w:rPr>
      </w:pPr>
      <w:r>
        <w:rPr>
          <w:b/>
          <w:bCs/>
        </w:rPr>
        <w:t>Table I: Five-Year Trend Analysis of Revenue, Operating Cost and Net Profit (Loss)</w:t>
      </w:r>
    </w:p>
    <w:p w14:paraId="06DADCF8" w14:textId="60890BC4" w:rsidR="00E3506F" w:rsidRDefault="00000000">
      <w:r>
        <w:t xml:space="preserve">The financial performance of Shangri-La shows a V-shaped recovery, which highlights the resilience of the group and significant volatility in the industry. V-shaped recovery means a significant drop in financial performance, followed by a strong recovery (Arif </w:t>
      </w:r>
      <w:r>
        <w:rPr>
          <w:i/>
          <w:iCs/>
        </w:rPr>
        <w:t xml:space="preserve">et al., </w:t>
      </w:r>
      <w:r>
        <w:t>2022). After the impact in 2021, revenue increased by 17.82% to $1.462 million, followed by a sharp 46.48% increase to USD 2.14 billion in 2023. Further, in 2024, growth moderated to 2.03% and then 2.23% in 2025, reflecting the stabili</w:t>
      </w:r>
      <w:r w:rsidR="00244B04">
        <w:t>z</w:t>
      </w:r>
      <w:r>
        <w:t>ation of demand.</w:t>
      </w:r>
    </w:p>
    <w:p w14:paraId="155BC321" w14:textId="77777777" w:rsidR="00E3506F" w:rsidRDefault="00000000">
      <w:r>
        <w:t>The group returned to a net profit of USD 184 million in 2023 after the loss of USD 291 million in 2021 and USD 159 million in 2022. The net profit in 2025 moderated to USD 112 million, with the EBITDA increasing by 3.4% to USD 520.9 million (Shangri La, 2026). The moderation of the profit in 2025 shows the rise in operating expenses, which increased from USD 981.9 million in 2024 to USD 910.3 million.</w:t>
      </w:r>
    </w:p>
    <w:p w14:paraId="7C5982D4" w14:textId="751B8756" w:rsidR="00E3506F" w:rsidRDefault="00000000">
      <w:r>
        <w:t>The total assets of Shangri-La grew from USD 12.633 billion in 2022 to USD 14.427 billion in 2025, indicating the continuous investment and expansion of the portfolio. Asset growth initiatives in 2025 include the launch of Shangri-La Signatures and the opening of airport properties in Shanghai (</w:t>
      </w:r>
      <w:r w:rsidR="008771B4">
        <w:t>Mini chart</w:t>
      </w:r>
      <w:r>
        <w:t>, 2026). It shows that the group is committed to differentiation in the brand and asset-light growth model through management agreements for hotels.</w:t>
      </w:r>
    </w:p>
    <w:p w14:paraId="10FD07EA" w14:textId="77777777" w:rsidR="00E3506F" w:rsidRDefault="00000000">
      <w:pPr>
        <w:pStyle w:val="Heading2"/>
      </w:pPr>
      <w:bookmarkStart w:id="6" w:name="_Toc237392259"/>
      <w:r>
        <w:lastRenderedPageBreak/>
        <w:t>1.3 Ratio Analysis</w:t>
      </w:r>
      <w:bookmarkEnd w:id="6"/>
    </w:p>
    <w:p w14:paraId="56254A16" w14:textId="77777777" w:rsidR="00E3506F" w:rsidRDefault="00000000">
      <w:pPr>
        <w:pStyle w:val="Heading3"/>
      </w:pPr>
      <w:bookmarkStart w:id="7" w:name="_Toc237392260"/>
      <w:r>
        <w:t>1.3.1 Profitability Ratios</w:t>
      </w:r>
      <w:bookmarkEnd w:id="7"/>
    </w:p>
    <w:p w14:paraId="6F982307" w14:textId="77777777" w:rsidR="00E3506F" w:rsidRDefault="00000000">
      <w:pPr>
        <w:jc w:val="center"/>
        <w:rPr>
          <w:b/>
          <w:bCs/>
        </w:rPr>
      </w:pPr>
      <w:r>
        <w:rPr>
          <w:b/>
          <w:bCs/>
          <w:noProof/>
        </w:rPr>
        <w:drawing>
          <wp:inline distT="114300" distB="114300" distL="114300" distR="114300" wp14:anchorId="5BDF320F" wp14:editId="1C904DC8">
            <wp:extent cx="5943600" cy="2298700"/>
            <wp:effectExtent l="25400" t="25400" r="25400" b="2540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5943600" cy="2298700"/>
                    </a:xfrm>
                    <a:prstGeom prst="rect">
                      <a:avLst/>
                    </a:prstGeom>
                    <a:ln w="25400">
                      <a:solidFill>
                        <a:srgbClr val="000000"/>
                      </a:solidFill>
                      <a:prstDash val="solid"/>
                    </a:ln>
                  </pic:spPr>
                </pic:pic>
              </a:graphicData>
            </a:graphic>
          </wp:inline>
        </w:drawing>
      </w:r>
    </w:p>
    <w:p w14:paraId="3A84B91B" w14:textId="77777777" w:rsidR="00E3506F" w:rsidRDefault="00000000">
      <w:pPr>
        <w:jc w:val="center"/>
        <w:rPr>
          <w:b/>
          <w:bCs/>
        </w:rPr>
      </w:pPr>
      <w:r>
        <w:rPr>
          <w:b/>
          <w:bCs/>
        </w:rPr>
        <w:t>Figure 02: Profitability Ratios</w:t>
      </w:r>
    </w:p>
    <w:p w14:paraId="10BE1A80" w14:textId="23C42E2D" w:rsidR="00E3506F" w:rsidRDefault="00000000">
      <w:pPr>
        <w:jc w:val="center"/>
      </w:pPr>
      <w:r>
        <w:rPr>
          <w:b/>
          <w:bCs/>
        </w:rPr>
        <w:t>Source:</w:t>
      </w:r>
      <w:r>
        <w:t xml:space="preserve"> (</w:t>
      </w:r>
      <w:r w:rsidR="008771B4">
        <w:t>MS</w:t>
      </w:r>
      <w:r>
        <w:t>-Excel)</w:t>
      </w:r>
    </w:p>
    <w:p w14:paraId="680B643C" w14:textId="77777777" w:rsidR="00E3506F" w:rsidRDefault="00000000">
      <w:pPr>
        <w:jc w:val="center"/>
        <w:rPr>
          <w:b/>
          <w:bCs/>
        </w:rPr>
      </w:pPr>
      <w:r>
        <w:rPr>
          <w:b/>
          <w:bCs/>
          <w:noProof/>
        </w:rPr>
        <w:drawing>
          <wp:inline distT="114300" distB="114300" distL="114300" distR="114300" wp14:anchorId="6704AD72" wp14:editId="397EECAB">
            <wp:extent cx="5943600" cy="1905000"/>
            <wp:effectExtent l="25400" t="25400" r="25400" b="25400"/>
            <wp:docPr id="4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943600" cy="1905000"/>
                    </a:xfrm>
                    <a:prstGeom prst="rect">
                      <a:avLst/>
                    </a:prstGeom>
                    <a:ln w="25400">
                      <a:solidFill>
                        <a:srgbClr val="000000"/>
                      </a:solidFill>
                      <a:prstDash val="solid"/>
                    </a:ln>
                  </pic:spPr>
                </pic:pic>
              </a:graphicData>
            </a:graphic>
          </wp:inline>
        </w:drawing>
      </w:r>
    </w:p>
    <w:p w14:paraId="1811336E" w14:textId="77777777" w:rsidR="00E3506F" w:rsidRDefault="00000000">
      <w:pPr>
        <w:jc w:val="center"/>
        <w:rPr>
          <w:b/>
          <w:bCs/>
        </w:rPr>
      </w:pPr>
      <w:r>
        <w:rPr>
          <w:b/>
          <w:bCs/>
        </w:rPr>
        <w:t>Table II: Profitability Ratios</w:t>
      </w:r>
    </w:p>
    <w:p w14:paraId="66EED06F" w14:textId="77777777" w:rsidR="00E3506F" w:rsidRDefault="00000000">
      <w:r>
        <w:t>The profit of Shangri-La recovered after the pandemic, as the gross profit margin improved from 43.9% in 2021 to 55.7% in 2025, reflecting revenue growth outpacing direct costs. The net profit margin was -27.8% in 2021, reached a peak of 9.4% in 2023, but declined to -6.0% in 2025. Hotels across the country saw a 103% decrease in net operating income and an 85% decrease in gross operating profit during the COVID-19 pandemic (Vorys, 2024). The decline in profit for Shangri-La shows the rising operating and finance costs that impact bottom-line performance.</w:t>
      </w:r>
    </w:p>
    <w:p w14:paraId="72BF2B7B" w14:textId="77777777" w:rsidR="00E3506F" w:rsidRDefault="00000000">
      <w:r>
        <w:t xml:space="preserve">The ROE improved from -5.7% in 2021 to 3.7% in 2023 but fell to 2.4% in 2025, indicating that shareholders of Shangri-La are facing losses on their investment. ROCE only reached 2.63% in </w:t>
      </w:r>
      <w:r>
        <w:lastRenderedPageBreak/>
        <w:t>2025, which was also at a loss during 2021 and 2022. The EBITDA of Shangri-La reached USD 520.9 million in 2025, but it was offset by the rising finance cost (Shangri-La, 2026).</w:t>
      </w:r>
    </w:p>
    <w:p w14:paraId="2AF402E0" w14:textId="77777777" w:rsidR="00E3506F" w:rsidRDefault="00000000">
      <w:pPr>
        <w:pStyle w:val="Heading3"/>
      </w:pPr>
      <w:bookmarkStart w:id="8" w:name="_Toc237392261"/>
      <w:r>
        <w:t>1.3.2 Investment Ratios</w:t>
      </w:r>
      <w:bookmarkEnd w:id="8"/>
      <w:r>
        <w:t xml:space="preserve"> </w:t>
      </w:r>
    </w:p>
    <w:p w14:paraId="6E1F0225" w14:textId="77777777" w:rsidR="00E3506F" w:rsidRDefault="00000000">
      <w:pPr>
        <w:jc w:val="center"/>
      </w:pPr>
      <w:r>
        <w:rPr>
          <w:noProof/>
        </w:rPr>
        <w:drawing>
          <wp:inline distT="114300" distB="114300" distL="114300" distR="114300" wp14:anchorId="554A386F" wp14:editId="1B63CBC6">
            <wp:extent cx="5943600" cy="2717800"/>
            <wp:effectExtent l="25400" t="25400" r="25400" b="25400"/>
            <wp:docPr id="1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2717800"/>
                    </a:xfrm>
                    <a:prstGeom prst="rect">
                      <a:avLst/>
                    </a:prstGeom>
                    <a:ln w="25400">
                      <a:solidFill>
                        <a:srgbClr val="000000"/>
                      </a:solidFill>
                      <a:prstDash val="solid"/>
                    </a:ln>
                  </pic:spPr>
                </pic:pic>
              </a:graphicData>
            </a:graphic>
          </wp:inline>
        </w:drawing>
      </w:r>
    </w:p>
    <w:p w14:paraId="36A23D2D" w14:textId="77777777" w:rsidR="00E3506F" w:rsidRDefault="00000000">
      <w:pPr>
        <w:jc w:val="center"/>
        <w:rPr>
          <w:b/>
          <w:bCs/>
        </w:rPr>
      </w:pPr>
      <w:r>
        <w:rPr>
          <w:b/>
          <w:bCs/>
        </w:rPr>
        <w:t>Figure 03: Market Ratios</w:t>
      </w:r>
    </w:p>
    <w:p w14:paraId="0911CB61" w14:textId="37F531A6" w:rsidR="00E3506F" w:rsidRDefault="00000000">
      <w:pPr>
        <w:jc w:val="center"/>
      </w:pPr>
      <w:r>
        <w:rPr>
          <w:b/>
          <w:bCs/>
        </w:rPr>
        <w:t>Source:</w:t>
      </w:r>
      <w:r>
        <w:t xml:space="preserve"> (M</w:t>
      </w:r>
      <w:r w:rsidR="00244B04">
        <w:t>S</w:t>
      </w:r>
      <w:r>
        <w:t>-Excel)</w:t>
      </w:r>
    </w:p>
    <w:p w14:paraId="0AB40E86" w14:textId="77777777" w:rsidR="00E3506F" w:rsidRDefault="00000000">
      <w:pPr>
        <w:jc w:val="center"/>
      </w:pPr>
      <w:r>
        <w:rPr>
          <w:noProof/>
        </w:rPr>
        <w:drawing>
          <wp:inline distT="114300" distB="114300" distL="114300" distR="114300" wp14:anchorId="5E8D2F6A" wp14:editId="6960D018">
            <wp:extent cx="5943600" cy="977900"/>
            <wp:effectExtent l="25400" t="25400" r="25400" b="25400"/>
            <wp:docPr id="3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5943600" cy="977900"/>
                    </a:xfrm>
                    <a:prstGeom prst="rect">
                      <a:avLst/>
                    </a:prstGeom>
                    <a:ln w="25400">
                      <a:solidFill>
                        <a:srgbClr val="000000"/>
                      </a:solidFill>
                      <a:prstDash val="solid"/>
                    </a:ln>
                  </pic:spPr>
                </pic:pic>
              </a:graphicData>
            </a:graphic>
          </wp:inline>
        </w:drawing>
      </w:r>
    </w:p>
    <w:p w14:paraId="389DECB1" w14:textId="77777777" w:rsidR="00E3506F" w:rsidRDefault="00000000">
      <w:pPr>
        <w:jc w:val="center"/>
      </w:pPr>
      <w:r>
        <w:rPr>
          <w:b/>
          <w:bCs/>
        </w:rPr>
        <w:t>Table III: Market Ratios</w:t>
      </w:r>
    </w:p>
    <w:p w14:paraId="1D8E1D1E" w14:textId="60CD4772" w:rsidR="00E3506F" w:rsidRDefault="00000000">
      <w:r>
        <w:t xml:space="preserve">The Price/Earnings Ratio of Shangri-La expanded from 12.6x in 2023 to 19.3x in 2025, showing improvement in the sentiment of investors about the future earning potential of the company. In 2025, the P/E ratio is above the industry level of 17.65x, as it suggests that the market is confident in the asset-rich business model of Shangri-La (Market Screener, 2026). The dividend payout ratio is only 1.7% in 2025, increasing from 0% in the loss-making years of 2021 and 2022. Shangri-La retained the earnings rather than distribution to shareholders and focused on debt reduction. In 2025, Shangri-La declared the full-year dividend of HK 15 cents per ordinary share, </w:t>
      </w:r>
      <w:r w:rsidR="008771B4">
        <w:t>totaling</w:t>
      </w:r>
      <w:r>
        <w:t xml:space="preserve"> approximately USD 70 million, which shows improvement in the shareholder return policy (Shangri-La, 2026). Significantly, the EPS improved from -$0.08 in 2021 to $0.03 in 2025, illustrating that Shangri-La returned a modest level of profit to the shareholders.</w:t>
      </w:r>
    </w:p>
    <w:p w14:paraId="6FFFC111" w14:textId="77777777" w:rsidR="00E3506F" w:rsidRDefault="00000000">
      <w:pPr>
        <w:pStyle w:val="Heading3"/>
      </w:pPr>
      <w:bookmarkStart w:id="9" w:name="_Toc237392262"/>
      <w:r>
        <w:lastRenderedPageBreak/>
        <w:t>1.3.3 Efficiency Ratios</w:t>
      </w:r>
      <w:bookmarkEnd w:id="9"/>
    </w:p>
    <w:p w14:paraId="419E99B8" w14:textId="77777777" w:rsidR="00E3506F" w:rsidRDefault="00000000">
      <w:pPr>
        <w:jc w:val="center"/>
      </w:pPr>
      <w:r>
        <w:rPr>
          <w:noProof/>
        </w:rPr>
        <w:drawing>
          <wp:inline distT="114300" distB="114300" distL="114300" distR="114300" wp14:anchorId="421C19B6" wp14:editId="4B1331A9">
            <wp:extent cx="5943600" cy="3517900"/>
            <wp:effectExtent l="25400" t="25400" r="25400" b="25400"/>
            <wp:docPr id="32"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12"/>
                    <a:srcRect/>
                    <a:stretch>
                      <a:fillRect/>
                    </a:stretch>
                  </pic:blipFill>
                  <pic:spPr>
                    <a:xfrm>
                      <a:off x="0" y="0"/>
                      <a:ext cx="5943600" cy="3517900"/>
                    </a:xfrm>
                    <a:prstGeom prst="rect">
                      <a:avLst/>
                    </a:prstGeom>
                    <a:ln w="25400">
                      <a:solidFill>
                        <a:srgbClr val="000000"/>
                      </a:solidFill>
                      <a:prstDash val="solid"/>
                    </a:ln>
                  </pic:spPr>
                </pic:pic>
              </a:graphicData>
            </a:graphic>
          </wp:inline>
        </w:drawing>
      </w:r>
    </w:p>
    <w:p w14:paraId="7C7BFB16" w14:textId="77777777" w:rsidR="00E3506F" w:rsidRDefault="00000000">
      <w:pPr>
        <w:jc w:val="center"/>
        <w:rPr>
          <w:b/>
          <w:bCs/>
        </w:rPr>
      </w:pPr>
      <w:r>
        <w:rPr>
          <w:b/>
          <w:bCs/>
        </w:rPr>
        <w:t>Figure 04: Efficiency Ratios</w:t>
      </w:r>
    </w:p>
    <w:p w14:paraId="3B5C73A1" w14:textId="7CFED194" w:rsidR="00E3506F" w:rsidRDefault="00000000">
      <w:pPr>
        <w:jc w:val="center"/>
      </w:pPr>
      <w:r>
        <w:rPr>
          <w:b/>
          <w:bCs/>
        </w:rPr>
        <w:t>Source:</w:t>
      </w:r>
      <w:r>
        <w:t xml:space="preserve"> (M</w:t>
      </w:r>
      <w:r w:rsidR="008771B4">
        <w:t>S</w:t>
      </w:r>
      <w:r>
        <w:t>-Excel)</w:t>
      </w:r>
    </w:p>
    <w:p w14:paraId="64CCAC0C" w14:textId="77777777" w:rsidR="00E3506F" w:rsidRDefault="00000000">
      <w:pPr>
        <w:jc w:val="center"/>
      </w:pPr>
      <w:r>
        <w:rPr>
          <w:noProof/>
        </w:rPr>
        <w:drawing>
          <wp:inline distT="114300" distB="114300" distL="114300" distR="114300" wp14:anchorId="3A64F25E" wp14:editId="4DB2CF0C">
            <wp:extent cx="5943600" cy="2222500"/>
            <wp:effectExtent l="25400" t="25400" r="25400" b="25400"/>
            <wp:docPr id="33"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3"/>
                    <a:srcRect/>
                    <a:stretch>
                      <a:fillRect/>
                    </a:stretch>
                  </pic:blipFill>
                  <pic:spPr>
                    <a:xfrm>
                      <a:off x="0" y="0"/>
                      <a:ext cx="5943600" cy="2222500"/>
                    </a:xfrm>
                    <a:prstGeom prst="rect">
                      <a:avLst/>
                    </a:prstGeom>
                    <a:ln w="25400">
                      <a:solidFill>
                        <a:srgbClr val="000000"/>
                      </a:solidFill>
                      <a:prstDash val="solid"/>
                    </a:ln>
                  </pic:spPr>
                </pic:pic>
              </a:graphicData>
            </a:graphic>
          </wp:inline>
        </w:drawing>
      </w:r>
    </w:p>
    <w:p w14:paraId="1AF129EB" w14:textId="77777777" w:rsidR="00E3506F" w:rsidRDefault="00000000">
      <w:pPr>
        <w:jc w:val="center"/>
      </w:pPr>
      <w:r>
        <w:rPr>
          <w:b/>
          <w:bCs/>
        </w:rPr>
        <w:t>Table IV: Efficiency Ratios</w:t>
      </w:r>
    </w:p>
    <w:p w14:paraId="30E1E2E1" w14:textId="77777777" w:rsidR="00E3506F" w:rsidRDefault="00000000">
      <w:r>
        <w:t xml:space="preserve">The inventory turnover days of Shangri-La decreased from 16 days in 2021 to 11 days in 2025, highlighting improvement in the operational discipline of the company. Significantly, the receivables turnover days decreased from 64 days in 2021 to 35 days in 2025, showing enhanced management of credit and collection from corporate clients, travel agents, and online booking </w:t>
      </w:r>
      <w:r>
        <w:lastRenderedPageBreak/>
        <w:t xml:space="preserve">platforms. This is evident in the cash flow generation, as operating cash flow increased by 0.3% to USD 394 million, and free cash flow increased by 14.8% to USD 313 million. At the same time, payable turnover declined from 319 days to 222 days in the same period, which indicates that the company is settling the obligations of the supplier more quickly. It allows for improvement in the relationship with the suppliers but can also reduce the availability of the interest-free trade credit as a short-term source of finance. </w:t>
      </w:r>
    </w:p>
    <w:p w14:paraId="64C9A8A7" w14:textId="77777777" w:rsidR="00E3506F" w:rsidRDefault="00000000">
      <w:pPr>
        <w:pStyle w:val="Heading3"/>
      </w:pPr>
      <w:bookmarkStart w:id="10" w:name="_Toc237392263"/>
      <w:r>
        <w:t>1.3.4 Liquidity Ratios</w:t>
      </w:r>
      <w:bookmarkEnd w:id="10"/>
    </w:p>
    <w:p w14:paraId="2758037C" w14:textId="77777777" w:rsidR="00E3506F" w:rsidRDefault="00000000">
      <w:pPr>
        <w:jc w:val="center"/>
      </w:pPr>
      <w:r>
        <w:rPr>
          <w:noProof/>
        </w:rPr>
        <w:drawing>
          <wp:inline distT="114300" distB="114300" distL="114300" distR="114300" wp14:anchorId="5FBDE376" wp14:editId="12CC197C">
            <wp:extent cx="5943600" cy="2819400"/>
            <wp:effectExtent l="25400" t="25400" r="25400" b="25400"/>
            <wp:docPr id="2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4"/>
                    <a:srcRect/>
                    <a:stretch>
                      <a:fillRect/>
                    </a:stretch>
                  </pic:blipFill>
                  <pic:spPr>
                    <a:xfrm>
                      <a:off x="0" y="0"/>
                      <a:ext cx="5943600" cy="2819400"/>
                    </a:xfrm>
                    <a:prstGeom prst="rect">
                      <a:avLst/>
                    </a:prstGeom>
                    <a:ln w="25400">
                      <a:solidFill>
                        <a:srgbClr val="000000"/>
                      </a:solidFill>
                      <a:prstDash val="solid"/>
                    </a:ln>
                  </pic:spPr>
                </pic:pic>
              </a:graphicData>
            </a:graphic>
          </wp:inline>
        </w:drawing>
      </w:r>
    </w:p>
    <w:p w14:paraId="768A6657" w14:textId="77777777" w:rsidR="00E3506F" w:rsidRDefault="00000000">
      <w:pPr>
        <w:jc w:val="center"/>
        <w:rPr>
          <w:b/>
          <w:bCs/>
        </w:rPr>
      </w:pPr>
      <w:r>
        <w:rPr>
          <w:b/>
          <w:bCs/>
        </w:rPr>
        <w:t>Figure 05: Liquidity Ratios</w:t>
      </w:r>
    </w:p>
    <w:p w14:paraId="3684FD95" w14:textId="5268FE53" w:rsidR="00E3506F" w:rsidRDefault="00000000">
      <w:pPr>
        <w:jc w:val="center"/>
      </w:pPr>
      <w:r>
        <w:rPr>
          <w:b/>
          <w:bCs/>
        </w:rPr>
        <w:t>Source:</w:t>
      </w:r>
      <w:r>
        <w:t xml:space="preserve"> (M</w:t>
      </w:r>
      <w:r w:rsidR="00244B04">
        <w:t>S</w:t>
      </w:r>
      <w:r>
        <w:t>-Excel)</w:t>
      </w:r>
    </w:p>
    <w:p w14:paraId="27011F36" w14:textId="77777777" w:rsidR="00E3506F" w:rsidRDefault="00000000">
      <w:pPr>
        <w:jc w:val="center"/>
      </w:pPr>
      <w:r>
        <w:rPr>
          <w:noProof/>
        </w:rPr>
        <w:drawing>
          <wp:inline distT="114300" distB="114300" distL="114300" distR="114300" wp14:anchorId="3AFA67F0" wp14:editId="33723D60">
            <wp:extent cx="5943600" cy="1028700"/>
            <wp:effectExtent l="25400" t="25400" r="25400" b="25400"/>
            <wp:docPr id="43"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5"/>
                    <a:srcRect/>
                    <a:stretch>
                      <a:fillRect/>
                    </a:stretch>
                  </pic:blipFill>
                  <pic:spPr>
                    <a:xfrm>
                      <a:off x="0" y="0"/>
                      <a:ext cx="5943600" cy="1028700"/>
                    </a:xfrm>
                    <a:prstGeom prst="rect">
                      <a:avLst/>
                    </a:prstGeom>
                    <a:ln w="25400">
                      <a:solidFill>
                        <a:srgbClr val="000000"/>
                      </a:solidFill>
                      <a:prstDash val="solid"/>
                    </a:ln>
                  </pic:spPr>
                </pic:pic>
              </a:graphicData>
            </a:graphic>
          </wp:inline>
        </w:drawing>
      </w:r>
    </w:p>
    <w:p w14:paraId="71172B89" w14:textId="77777777" w:rsidR="00E3506F" w:rsidRDefault="00000000">
      <w:pPr>
        <w:jc w:val="center"/>
      </w:pPr>
      <w:r>
        <w:rPr>
          <w:b/>
          <w:bCs/>
        </w:rPr>
        <w:t>Table V: Liquidity Ratios</w:t>
      </w:r>
    </w:p>
    <w:p w14:paraId="20EE2D91" w14:textId="20F1AA12" w:rsidR="00E3506F" w:rsidRDefault="00000000">
      <w:r>
        <w:t xml:space="preserve">The liquidity position of Shangri-La improved after COVID-19, as the current ratio recovered from 0.69 in 2021 to 1.71 in 2025. The quick weak ratio also improved from 0.68 to 1.69 in 2025, which indicates they have sufficient short-term assets for covering the liabilities. The improvement in the liquidity position is supported by the sufficient cash reserve of USD 2.53 billion, which provides </w:t>
      </w:r>
      <w:r>
        <w:lastRenderedPageBreak/>
        <w:t>a substantial buffer against the volatility in the market. Shangri-La is maintaining a conservative liquidity position, which is appropriate for the asset-heavy business model.</w:t>
      </w:r>
    </w:p>
    <w:p w14:paraId="6C56E4D2" w14:textId="77777777" w:rsidR="00E3506F" w:rsidRDefault="00000000">
      <w:pPr>
        <w:pStyle w:val="Heading3"/>
      </w:pPr>
      <w:bookmarkStart w:id="11" w:name="_Toc237392264"/>
      <w:r>
        <w:t>1.3.5 Gearing Ratios</w:t>
      </w:r>
      <w:bookmarkEnd w:id="11"/>
      <w:r>
        <w:t xml:space="preserve"> </w:t>
      </w:r>
    </w:p>
    <w:p w14:paraId="5C9541A0" w14:textId="77777777" w:rsidR="00E3506F" w:rsidRDefault="00000000">
      <w:pPr>
        <w:jc w:val="center"/>
      </w:pPr>
      <w:r>
        <w:rPr>
          <w:noProof/>
        </w:rPr>
        <w:drawing>
          <wp:inline distT="114300" distB="114300" distL="114300" distR="114300" wp14:anchorId="40A967E3" wp14:editId="3E034B67">
            <wp:extent cx="5943600" cy="4064000"/>
            <wp:effectExtent l="25400" t="25400" r="25400" b="25400"/>
            <wp:docPr id="30"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6"/>
                    <a:srcRect/>
                    <a:stretch>
                      <a:fillRect/>
                    </a:stretch>
                  </pic:blipFill>
                  <pic:spPr>
                    <a:xfrm>
                      <a:off x="0" y="0"/>
                      <a:ext cx="5943600" cy="4064000"/>
                    </a:xfrm>
                    <a:prstGeom prst="rect">
                      <a:avLst/>
                    </a:prstGeom>
                    <a:ln w="25400">
                      <a:solidFill>
                        <a:srgbClr val="000000"/>
                      </a:solidFill>
                      <a:prstDash val="solid"/>
                    </a:ln>
                  </pic:spPr>
                </pic:pic>
              </a:graphicData>
            </a:graphic>
          </wp:inline>
        </w:drawing>
      </w:r>
    </w:p>
    <w:p w14:paraId="65038258" w14:textId="77777777" w:rsidR="00E3506F" w:rsidRDefault="00000000">
      <w:pPr>
        <w:jc w:val="center"/>
        <w:rPr>
          <w:b/>
          <w:bCs/>
        </w:rPr>
      </w:pPr>
      <w:r>
        <w:rPr>
          <w:b/>
          <w:bCs/>
        </w:rPr>
        <w:t>Figure 06: Gearing Ratios</w:t>
      </w:r>
    </w:p>
    <w:p w14:paraId="52AC6766" w14:textId="5280984A" w:rsidR="00E3506F" w:rsidRDefault="00000000">
      <w:pPr>
        <w:jc w:val="center"/>
      </w:pPr>
      <w:r>
        <w:rPr>
          <w:b/>
          <w:bCs/>
        </w:rPr>
        <w:t>Source:</w:t>
      </w:r>
      <w:r>
        <w:t xml:space="preserve"> (M</w:t>
      </w:r>
      <w:r w:rsidR="00515BE0">
        <w:t>S</w:t>
      </w:r>
      <w:r>
        <w:t>-Excel)</w:t>
      </w:r>
    </w:p>
    <w:p w14:paraId="3B079071" w14:textId="77777777" w:rsidR="00E3506F" w:rsidRDefault="00000000">
      <w:pPr>
        <w:jc w:val="center"/>
      </w:pPr>
      <w:r>
        <w:rPr>
          <w:noProof/>
        </w:rPr>
        <w:drawing>
          <wp:inline distT="114300" distB="114300" distL="114300" distR="114300" wp14:anchorId="1F708364" wp14:editId="3A6D460E">
            <wp:extent cx="5943600" cy="1092200"/>
            <wp:effectExtent l="25400" t="25400" r="25400" b="25400"/>
            <wp:docPr id="42"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17"/>
                    <a:srcRect/>
                    <a:stretch>
                      <a:fillRect/>
                    </a:stretch>
                  </pic:blipFill>
                  <pic:spPr>
                    <a:xfrm>
                      <a:off x="0" y="0"/>
                      <a:ext cx="5943600" cy="1092200"/>
                    </a:xfrm>
                    <a:prstGeom prst="rect">
                      <a:avLst/>
                    </a:prstGeom>
                    <a:ln w="25400">
                      <a:solidFill>
                        <a:srgbClr val="000000"/>
                      </a:solidFill>
                      <a:prstDash val="solid"/>
                    </a:ln>
                  </pic:spPr>
                </pic:pic>
              </a:graphicData>
            </a:graphic>
          </wp:inline>
        </w:drawing>
      </w:r>
    </w:p>
    <w:p w14:paraId="2C3D1778" w14:textId="77777777" w:rsidR="00E3506F" w:rsidRDefault="00000000">
      <w:pPr>
        <w:jc w:val="center"/>
      </w:pPr>
      <w:r>
        <w:rPr>
          <w:b/>
          <w:bCs/>
        </w:rPr>
        <w:t>Table VI: Gearing Ratios</w:t>
      </w:r>
    </w:p>
    <w:p w14:paraId="3EBA16F5" w14:textId="647CA92A" w:rsidR="00E3506F" w:rsidRDefault="00000000">
      <w:r>
        <w:t xml:space="preserve">The debt-to-equity ratio rose from 1.23 in 2021 to 1.58 in 2025, indicating the growing dependency on debt finance. Critically, the interest-coverage ratio also improved from negative to 1.17 in 2025, which shows that operating profit is sufficient for covering the interest obligations. Generally, an interest coverage ratio of more than 3 is considered good in the hospitality industry, but it shows </w:t>
      </w:r>
      <w:r>
        <w:lastRenderedPageBreak/>
        <w:t>that Shangri-La is concerned about the rising interest rate and urgent need for balance sheet optimi</w:t>
      </w:r>
      <w:r w:rsidR="00515BE0">
        <w:t>z</w:t>
      </w:r>
      <w:r>
        <w:t>ation (Hospitality Institute, 2024).</w:t>
      </w:r>
    </w:p>
    <w:p w14:paraId="040F8FF9" w14:textId="77777777" w:rsidR="00E3506F" w:rsidRDefault="00000000">
      <w:pPr>
        <w:pStyle w:val="Heading3"/>
      </w:pPr>
      <w:bookmarkStart w:id="12" w:name="_Toc237392265"/>
      <w:r>
        <w:t>1.3.6 Cash Flow Ratios</w:t>
      </w:r>
      <w:bookmarkEnd w:id="12"/>
      <w:r>
        <w:t xml:space="preserve"> </w:t>
      </w:r>
    </w:p>
    <w:p w14:paraId="6412E433" w14:textId="77777777" w:rsidR="00E3506F" w:rsidRDefault="00000000">
      <w:pPr>
        <w:jc w:val="center"/>
      </w:pPr>
      <w:r>
        <w:rPr>
          <w:noProof/>
        </w:rPr>
        <w:drawing>
          <wp:inline distT="114300" distB="114300" distL="114300" distR="114300" wp14:anchorId="0D255FCE" wp14:editId="6DD917B5">
            <wp:extent cx="5943600" cy="2946400"/>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8"/>
                    <a:srcRect/>
                    <a:stretch>
                      <a:fillRect/>
                    </a:stretch>
                  </pic:blipFill>
                  <pic:spPr>
                    <a:xfrm>
                      <a:off x="0" y="0"/>
                      <a:ext cx="5943600" cy="2946400"/>
                    </a:xfrm>
                    <a:prstGeom prst="rect">
                      <a:avLst/>
                    </a:prstGeom>
                    <a:ln w="25400">
                      <a:solidFill>
                        <a:srgbClr val="000000"/>
                      </a:solidFill>
                      <a:prstDash val="solid"/>
                    </a:ln>
                  </pic:spPr>
                </pic:pic>
              </a:graphicData>
            </a:graphic>
          </wp:inline>
        </w:drawing>
      </w:r>
    </w:p>
    <w:p w14:paraId="43C960D4" w14:textId="77777777" w:rsidR="00E3506F" w:rsidRDefault="00000000">
      <w:pPr>
        <w:jc w:val="center"/>
        <w:rPr>
          <w:b/>
          <w:bCs/>
        </w:rPr>
      </w:pPr>
      <w:r>
        <w:rPr>
          <w:b/>
          <w:bCs/>
        </w:rPr>
        <w:t>Figure 07: Cash Flow Ratios</w:t>
      </w:r>
    </w:p>
    <w:p w14:paraId="1F9478DD" w14:textId="533BF84C" w:rsidR="00E3506F" w:rsidRDefault="00000000">
      <w:pPr>
        <w:jc w:val="center"/>
      </w:pPr>
      <w:r>
        <w:rPr>
          <w:b/>
          <w:bCs/>
        </w:rPr>
        <w:t>Source:</w:t>
      </w:r>
      <w:r>
        <w:t xml:space="preserve"> (M</w:t>
      </w:r>
      <w:r w:rsidR="00515BE0">
        <w:t>S</w:t>
      </w:r>
      <w:r>
        <w:t>-Excel)</w:t>
      </w:r>
    </w:p>
    <w:p w14:paraId="1DED7394" w14:textId="77777777" w:rsidR="00E3506F" w:rsidRDefault="00000000">
      <w:pPr>
        <w:jc w:val="center"/>
      </w:pPr>
      <w:r>
        <w:rPr>
          <w:noProof/>
        </w:rPr>
        <w:drawing>
          <wp:inline distT="114300" distB="114300" distL="114300" distR="114300" wp14:anchorId="3C6F6B99" wp14:editId="197F9557">
            <wp:extent cx="5943600" cy="965200"/>
            <wp:effectExtent l="25400" t="25400" r="25400" b="25400"/>
            <wp:docPr id="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9"/>
                    <a:srcRect/>
                    <a:stretch>
                      <a:fillRect/>
                    </a:stretch>
                  </pic:blipFill>
                  <pic:spPr>
                    <a:xfrm>
                      <a:off x="0" y="0"/>
                      <a:ext cx="5943600" cy="965200"/>
                    </a:xfrm>
                    <a:prstGeom prst="rect">
                      <a:avLst/>
                    </a:prstGeom>
                    <a:ln w="25400">
                      <a:solidFill>
                        <a:srgbClr val="000000"/>
                      </a:solidFill>
                      <a:prstDash val="solid"/>
                    </a:ln>
                  </pic:spPr>
                </pic:pic>
              </a:graphicData>
            </a:graphic>
          </wp:inline>
        </w:drawing>
      </w:r>
    </w:p>
    <w:p w14:paraId="3977BE92" w14:textId="77777777" w:rsidR="00E3506F" w:rsidRDefault="00000000">
      <w:pPr>
        <w:jc w:val="center"/>
      </w:pPr>
      <w:r>
        <w:rPr>
          <w:b/>
          <w:bCs/>
        </w:rPr>
        <w:t>Table VII: Cash Flow Ratios</w:t>
      </w:r>
    </w:p>
    <w:p w14:paraId="41D6BDA8" w14:textId="77777777" w:rsidR="00E3506F" w:rsidRDefault="00000000">
      <w:r>
        <w:t>The operating cash flow to current liabilities is stable between 0.38 and 0.43, indicating consistent generation of cash in relation to the short-term obligations. The cash flow margin declined from 41.9% in 2021 to 17.3% in 2025, which suggests that revenue growth is outpacing cash flow growth. The decline reflects the investment in working capital and increasing cost of operations after the pandemic. Shangri-La generated sufficient operating cash flow of USD 394 million in 2025 to cover the interest payment and support the dividend, which highlights the underlying financial strength.</w:t>
      </w:r>
    </w:p>
    <w:p w14:paraId="6636AEF8" w14:textId="77777777" w:rsidR="00E3506F" w:rsidRDefault="00000000">
      <w:pPr>
        <w:pStyle w:val="Heading3"/>
      </w:pPr>
      <w:bookmarkStart w:id="13" w:name="_Toc237392266"/>
      <w:r>
        <w:lastRenderedPageBreak/>
        <w:t>1.4 Overall Financial Performance Evaluation</w:t>
      </w:r>
      <w:bookmarkEnd w:id="13"/>
    </w:p>
    <w:p w14:paraId="5AE3513C" w14:textId="77777777" w:rsidR="00E3506F" w:rsidRDefault="00000000">
      <w:r>
        <w:t xml:space="preserve">Shangri-La successfully recovered from the pandemic disruption with a revenue growth of 80% in 2025 compared to the last 5 years. Even after improvement in profit, this raised concerns that the net margin declined from 9.4% to 6% in 2025. The strong current ratio of 1.7 and improved efficiency with fewer receivable days show the strong position of the company. Concerns for Shangri-La include a high gearing ratio and debt coverage of interest. The asset-heavy business model of Shangri-La is creating pressure as they have to focus on reducing interest costs and look towards an asset-light model for improving the return. </w:t>
      </w:r>
    </w:p>
    <w:p w14:paraId="5DB04F46" w14:textId="77777777" w:rsidR="00E3506F" w:rsidRDefault="00000000">
      <w:pPr>
        <w:pStyle w:val="Heading3"/>
      </w:pPr>
      <w:bookmarkStart w:id="14" w:name="_Toc237392267"/>
      <w:r>
        <w:t>1.5 Ratio Summary Table</w:t>
      </w:r>
      <w:bookmarkEnd w:id="14"/>
    </w:p>
    <w:p w14:paraId="4FDE2086" w14:textId="77777777" w:rsidR="00E3506F" w:rsidRDefault="00000000">
      <w:pPr>
        <w:jc w:val="center"/>
        <w:rPr>
          <w:b/>
          <w:bCs/>
        </w:rPr>
      </w:pPr>
      <w:r>
        <w:rPr>
          <w:b/>
          <w:bCs/>
          <w:noProof/>
        </w:rPr>
        <w:drawing>
          <wp:inline distT="114300" distB="114300" distL="114300" distR="114300" wp14:anchorId="4E90EC64" wp14:editId="28C9A49A">
            <wp:extent cx="5943600" cy="2070100"/>
            <wp:effectExtent l="25400" t="25400" r="25400" b="25400"/>
            <wp:docPr id="52"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20"/>
                    <a:srcRect/>
                    <a:stretch>
                      <a:fillRect/>
                    </a:stretch>
                  </pic:blipFill>
                  <pic:spPr>
                    <a:xfrm>
                      <a:off x="0" y="0"/>
                      <a:ext cx="5943600" cy="2070100"/>
                    </a:xfrm>
                    <a:prstGeom prst="rect">
                      <a:avLst/>
                    </a:prstGeom>
                    <a:ln w="25400">
                      <a:solidFill>
                        <a:srgbClr val="000000"/>
                      </a:solidFill>
                      <a:prstDash val="solid"/>
                    </a:ln>
                  </pic:spPr>
                </pic:pic>
              </a:graphicData>
            </a:graphic>
          </wp:inline>
        </w:drawing>
      </w:r>
    </w:p>
    <w:p w14:paraId="17928455" w14:textId="485C4BDC" w:rsidR="00E3506F" w:rsidRDefault="00000000">
      <w:pPr>
        <w:jc w:val="center"/>
        <w:rPr>
          <w:b/>
          <w:bCs/>
        </w:rPr>
      </w:pPr>
      <w:r>
        <w:rPr>
          <w:b/>
          <w:bCs/>
        </w:rPr>
        <w:t>Table VIII: Comparison of Ratio</w:t>
      </w:r>
      <w:r w:rsidR="00515BE0">
        <w:rPr>
          <w:b/>
          <w:bCs/>
        </w:rPr>
        <w:t xml:space="preserve"> w</w:t>
      </w:r>
      <w:r>
        <w:rPr>
          <w:b/>
          <w:bCs/>
        </w:rPr>
        <w:t>ith Industry Benchmark</w:t>
      </w:r>
    </w:p>
    <w:p w14:paraId="6AEB6793" w14:textId="77777777" w:rsidR="00E3506F" w:rsidRDefault="00000000">
      <w:pPr>
        <w:jc w:val="center"/>
      </w:pPr>
      <w:r>
        <w:rPr>
          <w:b/>
          <w:bCs/>
        </w:rPr>
        <w:t xml:space="preserve">Source: </w:t>
      </w:r>
      <w:r>
        <w:t>(Ready Ratios, 2026)</w:t>
      </w:r>
    </w:p>
    <w:p w14:paraId="63F1632B" w14:textId="77777777" w:rsidR="00E3506F" w:rsidRDefault="00000000">
      <w:pPr>
        <w:pStyle w:val="Heading1"/>
      </w:pPr>
      <w:bookmarkStart w:id="15" w:name="_7benuoihvg22" w:colFirst="0" w:colLast="0"/>
      <w:bookmarkEnd w:id="15"/>
      <w:r>
        <w:br w:type="page"/>
      </w:r>
    </w:p>
    <w:p w14:paraId="3E7650B2" w14:textId="77777777" w:rsidR="00E3506F" w:rsidRDefault="00000000">
      <w:pPr>
        <w:pStyle w:val="Heading1"/>
      </w:pPr>
      <w:bookmarkStart w:id="16" w:name="_Toc237392268"/>
      <w:r>
        <w:lastRenderedPageBreak/>
        <w:t>Part 2: Working Capital Management Analysis</w:t>
      </w:r>
      <w:bookmarkEnd w:id="16"/>
      <w:r>
        <w:t xml:space="preserve"> </w:t>
      </w:r>
    </w:p>
    <w:p w14:paraId="5C02A1F7" w14:textId="77777777" w:rsidR="00E3506F" w:rsidRDefault="00000000">
      <w:pPr>
        <w:pStyle w:val="Heading2"/>
      </w:pPr>
      <w:bookmarkStart w:id="17" w:name="_Toc237392269"/>
      <w:r>
        <w:t>2.1 Introduction</w:t>
      </w:r>
      <w:bookmarkEnd w:id="17"/>
      <w:r>
        <w:t xml:space="preserve"> </w:t>
      </w:r>
    </w:p>
    <w:p w14:paraId="6C0C70BF" w14:textId="77777777" w:rsidR="00E3506F" w:rsidRDefault="00000000">
      <w:r>
        <w:t>Working capital management is critical for the capital-intensive operation of Shangri-La, where the efficient conversion of cash directly impacts the debt service capacity. The moderate debt-to-equity ratio with the low interest coverage ratio at the industrial level shows the capital-intensive nature (Islam, 2026). Shangri-La operates more than 90 hotels and mixed-use establishments under the JEN, Shangri-La, and Kerry brands. Mainland China and Hong Kong account for the majority of earnings, with Southeast Asia and other foreign markets making up the remaining portion (Tracxn, 2026). Effective working capital management is necessary for preserving the financial flexibility and supporting the transition towards the asset-light growth model of the company.</w:t>
      </w:r>
    </w:p>
    <w:p w14:paraId="344E3E6E" w14:textId="77777777" w:rsidR="00E3506F" w:rsidRDefault="00000000">
      <w:pPr>
        <w:pStyle w:val="Heading2"/>
      </w:pPr>
      <w:bookmarkStart w:id="18" w:name="_Toc237392270"/>
      <w:r>
        <w:t>2.2 Cash Operating Cycle</w:t>
      </w:r>
      <w:bookmarkEnd w:id="18"/>
    </w:p>
    <w:p w14:paraId="38BDE34B" w14:textId="77777777" w:rsidR="00E3506F" w:rsidRDefault="00000000">
      <w:r>
        <w:t xml:space="preserve">The cash conversion cycle is consistently negative but improved from -239 days in 2021 to -177 days in 2025. It shows that Shangri-La collects cash from the guest at the time of arrival or before departure, even before paying the suppliers, effectively using the supplier credit to fund the operation. </w:t>
      </w:r>
    </w:p>
    <w:p w14:paraId="67C58C36" w14:textId="17D71A81" w:rsidR="00E3506F" w:rsidRDefault="00000000">
      <w:r>
        <w:t>The inventory turnover is improved from 16 to 11 days, which shows efficient F&amp;B and amenities management. The diverse portfolio of Sha</w:t>
      </w:r>
      <w:r w:rsidR="00515BE0">
        <w:t>n</w:t>
      </w:r>
      <w:r>
        <w:t>gri-La includes Mainland China, Hong Kong, and Southeast Asia, aligned with the operation-disciplined focus of the company.</w:t>
      </w:r>
    </w:p>
    <w:p w14:paraId="20A0D6E6" w14:textId="77777777" w:rsidR="00E3506F" w:rsidRDefault="00000000">
      <w:r>
        <w:t>Receivable turnover days also show improvement, as it declined from 64 days to 35 days in 2025. It shows improvement in credit management and fast collection from the corporate clients, online booking platforms and travel agents. As of December 2025, Shangri-La has $2,530 million in cash and short-term deposits, consisting of $2,241 million in cash and $289 million in deposits with maturities longer than three months (Shangri-La, 2026).</w:t>
      </w:r>
    </w:p>
    <w:p w14:paraId="556102E1" w14:textId="182BF9B3" w:rsidR="00E3506F" w:rsidRDefault="00000000">
      <w:r>
        <w:t>The payable turnover days also declined from 319 days to 222 days, which is concerning for the suppliers' payments. It reduces the availability of the interest-free trade credit that provides a benefit in working capital (</w:t>
      </w:r>
      <w:r w:rsidR="008771B4">
        <w:t>Rudrani</w:t>
      </w:r>
      <w:r>
        <w:t>, 2026). It was accepted by the management as it partially offset gains from the improvement in the receivable days and management of the inventory. This shows that the free cash flow improved from USD 273 billion in 2024 to USD 313 billion in 2025 with a growth of 15% (Shangri-La, 2025).</w:t>
      </w:r>
    </w:p>
    <w:p w14:paraId="05B85CF7" w14:textId="77777777" w:rsidR="00E3506F" w:rsidRDefault="00000000">
      <w:pPr>
        <w:pStyle w:val="Heading2"/>
      </w:pPr>
      <w:bookmarkStart w:id="19" w:name="_Toc237392271"/>
      <w:r>
        <w:lastRenderedPageBreak/>
        <w:t>2.3 Working Capital Problems</w:t>
      </w:r>
      <w:bookmarkEnd w:id="19"/>
    </w:p>
    <w:p w14:paraId="0CD32070" w14:textId="77777777" w:rsidR="00E3506F" w:rsidRDefault="00000000">
      <w:pPr>
        <w:jc w:val="center"/>
        <w:rPr>
          <w:b/>
          <w:bCs/>
        </w:rPr>
      </w:pPr>
      <w:r>
        <w:rPr>
          <w:b/>
          <w:bCs/>
          <w:noProof/>
        </w:rPr>
        <w:drawing>
          <wp:inline distT="114300" distB="114300" distL="114300" distR="114300" wp14:anchorId="5ABC6D7A" wp14:editId="09C0D0BE">
            <wp:extent cx="5943600" cy="2933700"/>
            <wp:effectExtent l="25400" t="25400" r="25400" b="25400"/>
            <wp:docPr id="26"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1"/>
                    <a:srcRect/>
                    <a:stretch>
                      <a:fillRect/>
                    </a:stretch>
                  </pic:blipFill>
                  <pic:spPr>
                    <a:xfrm>
                      <a:off x="0" y="0"/>
                      <a:ext cx="5943600" cy="2933700"/>
                    </a:xfrm>
                    <a:prstGeom prst="rect">
                      <a:avLst/>
                    </a:prstGeom>
                    <a:ln w="25400">
                      <a:solidFill>
                        <a:srgbClr val="000000"/>
                      </a:solidFill>
                      <a:prstDash val="solid"/>
                    </a:ln>
                  </pic:spPr>
                </pic:pic>
              </a:graphicData>
            </a:graphic>
          </wp:inline>
        </w:drawing>
      </w:r>
    </w:p>
    <w:p w14:paraId="1A901EB7" w14:textId="77777777" w:rsidR="00E3506F" w:rsidRDefault="00000000">
      <w:pPr>
        <w:jc w:val="center"/>
        <w:rPr>
          <w:b/>
          <w:bCs/>
        </w:rPr>
      </w:pPr>
      <w:r>
        <w:rPr>
          <w:b/>
          <w:bCs/>
        </w:rPr>
        <w:t>Figure 08: Cash Conversion Cycle and Working Capital</w:t>
      </w:r>
    </w:p>
    <w:p w14:paraId="25F70489" w14:textId="3E34D0DE" w:rsidR="00E3506F" w:rsidRDefault="00000000">
      <w:pPr>
        <w:jc w:val="center"/>
      </w:pPr>
      <w:r>
        <w:rPr>
          <w:b/>
          <w:bCs/>
        </w:rPr>
        <w:t xml:space="preserve">Source: </w:t>
      </w:r>
      <w:r>
        <w:t>(M</w:t>
      </w:r>
      <w:r w:rsidR="00515BE0">
        <w:t>S</w:t>
      </w:r>
      <w:r>
        <w:t>-Excel)</w:t>
      </w:r>
    </w:p>
    <w:p w14:paraId="1075BC23" w14:textId="77777777" w:rsidR="00E3506F" w:rsidRDefault="00000000">
      <w:pPr>
        <w:jc w:val="center"/>
      </w:pPr>
      <w:r>
        <w:rPr>
          <w:noProof/>
        </w:rPr>
        <w:drawing>
          <wp:inline distT="114300" distB="114300" distL="114300" distR="114300" wp14:anchorId="4514C052" wp14:editId="4822E593">
            <wp:extent cx="5943600" cy="1816100"/>
            <wp:effectExtent l="25400" t="25400" r="25400" b="25400"/>
            <wp:docPr id="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2"/>
                    <a:srcRect/>
                    <a:stretch>
                      <a:fillRect/>
                    </a:stretch>
                  </pic:blipFill>
                  <pic:spPr>
                    <a:xfrm>
                      <a:off x="0" y="0"/>
                      <a:ext cx="5943600" cy="1816100"/>
                    </a:xfrm>
                    <a:prstGeom prst="rect">
                      <a:avLst/>
                    </a:prstGeom>
                    <a:ln w="25400">
                      <a:solidFill>
                        <a:srgbClr val="000000"/>
                      </a:solidFill>
                      <a:prstDash val="solid"/>
                    </a:ln>
                  </pic:spPr>
                </pic:pic>
              </a:graphicData>
            </a:graphic>
          </wp:inline>
        </w:drawing>
      </w:r>
    </w:p>
    <w:p w14:paraId="0FBF3F51" w14:textId="77777777" w:rsidR="00E3506F" w:rsidRDefault="00000000">
      <w:pPr>
        <w:jc w:val="center"/>
      </w:pPr>
      <w:r>
        <w:rPr>
          <w:b/>
          <w:bCs/>
        </w:rPr>
        <w:t>Table IX: Cash Conversion Cycle and Working Capital</w:t>
      </w:r>
    </w:p>
    <w:p w14:paraId="36ECCD89" w14:textId="77777777" w:rsidR="00E3506F" w:rsidRDefault="00000000">
      <w:r>
        <w:t>The decline in payable days represents the significant reduction in the interest-free trade credit with the suppliers. Free cash flow in 1H25 was US$35.8 million, while operating cash flow was US$59.9 million, essentially flat year over year (Poems, 2026). Recurring capital expenditures consume operating cash flow, which limits the amount of money available for debt reduction (Jain, 2024). It increased the dependency on short-term borrowing with the elevation in leverage.</w:t>
      </w:r>
    </w:p>
    <w:p w14:paraId="3595C2B5" w14:textId="0B3DA773" w:rsidR="00E3506F" w:rsidRDefault="00000000">
      <w:r>
        <w:t>The working capital improved from -USD 595 million to USD 1,200.7 million, with the negative CCC trend from -239 to -177 days signaling diminishing efficiency gains. It indicates that they are collecting fast payments, which offset the improvement in inventory and receivable management.</w:t>
      </w:r>
    </w:p>
    <w:p w14:paraId="4D5B6D99" w14:textId="77777777" w:rsidR="00E3506F" w:rsidRDefault="00000000">
      <w:pPr>
        <w:pStyle w:val="Heading2"/>
      </w:pPr>
      <w:bookmarkStart w:id="20" w:name="_Toc237392272"/>
      <w:r>
        <w:lastRenderedPageBreak/>
        <w:t>2.4 Strategies to Improve Liquidity</w:t>
      </w:r>
      <w:bookmarkEnd w:id="20"/>
    </w:p>
    <w:p w14:paraId="47886A3D" w14:textId="557CF44C" w:rsidR="00E3506F" w:rsidRDefault="00000000">
      <w:r>
        <w:rPr>
          <w:b/>
          <w:bCs/>
        </w:rPr>
        <w:t>Optimi</w:t>
      </w:r>
      <w:r w:rsidR="00515BE0">
        <w:rPr>
          <w:b/>
          <w:bCs/>
        </w:rPr>
        <w:t>z</w:t>
      </w:r>
      <w:r>
        <w:rPr>
          <w:b/>
          <w:bCs/>
        </w:rPr>
        <w:t>e Payables Management:</w:t>
      </w:r>
      <w:r>
        <w:t xml:space="preserve"> Shangri-La has to negotiate with suppliers to improve the payable days, which were at a peak of 319 days in 2021. With the scalability of more than 90 hotels across Asia, an extension in the payment from the supplier days improves the working capital without damaging the relationship.</w:t>
      </w:r>
    </w:p>
    <w:p w14:paraId="57606FF7" w14:textId="77777777" w:rsidR="00E3506F" w:rsidRDefault="00000000">
      <w:r>
        <w:rPr>
          <w:b/>
          <w:bCs/>
        </w:rPr>
        <w:t xml:space="preserve">Leverage Asset-Light Growth: </w:t>
      </w:r>
      <w:r>
        <w:t>Shangri-La Group combines asset-light management with focused reinvestment in major hotels to capitalize on recovery demand, particularly in the revenge-travel and luxury domestic travel markets in China. It could reduce the working capital burden on the new development of the property as it allows for capital-efficient growth.</w:t>
      </w:r>
    </w:p>
    <w:p w14:paraId="29B42D59" w14:textId="77777777" w:rsidR="00E3506F" w:rsidRDefault="00000000">
      <w:r>
        <w:rPr>
          <w:b/>
          <w:bCs/>
        </w:rPr>
        <w:t>Maintain Strong Liquidity Buffer:</w:t>
      </w:r>
      <w:r>
        <w:t xml:space="preserve"> USD 759 million in undrawn facilities, USD 2,530 million in cash, and the available liquidity of USA 3,289 million ensures coverage of the current liabilities. According to Shangri-La, the company's solid financial standing gives it the resources to handle impending refinancing requirements over the next 24 months and set up the Group for future growth prospects that support short-term financial resilience (Shangri-La Group, 2025).</w:t>
      </w:r>
    </w:p>
    <w:p w14:paraId="003C8847" w14:textId="77777777" w:rsidR="00E3506F" w:rsidRDefault="00000000">
      <w:pPr>
        <w:pStyle w:val="Heading2"/>
      </w:pPr>
      <w:bookmarkStart w:id="21" w:name="_Toc237392273"/>
      <w:r>
        <w:t>2.5 Financing Options</w:t>
      </w:r>
      <w:bookmarkEnd w:id="21"/>
    </w:p>
    <w:p w14:paraId="2D44B036" w14:textId="26B83CC0" w:rsidR="00E3506F" w:rsidRDefault="00000000">
      <w:r>
        <w:t xml:space="preserve">As of now, short-term finance includes the bank overdraft and undrawn committed facilities of UST 759 million, which are available for temporary needs. However, trade credit is the primary short-term source, with the decline in payable days reducing the availability (Giannetti, 2024). Long-term finance, depending on the return earning a long-term debt, is suggested for Shangri-La. The recently issued SDG senior unsecured note of 3.54% completed the first Panda Bond issue in the onshore capital market of China (Shangri-La, 2025). The large RBM fundamental mix of 68% of the total borrowings helps to reduce the average interest cost by 4% in 2025 (Bond </w:t>
      </w:r>
      <w:r w:rsidR="008771B4">
        <w:t>Super Mart</w:t>
      </w:r>
      <w:r>
        <w:t>, 2026). It is suggested that Shangri-La look for long-term financial issues such as bond and bank loans as a major source of finance.</w:t>
      </w:r>
    </w:p>
    <w:p w14:paraId="3F28C5BC" w14:textId="77777777" w:rsidR="00E3506F" w:rsidRDefault="00000000">
      <w:pPr>
        <w:pStyle w:val="Heading1"/>
      </w:pPr>
      <w:bookmarkStart w:id="22" w:name="_lp5p6uky8sg8" w:colFirst="0" w:colLast="0"/>
      <w:bookmarkEnd w:id="22"/>
      <w:r>
        <w:br w:type="page"/>
      </w:r>
    </w:p>
    <w:p w14:paraId="1A36956A" w14:textId="77777777" w:rsidR="00E3506F" w:rsidRDefault="00000000">
      <w:pPr>
        <w:pStyle w:val="Heading1"/>
      </w:pPr>
      <w:bookmarkStart w:id="23" w:name="_Toc237392274"/>
      <w:r>
        <w:lastRenderedPageBreak/>
        <w:t>Part 3: Strategic Financial Restructuring Plan</w:t>
      </w:r>
      <w:bookmarkEnd w:id="23"/>
    </w:p>
    <w:p w14:paraId="3B0ECE5D" w14:textId="77777777" w:rsidR="00E3506F" w:rsidRDefault="00000000">
      <w:pPr>
        <w:pStyle w:val="Heading2"/>
      </w:pPr>
      <w:r>
        <w:t xml:space="preserve"> </w:t>
      </w:r>
      <w:bookmarkStart w:id="24" w:name="_Toc237392275"/>
      <w:r>
        <w:t>3.1 Need for Financial Restructuring</w:t>
      </w:r>
      <w:bookmarkEnd w:id="24"/>
    </w:p>
    <w:p w14:paraId="420F8ADF" w14:textId="77777777" w:rsidR="00E3506F" w:rsidRDefault="00000000">
      <w:r>
        <w:t>Shangri-La Hotels &amp; Resorts has to focus on financial restructuring to improve its balance sheet and maintain its financial capacity. The company has an indebtedness ratio of 74.6%, which shows that the leverage is still material even after adequate financial resources (HKEX News, 2026). The group maintains sufficient cash to cover its financing requirements through 2027 and can restructure without incurring financial pressure.</w:t>
      </w:r>
    </w:p>
    <w:p w14:paraId="694F529E" w14:textId="77777777" w:rsidR="00E3506F" w:rsidRDefault="00000000">
      <w:pPr>
        <w:jc w:val="center"/>
        <w:rPr>
          <w:b/>
          <w:bCs/>
        </w:rPr>
      </w:pPr>
      <w:r>
        <w:rPr>
          <w:b/>
          <w:bCs/>
          <w:noProof/>
        </w:rPr>
        <w:drawing>
          <wp:inline distT="114300" distB="114300" distL="114300" distR="114300" wp14:anchorId="7DCE25CB" wp14:editId="688CE470">
            <wp:extent cx="5943600" cy="3695700"/>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3"/>
                    <a:srcRect/>
                    <a:stretch>
                      <a:fillRect/>
                    </a:stretch>
                  </pic:blipFill>
                  <pic:spPr>
                    <a:xfrm>
                      <a:off x="0" y="0"/>
                      <a:ext cx="5943600" cy="3695700"/>
                    </a:xfrm>
                    <a:prstGeom prst="rect">
                      <a:avLst/>
                    </a:prstGeom>
                    <a:ln w="25400">
                      <a:solidFill>
                        <a:srgbClr val="000000"/>
                      </a:solidFill>
                      <a:prstDash val="solid"/>
                    </a:ln>
                  </pic:spPr>
                </pic:pic>
              </a:graphicData>
            </a:graphic>
          </wp:inline>
        </w:drawing>
      </w:r>
    </w:p>
    <w:p w14:paraId="23216DCA" w14:textId="77777777" w:rsidR="00E3506F" w:rsidRDefault="00000000">
      <w:pPr>
        <w:jc w:val="center"/>
        <w:rPr>
          <w:b/>
          <w:bCs/>
        </w:rPr>
      </w:pPr>
      <w:r>
        <w:rPr>
          <w:b/>
          <w:bCs/>
        </w:rPr>
        <w:t>Figure 09: Hotels Market Size</w:t>
      </w:r>
    </w:p>
    <w:p w14:paraId="547D918F" w14:textId="77777777" w:rsidR="00E3506F" w:rsidRDefault="00000000">
      <w:pPr>
        <w:jc w:val="center"/>
      </w:pPr>
      <w:r>
        <w:rPr>
          <w:b/>
          <w:bCs/>
        </w:rPr>
        <w:t>Source:</w:t>
      </w:r>
      <w:r>
        <w:t xml:space="preserve"> (Zion Market Research, 2023)</w:t>
      </w:r>
    </w:p>
    <w:p w14:paraId="7045F71C" w14:textId="77777777" w:rsidR="00E3506F" w:rsidRDefault="00000000">
      <w:r>
        <w:t>The global hotel market is expected to increase from its estimated USD 1,376.40 billion in 2023 to USD 2,993.90 billion with a CAGR of around 9.14% by 2032 (Zion Market Research, 2023). Thus, the restructuring is justified by the market growth and through excessive capital commitments. Strategic objectives must release capital from low-return assets, which improves the maturity profile of the debt and increases investment with the asset-light management contract.</w:t>
      </w:r>
    </w:p>
    <w:p w14:paraId="4725D70C" w14:textId="77777777" w:rsidR="00E3506F" w:rsidRDefault="00000000">
      <w:pPr>
        <w:pStyle w:val="Heading2"/>
      </w:pPr>
      <w:bookmarkStart w:id="25" w:name="_Toc237392276"/>
      <w:r>
        <w:lastRenderedPageBreak/>
        <w:t>3.2 Financial Restructuring Options</w:t>
      </w:r>
      <w:bookmarkEnd w:id="25"/>
    </w:p>
    <w:p w14:paraId="11B7B42A" w14:textId="77777777" w:rsidR="00E3506F" w:rsidRDefault="00000000">
      <w:r>
        <w:rPr>
          <w:b/>
          <w:bCs/>
        </w:rPr>
        <w:t xml:space="preserve">Selective Asset Divestiture: </w:t>
      </w:r>
      <w:r>
        <w:t>Shangri-La could dispose of mature or non-core properties where they are not getting sufficient returns in relation to the capital requirements. It could be directed towards the repayment of the debt, but the disposals should be selective because excessive sale of the assets can reduce the recurring income (Reis, 2022).</w:t>
      </w:r>
    </w:p>
    <w:p w14:paraId="4F8769B4" w14:textId="77777777" w:rsidR="00E3506F" w:rsidRDefault="00000000">
      <w:r>
        <w:rPr>
          <w:b/>
          <w:bCs/>
        </w:rPr>
        <w:t>Asset-light Expansion Through Management Contracts:</w:t>
      </w:r>
      <w:r>
        <w:t xml:space="preserve"> Shangri-La could manage hotels owned by third parties and generate management as well as incentive fees. It can reduce the initial capital expenditure, which also limits the exposure of the balance sheet, along with supporting geographic expansion. There are more than 6,000 hotels in the global construction pipeline in 2025, with the United States and China holding the major development market (Statista, 2025). </w:t>
      </w:r>
    </w:p>
    <w:p w14:paraId="18EEEBF2" w14:textId="77777777" w:rsidR="00E3506F" w:rsidRDefault="00000000">
      <w:r>
        <w:rPr>
          <w:b/>
          <w:bCs/>
        </w:rPr>
        <w:t xml:space="preserve">Debt Refinancing and Maturity Restructuring: </w:t>
      </w:r>
      <w:r>
        <w:t xml:space="preserve">Interest rates will be lowered for Shangri-La once ESG goals are met. Shangri-La Asia and Bank of China (Hong Kong) (BOCHK) have agreed a five-year sustainability-linked loan of $625.5 million (RMB4.5 billion) (Hong Kong Business, 2024). Extension of the maturities, increasing the fixed rate borrow can reduce the risk of refinancing and interest rates. </w:t>
      </w:r>
    </w:p>
    <w:p w14:paraId="20DE5651" w14:textId="77777777" w:rsidR="00E3506F" w:rsidRDefault="00000000">
      <w:pPr>
        <w:pStyle w:val="Heading2"/>
      </w:pPr>
      <w:bookmarkStart w:id="26" w:name="_Toc237392277"/>
      <w:r>
        <w:t>3.3 Impact on Shareholder Value, Debt Structure, and Operational Flexibility</w:t>
      </w:r>
      <w:bookmarkEnd w:id="26"/>
    </w:p>
    <w:p w14:paraId="0CA22C22" w14:textId="77777777" w:rsidR="00E3506F" w:rsidRDefault="00000000">
      <w:r>
        <w:rPr>
          <w:b/>
          <w:bCs/>
        </w:rPr>
        <w:t xml:space="preserve">Shareholder Value: </w:t>
      </w:r>
      <w:r>
        <w:t xml:space="preserve">Restructuring programs can improve the value of the shareholders by selling off the underperforming assets and the use of the proceeds to reduce the debt and future finance costs. The disposals of the assets can reduce the short-term revenue and growth of assets, so management should evaluate based on the expected return, strategic importance and future cash generation potential. </w:t>
      </w:r>
    </w:p>
    <w:p w14:paraId="4483CB80" w14:textId="77777777" w:rsidR="00E3506F" w:rsidRDefault="00000000">
      <w:r>
        <w:rPr>
          <w:b/>
          <w:bCs/>
        </w:rPr>
        <w:t>Debt Structure:</w:t>
      </w:r>
      <w:r>
        <w:t xml:space="preserve"> Long term fix rate borrow can reduce the exposure of the refinance and fluctuations in interest rates (Wang, 2025). The existing finance arrangement of the Shangri-La shows that the group can access different maturities and sources of funds. Giving the group the freedom to investigate several funding possibilities increases its bargaining power with financial institutions to obtain better financing terms.</w:t>
      </w:r>
    </w:p>
    <w:p w14:paraId="0F22BB5B" w14:textId="77777777" w:rsidR="00E3506F" w:rsidRDefault="00000000">
      <w:r>
        <w:rPr>
          <w:b/>
          <w:bCs/>
        </w:rPr>
        <w:t xml:space="preserve">Operational Flexibility: </w:t>
      </w:r>
      <w:r>
        <w:t>Use of the management contract can reduce the capital of the ownership of the property, lead to financial capacity to be redirected towards technology, development of the brand and customer experience. With the increase in global hotel revenue, Shangri-La can create the opportunity to be financially flexible operators.</w:t>
      </w:r>
    </w:p>
    <w:p w14:paraId="427A3AF8" w14:textId="77777777" w:rsidR="00E3506F" w:rsidRDefault="00000000">
      <w:pPr>
        <w:pStyle w:val="Heading2"/>
      </w:pPr>
      <w:bookmarkStart w:id="27" w:name="_Toc237392278"/>
      <w:r>
        <w:lastRenderedPageBreak/>
        <w:t>3.4 International Considerations</w:t>
      </w:r>
      <w:bookmarkEnd w:id="27"/>
    </w:p>
    <w:p w14:paraId="66351CAD" w14:textId="77777777" w:rsidR="00E3506F" w:rsidRDefault="00000000">
      <w:r>
        <w:rPr>
          <w:b/>
          <w:bCs/>
        </w:rPr>
        <w:t>Currency Risk:</w:t>
      </w:r>
      <w:r>
        <w:t xml:space="preserve"> The majority of revenue and costs for Shangri-La are identified in the international market, as it means movement in the exchange rate can affect the reported earnings and cost of servicing foreign-currency debt. Matching of the borrowed currency with the operating cash flow can provide a natural hedge that also reduces unnecessary foreign exchange exposure (Rathore, 2025).</w:t>
      </w:r>
    </w:p>
    <w:p w14:paraId="1E99F7DC" w14:textId="77777777" w:rsidR="00E3506F" w:rsidRDefault="00000000">
      <w:r>
        <w:rPr>
          <w:b/>
          <w:bCs/>
        </w:rPr>
        <w:t xml:space="preserve">Taxation: </w:t>
      </w:r>
      <w:r>
        <w:t xml:space="preserve">Disposal of the assets, cross-border finance and intercompany transactions must comply with the local corporate tax, along with the tax and transfer price requirements (Elumilade </w:t>
      </w:r>
      <w:r>
        <w:rPr>
          <w:i/>
          <w:iCs/>
        </w:rPr>
        <w:t xml:space="preserve">et al., </w:t>
      </w:r>
      <w:r>
        <w:t>2022). Looking for an aggressive tax structure can create regulatory and reputation risks that can outweigh a financial benefit.</w:t>
      </w:r>
    </w:p>
    <w:p w14:paraId="13C672B0" w14:textId="77777777" w:rsidR="00E3506F" w:rsidRDefault="00000000">
      <w:r>
        <w:rPr>
          <w:b/>
          <w:bCs/>
        </w:rPr>
        <w:t>Inflation:</w:t>
      </w:r>
      <w:r>
        <w:t xml:space="preserve"> Increases in wages, utilities, food and property maintenance costs can reduce the hotel margin. Investment decisions must include country-specific inflation and interest rate assumptions rather than uniformity in a global forecast.</w:t>
      </w:r>
    </w:p>
    <w:p w14:paraId="3F2A9384" w14:textId="77777777" w:rsidR="00E3506F" w:rsidRDefault="00000000">
      <w:r>
        <w:rPr>
          <w:b/>
          <w:bCs/>
        </w:rPr>
        <w:t xml:space="preserve">Geographical Diversification: </w:t>
      </w:r>
      <w:r>
        <w:t>The United States and China are the leading markets for the redevelopment of hotels, which provide growth opportunities but also include exposure to different regulatory and geopolitical concerns.</w:t>
      </w:r>
    </w:p>
    <w:p w14:paraId="5F6A1707" w14:textId="77777777" w:rsidR="00E3506F" w:rsidRDefault="00000000">
      <w:pPr>
        <w:pStyle w:val="Heading2"/>
      </w:pPr>
      <w:bookmarkStart w:id="28" w:name="_Toc237392279"/>
      <w:r>
        <w:t>3.5 Ethical and ESG Considerations</w:t>
      </w:r>
      <w:bookmarkEnd w:id="28"/>
    </w:p>
    <w:p w14:paraId="04024CDA" w14:textId="77777777" w:rsidR="00E3506F" w:rsidRDefault="00000000">
      <w:r>
        <w:t>The financial restructure must balance the return for the shareholders with the responsibility towards the employees, suppliers, communities and the environment. The cost-cutting approach and disposal of the assets should avoid unnecessary social harm; major investments have to look for the long-term environmental consequences. As of 2025, there were no instances of non-compliance with the local laws and regulations related to air and greenhouse gas emissions, discharges into water and land, and the production of hazardous and non-hazardous waste (Shangri-La, 2025).</w:t>
      </w:r>
    </w:p>
    <w:p w14:paraId="674AEA7C" w14:textId="77777777" w:rsidR="00E3506F" w:rsidRDefault="00000000">
      <w:r>
        <w:t>ESG criteria are a necessity in capital allocation, including energy Efficiency, waste reduction and responsible procurement. Sustainable link finance can also align financial incentives with the environment objective. There is a requirement for transparent reporting to create sustainable value rather than short-term financial improvement.</w:t>
      </w:r>
    </w:p>
    <w:p w14:paraId="40128617" w14:textId="77777777" w:rsidR="00E3506F" w:rsidRDefault="00000000">
      <w:pPr>
        <w:pStyle w:val="Heading1"/>
      </w:pPr>
      <w:bookmarkStart w:id="29" w:name="_qw7fonui7i1u" w:colFirst="0" w:colLast="0"/>
      <w:bookmarkEnd w:id="29"/>
      <w:r>
        <w:br w:type="page"/>
      </w:r>
    </w:p>
    <w:p w14:paraId="21AF018A" w14:textId="77777777" w:rsidR="00E3506F" w:rsidRDefault="00000000">
      <w:pPr>
        <w:pStyle w:val="Heading1"/>
      </w:pPr>
      <w:bookmarkStart w:id="30" w:name="_Toc237392280"/>
      <w:r>
        <w:lastRenderedPageBreak/>
        <w:t>Part 4: Investment Appraisal and Capital Budgeting</w:t>
      </w:r>
      <w:bookmarkEnd w:id="30"/>
    </w:p>
    <w:p w14:paraId="51DAD529" w14:textId="77777777" w:rsidR="00E3506F" w:rsidRDefault="00000000">
      <w:pPr>
        <w:pStyle w:val="Heading2"/>
      </w:pPr>
      <w:bookmarkStart w:id="31" w:name="_Toc237392281"/>
      <w:r>
        <w:t>4.1 Project Information</w:t>
      </w:r>
      <w:bookmarkEnd w:id="31"/>
    </w:p>
    <w:p w14:paraId="5330716A" w14:textId="77777777" w:rsidR="00E3506F" w:rsidRDefault="00000000">
      <w:r>
        <w:t xml:space="preserve">The investment appraisal considers the comparable project, which requires the initial investment of £50 million over five years. Project A generates the annual cash flow of £10m, £12m, £14m, £10m and £8m, whereas Project B generates £11m annually. Significantly, Project C generates the uneven pattern of cash over the five years as £5m, £10m, £20m, £25m and £5m. 8% discount rate is applied to reflect the required rate of return, as the analysis includes Payback, ARR, NPV, PI and IRR for comparing the accounting profit, value creation and recovery speed. </w:t>
      </w:r>
    </w:p>
    <w:p w14:paraId="047BE274" w14:textId="77777777" w:rsidR="00E3506F" w:rsidRDefault="00000000">
      <w:pPr>
        <w:pStyle w:val="Heading2"/>
      </w:pPr>
      <w:bookmarkStart w:id="32" w:name="_Toc237392282"/>
      <w:r>
        <w:lastRenderedPageBreak/>
        <w:t>4.2 Payback Period</w:t>
      </w:r>
      <w:bookmarkEnd w:id="32"/>
    </w:p>
    <w:p w14:paraId="1FAB21AF" w14:textId="77777777" w:rsidR="00E3506F" w:rsidRDefault="00000000">
      <w:pPr>
        <w:jc w:val="center"/>
        <w:rPr>
          <w:b/>
          <w:bCs/>
        </w:rPr>
      </w:pPr>
      <w:r>
        <w:rPr>
          <w:b/>
          <w:bCs/>
          <w:noProof/>
        </w:rPr>
        <w:drawing>
          <wp:inline distT="114300" distB="114300" distL="114300" distR="114300" wp14:anchorId="00249B19" wp14:editId="175EAB9B">
            <wp:extent cx="3605856" cy="5911239"/>
            <wp:effectExtent l="25400" t="25400" r="25400" b="25400"/>
            <wp:docPr id="1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4"/>
                    <a:srcRect/>
                    <a:stretch>
                      <a:fillRect/>
                    </a:stretch>
                  </pic:blipFill>
                  <pic:spPr>
                    <a:xfrm>
                      <a:off x="0" y="0"/>
                      <a:ext cx="3605856" cy="5911239"/>
                    </a:xfrm>
                    <a:prstGeom prst="rect">
                      <a:avLst/>
                    </a:prstGeom>
                    <a:ln w="25400">
                      <a:solidFill>
                        <a:srgbClr val="000000"/>
                      </a:solidFill>
                      <a:prstDash val="solid"/>
                    </a:ln>
                  </pic:spPr>
                </pic:pic>
              </a:graphicData>
            </a:graphic>
          </wp:inline>
        </w:drawing>
      </w:r>
    </w:p>
    <w:p w14:paraId="0337EA21" w14:textId="77777777" w:rsidR="00E3506F" w:rsidRDefault="00000000">
      <w:pPr>
        <w:jc w:val="center"/>
        <w:rPr>
          <w:b/>
          <w:bCs/>
        </w:rPr>
      </w:pPr>
      <w:r>
        <w:rPr>
          <w:b/>
          <w:bCs/>
        </w:rPr>
        <w:t>Table X: Payback Period</w:t>
      </w:r>
    </w:p>
    <w:p w14:paraId="131DA645" w14:textId="77777777" w:rsidR="00E3506F" w:rsidRDefault="00000000">
      <w:r>
        <w:t>Project A recovers £46 million at the end of the 4th year, which left the outstanding balance of £4 million at the end of the last year.  However, £8 million was generated in the last year, which is more than double the required amount left, but it still represents slow capital recovery. This project was exposed to uncertainty during most of the period of investment.</w:t>
      </w:r>
    </w:p>
    <w:p w14:paraId="738053F9" w14:textId="77777777" w:rsidR="00E3506F" w:rsidRDefault="00000000">
      <w:r>
        <w:t xml:space="preserve">The project will recover the £44 million at the end of the fourth year, leaving the outstanding balance of £6 million for the last year. The annual net cash flow of £11 million gives the payback </w:t>
      </w:r>
      <w:r>
        <w:lastRenderedPageBreak/>
        <w:t>period of 4.55 years, which is the longest among the projects. This project provides a stable annual cash inflow, but the stability does not compensate for the recovery of the initial investment.</w:t>
      </w:r>
    </w:p>
    <w:p w14:paraId="1D225D10" w14:textId="77777777" w:rsidR="00E3506F" w:rsidRDefault="00000000">
      <w:r>
        <w:t>Project C is better than the above two projects as it recovers the £35 million in the first 3 years and leaves the outstanding balance of £15 million for the remaining time. Generates £25 million in the fourth year, as stated the payback period of 3.6 years. Project C recovers the initial investment approximately 0.9 years earlier than Project A and 0.95 years earlier than Project B, which makes Project C the strongest in terms of liquidity and capital recovery.</w:t>
      </w:r>
    </w:p>
    <w:p w14:paraId="4A58EDFA" w14:textId="77777777" w:rsidR="00E3506F" w:rsidRDefault="00000000">
      <w:pPr>
        <w:pStyle w:val="Heading2"/>
      </w:pPr>
      <w:bookmarkStart w:id="33" w:name="_Toc237392283"/>
      <w:r>
        <w:t>4.3 Accounting Rate of Return (ARR)</w:t>
      </w:r>
      <w:bookmarkEnd w:id="33"/>
      <w:r>
        <w:t xml:space="preserve"> </w:t>
      </w:r>
    </w:p>
    <w:p w14:paraId="50AE6E61" w14:textId="77777777" w:rsidR="00E3506F" w:rsidRDefault="00000000">
      <w:pPr>
        <w:jc w:val="center"/>
        <w:rPr>
          <w:b/>
          <w:bCs/>
        </w:rPr>
      </w:pPr>
      <w:r>
        <w:rPr>
          <w:b/>
          <w:bCs/>
          <w:noProof/>
        </w:rPr>
        <w:drawing>
          <wp:inline distT="114300" distB="114300" distL="114300" distR="114300" wp14:anchorId="25EA2284" wp14:editId="223AF58E">
            <wp:extent cx="2586038" cy="4631358"/>
            <wp:effectExtent l="25400" t="25400" r="25400" b="25400"/>
            <wp:docPr id="47"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25"/>
                    <a:srcRect/>
                    <a:stretch>
                      <a:fillRect/>
                    </a:stretch>
                  </pic:blipFill>
                  <pic:spPr>
                    <a:xfrm>
                      <a:off x="0" y="0"/>
                      <a:ext cx="2586038" cy="4631358"/>
                    </a:xfrm>
                    <a:prstGeom prst="rect">
                      <a:avLst/>
                    </a:prstGeom>
                    <a:ln w="25400">
                      <a:solidFill>
                        <a:srgbClr val="000000"/>
                      </a:solidFill>
                      <a:prstDash val="solid"/>
                    </a:ln>
                  </pic:spPr>
                </pic:pic>
              </a:graphicData>
            </a:graphic>
          </wp:inline>
        </w:drawing>
      </w:r>
    </w:p>
    <w:p w14:paraId="4ECD61EB" w14:textId="77777777" w:rsidR="00E3506F" w:rsidRDefault="00000000">
      <w:pPr>
        <w:jc w:val="center"/>
        <w:rPr>
          <w:b/>
          <w:bCs/>
        </w:rPr>
      </w:pPr>
      <w:r>
        <w:rPr>
          <w:b/>
          <w:bCs/>
        </w:rPr>
        <w:t xml:space="preserve">Table X: Accounting Rate of Return (ARR) </w:t>
      </w:r>
    </w:p>
    <w:p w14:paraId="383256AE" w14:textId="77777777" w:rsidR="00E3506F" w:rsidRDefault="00000000">
      <w:r>
        <w:t xml:space="preserve">Accounting rate of return evaluates the average accounting profit generated by the investment (Dai </w:t>
      </w:r>
      <w:r>
        <w:rPr>
          <w:i/>
          <w:iCs/>
        </w:rPr>
        <w:t xml:space="preserve">et al., </w:t>
      </w:r>
      <w:r>
        <w:t>2022). This is useful for comparing the profit of the project because it includes the accounting profit earned over the period without incorporating the time value of money.</w:t>
      </w:r>
    </w:p>
    <w:p w14:paraId="7E3410AC" w14:textId="77777777" w:rsidR="00E3506F" w:rsidRDefault="00000000">
      <w:r>
        <w:lastRenderedPageBreak/>
        <w:t>Project A generated a total accounting profit of £4 million with an average annual profit of £0.8 million and 1.6% of ARR. On the other hand, Project B has a total profit of £5 million, resulting in an ARR of 2%. In all of this, Project C has the highest total profit of £15 million, leading to an annual profit of £3 million and ARR of 6.00%.</w:t>
      </w:r>
    </w:p>
    <w:p w14:paraId="2E7090EB" w14:textId="77777777" w:rsidR="00E3506F" w:rsidRDefault="00000000">
      <w:r>
        <w:t>Project C is providing the strongest accounting return in all of this, outperforming A by 4.4% and B by 4%. It indicates that the investment in Project C is more effective for generating the accounting profit. ARR should also be considered along with the NPV and IRR because accounting profit does not completely reflect the time value of cash flow.</w:t>
      </w:r>
    </w:p>
    <w:p w14:paraId="2F7459B8" w14:textId="77777777" w:rsidR="00E3506F" w:rsidRDefault="00000000">
      <w:pPr>
        <w:pStyle w:val="Heading2"/>
      </w:pPr>
      <w:bookmarkStart w:id="34" w:name="_Toc237392284"/>
      <w:r>
        <w:t>4.4 Net Present Value (NPV)</w:t>
      </w:r>
      <w:bookmarkEnd w:id="34"/>
    </w:p>
    <w:p w14:paraId="1DA2B339" w14:textId="77777777" w:rsidR="00E3506F" w:rsidRDefault="00000000">
      <w:pPr>
        <w:jc w:val="center"/>
        <w:rPr>
          <w:b/>
          <w:bCs/>
        </w:rPr>
      </w:pPr>
      <w:r>
        <w:rPr>
          <w:b/>
          <w:bCs/>
          <w:noProof/>
        </w:rPr>
        <w:drawing>
          <wp:inline distT="114300" distB="114300" distL="114300" distR="114300" wp14:anchorId="4AEB1F34" wp14:editId="3918E6D5">
            <wp:extent cx="3690938" cy="4219972"/>
            <wp:effectExtent l="25400" t="25400" r="25400" b="25400"/>
            <wp:docPr id="6"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6"/>
                    <a:srcRect/>
                    <a:stretch>
                      <a:fillRect/>
                    </a:stretch>
                  </pic:blipFill>
                  <pic:spPr>
                    <a:xfrm>
                      <a:off x="0" y="0"/>
                      <a:ext cx="3690938" cy="4219972"/>
                    </a:xfrm>
                    <a:prstGeom prst="rect">
                      <a:avLst/>
                    </a:prstGeom>
                    <a:ln w="25400">
                      <a:solidFill>
                        <a:srgbClr val="000000"/>
                      </a:solidFill>
                      <a:prstDash val="solid"/>
                    </a:ln>
                  </pic:spPr>
                </pic:pic>
              </a:graphicData>
            </a:graphic>
          </wp:inline>
        </w:drawing>
      </w:r>
    </w:p>
    <w:p w14:paraId="05C26136" w14:textId="77777777" w:rsidR="00E3506F" w:rsidRDefault="00000000">
      <w:pPr>
        <w:jc w:val="center"/>
        <w:rPr>
          <w:b/>
          <w:bCs/>
        </w:rPr>
      </w:pPr>
      <w:r>
        <w:rPr>
          <w:b/>
          <w:bCs/>
        </w:rPr>
        <w:t>Table XI: Net Present Value (NPV)</w:t>
      </w:r>
    </w:p>
    <w:p w14:paraId="0D17FD62" w14:textId="77777777" w:rsidR="00E3506F" w:rsidRDefault="00000000">
      <w:r>
        <w:t>Net present value analyses whether the project creates value after considering the time value of money (Shou, 2022). The future inflows of cash are discounted to the present value and compared to the initial investment at the discount rate of 8%.</w:t>
      </w:r>
    </w:p>
    <w:p w14:paraId="6C6044E2" w14:textId="35B4D8FC" w:rsidR="00E3506F" w:rsidRDefault="00000000">
      <w:r>
        <w:lastRenderedPageBreak/>
        <w:t>Project A generated the discounted cash flow of £43.46 million, resulting in an NPV of -£6.54 million. It means it fails to recover the initial investment along with the required rate of return of 8%, as it can reduce shareholder value if under the stated assumption.</w:t>
      </w:r>
    </w:p>
    <w:p w14:paraId="443F795A" w14:textId="77777777" w:rsidR="00E3506F" w:rsidRDefault="00000000">
      <w:r>
        <w:t>Project B provided the discounted inflow of cash of £43.92 million, resulting in an NPV of -£6.08 million. It is a little bit better than the project but still negative over time. It also fails the investment criteria because the present value of the future benefit is less than the initial expenditure.</w:t>
      </w:r>
    </w:p>
    <w:p w14:paraId="521F5739" w14:textId="77777777" w:rsidR="00E3506F" w:rsidRDefault="00000000">
      <w:r>
        <w:t>The discounted inflow of cash of project C is £50.86 million, resulting in an NPV of £0.86 million. After recovering the initial investment at the rate of 8% of the required return, it generated the additional value of approximately £0.86 million.</w:t>
      </w:r>
    </w:p>
    <w:p w14:paraId="17620445" w14:textId="77777777" w:rsidR="00E3506F" w:rsidRDefault="00000000">
      <w:r>
        <w:t>Project C has the highest undiscounted inflow of cash, but it also has uneven patterns, as it means that a substantial portion of the cash would be received in the later years. Project C should be selected based on the NPV criteria, while the other two should be rejected. Net present value is the strongest decision criterion because it directly measures the contribution of the project to value creation as required.</w:t>
      </w:r>
    </w:p>
    <w:p w14:paraId="264A8763" w14:textId="77777777" w:rsidR="00E3506F" w:rsidRDefault="00000000">
      <w:pPr>
        <w:pStyle w:val="Heading2"/>
      </w:pPr>
      <w:bookmarkStart w:id="35" w:name="_Toc237392285"/>
      <w:r>
        <w:lastRenderedPageBreak/>
        <w:t>4.5 Profitability Index (PI)</w:t>
      </w:r>
      <w:bookmarkEnd w:id="35"/>
      <w:r>
        <w:t xml:space="preserve"> </w:t>
      </w:r>
    </w:p>
    <w:p w14:paraId="14389CE9" w14:textId="77777777" w:rsidR="00E3506F" w:rsidRDefault="00000000" w:rsidP="00C02E40">
      <w:pPr>
        <w:jc w:val="center"/>
      </w:pPr>
      <w:bookmarkStart w:id="36" w:name="_pzg0tta4nbw" w:colFirst="0" w:colLast="0"/>
      <w:bookmarkEnd w:id="36"/>
      <w:r>
        <w:rPr>
          <w:noProof/>
        </w:rPr>
        <w:drawing>
          <wp:inline distT="114300" distB="114300" distL="114300" distR="114300" wp14:anchorId="0B5C4429" wp14:editId="6DAF9702">
            <wp:extent cx="3532807" cy="4234839"/>
            <wp:effectExtent l="25400" t="25400" r="25400" b="25400"/>
            <wp:docPr id="2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7"/>
                    <a:srcRect/>
                    <a:stretch>
                      <a:fillRect/>
                    </a:stretch>
                  </pic:blipFill>
                  <pic:spPr>
                    <a:xfrm>
                      <a:off x="0" y="0"/>
                      <a:ext cx="3532807" cy="4234839"/>
                    </a:xfrm>
                    <a:prstGeom prst="rect">
                      <a:avLst/>
                    </a:prstGeom>
                    <a:ln w="25400">
                      <a:solidFill>
                        <a:srgbClr val="000000"/>
                      </a:solidFill>
                      <a:prstDash val="solid"/>
                    </a:ln>
                  </pic:spPr>
                </pic:pic>
              </a:graphicData>
            </a:graphic>
          </wp:inline>
        </w:drawing>
      </w:r>
    </w:p>
    <w:p w14:paraId="5AE8561C" w14:textId="77777777" w:rsidR="00E3506F" w:rsidRDefault="00000000">
      <w:pPr>
        <w:jc w:val="center"/>
        <w:rPr>
          <w:b/>
          <w:bCs/>
        </w:rPr>
      </w:pPr>
      <w:r>
        <w:rPr>
          <w:b/>
          <w:bCs/>
        </w:rPr>
        <w:t xml:space="preserve">Table XII: Profitability Index (PI) </w:t>
      </w:r>
    </w:p>
    <w:p w14:paraId="1E3C443E" w14:textId="73F113EE" w:rsidR="00E3506F" w:rsidRDefault="00000000">
      <w:r>
        <w:t>Profitability index measures the present value generated of each £1 of initial investment, as a PI above 1 indicates value creation, but less than 1 indicates insufficient discounted returns. Project A has a PI of 0.87, which means that it generates approx</w:t>
      </w:r>
      <w:r w:rsidR="00515BE0">
        <w:t>.</w:t>
      </w:r>
      <w:r>
        <w:t xml:space="preserve"> £0.87 for every £1 invested. On the other hand, Project B also has a PI of less than 1, at 0.88, which means it is less than the acceptance threshold. Project C achieves a PI of 1.02, as it only passes the criteria among all three.</w:t>
      </w:r>
    </w:p>
    <w:p w14:paraId="0912D0B9" w14:textId="77777777" w:rsidR="00E3506F" w:rsidRDefault="00000000">
      <w:pPr>
        <w:pStyle w:val="Heading2"/>
      </w:pPr>
      <w:bookmarkStart w:id="37" w:name="_Toc237392286"/>
      <w:r>
        <w:lastRenderedPageBreak/>
        <w:t>4.6 Internal Rate of Return (IRR)</w:t>
      </w:r>
      <w:bookmarkEnd w:id="37"/>
    </w:p>
    <w:p w14:paraId="31DE06A6" w14:textId="77777777" w:rsidR="00E3506F" w:rsidRDefault="00000000">
      <w:pPr>
        <w:jc w:val="center"/>
        <w:rPr>
          <w:b/>
          <w:bCs/>
        </w:rPr>
      </w:pPr>
      <w:r>
        <w:rPr>
          <w:b/>
          <w:bCs/>
          <w:noProof/>
        </w:rPr>
        <w:drawing>
          <wp:inline distT="114300" distB="114300" distL="114300" distR="114300" wp14:anchorId="044117D3" wp14:editId="503BA2F0">
            <wp:extent cx="3081338" cy="5286375"/>
            <wp:effectExtent l="25400" t="25400" r="25400" b="25400"/>
            <wp:docPr id="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8"/>
                    <a:srcRect/>
                    <a:stretch>
                      <a:fillRect/>
                    </a:stretch>
                  </pic:blipFill>
                  <pic:spPr>
                    <a:xfrm>
                      <a:off x="0" y="0"/>
                      <a:ext cx="3081338" cy="5286375"/>
                    </a:xfrm>
                    <a:prstGeom prst="rect">
                      <a:avLst/>
                    </a:prstGeom>
                    <a:ln w="25400">
                      <a:solidFill>
                        <a:srgbClr val="000000"/>
                      </a:solidFill>
                      <a:prstDash val="solid"/>
                    </a:ln>
                  </pic:spPr>
                </pic:pic>
              </a:graphicData>
            </a:graphic>
          </wp:inline>
        </w:drawing>
      </w:r>
    </w:p>
    <w:p w14:paraId="2DB1E60C" w14:textId="77777777" w:rsidR="00E3506F" w:rsidRDefault="00000000">
      <w:pPr>
        <w:jc w:val="center"/>
        <w:rPr>
          <w:b/>
          <w:bCs/>
        </w:rPr>
      </w:pPr>
      <w:r>
        <w:rPr>
          <w:b/>
          <w:bCs/>
        </w:rPr>
        <w:t>Table XIII: Internal Rate of Return (IRR)</w:t>
      </w:r>
    </w:p>
    <w:p w14:paraId="1CD328BD" w14:textId="77777777" w:rsidR="00E3506F" w:rsidRDefault="00000000">
      <w:r>
        <w:t>Internal rate of return identifies the discount rate at which the net present value of the project becomes zero and can be compared with the required rate of return (Arjunan, 2022). Project A has an IRR of 2.72% while Project B achieves 3.26%. Both of the projects are less than the required rate of return of the investment of 8%, indicating that neither project is meeting the required return and should be rejected. Project C produces an IRR of 8%, which exceeds the required return as it also passes the criteria. It is only marginally above the return but provides the strongest return among the three alternative options.</w:t>
      </w:r>
    </w:p>
    <w:p w14:paraId="6BCE8DFC" w14:textId="77777777" w:rsidR="00E3506F" w:rsidRDefault="00000000">
      <w:pPr>
        <w:pStyle w:val="Heading2"/>
      </w:pPr>
      <w:bookmarkStart w:id="38" w:name="_Toc237392287"/>
      <w:r>
        <w:lastRenderedPageBreak/>
        <w:t>4.7 Comparative Evaluation</w:t>
      </w:r>
      <w:bookmarkEnd w:id="38"/>
    </w:p>
    <w:p w14:paraId="6E29E6A5" w14:textId="77777777" w:rsidR="00E3506F" w:rsidRDefault="00000000">
      <w:r>
        <w:t>Project C is clearly outperforming Project A and Project B with the strong payback period at 3.6 years.  It indicates the first recovery of the initial investment and the low exposure for the recovery of the capital. ARR also produced the same ranking, with Project C achieving 6% as compared to the 2% and 1.6% for Projects B and A, respectively. The net present value provides the strongest evidence for the value creation, as Project C produces a positive £0.86 million NPV, whereas Projects A and B produce negative NPVs of £6.54 million and £6.08 million. Profit index ensures that Project C exceeds the acceptance threshold, which achieves 1.02. Project C exceeds the return of 8% to reach 8.59%, whereas A and B remain below it at 2.72% and 3.26%. Each technique measures the different dimensions of the performance of the investment, but the consistent result provides the strongest evidence in the case of Project C.</w:t>
      </w:r>
    </w:p>
    <w:p w14:paraId="58822992" w14:textId="77777777" w:rsidR="00E3506F" w:rsidRDefault="00000000">
      <w:pPr>
        <w:pStyle w:val="Heading2"/>
      </w:pPr>
      <w:bookmarkStart w:id="39" w:name="_Toc237392288"/>
      <w:r>
        <w:t>4.8 Recommended Project</w:t>
      </w:r>
      <w:bookmarkEnd w:id="39"/>
    </w:p>
    <w:p w14:paraId="1481B9F5" w14:textId="77777777" w:rsidR="00E3506F" w:rsidRDefault="00000000">
      <w:r>
        <w:t xml:space="preserve">Project C is recommended because it is the only project which can satisfy all the major investment criteria. The payback period of 3.6 years ensures the fast recovery of the initial investment, with 6% of the ARR being the highest among all three alternatives. It generates a positive net present value of £0.86 million, which shows value creation at the required rate of return of 8%. The PI of 1.02 also ensures that this counted benefit exceeds the initial investment, with an 8.59% IRR exceeding the required return. Project C provides the strongest overall combination of liquidity, accounting profit and value creation for the shareholders. </w:t>
      </w:r>
    </w:p>
    <w:p w14:paraId="4FC79F67" w14:textId="77777777" w:rsidR="00E3506F" w:rsidRDefault="00000000">
      <w:pPr>
        <w:pStyle w:val="Heading2"/>
      </w:pPr>
      <w:bookmarkStart w:id="40" w:name="_Toc237392289"/>
      <w:r>
        <w:t>4.9 Capital Rationing</w:t>
      </w:r>
      <w:bookmarkEnd w:id="40"/>
    </w:p>
    <w:p w14:paraId="383B237C" w14:textId="0FF43D76" w:rsidR="00E3506F" w:rsidRDefault="00000000">
      <w:r>
        <w:t>Capital rationing means when the organi</w:t>
      </w:r>
      <w:r w:rsidR="00515BE0">
        <w:t>z</w:t>
      </w:r>
      <w:r>
        <w:t>ation has limited funds and cannot take every financially acceptable decision (A</w:t>
      </w:r>
      <w:r w:rsidR="008771B4">
        <w:t>w</w:t>
      </w:r>
      <w:r>
        <w:t xml:space="preserve">odire </w:t>
      </w:r>
      <w:r>
        <w:rPr>
          <w:i/>
          <w:iCs/>
        </w:rPr>
        <w:t xml:space="preserve">et al., </w:t>
      </w:r>
      <w:r>
        <w:t>2023). All of the three projects require £50 million, so selection of the one presented is mandatory for the organi</w:t>
      </w:r>
      <w:r w:rsidR="00515BE0">
        <w:t>z</w:t>
      </w:r>
      <w:r>
        <w:t>ation. It should only receive the available capital because it has the positive NPV and PI above 1, while also achieving the highest ARR and IRR and the shortest payback period. As a capital constraint for the initial investment, the allocation of the available funds to Project C would maximi</w:t>
      </w:r>
      <w:r w:rsidR="008771B4">
        <w:t>z</w:t>
      </w:r>
      <w:r>
        <w:t xml:space="preserve">e value creation and provide a strong financial return. </w:t>
      </w:r>
    </w:p>
    <w:p w14:paraId="4FCD298F" w14:textId="77777777" w:rsidR="00E3506F" w:rsidRDefault="00000000">
      <w:pPr>
        <w:pStyle w:val="Heading1"/>
      </w:pPr>
      <w:bookmarkStart w:id="41" w:name="_ctmurvdn6dih" w:colFirst="0" w:colLast="0"/>
      <w:bookmarkEnd w:id="41"/>
      <w:r>
        <w:br w:type="page"/>
      </w:r>
    </w:p>
    <w:p w14:paraId="0CC020CE" w14:textId="77777777" w:rsidR="00E3506F" w:rsidRDefault="00000000">
      <w:pPr>
        <w:pStyle w:val="Heading1"/>
      </w:pPr>
      <w:bookmarkStart w:id="42" w:name="_Toc237392290"/>
      <w:r>
        <w:lastRenderedPageBreak/>
        <w:t>Part 5: Critical Reflection on AI Usage</w:t>
      </w:r>
      <w:bookmarkEnd w:id="42"/>
    </w:p>
    <w:p w14:paraId="41B727BF" w14:textId="77777777" w:rsidR="00E3506F" w:rsidRDefault="00000000">
      <w:pPr>
        <w:pStyle w:val="Heading2"/>
      </w:pPr>
      <w:bookmarkStart w:id="43" w:name="_Toc237392291"/>
      <w:r>
        <w:t>5.1 Tool Disclosure</w:t>
      </w:r>
      <w:bookmarkEnd w:id="43"/>
    </w:p>
    <w:p w14:paraId="2A7CAAF9" w14:textId="2090E54F" w:rsidR="00E3506F" w:rsidRDefault="00000000">
      <w:r>
        <w:t>The research was completely presented independently using the annual report of the company, financial statements, and other data, as there</w:t>
      </w:r>
      <w:r w:rsidR="008771B4">
        <w:t xml:space="preserve"> </w:t>
      </w:r>
      <w:r w:rsidR="00E86CB9">
        <w:t>was</w:t>
      </w:r>
      <w:r>
        <w:t xml:space="preserve"> no generative AI tools used. Microsoft Excel was used for organi</w:t>
      </w:r>
      <w:r w:rsidR="008771B4">
        <w:t>z</w:t>
      </w:r>
      <w:r>
        <w:t>ing the financial information and performance of the investment appraisal calculations. Independent interpretations of the evidence were done in this report, along with the application of the financial management techniques. It ensures that analysis, calculation and recommendations reflect my own understanding and judgement. There was no use of artificial intelligence for the analysis, conclusion and recommendation in the final submission.</w:t>
      </w:r>
    </w:p>
    <w:p w14:paraId="0BB7CB1B" w14:textId="77777777" w:rsidR="00E3506F" w:rsidRDefault="00000000">
      <w:pPr>
        <w:pStyle w:val="Heading2"/>
      </w:pPr>
      <w:bookmarkStart w:id="44" w:name="_Toc237392292"/>
      <w:r>
        <w:t>5.2 Verification of AI Outputs</w:t>
      </w:r>
      <w:bookmarkEnd w:id="44"/>
    </w:p>
    <w:p w14:paraId="24F78A93" w14:textId="77777777" w:rsidR="00E3506F" w:rsidRDefault="00000000">
      <w:r>
        <w:t xml:space="preserve">The verification in this report focused on checking the accuracy and reliability of the independently collected information because there are no AI-generated outputs. Financial figure vulture against the published annual report of Shangri-La and the financial statement. The ratios were also reviewed against the underlying financial data to ensure that the formula was applied consistently. The investment appraisal techniques were also independently completed and checked using the project cash flow provided in the brief. Net present value, payback period, accounting rate of return, profitability index and internal rate of return were also recalculated to confirm accuracy. Some external information was used to support the calculations, including industrial statistics and sustainability information that was only relevant for the Shangri-La. The verification process reduces the possibility of numerical errors, unsupported claims and inappropriate interpretation. The final proposal of this report was based on the evidence, which was independently checked rather than automatically accepted from the automatic system. </w:t>
      </w:r>
    </w:p>
    <w:p w14:paraId="478BF2FB" w14:textId="77777777" w:rsidR="00E3506F" w:rsidRDefault="00000000">
      <w:pPr>
        <w:pStyle w:val="Heading2"/>
      </w:pPr>
      <w:bookmarkStart w:id="45" w:name="_Toc237392293"/>
      <w:r>
        <w:t>5.3 Identification of Hallucinations</w:t>
      </w:r>
      <w:bookmarkEnd w:id="45"/>
    </w:p>
    <w:p w14:paraId="5EF56F42" w14:textId="33799AF2" w:rsidR="00E3506F" w:rsidRDefault="00000000">
      <w:r>
        <w:t>There was no use of artificial intelligence for the preparation of the report; thus, no AI hallucinations were incorporated into the analysis. Recogni</w:t>
      </w:r>
      <w:r w:rsidR="008771B4">
        <w:t>z</w:t>
      </w:r>
      <w:r>
        <w:t>ing the possibility of inaccurate AI-generated information could be relevant because financial analysis can increase the AI-based results in organi</w:t>
      </w:r>
      <w:r w:rsidR="008771B4">
        <w:t>z</w:t>
      </w:r>
      <w:r>
        <w:t xml:space="preserve">ational environments. Artificial Intelligence can generate incorrect references or misleading interpretations, which can appear without any verification. It shows the importance of checking the information against the primary source, including company reports, corporate disclosures and industry evidence. </w:t>
      </w:r>
    </w:p>
    <w:p w14:paraId="08BA1C49" w14:textId="77777777" w:rsidR="00E3506F" w:rsidRDefault="00000000">
      <w:pPr>
        <w:pStyle w:val="Heading2"/>
      </w:pPr>
      <w:bookmarkStart w:id="46" w:name="_Toc237392294"/>
      <w:r>
        <w:lastRenderedPageBreak/>
        <w:t>5.4 AI Contribution vs Personal Analysis</w:t>
      </w:r>
      <w:bookmarkEnd w:id="46"/>
    </w:p>
    <w:p w14:paraId="66DBBFCF" w14:textId="77777777" w:rsidR="00E3506F" w:rsidRDefault="00000000">
      <w:r>
        <w:t>AI did not contribute to the research, interpretation, calculation and recommendation presented in this report. The complementation of the financial analysis in this report was completely independent, with the application of the relevant techniques to the information provided in the brief and the financial information of the company. The recommendation of Project C was also based on my own comparison of the results, as I found that it has the shortest Payback Period of 3.60 years, the highest ARR of 6.00%, a positive NPV of £0.86 million, PI of 1.02 and IRR of 8.59%. The strategic restructure analysis was also developed by the interpretation of the financial information of the company and the international operating environment. Complementing the independent research improved my understanding of the financial techniques that can support strategic decision-making and reduce the dependency on automated calculations.</w:t>
      </w:r>
    </w:p>
    <w:p w14:paraId="175A573F" w14:textId="77777777" w:rsidR="00E3506F" w:rsidRDefault="00000000">
      <w:pPr>
        <w:pStyle w:val="Heading2"/>
      </w:pPr>
      <w:bookmarkStart w:id="47" w:name="_Toc237392295"/>
      <w:r>
        <w:t>5.5 Ethical and Professional Reflection</w:t>
      </w:r>
      <w:bookmarkEnd w:id="47"/>
      <w:r>
        <w:t xml:space="preserve"> </w:t>
      </w:r>
    </w:p>
    <w:p w14:paraId="7FD1C6B4" w14:textId="77777777" w:rsidR="00E3506F" w:rsidRDefault="00000000">
      <w:r>
        <w:t xml:space="preserve">As there is no use of artificial intelligence, it ensures responsibility for the accuracy, interpretation and conclusion of the report. Incorrect information can be the reason for inappropriate investment and financial decisions. Professional analysis requires more than obtaining the numerical results, including understanding of the assumptions behind the calculation, evaluation of the evidence and explanation of the implications. Maintaining personal responsibility for the analysis supports academic integrity, professional accountability and ethical decision-making. The approach improves my confidence in making evidence-based financial decisions independently. </w:t>
      </w:r>
    </w:p>
    <w:p w14:paraId="2DC0D7C9" w14:textId="77777777" w:rsidR="00E3506F" w:rsidRDefault="00000000">
      <w:pPr>
        <w:pStyle w:val="Heading1"/>
      </w:pPr>
      <w:bookmarkStart w:id="48" w:name="_f7i6jb1sfho3" w:colFirst="0" w:colLast="0"/>
      <w:bookmarkEnd w:id="48"/>
      <w:r>
        <w:br w:type="page"/>
      </w:r>
    </w:p>
    <w:p w14:paraId="5A22FF2D" w14:textId="77777777" w:rsidR="00E3506F" w:rsidRDefault="00000000">
      <w:pPr>
        <w:pStyle w:val="Heading1"/>
      </w:pPr>
      <w:bookmarkStart w:id="49" w:name="_Toc237392296"/>
      <w:r>
        <w:lastRenderedPageBreak/>
        <w:t>References</w:t>
      </w:r>
      <w:bookmarkEnd w:id="49"/>
    </w:p>
    <w:p w14:paraId="0BA4544B" w14:textId="7A24C435" w:rsidR="00E3506F" w:rsidRDefault="00000000">
      <w:pPr>
        <w:spacing w:line="480" w:lineRule="auto"/>
      </w:pPr>
      <w:r>
        <w:rPr>
          <w:color w:val="222222"/>
        </w:rPr>
        <w:t xml:space="preserve">Arif, A., Tarmizi, M., Najiya, F.A., Marmen, J. and Falianty, T., (2022). Covid-19 and G-Shaped Recovery: A New Form of Recovery Shape. </w:t>
      </w:r>
      <w:r>
        <w:rPr>
          <w:i/>
          <w:iCs/>
          <w:color w:val="222222"/>
        </w:rPr>
        <w:t>Oblik finansi</w:t>
      </w:r>
      <w:r>
        <w:rPr>
          <w:color w:val="222222"/>
        </w:rPr>
        <w:t xml:space="preserve">, (4 (98)), pp.56-79. </w:t>
      </w:r>
      <w:r>
        <w:t>Available at:</w:t>
      </w:r>
      <w:hyperlink r:id="rId29">
        <w:r w:rsidR="00E3506F">
          <w:t xml:space="preserve"> </w:t>
        </w:r>
      </w:hyperlink>
      <w:hyperlink r:id="rId30">
        <w:r w:rsidR="00E3506F">
          <w:rPr>
            <w:color w:val="1155CC"/>
            <w:u w:val="single"/>
          </w:rPr>
          <w:t>https://www.academia.edu/download/104189813/2307-9878-2022-498-56-79.pdf</w:t>
        </w:r>
      </w:hyperlink>
      <w:r>
        <w:t xml:space="preserve"> </w:t>
      </w:r>
    </w:p>
    <w:p w14:paraId="3A4266C9" w14:textId="77777777" w:rsidR="00E3506F" w:rsidRDefault="00000000">
      <w:pPr>
        <w:spacing w:line="480" w:lineRule="auto"/>
      </w:pPr>
      <w:r>
        <w:rPr>
          <w:color w:val="222222"/>
        </w:rPr>
        <w:t xml:space="preserve">Arjunan, K., (2022). A new method to estimate NPV and IRR from the capital amortization schedule and the advantages of the new method. </w:t>
      </w:r>
      <w:r>
        <w:rPr>
          <w:i/>
          <w:iCs/>
          <w:color w:val="222222"/>
        </w:rPr>
        <w:t>Australasian Accounting, Business and Finance Journal</w:t>
      </w:r>
      <w:r>
        <w:rPr>
          <w:color w:val="222222"/>
        </w:rPr>
        <w:t xml:space="preserve">, </w:t>
      </w:r>
      <w:r>
        <w:rPr>
          <w:i/>
          <w:iCs/>
          <w:color w:val="222222"/>
        </w:rPr>
        <w:t>16</w:t>
      </w:r>
      <w:r>
        <w:rPr>
          <w:color w:val="222222"/>
        </w:rPr>
        <w:t xml:space="preserve">(6). </w:t>
      </w:r>
      <w:r>
        <w:t>Available at:</w:t>
      </w:r>
      <w:hyperlink r:id="rId31">
        <w:r w:rsidR="00E3506F">
          <w:t xml:space="preserve"> </w:t>
        </w:r>
      </w:hyperlink>
      <w:hyperlink r:id="rId32">
        <w:r w:rsidR="00E3506F">
          <w:rPr>
            <w:color w:val="1155CC"/>
            <w:u w:val="single"/>
          </w:rPr>
          <w:t>https://www.uowoajournals.org/aabfj/article/id/941/</w:t>
        </w:r>
      </w:hyperlink>
      <w:r>
        <w:t xml:space="preserve"> </w:t>
      </w:r>
    </w:p>
    <w:p w14:paraId="206E06F0" w14:textId="77777777" w:rsidR="00E3506F" w:rsidRDefault="00000000">
      <w:pPr>
        <w:spacing w:line="480" w:lineRule="auto"/>
      </w:pPr>
      <w:r>
        <w:rPr>
          <w:color w:val="222222"/>
        </w:rPr>
        <w:t xml:space="preserve">Awodire, M., Agboola, O., Ogundojutimi, O. and Odumuwagun, O., (2023). Capital budgeting and financial investment appraisal: A review of archival literature. </w:t>
      </w:r>
      <w:r>
        <w:rPr>
          <w:i/>
          <w:iCs/>
          <w:color w:val="222222"/>
        </w:rPr>
        <w:t>American Journal of Multidisciplinary Research in Africa</w:t>
      </w:r>
      <w:r>
        <w:rPr>
          <w:color w:val="222222"/>
        </w:rPr>
        <w:t xml:space="preserve">, </w:t>
      </w:r>
      <w:r>
        <w:rPr>
          <w:i/>
          <w:iCs/>
          <w:color w:val="222222"/>
        </w:rPr>
        <w:t>3</w:t>
      </w:r>
      <w:r>
        <w:rPr>
          <w:color w:val="222222"/>
        </w:rPr>
        <w:t xml:space="preserve">(10.58314). </w:t>
      </w:r>
      <w:r>
        <w:t>Available at:</w:t>
      </w:r>
      <w:hyperlink r:id="rId33">
        <w:r w:rsidR="00E3506F">
          <w:t xml:space="preserve"> </w:t>
        </w:r>
      </w:hyperlink>
      <w:hyperlink r:id="rId34">
        <w:r w:rsidR="00E3506F">
          <w:rPr>
            <w:color w:val="1155CC"/>
            <w:u w:val="single"/>
          </w:rPr>
          <w:t>https://www.academia.edu/download/115377930/Capital_Budgeting_and_Financial_Investme.pdf</w:t>
        </w:r>
      </w:hyperlink>
      <w:r>
        <w:t xml:space="preserve"> </w:t>
      </w:r>
    </w:p>
    <w:p w14:paraId="380CD777" w14:textId="6E12038C" w:rsidR="00E3506F" w:rsidRDefault="00000000">
      <w:pPr>
        <w:spacing w:line="480" w:lineRule="auto"/>
      </w:pPr>
      <w:r>
        <w:t xml:space="preserve">Bond </w:t>
      </w:r>
      <w:r w:rsidR="008771B4">
        <w:t>Super Mart</w:t>
      </w:r>
      <w:r>
        <w:t>, (2026). Shangri-La: Five-star assets and bonds within the SGD space. Available at:</w:t>
      </w:r>
      <w:hyperlink r:id="rId35">
        <w:r w:rsidR="00E3506F">
          <w:t xml:space="preserve"> </w:t>
        </w:r>
      </w:hyperlink>
      <w:hyperlink r:id="rId36">
        <w:r w:rsidR="00E3506F">
          <w:rPr>
            <w:color w:val="1155CC"/>
            <w:u w:val="single"/>
          </w:rPr>
          <w:t>https://www.bondsupermart.com/bsm/article-detail/shangri-la-five-star-assets-and-bonds-within-the-sgd-space-RSS299</w:t>
        </w:r>
      </w:hyperlink>
      <w:r>
        <w:t xml:space="preserve"> </w:t>
      </w:r>
    </w:p>
    <w:p w14:paraId="5FB2C57F" w14:textId="77777777" w:rsidR="00E3506F" w:rsidRDefault="00000000">
      <w:pPr>
        <w:spacing w:line="480" w:lineRule="auto"/>
      </w:pPr>
      <w:r>
        <w:rPr>
          <w:color w:val="222222"/>
        </w:rPr>
        <w:t xml:space="preserve">Dai, H., Li, N., Wang, Y. and Zhao, X., (2022), March. The analysis of three main investment criteria: NPV IRR and payback period. In </w:t>
      </w:r>
      <w:r>
        <w:rPr>
          <w:i/>
          <w:iCs/>
          <w:color w:val="222222"/>
        </w:rPr>
        <w:t>2022 7th International Conference on Financial Innovation and Economic Development (ICFIED 2022)</w:t>
      </w:r>
      <w:r>
        <w:rPr>
          <w:color w:val="222222"/>
        </w:rPr>
        <w:t xml:space="preserve"> (pp. 185-189). Atlantis Press. </w:t>
      </w:r>
      <w:r>
        <w:t>Available at:</w:t>
      </w:r>
      <w:hyperlink r:id="rId37">
        <w:r w:rsidR="00E3506F">
          <w:t xml:space="preserve"> </w:t>
        </w:r>
      </w:hyperlink>
      <w:hyperlink r:id="rId38">
        <w:r w:rsidR="00E3506F">
          <w:rPr>
            <w:color w:val="1155CC"/>
            <w:u w:val="single"/>
          </w:rPr>
          <w:t>https://www.atlantis-press.com/proceedings/icfied-22/125971510</w:t>
        </w:r>
      </w:hyperlink>
      <w:r>
        <w:t xml:space="preserve"> </w:t>
      </w:r>
    </w:p>
    <w:p w14:paraId="684F8E19" w14:textId="77777777" w:rsidR="00E3506F" w:rsidRDefault="00000000">
      <w:pPr>
        <w:spacing w:line="480" w:lineRule="auto"/>
      </w:pPr>
      <w:r>
        <w:rPr>
          <w:color w:val="222222"/>
        </w:rPr>
        <w:t xml:space="preserve">Elumilade, O.O., Ogundeji, I.A., Achumie, G.O., Omokhoa, H.E. and Omowole, B.M., (2022). Optimizing corporate tax strategies and transfer pricing policies to improve financial efficiency and compliance. </w:t>
      </w:r>
      <w:r>
        <w:rPr>
          <w:i/>
          <w:iCs/>
          <w:color w:val="222222"/>
        </w:rPr>
        <w:t>Journal of Advance Multidisciplinary Research</w:t>
      </w:r>
      <w:r>
        <w:rPr>
          <w:color w:val="222222"/>
        </w:rPr>
        <w:t xml:space="preserve">, </w:t>
      </w:r>
      <w:r>
        <w:rPr>
          <w:i/>
          <w:iCs/>
          <w:color w:val="222222"/>
        </w:rPr>
        <w:t>1</w:t>
      </w:r>
      <w:r>
        <w:rPr>
          <w:color w:val="222222"/>
        </w:rPr>
        <w:t xml:space="preserve">(2), pp.28-38. </w:t>
      </w:r>
      <w:r>
        <w:t>Available at:</w:t>
      </w:r>
      <w:hyperlink r:id="rId39">
        <w:r w:rsidR="00E3506F">
          <w:t xml:space="preserve"> </w:t>
        </w:r>
      </w:hyperlink>
      <w:hyperlink r:id="rId40">
        <w:r w:rsidR="00E3506F">
          <w:rPr>
            <w:color w:val="1155CC"/>
            <w:u w:val="single"/>
          </w:rPr>
          <w:t>https://www.synstojournals.com/multi/article/view/147</w:t>
        </w:r>
      </w:hyperlink>
      <w:r>
        <w:t xml:space="preserve"> </w:t>
      </w:r>
    </w:p>
    <w:p w14:paraId="4F0B43AD" w14:textId="77777777" w:rsidR="00E3506F" w:rsidRDefault="00000000">
      <w:pPr>
        <w:spacing w:line="480" w:lineRule="auto"/>
      </w:pPr>
      <w:r>
        <w:rPr>
          <w:color w:val="222222"/>
        </w:rPr>
        <w:lastRenderedPageBreak/>
        <w:t xml:space="preserve">Giannetti, M., (2024). Production networks and trade credit. In </w:t>
      </w:r>
      <w:r>
        <w:rPr>
          <w:i/>
          <w:iCs/>
          <w:color w:val="222222"/>
        </w:rPr>
        <w:t>Research Handbook on Alternative Finance</w:t>
      </w:r>
      <w:r>
        <w:rPr>
          <w:color w:val="222222"/>
        </w:rPr>
        <w:t xml:space="preserve"> (pp. 31-48). Edward Elgar Publishing. </w:t>
      </w:r>
      <w:r>
        <w:t>Available at:</w:t>
      </w:r>
      <w:hyperlink r:id="rId41">
        <w:r w:rsidR="00E3506F">
          <w:t xml:space="preserve"> </w:t>
        </w:r>
      </w:hyperlink>
      <w:hyperlink r:id="rId42">
        <w:r w:rsidR="00E3506F">
          <w:rPr>
            <w:color w:val="1155CC"/>
            <w:u w:val="single"/>
          </w:rPr>
          <w:t>https://www.elgaronline.com/edcollchap/book/9781800370494/book-part-9781800370494-8.xml</w:t>
        </w:r>
      </w:hyperlink>
      <w:r>
        <w:t xml:space="preserve"> </w:t>
      </w:r>
    </w:p>
    <w:p w14:paraId="7E302194" w14:textId="77777777" w:rsidR="00E3506F" w:rsidRDefault="00000000">
      <w:pPr>
        <w:spacing w:line="480" w:lineRule="auto"/>
      </w:pPr>
      <w:r>
        <w:t>HKEX News, (2026). 2025 Annual Report. Available at:</w:t>
      </w:r>
      <w:hyperlink r:id="rId43">
        <w:r w:rsidR="00E3506F">
          <w:t xml:space="preserve"> </w:t>
        </w:r>
      </w:hyperlink>
      <w:hyperlink r:id="rId44">
        <w:r w:rsidR="00E3506F">
          <w:rPr>
            <w:color w:val="1155CC"/>
            <w:u w:val="single"/>
          </w:rPr>
          <w:t>https://www1.hkexnews.hk/listedco/listconews/sehk/2026/0423/2026042301259.pdf</w:t>
        </w:r>
      </w:hyperlink>
      <w:r>
        <w:t xml:space="preserve"> </w:t>
      </w:r>
    </w:p>
    <w:p w14:paraId="178533E3" w14:textId="77777777" w:rsidR="00E3506F" w:rsidRDefault="00000000">
      <w:pPr>
        <w:spacing w:line="480" w:lineRule="auto"/>
      </w:pPr>
      <w:r>
        <w:t>Hong Kong Business, (2024). BOCHK grants $625.5m sustainable loan to Shangri-La Asia. Available at:</w:t>
      </w:r>
      <w:hyperlink r:id="rId45">
        <w:r w:rsidR="00E3506F">
          <w:t xml:space="preserve"> </w:t>
        </w:r>
      </w:hyperlink>
      <w:hyperlink r:id="rId46">
        <w:r w:rsidR="00E3506F">
          <w:rPr>
            <w:color w:val="1155CC"/>
            <w:u w:val="single"/>
          </w:rPr>
          <w:t>https://hongkongbusiness.hk/financial-services/news/bochk-grants-6255m-sustainable-loan-shangri-la-asia</w:t>
        </w:r>
      </w:hyperlink>
      <w:r>
        <w:t xml:space="preserve"> </w:t>
      </w:r>
    </w:p>
    <w:p w14:paraId="6C244E86" w14:textId="77777777" w:rsidR="00E3506F" w:rsidRDefault="00000000">
      <w:pPr>
        <w:spacing w:line="480" w:lineRule="auto"/>
      </w:pPr>
      <w:r>
        <w:t>Hospitality Institute, (2024). Financial Ratio Analysis for Hotel Management: Key Performance Indicators. Available at:</w:t>
      </w:r>
      <w:hyperlink r:id="rId47">
        <w:r w:rsidR="00E3506F">
          <w:t xml:space="preserve"> </w:t>
        </w:r>
      </w:hyperlink>
      <w:hyperlink r:id="rId48">
        <w:r w:rsidR="00E3506F">
          <w:rPr>
            <w:color w:val="1155CC"/>
            <w:u w:val="single"/>
          </w:rPr>
          <w:t>https://hospitality.institute/bha510/financial-ratio-analysis-hotel-management-kpis/</w:t>
        </w:r>
      </w:hyperlink>
      <w:r>
        <w:t xml:space="preserve"> </w:t>
      </w:r>
    </w:p>
    <w:p w14:paraId="47E55A53" w14:textId="77777777" w:rsidR="00E3506F" w:rsidRDefault="00000000">
      <w:pPr>
        <w:spacing w:line="480" w:lineRule="auto"/>
      </w:pPr>
      <w:r>
        <w:rPr>
          <w:color w:val="222222"/>
        </w:rPr>
        <w:t xml:space="preserve">Islam, I.M.M., (2026). Financial leverage and firm performance: An empirical review and analysis. </w:t>
      </w:r>
      <w:r>
        <w:rPr>
          <w:i/>
          <w:iCs/>
          <w:color w:val="222222"/>
        </w:rPr>
        <w:t>Journal of Global Business Insights</w:t>
      </w:r>
      <w:r>
        <w:rPr>
          <w:color w:val="222222"/>
        </w:rPr>
        <w:t xml:space="preserve">, </w:t>
      </w:r>
      <w:r>
        <w:rPr>
          <w:i/>
          <w:iCs/>
          <w:color w:val="222222"/>
        </w:rPr>
        <w:t>11</w:t>
      </w:r>
      <w:r>
        <w:rPr>
          <w:color w:val="222222"/>
        </w:rPr>
        <w:t xml:space="preserve">(1), pp.15-29. </w:t>
      </w:r>
      <w:r>
        <w:t>Available at:</w:t>
      </w:r>
      <w:hyperlink r:id="rId49">
        <w:r w:rsidR="00E3506F">
          <w:t xml:space="preserve"> </w:t>
        </w:r>
      </w:hyperlink>
      <w:hyperlink r:id="rId50">
        <w:r w:rsidR="00E3506F">
          <w:rPr>
            <w:color w:val="1155CC"/>
            <w:u w:val="single"/>
          </w:rPr>
          <w:t>https://www.researchgate.net/profile/Iqbal-Islam-2/publication/403642930_Financial_leverage_and_firm_performance_An_empirical_review_and_analysis/links/69d72d79c203cd5e341698f2/Financial-leverage-and-firm-performance-An-empirical-review-and-analysis.pdf</w:t>
        </w:r>
      </w:hyperlink>
      <w:r>
        <w:t xml:space="preserve"> </w:t>
      </w:r>
    </w:p>
    <w:p w14:paraId="44C6EE81" w14:textId="13FE120D" w:rsidR="00E3506F" w:rsidRDefault="00000000">
      <w:pPr>
        <w:spacing w:line="480" w:lineRule="auto"/>
      </w:pPr>
      <w:r>
        <w:rPr>
          <w:color w:val="222222"/>
        </w:rPr>
        <w:t xml:space="preserve">Jain, Y.K., (2024). </w:t>
      </w:r>
      <w:r>
        <w:rPr>
          <w:i/>
          <w:iCs/>
          <w:color w:val="222222"/>
        </w:rPr>
        <w:t>Financial management and market dynamics</w:t>
      </w:r>
      <w:r>
        <w:rPr>
          <w:color w:val="222222"/>
        </w:rPr>
        <w:t>. X</w:t>
      </w:r>
      <w:r w:rsidR="008771B4">
        <w:rPr>
          <w:color w:val="222222"/>
        </w:rPr>
        <w:t xml:space="preserve"> officer </w:t>
      </w:r>
      <w:r>
        <w:rPr>
          <w:color w:val="222222"/>
        </w:rPr>
        <w:t xml:space="preserve">publication. </w:t>
      </w:r>
      <w:r>
        <w:t>Available at:</w:t>
      </w:r>
      <w:hyperlink r:id="rId51">
        <w:r w:rsidR="00E3506F">
          <w:t xml:space="preserve"> </w:t>
        </w:r>
      </w:hyperlink>
      <w:hyperlink r:id="rId52">
        <w:r w:rsidR="00E3506F">
          <w:rPr>
            <w:color w:val="1155CC"/>
            <w:u w:val="single"/>
          </w:rPr>
          <w:t>https://books.google.com/books?hl=en&amp;lr=&amp;id=XIsrEQAAQBAJ&amp;oi=fnd&amp;pg=PA1&amp;dq=Recurring+capital+expenditures+necessary+to+maintain+the+current+asset+base+continue+to+consume+a+considerable+portion+of+operating+cash+flow,+which+limits+the+amount+of+money+available+for+debt+reduction&amp;ots=JYBfjXH4At&amp;sig=PDNCDZWrsVuojcFLfip8K3ynu18</w:t>
        </w:r>
      </w:hyperlink>
      <w:r>
        <w:t xml:space="preserve"> </w:t>
      </w:r>
    </w:p>
    <w:p w14:paraId="1EB8A83A" w14:textId="77777777" w:rsidR="00E3506F" w:rsidRDefault="00000000">
      <w:pPr>
        <w:spacing w:line="480" w:lineRule="auto"/>
      </w:pPr>
      <w:r>
        <w:lastRenderedPageBreak/>
        <w:t>Market Screener, (2026). SHANGRI-LA HOTEL. Available at:</w:t>
      </w:r>
      <w:hyperlink r:id="rId53">
        <w:r w:rsidR="00E3506F">
          <w:t xml:space="preserve"> </w:t>
        </w:r>
      </w:hyperlink>
      <w:hyperlink r:id="rId54">
        <w:r w:rsidR="00E3506F">
          <w:rPr>
            <w:color w:val="1155CC"/>
            <w:u w:val="single"/>
          </w:rPr>
          <w:t>https://in.marketscreener.com/quote/stock/SHANGRI-LA-HOTEL-20699621/sector-dividend/</w:t>
        </w:r>
      </w:hyperlink>
      <w:r>
        <w:t xml:space="preserve"> </w:t>
      </w:r>
    </w:p>
    <w:p w14:paraId="2D1A78FC" w14:textId="77777777" w:rsidR="00E3506F" w:rsidRDefault="00000000">
      <w:pPr>
        <w:spacing w:line="480" w:lineRule="auto"/>
      </w:pPr>
      <w:r>
        <w:t>Mingtiandi, (2024). Shangri-La Returned to Profit in 2023 as Revenue Jumped 47% on Travel Recovery. Available at:</w:t>
      </w:r>
      <w:hyperlink r:id="rId55">
        <w:r w:rsidR="00E3506F">
          <w:t xml:space="preserve"> </w:t>
        </w:r>
      </w:hyperlink>
      <w:hyperlink r:id="rId56">
        <w:r w:rsidR="00E3506F">
          <w:rPr>
            <w:color w:val="1155CC"/>
            <w:u w:val="single"/>
          </w:rPr>
          <w:t>https://www.mingtiandi.com/real-estate/finance/shangri-la-returned-to-profit-in-2023-as-revenue-jumped-47-on-travel-recovery/</w:t>
        </w:r>
      </w:hyperlink>
      <w:r>
        <w:t xml:space="preserve"> </w:t>
      </w:r>
    </w:p>
    <w:p w14:paraId="6BA03310" w14:textId="3F31E0D1" w:rsidR="00E3506F" w:rsidRDefault="008771B4">
      <w:pPr>
        <w:spacing w:line="480" w:lineRule="auto"/>
      </w:pPr>
      <w:r>
        <w:t>Mini chart</w:t>
      </w:r>
      <w:r w:rsidR="00000000">
        <w:t>, (2026). Shangri-La Asia Limited 2025 Annual Results. Available at:</w:t>
      </w:r>
      <w:hyperlink r:id="rId57">
        <w:r w:rsidR="00E3506F">
          <w:t xml:space="preserve"> </w:t>
        </w:r>
      </w:hyperlink>
      <w:hyperlink r:id="rId58">
        <w:r w:rsidR="00E3506F">
          <w:rPr>
            <w:color w:val="1155CC"/>
            <w:u w:val="single"/>
          </w:rPr>
          <w:t>https://www.minichart.com.sg/2026/03/26/shangri-la-asia-limited-2025-annual-results-financial-performance-hk15-cents-dividend-revenue-growth-and-outlook/</w:t>
        </w:r>
      </w:hyperlink>
      <w:r w:rsidR="00000000">
        <w:t xml:space="preserve"> </w:t>
      </w:r>
    </w:p>
    <w:p w14:paraId="7BD3CCA4" w14:textId="77777777" w:rsidR="00E3506F" w:rsidRDefault="00000000">
      <w:pPr>
        <w:spacing w:line="480" w:lineRule="auto"/>
      </w:pPr>
      <w:r>
        <w:t>Poems, (2026). Shangri-La Hotel (SLHSP): High leverage mitigated liquidity and sponsor support. Available at:</w:t>
      </w:r>
      <w:hyperlink r:id="rId59">
        <w:r w:rsidR="00E3506F">
          <w:t xml:space="preserve"> </w:t>
        </w:r>
      </w:hyperlink>
      <w:hyperlink r:id="rId60">
        <w:r w:rsidR="00E3506F">
          <w:rPr>
            <w:color w:val="1155CC"/>
            <w:u w:val="single"/>
          </w:rPr>
          <w:t>https://www.poems.com.sg/market-journal/shangri-la-hotel-slhsp-high-leverage-mitigated-liquidity-and-sponsor-support/</w:t>
        </w:r>
      </w:hyperlink>
      <w:r>
        <w:t xml:space="preserve"> </w:t>
      </w:r>
    </w:p>
    <w:p w14:paraId="075EBC13" w14:textId="77777777" w:rsidR="00E3506F" w:rsidRDefault="00000000">
      <w:pPr>
        <w:spacing w:line="480" w:lineRule="auto"/>
      </w:pPr>
      <w:r>
        <w:rPr>
          <w:color w:val="222222"/>
        </w:rPr>
        <w:t xml:space="preserve">Rathore, S., (2025). Foreign Exchange Risk Management: Hedging vs. Natural Hedging. </w:t>
      </w:r>
      <w:r>
        <w:rPr>
          <w:i/>
          <w:iCs/>
          <w:color w:val="222222"/>
        </w:rPr>
        <w:t>Natural Hedging (July 20, 2025)</w:t>
      </w:r>
      <w:r>
        <w:rPr>
          <w:color w:val="222222"/>
        </w:rPr>
        <w:t xml:space="preserve">. </w:t>
      </w:r>
      <w:r>
        <w:t>Available at:</w:t>
      </w:r>
      <w:hyperlink r:id="rId61">
        <w:r w:rsidR="00E3506F">
          <w:t xml:space="preserve"> </w:t>
        </w:r>
      </w:hyperlink>
      <w:hyperlink r:id="rId62">
        <w:r w:rsidR="00E3506F">
          <w:rPr>
            <w:color w:val="1155CC"/>
            <w:u w:val="single"/>
          </w:rPr>
          <w:t>https://papers.ssrn.com/sol3/papers.cfm?abstract_id=5781142</w:t>
        </w:r>
      </w:hyperlink>
      <w:r>
        <w:t xml:space="preserve"> </w:t>
      </w:r>
    </w:p>
    <w:p w14:paraId="5861C831" w14:textId="77777777" w:rsidR="00E3506F" w:rsidRDefault="00000000">
      <w:pPr>
        <w:spacing w:line="480" w:lineRule="auto"/>
      </w:pPr>
      <w:r>
        <w:t>Ready Ratios, (2026). Hotels and Motels: Average Industry Financial Ratios for U.S. Listed Companies. Available at:</w:t>
      </w:r>
      <w:hyperlink r:id="rId63">
        <w:r w:rsidR="00E3506F">
          <w:t xml:space="preserve"> </w:t>
        </w:r>
      </w:hyperlink>
      <w:hyperlink r:id="rId64">
        <w:r w:rsidR="00E3506F">
          <w:rPr>
            <w:color w:val="1155CC"/>
            <w:u w:val="single"/>
          </w:rPr>
          <w:t>https://www.readyratios.com/sec/industry/7011/</w:t>
        </w:r>
      </w:hyperlink>
      <w:r>
        <w:t xml:space="preserve"> </w:t>
      </w:r>
    </w:p>
    <w:p w14:paraId="3A49EED8" w14:textId="77777777" w:rsidR="00E3506F" w:rsidRDefault="00000000">
      <w:pPr>
        <w:spacing w:line="480" w:lineRule="auto"/>
      </w:pPr>
      <w:r>
        <w:rPr>
          <w:color w:val="222222"/>
        </w:rPr>
        <w:t xml:space="preserve">Reis, R., (2022). Debt revenue and the sustainability of public debt. </w:t>
      </w:r>
      <w:r>
        <w:rPr>
          <w:i/>
          <w:iCs/>
          <w:color w:val="222222"/>
        </w:rPr>
        <w:t>Journal of Economic Perspectives</w:t>
      </w:r>
      <w:r>
        <w:rPr>
          <w:color w:val="222222"/>
        </w:rPr>
        <w:t xml:space="preserve">, </w:t>
      </w:r>
      <w:r>
        <w:rPr>
          <w:i/>
          <w:iCs/>
          <w:color w:val="222222"/>
        </w:rPr>
        <w:t>36</w:t>
      </w:r>
      <w:r>
        <w:rPr>
          <w:color w:val="222222"/>
        </w:rPr>
        <w:t xml:space="preserve">(4), pp.103-124. </w:t>
      </w:r>
      <w:r>
        <w:t>Available at:</w:t>
      </w:r>
      <w:hyperlink r:id="rId65">
        <w:r w:rsidR="00E3506F">
          <w:t xml:space="preserve"> </w:t>
        </w:r>
      </w:hyperlink>
      <w:hyperlink r:id="rId66">
        <w:r w:rsidR="00E3506F">
          <w:rPr>
            <w:color w:val="1155CC"/>
            <w:u w:val="single"/>
          </w:rPr>
          <w:t>https://www.aeaweb.org/articles?id=10.1257/jep.36.4.103</w:t>
        </w:r>
      </w:hyperlink>
      <w:r>
        <w:t xml:space="preserve"> </w:t>
      </w:r>
    </w:p>
    <w:p w14:paraId="415CB5A7" w14:textId="16B98B8E" w:rsidR="00E3506F" w:rsidRDefault="008771B4">
      <w:pPr>
        <w:spacing w:line="480" w:lineRule="auto"/>
      </w:pPr>
      <w:r>
        <w:rPr>
          <w:color w:val="222222"/>
        </w:rPr>
        <w:t>Rudrani</w:t>
      </w:r>
      <w:r w:rsidR="00000000">
        <w:rPr>
          <w:color w:val="222222"/>
        </w:rPr>
        <w:t xml:space="preserve">, F., (2026). Working Capital Optimization: A Literature Review. </w:t>
      </w:r>
      <w:r w:rsidR="00000000">
        <w:rPr>
          <w:i/>
          <w:iCs/>
          <w:color w:val="222222"/>
        </w:rPr>
        <w:t>Available at SSRN 6732438</w:t>
      </w:r>
      <w:r w:rsidR="00000000">
        <w:rPr>
          <w:color w:val="222222"/>
        </w:rPr>
        <w:t xml:space="preserve">. </w:t>
      </w:r>
      <w:r w:rsidR="00000000">
        <w:t>Available at:</w:t>
      </w:r>
      <w:hyperlink r:id="rId67">
        <w:r w:rsidR="00E3506F">
          <w:t xml:space="preserve"> </w:t>
        </w:r>
      </w:hyperlink>
      <w:hyperlink r:id="rId68">
        <w:r w:rsidR="00E3506F">
          <w:rPr>
            <w:color w:val="1155CC"/>
            <w:u w:val="single"/>
          </w:rPr>
          <w:t>https://papers.ssrn.com/sol3/papers.cfm?abstract_id=6732438</w:t>
        </w:r>
      </w:hyperlink>
      <w:r w:rsidR="00000000">
        <w:t xml:space="preserve"> </w:t>
      </w:r>
    </w:p>
    <w:p w14:paraId="1CB191B3" w14:textId="77777777" w:rsidR="00E3506F" w:rsidRDefault="00000000">
      <w:pPr>
        <w:spacing w:line="480" w:lineRule="auto"/>
      </w:pPr>
      <w:r>
        <w:lastRenderedPageBreak/>
        <w:t>Shangri La, (2026). Shangri-La Group Releases 2025 Full Year Results. Available at:</w:t>
      </w:r>
      <w:hyperlink r:id="rId69">
        <w:r w:rsidR="00E3506F">
          <w:t xml:space="preserve"> </w:t>
        </w:r>
      </w:hyperlink>
      <w:hyperlink r:id="rId70">
        <w:r w:rsidR="00E3506F">
          <w:rPr>
            <w:color w:val="1155CC"/>
            <w:u w:val="single"/>
          </w:rPr>
          <w:t>https://www.shangri-la.com/group/media/media_post?post=Shangri-La+Group+Releases+2025+Full+Year+Results</w:t>
        </w:r>
      </w:hyperlink>
      <w:r>
        <w:t xml:space="preserve"> </w:t>
      </w:r>
    </w:p>
    <w:p w14:paraId="632F452F" w14:textId="77777777" w:rsidR="00E3506F" w:rsidRDefault="00000000">
      <w:pPr>
        <w:spacing w:line="480" w:lineRule="auto"/>
      </w:pPr>
      <w:r>
        <w:t>Shangri-La Group, (2025). Shangri-La Group Releases 2025 Interim Results. Available at:</w:t>
      </w:r>
      <w:hyperlink r:id="rId71">
        <w:r w:rsidR="00E3506F">
          <w:t xml:space="preserve"> </w:t>
        </w:r>
      </w:hyperlink>
      <w:hyperlink r:id="rId72">
        <w:r w:rsidR="00E3506F">
          <w:rPr>
            <w:color w:val="1155CC"/>
            <w:u w:val="single"/>
          </w:rPr>
          <w:t>https://www.shangri-la.com/group/media/media_post?post=Shangri-La%20Group%20Releases%202025%20Interim%20Results</w:t>
        </w:r>
      </w:hyperlink>
      <w:r>
        <w:t xml:space="preserve"> </w:t>
      </w:r>
    </w:p>
    <w:p w14:paraId="277E0F04" w14:textId="77777777" w:rsidR="00E3506F" w:rsidRDefault="00000000">
      <w:pPr>
        <w:spacing w:line="480" w:lineRule="auto"/>
        <w:rPr>
          <w:color w:val="1155CC"/>
          <w:u w:val="single"/>
        </w:rPr>
      </w:pPr>
      <w:r>
        <w:t>Shangri-La, (2021). 2020 Final Results Announcement. Available at:</w:t>
      </w:r>
      <w:hyperlink r:id="rId73">
        <w:r w:rsidR="00E3506F">
          <w:t xml:space="preserve"> </w:t>
        </w:r>
      </w:hyperlink>
      <w:hyperlink r:id="rId74">
        <w:r w:rsidR="00E3506F">
          <w:rPr>
            <w:color w:val="1155CC"/>
            <w:u w:val="single"/>
          </w:rPr>
          <w:t>https://sitecore-cd.shangri-la.com/-/media/Project/Shangri-La-Group/Investor/Files/Public-Disclosures/Announcements-and-Circulars/2021/2021-03-26-final-results_E.pdf</w:t>
        </w:r>
      </w:hyperlink>
    </w:p>
    <w:p w14:paraId="2A12D85B" w14:textId="77777777" w:rsidR="00E3506F" w:rsidRDefault="00000000">
      <w:pPr>
        <w:spacing w:line="480" w:lineRule="auto"/>
        <w:rPr>
          <w:color w:val="1155CC"/>
          <w:u w:val="single"/>
        </w:rPr>
      </w:pPr>
      <w:r>
        <w:t>Shangri-La, (2022). 2021 Final Results Announcement. Available at:</w:t>
      </w:r>
      <w:hyperlink r:id="rId75">
        <w:r w:rsidR="00E3506F">
          <w:t xml:space="preserve"> </w:t>
        </w:r>
      </w:hyperlink>
      <w:hyperlink r:id="rId76">
        <w:r w:rsidR="00E3506F">
          <w:rPr>
            <w:color w:val="1155CC"/>
            <w:u w:val="single"/>
          </w:rPr>
          <w:t>https://sitecore-cd.shangri-la.com/-/media/Project/Shangri-La-Group/Investor/Files/Public-Disclosures/Financial-Information/Results-Announcements/2022-03-24-Final-Results-2021_E.pdf</w:t>
        </w:r>
      </w:hyperlink>
    </w:p>
    <w:p w14:paraId="3002F4F9" w14:textId="77777777" w:rsidR="00E3506F" w:rsidRDefault="00000000">
      <w:pPr>
        <w:spacing w:line="480" w:lineRule="auto"/>
        <w:rPr>
          <w:color w:val="1155CC"/>
          <w:u w:val="single"/>
        </w:rPr>
      </w:pPr>
      <w:r>
        <w:t>Shangri-La, (2023). 2022 Final Results Announcement. Available at:</w:t>
      </w:r>
      <w:hyperlink r:id="rId77">
        <w:r w:rsidR="00E3506F">
          <w:t xml:space="preserve"> </w:t>
        </w:r>
      </w:hyperlink>
      <w:hyperlink r:id="rId78">
        <w:r w:rsidR="00E3506F">
          <w:rPr>
            <w:color w:val="1155CC"/>
            <w:u w:val="single"/>
          </w:rPr>
          <w:t>https://sitecore-cd.shangri-la.com/-/media/Project/Shangri-La-Group/Investor/Files/Public-Disclosures/Financial-Information/Results-Announcements/e_final-results_20230324.pdf</w:t>
        </w:r>
      </w:hyperlink>
    </w:p>
    <w:p w14:paraId="7C7CCD18" w14:textId="77777777" w:rsidR="00E3506F" w:rsidRDefault="00000000">
      <w:pPr>
        <w:spacing w:line="480" w:lineRule="auto"/>
        <w:rPr>
          <w:color w:val="1155CC"/>
          <w:u w:val="single"/>
        </w:rPr>
      </w:pPr>
      <w:r>
        <w:t>Shangri-La, (2024). 2023 Final Results Announcement. Available at:</w:t>
      </w:r>
      <w:hyperlink r:id="rId79">
        <w:r w:rsidR="00E3506F">
          <w:t xml:space="preserve"> </w:t>
        </w:r>
      </w:hyperlink>
      <w:hyperlink r:id="rId80">
        <w:r w:rsidR="00E3506F">
          <w:rPr>
            <w:color w:val="1155CC"/>
            <w:u w:val="single"/>
          </w:rPr>
          <w:t>https://sitecore-cd.shangri-la.com/-/media/Project/Shangri-La-Group/Investor/Files/Public-Disclosures/Financial-Information/Results-Announcements/Results-Announcements-Chinese/2024-03-22-Final-Results-Announcement_E.pdf</w:t>
        </w:r>
      </w:hyperlink>
    </w:p>
    <w:p w14:paraId="5AD50D59" w14:textId="77777777" w:rsidR="00E3506F" w:rsidRDefault="00000000">
      <w:pPr>
        <w:spacing w:line="480" w:lineRule="auto"/>
        <w:rPr>
          <w:color w:val="1155CC"/>
          <w:u w:val="single"/>
        </w:rPr>
      </w:pPr>
      <w:r>
        <w:t>Shangri-La, (2025). 2024 Final Results Announcement. Available at:</w:t>
      </w:r>
      <w:hyperlink r:id="rId81">
        <w:r w:rsidR="00E3506F">
          <w:t xml:space="preserve"> </w:t>
        </w:r>
      </w:hyperlink>
      <w:hyperlink r:id="rId82">
        <w:r w:rsidR="00E3506F">
          <w:rPr>
            <w:color w:val="1155CC"/>
            <w:u w:val="single"/>
          </w:rPr>
          <w:t>https://sitecore-cd.shangri-la.com/-/media/Project/Shangri-La-Group/Investor/Files/Public-Disclosures/Financial-Information/Results-Announcements/e_ARA_20250327.pdf</w:t>
        </w:r>
      </w:hyperlink>
    </w:p>
    <w:p w14:paraId="3A6E0472" w14:textId="77777777" w:rsidR="00E3506F" w:rsidRDefault="00000000">
      <w:pPr>
        <w:spacing w:line="480" w:lineRule="auto"/>
      </w:pPr>
      <w:r>
        <w:lastRenderedPageBreak/>
        <w:t>Shangri-La, (2025). 2024 Sustainability Report - Sitecore. Available at:</w:t>
      </w:r>
      <w:hyperlink r:id="rId83">
        <w:r w:rsidR="00E3506F">
          <w:t xml:space="preserve"> </w:t>
        </w:r>
      </w:hyperlink>
      <w:hyperlink r:id="rId84">
        <w:r w:rsidR="00E3506F">
          <w:rPr>
            <w:color w:val="1155CC"/>
            <w:u w:val="single"/>
          </w:rPr>
          <w:t>https://sitecore-cd.shangri-la.com/-/media/Project/Shangri-La-Group/Sustainability/Images/Sustainability-Report/2024_Sustainability-Report.pdf</w:t>
        </w:r>
      </w:hyperlink>
      <w:r>
        <w:t xml:space="preserve"> </w:t>
      </w:r>
    </w:p>
    <w:p w14:paraId="29AD5F95" w14:textId="77777777" w:rsidR="00E3506F" w:rsidRDefault="00000000">
      <w:pPr>
        <w:spacing w:line="480" w:lineRule="auto"/>
      </w:pPr>
      <w:r>
        <w:t>Shangri-La, (2025). Pricing Supplement. Available at:</w:t>
      </w:r>
      <w:hyperlink r:id="rId85" w:anchor="1">
        <w:r w:rsidR="00E3506F">
          <w:t xml:space="preserve"> </w:t>
        </w:r>
      </w:hyperlink>
      <w:hyperlink r:id="rId86" w:anchor="1">
        <w:r w:rsidR="00E3506F">
          <w:rPr>
            <w:color w:val="1155CC"/>
            <w:u w:val="single"/>
          </w:rPr>
          <w:t>https://links.sgx.com/FileOpen/Shangri-La%20OCBC%20Tap%20-%20Pricing%20Supplement.ashx?App=Prospectus&amp;FileID=66762#1#1</w:t>
        </w:r>
      </w:hyperlink>
      <w:r>
        <w:t xml:space="preserve"> </w:t>
      </w:r>
    </w:p>
    <w:p w14:paraId="7B38AC9E" w14:textId="77777777" w:rsidR="00E3506F" w:rsidRDefault="00000000">
      <w:pPr>
        <w:spacing w:line="480" w:lineRule="auto"/>
        <w:rPr>
          <w:color w:val="1155CC"/>
          <w:u w:val="single"/>
        </w:rPr>
      </w:pPr>
      <w:r>
        <w:t>Shangri-La, (2026). 2025 Final Results Announcement. Available at:</w:t>
      </w:r>
      <w:hyperlink r:id="rId87">
        <w:r w:rsidR="00E3506F">
          <w:t xml:space="preserve"> </w:t>
        </w:r>
      </w:hyperlink>
      <w:hyperlink r:id="rId88">
        <w:r w:rsidR="00E3506F">
          <w:rPr>
            <w:color w:val="1155CC"/>
            <w:u w:val="single"/>
          </w:rPr>
          <w:t>https://sitecore-cd.shangri-la.com/-/media/Project/Shangri-La-Group/Investor/Files/Public-Disclosures/Financial-Information/Results-Announcements/2025-Final-Results-Announcement.pdf</w:t>
        </w:r>
      </w:hyperlink>
    </w:p>
    <w:p w14:paraId="48433344" w14:textId="77777777" w:rsidR="00E3506F" w:rsidRDefault="00000000">
      <w:pPr>
        <w:spacing w:line="480" w:lineRule="auto"/>
      </w:pPr>
      <w:r>
        <w:rPr>
          <w:color w:val="222222"/>
        </w:rPr>
        <w:t xml:space="preserve">Shou, T., (2022), July. A literature review on the net present value (NPV) valuation method. In </w:t>
      </w:r>
      <w:r>
        <w:rPr>
          <w:i/>
          <w:iCs/>
          <w:color w:val="222222"/>
        </w:rPr>
        <w:t>2022 2nd International Conference on Enterprise Management and Economic Development (ICEMED 2022)</w:t>
      </w:r>
      <w:r>
        <w:rPr>
          <w:color w:val="222222"/>
        </w:rPr>
        <w:t xml:space="preserve"> (pp. 826-830). Atlantis Press. </w:t>
      </w:r>
      <w:r>
        <w:t>Available at:</w:t>
      </w:r>
      <w:hyperlink r:id="rId89">
        <w:r w:rsidR="00E3506F">
          <w:t xml:space="preserve"> </w:t>
        </w:r>
      </w:hyperlink>
      <w:hyperlink r:id="rId90">
        <w:r w:rsidR="00E3506F">
          <w:rPr>
            <w:color w:val="1155CC"/>
            <w:u w:val="single"/>
          </w:rPr>
          <w:t>https://www.atlantis-press.com/proceedings/icemed-22/125975449</w:t>
        </w:r>
      </w:hyperlink>
      <w:r>
        <w:t xml:space="preserve"> </w:t>
      </w:r>
    </w:p>
    <w:p w14:paraId="551299EF" w14:textId="77777777" w:rsidR="00E3506F" w:rsidRDefault="00000000">
      <w:pPr>
        <w:spacing w:line="480" w:lineRule="auto"/>
      </w:pPr>
      <w:r>
        <w:t>Statista, (2025). Number of hotels in the construction pipeline worldwide 2025. Available at:</w:t>
      </w:r>
      <w:hyperlink r:id="rId91">
        <w:r w:rsidR="00E3506F">
          <w:t xml:space="preserve"> </w:t>
        </w:r>
      </w:hyperlink>
      <w:hyperlink r:id="rId92">
        <w:r w:rsidR="00E3506F">
          <w:rPr>
            <w:color w:val="1155CC"/>
            <w:u w:val="single"/>
          </w:rPr>
          <w:t>https://www.statista.com/statistics/1313913/new-hotel-count-worldwide/?srsltid=AfmBOops2f6hFibxEhkNVpGf2Z4aOZ-u7A4RYEXSoj1bWiIaPRys6qqk</w:t>
        </w:r>
      </w:hyperlink>
      <w:r>
        <w:t xml:space="preserve"> </w:t>
      </w:r>
    </w:p>
    <w:p w14:paraId="45A844AF" w14:textId="77777777" w:rsidR="00E3506F" w:rsidRDefault="00000000">
      <w:pPr>
        <w:spacing w:line="480" w:lineRule="auto"/>
      </w:pPr>
      <w:r>
        <w:t>Tracxn, (2026). Shangri-La Hotels and Resorts - Company Profile. Available at:</w:t>
      </w:r>
      <w:hyperlink r:id="rId93">
        <w:r w:rsidR="00E3506F">
          <w:t xml:space="preserve"> </w:t>
        </w:r>
      </w:hyperlink>
      <w:hyperlink r:id="rId94">
        <w:r w:rsidR="00E3506F">
          <w:rPr>
            <w:color w:val="1155CC"/>
            <w:u w:val="single"/>
          </w:rPr>
          <w:t>https://tracxn.com/d/companies/shangrila-hotels-and-resorts/__Vuy-eyCdUA_EyYbWJtO--PwAYbla4oqAGRawnokxBto</w:t>
        </w:r>
      </w:hyperlink>
      <w:r>
        <w:t xml:space="preserve"> </w:t>
      </w:r>
    </w:p>
    <w:p w14:paraId="635FC5C3" w14:textId="77777777" w:rsidR="00E3506F" w:rsidRDefault="00000000">
      <w:pPr>
        <w:spacing w:line="480" w:lineRule="auto"/>
      </w:pPr>
      <w:r>
        <w:rPr>
          <w:color w:val="222222"/>
        </w:rPr>
        <w:t xml:space="preserve">Virgil, T.C., (2023). Global Tourism-A Quick Rebound After </w:t>
      </w:r>
      <w:proofErr w:type="gramStart"/>
      <w:r>
        <w:rPr>
          <w:color w:val="222222"/>
        </w:rPr>
        <w:t>The</w:t>
      </w:r>
      <w:proofErr w:type="gramEnd"/>
      <w:r>
        <w:rPr>
          <w:color w:val="222222"/>
        </w:rPr>
        <w:t xml:space="preserve"> Pandemic. </w:t>
      </w:r>
      <w:r>
        <w:rPr>
          <w:i/>
          <w:iCs/>
          <w:color w:val="222222"/>
        </w:rPr>
        <w:t>Revista Economica</w:t>
      </w:r>
      <w:r>
        <w:rPr>
          <w:color w:val="222222"/>
        </w:rPr>
        <w:t xml:space="preserve">, </w:t>
      </w:r>
      <w:r>
        <w:rPr>
          <w:i/>
          <w:iCs/>
          <w:color w:val="222222"/>
        </w:rPr>
        <w:t>75</w:t>
      </w:r>
      <w:r>
        <w:rPr>
          <w:color w:val="222222"/>
        </w:rPr>
        <w:t xml:space="preserve">(1), p.91. </w:t>
      </w:r>
      <w:r>
        <w:t>Available at:</w:t>
      </w:r>
      <w:hyperlink r:id="rId95">
        <w:r w:rsidR="00E3506F">
          <w:t xml:space="preserve"> </w:t>
        </w:r>
      </w:hyperlink>
      <w:hyperlink r:id="rId96">
        <w:r w:rsidR="00E3506F">
          <w:rPr>
            <w:color w:val="1155CC"/>
            <w:u w:val="single"/>
          </w:rPr>
          <w:t>http://oldeconomice.ulbsibiu.ro/revista.economica/archive/75108tileaga.pdf</w:t>
        </w:r>
      </w:hyperlink>
      <w:r>
        <w:t xml:space="preserve"> </w:t>
      </w:r>
    </w:p>
    <w:p w14:paraId="6C32C206" w14:textId="77777777" w:rsidR="00E3506F" w:rsidRDefault="00000000">
      <w:pPr>
        <w:spacing w:line="480" w:lineRule="auto"/>
        <w:rPr>
          <w:color w:val="1155CC"/>
          <w:u w:val="single"/>
        </w:rPr>
      </w:pPr>
      <w:r>
        <w:lastRenderedPageBreak/>
        <w:t>Vorys, (2024). Hotel Income and Sales of Hotels Have Been Down Since COVID, but Counties Continue to Place High Real Property Values on Many of These Properties. Available at:</w:t>
      </w:r>
      <w:hyperlink r:id="rId97">
        <w:r w:rsidR="00E3506F">
          <w:t xml:space="preserve"> </w:t>
        </w:r>
      </w:hyperlink>
      <w:hyperlink r:id="rId98">
        <w:r w:rsidR="00E3506F">
          <w:rPr>
            <w:color w:val="1155CC"/>
            <w:u w:val="single"/>
          </w:rPr>
          <w:t>https://www.vorys.com/publication-hotel-income-and-sales-of-hotels-have-been-down-since-covid-but-counties-continue-to-place-high-real-property-values-on-many-of-these-properties</w:t>
        </w:r>
      </w:hyperlink>
    </w:p>
    <w:p w14:paraId="724A4781" w14:textId="77777777" w:rsidR="00E3506F" w:rsidRDefault="00000000">
      <w:pPr>
        <w:spacing w:line="480" w:lineRule="auto"/>
      </w:pPr>
      <w:r>
        <w:rPr>
          <w:color w:val="222222"/>
        </w:rPr>
        <w:t xml:space="preserve">Wang, O., (2025). Banks, low interest rates, and monetary policy transmission. </w:t>
      </w:r>
      <w:r>
        <w:rPr>
          <w:i/>
          <w:iCs/>
          <w:color w:val="222222"/>
        </w:rPr>
        <w:t>The Journal of Finance</w:t>
      </w:r>
      <w:r>
        <w:rPr>
          <w:color w:val="222222"/>
        </w:rPr>
        <w:t xml:space="preserve">, </w:t>
      </w:r>
      <w:r>
        <w:rPr>
          <w:i/>
          <w:iCs/>
          <w:color w:val="222222"/>
        </w:rPr>
        <w:t>80</w:t>
      </w:r>
      <w:r>
        <w:rPr>
          <w:color w:val="222222"/>
        </w:rPr>
        <w:t xml:space="preserve">(3), pp.1379-1416. </w:t>
      </w:r>
      <w:r>
        <w:t>Available at:</w:t>
      </w:r>
      <w:hyperlink r:id="rId99">
        <w:r w:rsidR="00E3506F">
          <w:t xml:space="preserve"> </w:t>
        </w:r>
      </w:hyperlink>
      <w:hyperlink r:id="rId100">
        <w:r w:rsidR="00E3506F">
          <w:rPr>
            <w:color w:val="1155CC"/>
            <w:u w:val="single"/>
          </w:rPr>
          <w:t>https://onlinelibrary.wiley.com/doi/abs/10.1111/jofi.13436</w:t>
        </w:r>
      </w:hyperlink>
      <w:r>
        <w:t xml:space="preserve"> </w:t>
      </w:r>
    </w:p>
    <w:p w14:paraId="26A60C49" w14:textId="77777777" w:rsidR="00E3506F" w:rsidRDefault="00000000">
      <w:pPr>
        <w:spacing w:line="480" w:lineRule="auto"/>
      </w:pPr>
      <w:r>
        <w:t>Zion Market Research, (2023). Hotels Market Trend, Share, And Growth Report 2032. Available at:</w:t>
      </w:r>
      <w:hyperlink r:id="rId101">
        <w:r w:rsidR="00E3506F">
          <w:t xml:space="preserve"> </w:t>
        </w:r>
      </w:hyperlink>
      <w:hyperlink r:id="rId102">
        <w:r w:rsidR="00E3506F">
          <w:rPr>
            <w:color w:val="1155CC"/>
            <w:u w:val="single"/>
          </w:rPr>
          <w:t>https://www.zionmarketresearch.com/report/hotels-market</w:t>
        </w:r>
      </w:hyperlink>
      <w:r>
        <w:t xml:space="preserve"> </w:t>
      </w:r>
    </w:p>
    <w:p w14:paraId="4B322010" w14:textId="77777777" w:rsidR="00E3506F" w:rsidRDefault="00E3506F"/>
    <w:p w14:paraId="5D04F3F5" w14:textId="77777777" w:rsidR="00E3506F" w:rsidRDefault="00E3506F"/>
    <w:p w14:paraId="220FD84B" w14:textId="77777777" w:rsidR="00E3506F" w:rsidRDefault="00000000">
      <w:pPr>
        <w:pStyle w:val="Heading1"/>
      </w:pPr>
      <w:bookmarkStart w:id="50" w:name="_ghut737tqlg9" w:colFirst="0" w:colLast="0"/>
      <w:bookmarkEnd w:id="50"/>
      <w:r>
        <w:br w:type="page"/>
      </w:r>
    </w:p>
    <w:p w14:paraId="54E98A5D" w14:textId="77777777" w:rsidR="00E3506F" w:rsidRDefault="00000000">
      <w:pPr>
        <w:pStyle w:val="Heading1"/>
      </w:pPr>
      <w:bookmarkStart w:id="51" w:name="_Toc237392297"/>
      <w:r>
        <w:lastRenderedPageBreak/>
        <w:t>Appendix</w:t>
      </w:r>
      <w:bookmarkEnd w:id="51"/>
    </w:p>
    <w:p w14:paraId="1E6DF8D0" w14:textId="77777777" w:rsidR="00E3506F" w:rsidRDefault="00000000">
      <w:pPr>
        <w:jc w:val="center"/>
        <w:rPr>
          <w:b/>
          <w:bCs/>
        </w:rPr>
      </w:pPr>
      <w:r>
        <w:rPr>
          <w:b/>
          <w:bCs/>
          <w:noProof/>
        </w:rPr>
        <w:drawing>
          <wp:inline distT="114300" distB="114300" distL="114300" distR="114300" wp14:anchorId="1AE6AE40" wp14:editId="1EB797A8">
            <wp:extent cx="5943600" cy="1905000"/>
            <wp:effectExtent l="25400" t="25400" r="25400" b="254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943600" cy="1905000"/>
                    </a:xfrm>
                    <a:prstGeom prst="rect">
                      <a:avLst/>
                    </a:prstGeom>
                    <a:ln w="25400">
                      <a:solidFill>
                        <a:srgbClr val="000000"/>
                      </a:solidFill>
                      <a:prstDash val="solid"/>
                    </a:ln>
                  </pic:spPr>
                </pic:pic>
              </a:graphicData>
            </a:graphic>
          </wp:inline>
        </w:drawing>
      </w:r>
    </w:p>
    <w:p w14:paraId="7BEF1408" w14:textId="77777777" w:rsidR="00E3506F" w:rsidRDefault="00000000">
      <w:pPr>
        <w:jc w:val="center"/>
      </w:pPr>
      <w:r>
        <w:rPr>
          <w:b/>
          <w:bCs/>
        </w:rPr>
        <w:t>Table: Profitability Ratios</w:t>
      </w:r>
    </w:p>
    <w:p w14:paraId="1DE07A42" w14:textId="77777777" w:rsidR="00E3506F" w:rsidRDefault="00000000">
      <w:pPr>
        <w:jc w:val="center"/>
      </w:pPr>
      <w:r>
        <w:rPr>
          <w:noProof/>
        </w:rPr>
        <w:drawing>
          <wp:inline distT="114300" distB="114300" distL="114300" distR="114300" wp14:anchorId="0441C9AC" wp14:editId="6AE28374">
            <wp:extent cx="5943600" cy="977900"/>
            <wp:effectExtent l="25400" t="25400" r="25400" b="25400"/>
            <wp:docPr id="2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5943600" cy="977900"/>
                    </a:xfrm>
                    <a:prstGeom prst="rect">
                      <a:avLst/>
                    </a:prstGeom>
                    <a:ln w="25400">
                      <a:solidFill>
                        <a:srgbClr val="000000"/>
                      </a:solidFill>
                      <a:prstDash val="solid"/>
                    </a:ln>
                  </pic:spPr>
                </pic:pic>
              </a:graphicData>
            </a:graphic>
          </wp:inline>
        </w:drawing>
      </w:r>
    </w:p>
    <w:p w14:paraId="47BEF97D" w14:textId="77777777" w:rsidR="00E3506F" w:rsidRDefault="00000000">
      <w:pPr>
        <w:jc w:val="center"/>
      </w:pPr>
      <w:r>
        <w:rPr>
          <w:b/>
          <w:bCs/>
        </w:rPr>
        <w:t>Table: Market Ratios</w:t>
      </w:r>
    </w:p>
    <w:p w14:paraId="0475FD24" w14:textId="77777777" w:rsidR="00E3506F" w:rsidRDefault="00000000">
      <w:pPr>
        <w:jc w:val="center"/>
      </w:pPr>
      <w:r>
        <w:rPr>
          <w:noProof/>
        </w:rPr>
        <w:drawing>
          <wp:inline distT="114300" distB="114300" distL="114300" distR="114300" wp14:anchorId="0ED9ED48" wp14:editId="5970AB9C">
            <wp:extent cx="5943600" cy="2222500"/>
            <wp:effectExtent l="25400" t="25400" r="25400" b="25400"/>
            <wp:docPr id="31"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3"/>
                    <a:srcRect/>
                    <a:stretch>
                      <a:fillRect/>
                    </a:stretch>
                  </pic:blipFill>
                  <pic:spPr>
                    <a:xfrm>
                      <a:off x="0" y="0"/>
                      <a:ext cx="5943600" cy="2222500"/>
                    </a:xfrm>
                    <a:prstGeom prst="rect">
                      <a:avLst/>
                    </a:prstGeom>
                    <a:ln w="25400">
                      <a:solidFill>
                        <a:srgbClr val="000000"/>
                      </a:solidFill>
                      <a:prstDash val="solid"/>
                    </a:ln>
                  </pic:spPr>
                </pic:pic>
              </a:graphicData>
            </a:graphic>
          </wp:inline>
        </w:drawing>
      </w:r>
    </w:p>
    <w:p w14:paraId="3D7D018E" w14:textId="77777777" w:rsidR="00E3506F" w:rsidRDefault="00000000">
      <w:pPr>
        <w:jc w:val="center"/>
      </w:pPr>
      <w:r>
        <w:rPr>
          <w:b/>
          <w:bCs/>
        </w:rPr>
        <w:t>Table: Efficiency Ratios</w:t>
      </w:r>
    </w:p>
    <w:p w14:paraId="7FB17641" w14:textId="77777777" w:rsidR="00E3506F" w:rsidRDefault="00000000">
      <w:pPr>
        <w:jc w:val="center"/>
      </w:pPr>
      <w:r>
        <w:rPr>
          <w:noProof/>
        </w:rPr>
        <w:drawing>
          <wp:inline distT="114300" distB="114300" distL="114300" distR="114300" wp14:anchorId="52747250" wp14:editId="58523D74">
            <wp:extent cx="5943600" cy="1028700"/>
            <wp:effectExtent l="25400" t="25400" r="25400" b="25400"/>
            <wp:docPr id="21"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5"/>
                    <a:srcRect/>
                    <a:stretch>
                      <a:fillRect/>
                    </a:stretch>
                  </pic:blipFill>
                  <pic:spPr>
                    <a:xfrm>
                      <a:off x="0" y="0"/>
                      <a:ext cx="5943600" cy="1028700"/>
                    </a:xfrm>
                    <a:prstGeom prst="rect">
                      <a:avLst/>
                    </a:prstGeom>
                    <a:ln w="25400">
                      <a:solidFill>
                        <a:srgbClr val="000000"/>
                      </a:solidFill>
                      <a:prstDash val="solid"/>
                    </a:ln>
                  </pic:spPr>
                </pic:pic>
              </a:graphicData>
            </a:graphic>
          </wp:inline>
        </w:drawing>
      </w:r>
    </w:p>
    <w:p w14:paraId="56129B5D" w14:textId="77777777" w:rsidR="00E3506F" w:rsidRDefault="00000000">
      <w:pPr>
        <w:jc w:val="center"/>
      </w:pPr>
      <w:r>
        <w:rPr>
          <w:b/>
          <w:bCs/>
        </w:rPr>
        <w:t>Table: Liquidity Ratios</w:t>
      </w:r>
    </w:p>
    <w:p w14:paraId="22DF3373" w14:textId="77777777" w:rsidR="00E3506F" w:rsidRDefault="00000000">
      <w:pPr>
        <w:jc w:val="center"/>
      </w:pPr>
      <w:r>
        <w:rPr>
          <w:noProof/>
        </w:rPr>
        <w:lastRenderedPageBreak/>
        <w:drawing>
          <wp:inline distT="114300" distB="114300" distL="114300" distR="114300" wp14:anchorId="660C7589" wp14:editId="07060647">
            <wp:extent cx="5943600" cy="1092200"/>
            <wp:effectExtent l="25400" t="25400" r="25400" b="25400"/>
            <wp:docPr id="40"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17"/>
                    <a:srcRect/>
                    <a:stretch>
                      <a:fillRect/>
                    </a:stretch>
                  </pic:blipFill>
                  <pic:spPr>
                    <a:xfrm>
                      <a:off x="0" y="0"/>
                      <a:ext cx="5943600" cy="1092200"/>
                    </a:xfrm>
                    <a:prstGeom prst="rect">
                      <a:avLst/>
                    </a:prstGeom>
                    <a:ln w="25400">
                      <a:solidFill>
                        <a:srgbClr val="000000"/>
                      </a:solidFill>
                      <a:prstDash val="solid"/>
                    </a:ln>
                  </pic:spPr>
                </pic:pic>
              </a:graphicData>
            </a:graphic>
          </wp:inline>
        </w:drawing>
      </w:r>
    </w:p>
    <w:p w14:paraId="67C5957F" w14:textId="77777777" w:rsidR="00E3506F" w:rsidRDefault="00000000">
      <w:pPr>
        <w:jc w:val="center"/>
      </w:pPr>
      <w:r>
        <w:rPr>
          <w:b/>
          <w:bCs/>
        </w:rPr>
        <w:t>Table: Gearing Ratios</w:t>
      </w:r>
    </w:p>
    <w:p w14:paraId="2205175C" w14:textId="77777777" w:rsidR="00E3506F" w:rsidRDefault="00000000">
      <w:pPr>
        <w:jc w:val="center"/>
      </w:pPr>
      <w:r>
        <w:rPr>
          <w:noProof/>
        </w:rPr>
        <w:drawing>
          <wp:inline distT="114300" distB="114300" distL="114300" distR="114300" wp14:anchorId="0D2B8ECA" wp14:editId="5B118950">
            <wp:extent cx="5943600" cy="965200"/>
            <wp:effectExtent l="25400" t="25400" r="25400" b="25400"/>
            <wp:docPr id="3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9"/>
                    <a:srcRect/>
                    <a:stretch>
                      <a:fillRect/>
                    </a:stretch>
                  </pic:blipFill>
                  <pic:spPr>
                    <a:xfrm>
                      <a:off x="0" y="0"/>
                      <a:ext cx="5943600" cy="965200"/>
                    </a:xfrm>
                    <a:prstGeom prst="rect">
                      <a:avLst/>
                    </a:prstGeom>
                    <a:ln w="25400">
                      <a:solidFill>
                        <a:srgbClr val="000000"/>
                      </a:solidFill>
                      <a:prstDash val="solid"/>
                    </a:ln>
                  </pic:spPr>
                </pic:pic>
              </a:graphicData>
            </a:graphic>
          </wp:inline>
        </w:drawing>
      </w:r>
    </w:p>
    <w:p w14:paraId="385DDF51" w14:textId="77777777" w:rsidR="00E3506F" w:rsidRDefault="00000000">
      <w:pPr>
        <w:jc w:val="center"/>
        <w:rPr>
          <w:b/>
          <w:bCs/>
        </w:rPr>
      </w:pPr>
      <w:r>
        <w:rPr>
          <w:b/>
          <w:bCs/>
        </w:rPr>
        <w:t>Table: Cash Flow Ratios</w:t>
      </w:r>
    </w:p>
    <w:p w14:paraId="044CF76D" w14:textId="77777777" w:rsidR="00E3506F" w:rsidRDefault="00E3506F">
      <w:pPr>
        <w:pStyle w:val="Heading2"/>
      </w:pPr>
      <w:bookmarkStart w:id="52" w:name="_tkh8tiz68d" w:colFirst="0" w:colLast="0"/>
      <w:bookmarkEnd w:id="52"/>
    </w:p>
    <w:p w14:paraId="17BCD1A3" w14:textId="77777777" w:rsidR="00E3506F" w:rsidRDefault="00000000">
      <w:pPr>
        <w:jc w:val="center"/>
        <w:rPr>
          <w:b/>
          <w:bCs/>
        </w:rPr>
      </w:pPr>
      <w:r>
        <w:rPr>
          <w:b/>
          <w:bCs/>
          <w:noProof/>
        </w:rPr>
        <w:drawing>
          <wp:inline distT="114300" distB="114300" distL="114300" distR="114300" wp14:anchorId="4ACDA92A" wp14:editId="4EDF87B3">
            <wp:extent cx="3605856" cy="5911239"/>
            <wp:effectExtent l="25400" t="25400" r="25400" b="25400"/>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4"/>
                    <a:srcRect/>
                    <a:stretch>
                      <a:fillRect/>
                    </a:stretch>
                  </pic:blipFill>
                  <pic:spPr>
                    <a:xfrm>
                      <a:off x="0" y="0"/>
                      <a:ext cx="3605856" cy="5911239"/>
                    </a:xfrm>
                    <a:prstGeom prst="rect">
                      <a:avLst/>
                    </a:prstGeom>
                    <a:ln w="25400">
                      <a:solidFill>
                        <a:srgbClr val="000000"/>
                      </a:solidFill>
                      <a:prstDash val="solid"/>
                    </a:ln>
                  </pic:spPr>
                </pic:pic>
              </a:graphicData>
            </a:graphic>
          </wp:inline>
        </w:drawing>
      </w:r>
    </w:p>
    <w:p w14:paraId="41C3272B" w14:textId="77777777" w:rsidR="00E3506F" w:rsidRDefault="00000000">
      <w:pPr>
        <w:jc w:val="center"/>
      </w:pPr>
      <w:r>
        <w:rPr>
          <w:b/>
          <w:bCs/>
        </w:rPr>
        <w:t>Table: Payback Period</w:t>
      </w:r>
    </w:p>
    <w:p w14:paraId="76C26500" w14:textId="77777777" w:rsidR="00E3506F" w:rsidRDefault="00000000">
      <w:pPr>
        <w:jc w:val="center"/>
        <w:rPr>
          <w:b/>
          <w:bCs/>
        </w:rPr>
      </w:pPr>
      <w:r>
        <w:rPr>
          <w:b/>
          <w:bCs/>
          <w:noProof/>
        </w:rPr>
        <w:lastRenderedPageBreak/>
        <w:drawing>
          <wp:inline distT="114300" distB="114300" distL="114300" distR="114300" wp14:anchorId="7065B6E4" wp14:editId="09263301">
            <wp:extent cx="2586038" cy="4631358"/>
            <wp:effectExtent l="25400" t="25400" r="25400" b="25400"/>
            <wp:docPr id="38"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25"/>
                    <a:srcRect/>
                    <a:stretch>
                      <a:fillRect/>
                    </a:stretch>
                  </pic:blipFill>
                  <pic:spPr>
                    <a:xfrm>
                      <a:off x="0" y="0"/>
                      <a:ext cx="2586038" cy="4631358"/>
                    </a:xfrm>
                    <a:prstGeom prst="rect">
                      <a:avLst/>
                    </a:prstGeom>
                    <a:ln w="25400">
                      <a:solidFill>
                        <a:srgbClr val="000000"/>
                      </a:solidFill>
                      <a:prstDash val="solid"/>
                    </a:ln>
                  </pic:spPr>
                </pic:pic>
              </a:graphicData>
            </a:graphic>
          </wp:inline>
        </w:drawing>
      </w:r>
    </w:p>
    <w:p w14:paraId="1AA99CAD" w14:textId="77777777" w:rsidR="00E3506F" w:rsidRDefault="00000000">
      <w:pPr>
        <w:jc w:val="center"/>
      </w:pPr>
      <w:r>
        <w:rPr>
          <w:b/>
          <w:bCs/>
        </w:rPr>
        <w:t xml:space="preserve">Table: Accounting Rate of Return (ARR) </w:t>
      </w:r>
    </w:p>
    <w:p w14:paraId="77EC4D12" w14:textId="77777777" w:rsidR="00E3506F" w:rsidRDefault="00000000">
      <w:pPr>
        <w:jc w:val="center"/>
        <w:rPr>
          <w:b/>
          <w:bCs/>
        </w:rPr>
      </w:pPr>
      <w:r>
        <w:rPr>
          <w:b/>
          <w:bCs/>
          <w:noProof/>
        </w:rPr>
        <w:lastRenderedPageBreak/>
        <w:drawing>
          <wp:inline distT="114300" distB="114300" distL="114300" distR="114300" wp14:anchorId="197F6FAD" wp14:editId="48EC102C">
            <wp:extent cx="3690938" cy="4219972"/>
            <wp:effectExtent l="25400" t="25400" r="25400" b="25400"/>
            <wp:docPr id="3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6"/>
                    <a:srcRect/>
                    <a:stretch>
                      <a:fillRect/>
                    </a:stretch>
                  </pic:blipFill>
                  <pic:spPr>
                    <a:xfrm>
                      <a:off x="0" y="0"/>
                      <a:ext cx="3690938" cy="4219972"/>
                    </a:xfrm>
                    <a:prstGeom prst="rect">
                      <a:avLst/>
                    </a:prstGeom>
                    <a:ln w="25400">
                      <a:solidFill>
                        <a:srgbClr val="000000"/>
                      </a:solidFill>
                      <a:prstDash val="solid"/>
                    </a:ln>
                  </pic:spPr>
                </pic:pic>
              </a:graphicData>
            </a:graphic>
          </wp:inline>
        </w:drawing>
      </w:r>
    </w:p>
    <w:p w14:paraId="3F559C88" w14:textId="77777777" w:rsidR="00E3506F" w:rsidRDefault="00000000">
      <w:pPr>
        <w:jc w:val="center"/>
      </w:pPr>
      <w:r>
        <w:rPr>
          <w:b/>
          <w:bCs/>
        </w:rPr>
        <w:t>Table: Net Present Value (NPV)</w:t>
      </w:r>
    </w:p>
    <w:p w14:paraId="5262E3F3" w14:textId="77777777" w:rsidR="00E3506F" w:rsidRDefault="00000000" w:rsidP="00C02E40">
      <w:pPr>
        <w:jc w:val="center"/>
      </w:pPr>
      <w:bookmarkStart w:id="53" w:name="_h1kahmtkri5t" w:colFirst="0" w:colLast="0"/>
      <w:bookmarkEnd w:id="53"/>
      <w:r>
        <w:rPr>
          <w:noProof/>
        </w:rPr>
        <w:lastRenderedPageBreak/>
        <w:drawing>
          <wp:inline distT="114300" distB="114300" distL="114300" distR="114300" wp14:anchorId="23353709" wp14:editId="4B8D1FF2">
            <wp:extent cx="3532807" cy="4234839"/>
            <wp:effectExtent l="25400" t="25400" r="25400" b="25400"/>
            <wp:docPr id="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7"/>
                    <a:srcRect/>
                    <a:stretch>
                      <a:fillRect/>
                    </a:stretch>
                  </pic:blipFill>
                  <pic:spPr>
                    <a:xfrm>
                      <a:off x="0" y="0"/>
                      <a:ext cx="3532807" cy="4234839"/>
                    </a:xfrm>
                    <a:prstGeom prst="rect">
                      <a:avLst/>
                    </a:prstGeom>
                    <a:ln w="25400">
                      <a:solidFill>
                        <a:srgbClr val="000000"/>
                      </a:solidFill>
                      <a:prstDash val="solid"/>
                    </a:ln>
                  </pic:spPr>
                </pic:pic>
              </a:graphicData>
            </a:graphic>
          </wp:inline>
        </w:drawing>
      </w:r>
    </w:p>
    <w:p w14:paraId="36CFB340" w14:textId="77777777" w:rsidR="00E3506F" w:rsidRDefault="00000000">
      <w:pPr>
        <w:jc w:val="center"/>
      </w:pPr>
      <w:r>
        <w:rPr>
          <w:b/>
          <w:bCs/>
        </w:rPr>
        <w:t xml:space="preserve">Table: Profitability Index (PI) </w:t>
      </w:r>
    </w:p>
    <w:p w14:paraId="591C6D26" w14:textId="77777777" w:rsidR="00E3506F" w:rsidRDefault="00000000">
      <w:pPr>
        <w:jc w:val="center"/>
        <w:rPr>
          <w:b/>
          <w:bCs/>
        </w:rPr>
      </w:pPr>
      <w:r>
        <w:rPr>
          <w:b/>
          <w:bCs/>
          <w:noProof/>
        </w:rPr>
        <w:lastRenderedPageBreak/>
        <w:drawing>
          <wp:inline distT="114300" distB="114300" distL="114300" distR="114300" wp14:anchorId="000F724A" wp14:editId="6BA03F85">
            <wp:extent cx="3081338" cy="5286375"/>
            <wp:effectExtent l="25400" t="25400" r="25400" b="25400"/>
            <wp:docPr id="1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8"/>
                    <a:srcRect/>
                    <a:stretch>
                      <a:fillRect/>
                    </a:stretch>
                  </pic:blipFill>
                  <pic:spPr>
                    <a:xfrm>
                      <a:off x="0" y="0"/>
                      <a:ext cx="3081338" cy="5286375"/>
                    </a:xfrm>
                    <a:prstGeom prst="rect">
                      <a:avLst/>
                    </a:prstGeom>
                    <a:ln w="25400">
                      <a:solidFill>
                        <a:srgbClr val="000000"/>
                      </a:solidFill>
                      <a:prstDash val="solid"/>
                    </a:ln>
                  </pic:spPr>
                </pic:pic>
              </a:graphicData>
            </a:graphic>
          </wp:inline>
        </w:drawing>
      </w:r>
    </w:p>
    <w:p w14:paraId="32942EE9" w14:textId="77777777" w:rsidR="00E3506F" w:rsidRDefault="00000000">
      <w:pPr>
        <w:jc w:val="center"/>
        <w:rPr>
          <w:b/>
          <w:bCs/>
        </w:rPr>
      </w:pPr>
      <w:r>
        <w:rPr>
          <w:b/>
          <w:bCs/>
        </w:rPr>
        <w:t>Table: Internal Rate of Return (IRR)</w:t>
      </w:r>
    </w:p>
    <w:p w14:paraId="79D86DE4" w14:textId="77777777" w:rsidR="00E3506F" w:rsidRDefault="00000000">
      <w:pPr>
        <w:jc w:val="center"/>
        <w:rPr>
          <w:b/>
          <w:bCs/>
        </w:rPr>
      </w:pPr>
      <w:r>
        <w:rPr>
          <w:b/>
          <w:bCs/>
          <w:noProof/>
        </w:rPr>
        <w:lastRenderedPageBreak/>
        <w:drawing>
          <wp:inline distT="114300" distB="114300" distL="114300" distR="114300" wp14:anchorId="7DB1CBD2" wp14:editId="28E54488">
            <wp:extent cx="5943600" cy="6464300"/>
            <wp:effectExtent l="25400" t="25400" r="25400" b="25400"/>
            <wp:docPr id="15"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03"/>
                    <a:srcRect/>
                    <a:stretch>
                      <a:fillRect/>
                    </a:stretch>
                  </pic:blipFill>
                  <pic:spPr>
                    <a:xfrm>
                      <a:off x="0" y="0"/>
                      <a:ext cx="5943600" cy="6464300"/>
                    </a:xfrm>
                    <a:prstGeom prst="rect">
                      <a:avLst/>
                    </a:prstGeom>
                    <a:ln w="25400">
                      <a:solidFill>
                        <a:srgbClr val="000000"/>
                      </a:solidFill>
                      <a:prstDash val="solid"/>
                    </a:ln>
                  </pic:spPr>
                </pic:pic>
              </a:graphicData>
            </a:graphic>
          </wp:inline>
        </w:drawing>
      </w:r>
    </w:p>
    <w:p w14:paraId="7EFCCE71" w14:textId="77777777" w:rsidR="00E3506F" w:rsidRDefault="00000000">
      <w:pPr>
        <w:jc w:val="center"/>
        <w:rPr>
          <w:b/>
          <w:bCs/>
        </w:rPr>
      </w:pPr>
      <w:r>
        <w:rPr>
          <w:b/>
          <w:bCs/>
        </w:rPr>
        <w:t>Figure: Profit and Loss Statement 2019-2020</w:t>
      </w:r>
    </w:p>
    <w:p w14:paraId="4388C6C0" w14:textId="77777777" w:rsidR="00E3506F" w:rsidRDefault="00000000">
      <w:pPr>
        <w:jc w:val="center"/>
        <w:rPr>
          <w:b/>
          <w:bCs/>
        </w:rPr>
      </w:pPr>
      <w:r>
        <w:rPr>
          <w:noProof/>
        </w:rPr>
        <w:lastRenderedPageBreak/>
        <w:drawing>
          <wp:inline distT="114300" distB="114300" distL="114300" distR="114300" wp14:anchorId="7E82D804" wp14:editId="7CA5FDA5">
            <wp:extent cx="5943600" cy="6146800"/>
            <wp:effectExtent l="25400" t="25400" r="25400" b="25400"/>
            <wp:docPr id="17"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04"/>
                    <a:srcRect/>
                    <a:stretch>
                      <a:fillRect/>
                    </a:stretch>
                  </pic:blipFill>
                  <pic:spPr>
                    <a:xfrm>
                      <a:off x="0" y="0"/>
                      <a:ext cx="5943600" cy="6146800"/>
                    </a:xfrm>
                    <a:prstGeom prst="rect">
                      <a:avLst/>
                    </a:prstGeom>
                    <a:ln w="25400">
                      <a:solidFill>
                        <a:srgbClr val="000000"/>
                      </a:solidFill>
                      <a:prstDash val="solid"/>
                    </a:ln>
                  </pic:spPr>
                </pic:pic>
              </a:graphicData>
            </a:graphic>
          </wp:inline>
        </w:drawing>
      </w:r>
    </w:p>
    <w:p w14:paraId="713D9DC5" w14:textId="77777777" w:rsidR="00E3506F" w:rsidRDefault="00000000">
      <w:pPr>
        <w:jc w:val="center"/>
        <w:rPr>
          <w:b/>
          <w:bCs/>
        </w:rPr>
      </w:pPr>
      <w:r>
        <w:rPr>
          <w:b/>
          <w:bCs/>
        </w:rPr>
        <w:t>Figure: Profit and Loss Statement 2020-2021</w:t>
      </w:r>
    </w:p>
    <w:p w14:paraId="63DA8F97" w14:textId="77777777" w:rsidR="00E3506F" w:rsidRDefault="00000000">
      <w:pPr>
        <w:jc w:val="center"/>
        <w:rPr>
          <w:b/>
          <w:bCs/>
        </w:rPr>
      </w:pPr>
      <w:r>
        <w:rPr>
          <w:noProof/>
        </w:rPr>
        <w:lastRenderedPageBreak/>
        <w:drawing>
          <wp:inline distT="114300" distB="114300" distL="114300" distR="114300" wp14:anchorId="0700AE3D" wp14:editId="4029010C">
            <wp:extent cx="5943600" cy="6197600"/>
            <wp:effectExtent l="25400" t="25400" r="25400" b="25400"/>
            <wp:docPr id="12"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05"/>
                    <a:srcRect/>
                    <a:stretch>
                      <a:fillRect/>
                    </a:stretch>
                  </pic:blipFill>
                  <pic:spPr>
                    <a:xfrm>
                      <a:off x="0" y="0"/>
                      <a:ext cx="5943600" cy="6197600"/>
                    </a:xfrm>
                    <a:prstGeom prst="rect">
                      <a:avLst/>
                    </a:prstGeom>
                    <a:ln w="25400">
                      <a:solidFill>
                        <a:srgbClr val="000000"/>
                      </a:solidFill>
                      <a:prstDash val="solid"/>
                    </a:ln>
                  </pic:spPr>
                </pic:pic>
              </a:graphicData>
            </a:graphic>
          </wp:inline>
        </w:drawing>
      </w:r>
    </w:p>
    <w:p w14:paraId="52C38BF7" w14:textId="77777777" w:rsidR="00E3506F" w:rsidRDefault="00000000">
      <w:pPr>
        <w:jc w:val="center"/>
        <w:rPr>
          <w:b/>
          <w:bCs/>
        </w:rPr>
      </w:pPr>
      <w:r>
        <w:rPr>
          <w:b/>
          <w:bCs/>
        </w:rPr>
        <w:t>Figure: Profit and Loss Statement 2021-2022</w:t>
      </w:r>
    </w:p>
    <w:p w14:paraId="32DD6317" w14:textId="77777777" w:rsidR="00E3506F" w:rsidRDefault="00000000">
      <w:pPr>
        <w:jc w:val="center"/>
        <w:rPr>
          <w:b/>
          <w:bCs/>
        </w:rPr>
      </w:pPr>
      <w:r>
        <w:rPr>
          <w:noProof/>
        </w:rPr>
        <w:lastRenderedPageBreak/>
        <w:drawing>
          <wp:inline distT="114300" distB="114300" distL="114300" distR="114300" wp14:anchorId="001A0D9E" wp14:editId="02891B3A">
            <wp:extent cx="5943600" cy="6324600"/>
            <wp:effectExtent l="25400" t="25400" r="25400" b="25400"/>
            <wp:docPr id="1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06"/>
                    <a:srcRect/>
                    <a:stretch>
                      <a:fillRect/>
                    </a:stretch>
                  </pic:blipFill>
                  <pic:spPr>
                    <a:xfrm>
                      <a:off x="0" y="0"/>
                      <a:ext cx="5943600" cy="6324600"/>
                    </a:xfrm>
                    <a:prstGeom prst="rect">
                      <a:avLst/>
                    </a:prstGeom>
                    <a:ln w="25400">
                      <a:solidFill>
                        <a:srgbClr val="000000"/>
                      </a:solidFill>
                      <a:prstDash val="solid"/>
                    </a:ln>
                  </pic:spPr>
                </pic:pic>
              </a:graphicData>
            </a:graphic>
          </wp:inline>
        </w:drawing>
      </w:r>
    </w:p>
    <w:p w14:paraId="722F3375" w14:textId="77777777" w:rsidR="00E3506F" w:rsidRDefault="00000000">
      <w:pPr>
        <w:jc w:val="center"/>
        <w:rPr>
          <w:b/>
          <w:bCs/>
        </w:rPr>
      </w:pPr>
      <w:r>
        <w:rPr>
          <w:b/>
          <w:bCs/>
        </w:rPr>
        <w:t>Figure: Profit and Loss Statement 2022-2023</w:t>
      </w:r>
    </w:p>
    <w:p w14:paraId="17D601FF" w14:textId="77777777" w:rsidR="00E3506F" w:rsidRDefault="00000000">
      <w:pPr>
        <w:jc w:val="center"/>
        <w:rPr>
          <w:b/>
          <w:bCs/>
        </w:rPr>
      </w:pPr>
      <w:r>
        <w:rPr>
          <w:noProof/>
        </w:rPr>
        <w:lastRenderedPageBreak/>
        <w:drawing>
          <wp:inline distT="114300" distB="114300" distL="114300" distR="114300" wp14:anchorId="60E635B8" wp14:editId="7AA7BE27">
            <wp:extent cx="5943600" cy="6400800"/>
            <wp:effectExtent l="25400" t="25400" r="25400" b="25400"/>
            <wp:docPr id="44"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107"/>
                    <a:srcRect/>
                    <a:stretch>
                      <a:fillRect/>
                    </a:stretch>
                  </pic:blipFill>
                  <pic:spPr>
                    <a:xfrm>
                      <a:off x="0" y="0"/>
                      <a:ext cx="5943600" cy="6400800"/>
                    </a:xfrm>
                    <a:prstGeom prst="rect">
                      <a:avLst/>
                    </a:prstGeom>
                    <a:ln w="25400">
                      <a:solidFill>
                        <a:srgbClr val="000000"/>
                      </a:solidFill>
                      <a:prstDash val="solid"/>
                    </a:ln>
                  </pic:spPr>
                </pic:pic>
              </a:graphicData>
            </a:graphic>
          </wp:inline>
        </w:drawing>
      </w:r>
    </w:p>
    <w:p w14:paraId="08175C19" w14:textId="77777777" w:rsidR="00E3506F" w:rsidRDefault="00000000">
      <w:pPr>
        <w:jc w:val="center"/>
        <w:rPr>
          <w:b/>
          <w:bCs/>
        </w:rPr>
      </w:pPr>
      <w:r>
        <w:rPr>
          <w:b/>
          <w:bCs/>
        </w:rPr>
        <w:t>Figure: Profit and Loss Statement 2023-2024</w:t>
      </w:r>
    </w:p>
    <w:p w14:paraId="0334D100" w14:textId="77777777" w:rsidR="00E3506F" w:rsidRDefault="00000000">
      <w:pPr>
        <w:jc w:val="center"/>
      </w:pPr>
      <w:r>
        <w:rPr>
          <w:noProof/>
        </w:rPr>
        <w:lastRenderedPageBreak/>
        <w:drawing>
          <wp:inline distT="114300" distB="114300" distL="114300" distR="114300" wp14:anchorId="1036D4C8" wp14:editId="228DC4D0">
            <wp:extent cx="5943600" cy="6146800"/>
            <wp:effectExtent l="25400" t="25400" r="25400" b="25400"/>
            <wp:docPr id="50"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108"/>
                    <a:srcRect/>
                    <a:stretch>
                      <a:fillRect/>
                    </a:stretch>
                  </pic:blipFill>
                  <pic:spPr>
                    <a:xfrm>
                      <a:off x="0" y="0"/>
                      <a:ext cx="5943600" cy="6146800"/>
                    </a:xfrm>
                    <a:prstGeom prst="rect">
                      <a:avLst/>
                    </a:prstGeom>
                    <a:ln w="25400">
                      <a:solidFill>
                        <a:srgbClr val="000000"/>
                      </a:solidFill>
                      <a:prstDash val="solid"/>
                    </a:ln>
                  </pic:spPr>
                </pic:pic>
              </a:graphicData>
            </a:graphic>
          </wp:inline>
        </w:drawing>
      </w:r>
    </w:p>
    <w:p w14:paraId="1C429D08" w14:textId="77777777" w:rsidR="00E3506F" w:rsidRDefault="00000000">
      <w:pPr>
        <w:jc w:val="center"/>
        <w:rPr>
          <w:b/>
          <w:bCs/>
        </w:rPr>
      </w:pPr>
      <w:r>
        <w:rPr>
          <w:b/>
          <w:bCs/>
        </w:rPr>
        <w:t>Figure: Profit and Loss Statement 2024-2025</w:t>
      </w:r>
    </w:p>
    <w:p w14:paraId="428EFFF2" w14:textId="77777777" w:rsidR="00E3506F" w:rsidRDefault="00000000">
      <w:pPr>
        <w:jc w:val="center"/>
        <w:rPr>
          <w:b/>
          <w:bCs/>
        </w:rPr>
      </w:pPr>
      <w:r>
        <w:rPr>
          <w:b/>
          <w:bCs/>
          <w:noProof/>
        </w:rPr>
        <w:lastRenderedPageBreak/>
        <w:drawing>
          <wp:inline distT="114300" distB="114300" distL="114300" distR="114300" wp14:anchorId="33C43655" wp14:editId="09651B65">
            <wp:extent cx="5943600" cy="6896100"/>
            <wp:effectExtent l="25400" t="25400" r="25400" b="25400"/>
            <wp:docPr id="49"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109"/>
                    <a:srcRect/>
                    <a:stretch>
                      <a:fillRect/>
                    </a:stretch>
                  </pic:blipFill>
                  <pic:spPr>
                    <a:xfrm>
                      <a:off x="0" y="0"/>
                      <a:ext cx="5943600" cy="6896100"/>
                    </a:xfrm>
                    <a:prstGeom prst="rect">
                      <a:avLst/>
                    </a:prstGeom>
                    <a:ln w="25400">
                      <a:solidFill>
                        <a:srgbClr val="000000"/>
                      </a:solidFill>
                      <a:prstDash val="solid"/>
                    </a:ln>
                  </pic:spPr>
                </pic:pic>
              </a:graphicData>
            </a:graphic>
          </wp:inline>
        </w:drawing>
      </w:r>
    </w:p>
    <w:p w14:paraId="02FDAEB3" w14:textId="77777777" w:rsidR="00E3506F" w:rsidRDefault="00000000">
      <w:pPr>
        <w:jc w:val="center"/>
        <w:rPr>
          <w:b/>
          <w:bCs/>
        </w:rPr>
      </w:pPr>
      <w:r>
        <w:rPr>
          <w:b/>
          <w:bCs/>
        </w:rPr>
        <w:t>Figure: Assets Position for the Year Ended 2019-2020</w:t>
      </w:r>
    </w:p>
    <w:p w14:paraId="5923BCF4" w14:textId="77777777" w:rsidR="00E3506F" w:rsidRDefault="00000000">
      <w:pPr>
        <w:jc w:val="center"/>
        <w:rPr>
          <w:b/>
          <w:bCs/>
        </w:rPr>
      </w:pPr>
      <w:r>
        <w:rPr>
          <w:b/>
          <w:bCs/>
          <w:noProof/>
        </w:rPr>
        <w:lastRenderedPageBreak/>
        <w:drawing>
          <wp:inline distT="114300" distB="114300" distL="114300" distR="114300" wp14:anchorId="06D8B43B" wp14:editId="4286FA4C">
            <wp:extent cx="5943600" cy="8039100"/>
            <wp:effectExtent l="25400" t="25400" r="25400" b="25400"/>
            <wp:docPr id="46"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110"/>
                    <a:srcRect/>
                    <a:stretch>
                      <a:fillRect/>
                    </a:stretch>
                  </pic:blipFill>
                  <pic:spPr>
                    <a:xfrm>
                      <a:off x="0" y="0"/>
                      <a:ext cx="5943600" cy="8039100"/>
                    </a:xfrm>
                    <a:prstGeom prst="rect">
                      <a:avLst/>
                    </a:prstGeom>
                    <a:ln w="25400">
                      <a:solidFill>
                        <a:srgbClr val="000000"/>
                      </a:solidFill>
                      <a:prstDash val="solid"/>
                    </a:ln>
                  </pic:spPr>
                </pic:pic>
              </a:graphicData>
            </a:graphic>
          </wp:inline>
        </w:drawing>
      </w:r>
    </w:p>
    <w:p w14:paraId="4B14B1C3" w14:textId="77777777" w:rsidR="00E3506F" w:rsidRDefault="00000000">
      <w:pPr>
        <w:jc w:val="center"/>
        <w:rPr>
          <w:b/>
          <w:bCs/>
        </w:rPr>
      </w:pPr>
      <w:r>
        <w:rPr>
          <w:b/>
          <w:bCs/>
        </w:rPr>
        <w:lastRenderedPageBreak/>
        <w:t>Figure: Liabilities and Equity Position for the Year Ended 2019-2020</w:t>
      </w:r>
    </w:p>
    <w:p w14:paraId="73F45D81" w14:textId="77777777" w:rsidR="00E3506F" w:rsidRDefault="00000000">
      <w:pPr>
        <w:jc w:val="center"/>
        <w:rPr>
          <w:b/>
          <w:bCs/>
        </w:rPr>
      </w:pPr>
      <w:r>
        <w:rPr>
          <w:b/>
          <w:bCs/>
          <w:noProof/>
        </w:rPr>
        <w:drawing>
          <wp:inline distT="114300" distB="114300" distL="114300" distR="114300" wp14:anchorId="4F3D1EA9" wp14:editId="76CE0631">
            <wp:extent cx="5943600" cy="7175500"/>
            <wp:effectExtent l="25400" t="25400" r="25400" b="25400"/>
            <wp:docPr id="25"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111"/>
                    <a:srcRect/>
                    <a:stretch>
                      <a:fillRect/>
                    </a:stretch>
                  </pic:blipFill>
                  <pic:spPr>
                    <a:xfrm>
                      <a:off x="0" y="0"/>
                      <a:ext cx="5943600" cy="7175500"/>
                    </a:xfrm>
                    <a:prstGeom prst="rect">
                      <a:avLst/>
                    </a:prstGeom>
                    <a:ln w="25400">
                      <a:solidFill>
                        <a:srgbClr val="000000"/>
                      </a:solidFill>
                      <a:prstDash val="solid"/>
                    </a:ln>
                  </pic:spPr>
                </pic:pic>
              </a:graphicData>
            </a:graphic>
          </wp:inline>
        </w:drawing>
      </w:r>
    </w:p>
    <w:p w14:paraId="00B40BA3" w14:textId="77777777" w:rsidR="00E3506F" w:rsidRDefault="00000000">
      <w:pPr>
        <w:jc w:val="center"/>
        <w:rPr>
          <w:b/>
          <w:bCs/>
        </w:rPr>
      </w:pPr>
      <w:r>
        <w:rPr>
          <w:b/>
          <w:bCs/>
        </w:rPr>
        <w:t>Figure: Assets Position for the Year Ended 2020-2021</w:t>
      </w:r>
    </w:p>
    <w:p w14:paraId="162F23BD" w14:textId="77777777" w:rsidR="00E3506F" w:rsidRDefault="00000000">
      <w:pPr>
        <w:jc w:val="center"/>
        <w:rPr>
          <w:b/>
          <w:bCs/>
        </w:rPr>
      </w:pPr>
      <w:r>
        <w:rPr>
          <w:b/>
          <w:bCs/>
          <w:noProof/>
        </w:rPr>
        <w:lastRenderedPageBreak/>
        <w:drawing>
          <wp:inline distT="114300" distB="114300" distL="114300" distR="114300" wp14:anchorId="58D08CF8" wp14:editId="53BCFA02">
            <wp:extent cx="5943600" cy="8178800"/>
            <wp:effectExtent l="25400" t="25400" r="25400" b="25400"/>
            <wp:docPr id="51"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112"/>
                    <a:srcRect/>
                    <a:stretch>
                      <a:fillRect/>
                    </a:stretch>
                  </pic:blipFill>
                  <pic:spPr>
                    <a:xfrm>
                      <a:off x="0" y="0"/>
                      <a:ext cx="5943600" cy="8178800"/>
                    </a:xfrm>
                    <a:prstGeom prst="rect">
                      <a:avLst/>
                    </a:prstGeom>
                    <a:ln w="25400">
                      <a:solidFill>
                        <a:srgbClr val="000000"/>
                      </a:solidFill>
                      <a:prstDash val="solid"/>
                    </a:ln>
                  </pic:spPr>
                </pic:pic>
              </a:graphicData>
            </a:graphic>
          </wp:inline>
        </w:drawing>
      </w:r>
    </w:p>
    <w:p w14:paraId="297AD3FE" w14:textId="77777777" w:rsidR="00E3506F" w:rsidRDefault="00000000">
      <w:pPr>
        <w:jc w:val="center"/>
        <w:rPr>
          <w:b/>
          <w:bCs/>
        </w:rPr>
      </w:pPr>
      <w:r>
        <w:rPr>
          <w:b/>
          <w:bCs/>
        </w:rPr>
        <w:lastRenderedPageBreak/>
        <w:t>Figure: Liabilities and Equity Position for the Year Ended 2020-2021</w:t>
      </w:r>
    </w:p>
    <w:p w14:paraId="68237D71" w14:textId="77777777" w:rsidR="00E3506F" w:rsidRDefault="00000000">
      <w:pPr>
        <w:jc w:val="center"/>
        <w:rPr>
          <w:b/>
          <w:bCs/>
        </w:rPr>
      </w:pPr>
      <w:r>
        <w:rPr>
          <w:b/>
          <w:bCs/>
          <w:noProof/>
        </w:rPr>
        <w:drawing>
          <wp:inline distT="114300" distB="114300" distL="114300" distR="114300" wp14:anchorId="13CFF87E" wp14:editId="2C7CC47A">
            <wp:extent cx="5943600" cy="7518400"/>
            <wp:effectExtent l="25400" t="25400" r="25400" b="25400"/>
            <wp:docPr id="29"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113"/>
                    <a:srcRect/>
                    <a:stretch>
                      <a:fillRect/>
                    </a:stretch>
                  </pic:blipFill>
                  <pic:spPr>
                    <a:xfrm>
                      <a:off x="0" y="0"/>
                      <a:ext cx="5943600" cy="7518400"/>
                    </a:xfrm>
                    <a:prstGeom prst="rect">
                      <a:avLst/>
                    </a:prstGeom>
                    <a:ln w="25400">
                      <a:solidFill>
                        <a:srgbClr val="000000"/>
                      </a:solidFill>
                      <a:prstDash val="solid"/>
                    </a:ln>
                  </pic:spPr>
                </pic:pic>
              </a:graphicData>
            </a:graphic>
          </wp:inline>
        </w:drawing>
      </w:r>
    </w:p>
    <w:p w14:paraId="34904928" w14:textId="77777777" w:rsidR="00E3506F" w:rsidRDefault="00000000">
      <w:pPr>
        <w:jc w:val="center"/>
        <w:rPr>
          <w:b/>
          <w:bCs/>
        </w:rPr>
      </w:pPr>
      <w:r>
        <w:rPr>
          <w:b/>
          <w:bCs/>
        </w:rPr>
        <w:t>Figure: Assets Position for the Year Ended 2021-2022</w:t>
      </w:r>
    </w:p>
    <w:p w14:paraId="1E53514F" w14:textId="77777777" w:rsidR="00E3506F" w:rsidRDefault="00000000">
      <w:pPr>
        <w:jc w:val="center"/>
        <w:rPr>
          <w:b/>
          <w:bCs/>
        </w:rPr>
      </w:pPr>
      <w:r>
        <w:rPr>
          <w:b/>
          <w:bCs/>
          <w:noProof/>
        </w:rPr>
        <w:lastRenderedPageBreak/>
        <w:drawing>
          <wp:inline distT="114300" distB="114300" distL="114300" distR="114300" wp14:anchorId="498A59D5" wp14:editId="5BA50E3A">
            <wp:extent cx="5943600" cy="8470900"/>
            <wp:effectExtent l="25400" t="25400" r="25400" b="25400"/>
            <wp:docPr id="37"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114"/>
                    <a:srcRect/>
                    <a:stretch>
                      <a:fillRect/>
                    </a:stretch>
                  </pic:blipFill>
                  <pic:spPr>
                    <a:xfrm>
                      <a:off x="0" y="0"/>
                      <a:ext cx="5943600" cy="8470900"/>
                    </a:xfrm>
                    <a:prstGeom prst="rect">
                      <a:avLst/>
                    </a:prstGeom>
                    <a:ln w="25400">
                      <a:solidFill>
                        <a:srgbClr val="000000"/>
                      </a:solidFill>
                      <a:prstDash val="solid"/>
                    </a:ln>
                  </pic:spPr>
                </pic:pic>
              </a:graphicData>
            </a:graphic>
          </wp:inline>
        </w:drawing>
      </w:r>
    </w:p>
    <w:p w14:paraId="7D630C00" w14:textId="77777777" w:rsidR="00E3506F" w:rsidRDefault="00000000">
      <w:pPr>
        <w:jc w:val="center"/>
        <w:rPr>
          <w:b/>
          <w:bCs/>
        </w:rPr>
      </w:pPr>
      <w:r>
        <w:rPr>
          <w:b/>
          <w:bCs/>
        </w:rPr>
        <w:lastRenderedPageBreak/>
        <w:t>Figure: Liabilities and Equity Position for the Year Ended 2021-2022</w:t>
      </w:r>
    </w:p>
    <w:p w14:paraId="5BD06711" w14:textId="77777777" w:rsidR="00E3506F" w:rsidRDefault="00000000">
      <w:pPr>
        <w:jc w:val="center"/>
        <w:rPr>
          <w:b/>
          <w:bCs/>
        </w:rPr>
      </w:pPr>
      <w:r>
        <w:rPr>
          <w:b/>
          <w:bCs/>
          <w:noProof/>
        </w:rPr>
        <w:drawing>
          <wp:inline distT="114300" distB="114300" distL="114300" distR="114300" wp14:anchorId="661FBCB5" wp14:editId="6A974C56">
            <wp:extent cx="5943600" cy="6426200"/>
            <wp:effectExtent l="25400" t="25400" r="25400" b="25400"/>
            <wp:docPr id="23"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115"/>
                    <a:srcRect/>
                    <a:stretch>
                      <a:fillRect/>
                    </a:stretch>
                  </pic:blipFill>
                  <pic:spPr>
                    <a:xfrm>
                      <a:off x="0" y="0"/>
                      <a:ext cx="5943600" cy="6426200"/>
                    </a:xfrm>
                    <a:prstGeom prst="rect">
                      <a:avLst/>
                    </a:prstGeom>
                    <a:ln w="25400">
                      <a:solidFill>
                        <a:srgbClr val="000000"/>
                      </a:solidFill>
                      <a:prstDash val="solid"/>
                    </a:ln>
                  </pic:spPr>
                </pic:pic>
              </a:graphicData>
            </a:graphic>
          </wp:inline>
        </w:drawing>
      </w:r>
    </w:p>
    <w:p w14:paraId="650ED5CF" w14:textId="77777777" w:rsidR="00E3506F" w:rsidRDefault="00000000">
      <w:pPr>
        <w:jc w:val="center"/>
        <w:rPr>
          <w:b/>
          <w:bCs/>
        </w:rPr>
      </w:pPr>
      <w:r>
        <w:rPr>
          <w:b/>
          <w:bCs/>
        </w:rPr>
        <w:t>Figure: Assets Position for the Year Ended 2022-2023</w:t>
      </w:r>
    </w:p>
    <w:p w14:paraId="052D4FDA" w14:textId="77777777" w:rsidR="00E3506F" w:rsidRDefault="00000000">
      <w:pPr>
        <w:jc w:val="center"/>
        <w:rPr>
          <w:b/>
          <w:bCs/>
        </w:rPr>
      </w:pPr>
      <w:r>
        <w:rPr>
          <w:b/>
          <w:bCs/>
          <w:noProof/>
        </w:rPr>
        <w:lastRenderedPageBreak/>
        <w:drawing>
          <wp:inline distT="114300" distB="114300" distL="114300" distR="114300" wp14:anchorId="49585E40" wp14:editId="5E24A360">
            <wp:extent cx="5943600" cy="7696200"/>
            <wp:effectExtent l="25400" t="25400" r="25400" b="25400"/>
            <wp:docPr id="28"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116"/>
                    <a:srcRect/>
                    <a:stretch>
                      <a:fillRect/>
                    </a:stretch>
                  </pic:blipFill>
                  <pic:spPr>
                    <a:xfrm>
                      <a:off x="0" y="0"/>
                      <a:ext cx="5943600" cy="7696200"/>
                    </a:xfrm>
                    <a:prstGeom prst="rect">
                      <a:avLst/>
                    </a:prstGeom>
                    <a:ln w="25400">
                      <a:solidFill>
                        <a:srgbClr val="000000"/>
                      </a:solidFill>
                      <a:prstDash val="solid"/>
                    </a:ln>
                  </pic:spPr>
                </pic:pic>
              </a:graphicData>
            </a:graphic>
          </wp:inline>
        </w:drawing>
      </w:r>
    </w:p>
    <w:p w14:paraId="365D1605" w14:textId="77777777" w:rsidR="00E3506F" w:rsidRDefault="00000000">
      <w:pPr>
        <w:jc w:val="center"/>
        <w:rPr>
          <w:b/>
          <w:bCs/>
        </w:rPr>
      </w:pPr>
      <w:r>
        <w:rPr>
          <w:b/>
          <w:bCs/>
        </w:rPr>
        <w:t>Figure: Liabilities and Equity Position for the Year Ended 2022-2023</w:t>
      </w:r>
    </w:p>
    <w:p w14:paraId="2C227DA8" w14:textId="77777777" w:rsidR="00E3506F" w:rsidRDefault="00000000">
      <w:pPr>
        <w:jc w:val="center"/>
        <w:rPr>
          <w:b/>
          <w:bCs/>
        </w:rPr>
      </w:pPr>
      <w:r>
        <w:rPr>
          <w:b/>
          <w:bCs/>
          <w:noProof/>
        </w:rPr>
        <w:lastRenderedPageBreak/>
        <w:drawing>
          <wp:inline distT="114300" distB="114300" distL="114300" distR="114300" wp14:anchorId="3E9C89D1" wp14:editId="165FFF01">
            <wp:extent cx="5943600" cy="6235700"/>
            <wp:effectExtent l="25400" t="25400" r="25400" b="25400"/>
            <wp:docPr id="45" name="image41.png"/>
            <wp:cNvGraphicFramePr/>
            <a:graphic xmlns:a="http://schemas.openxmlformats.org/drawingml/2006/main">
              <a:graphicData uri="http://schemas.openxmlformats.org/drawingml/2006/picture">
                <pic:pic xmlns:pic="http://schemas.openxmlformats.org/drawingml/2006/picture">
                  <pic:nvPicPr>
                    <pic:cNvPr id="0" name="image41.png"/>
                    <pic:cNvPicPr preferRelativeResize="0"/>
                  </pic:nvPicPr>
                  <pic:blipFill>
                    <a:blip r:embed="rId117"/>
                    <a:srcRect/>
                    <a:stretch>
                      <a:fillRect/>
                    </a:stretch>
                  </pic:blipFill>
                  <pic:spPr>
                    <a:xfrm>
                      <a:off x="0" y="0"/>
                      <a:ext cx="5943600" cy="6235700"/>
                    </a:xfrm>
                    <a:prstGeom prst="rect">
                      <a:avLst/>
                    </a:prstGeom>
                    <a:ln w="25400">
                      <a:solidFill>
                        <a:srgbClr val="000000"/>
                      </a:solidFill>
                      <a:prstDash val="solid"/>
                    </a:ln>
                  </pic:spPr>
                </pic:pic>
              </a:graphicData>
            </a:graphic>
          </wp:inline>
        </w:drawing>
      </w:r>
    </w:p>
    <w:p w14:paraId="423B6694" w14:textId="77777777" w:rsidR="00E3506F" w:rsidRDefault="00000000">
      <w:pPr>
        <w:jc w:val="center"/>
        <w:rPr>
          <w:b/>
          <w:bCs/>
        </w:rPr>
      </w:pPr>
      <w:r>
        <w:rPr>
          <w:b/>
          <w:bCs/>
        </w:rPr>
        <w:t>Figure: Assets Position for the Year Ended 2023-2024</w:t>
      </w:r>
    </w:p>
    <w:p w14:paraId="7BDB1FB7" w14:textId="77777777" w:rsidR="00E3506F" w:rsidRDefault="00000000">
      <w:pPr>
        <w:jc w:val="center"/>
        <w:rPr>
          <w:b/>
          <w:bCs/>
        </w:rPr>
      </w:pPr>
      <w:r>
        <w:rPr>
          <w:b/>
          <w:bCs/>
          <w:noProof/>
        </w:rPr>
        <w:lastRenderedPageBreak/>
        <w:drawing>
          <wp:inline distT="114300" distB="114300" distL="114300" distR="114300" wp14:anchorId="7BC6884D" wp14:editId="0A67E1FE">
            <wp:extent cx="5943600" cy="7823200"/>
            <wp:effectExtent l="25400" t="25400" r="25400" b="25400"/>
            <wp:docPr id="10"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18"/>
                    <a:srcRect/>
                    <a:stretch>
                      <a:fillRect/>
                    </a:stretch>
                  </pic:blipFill>
                  <pic:spPr>
                    <a:xfrm>
                      <a:off x="0" y="0"/>
                      <a:ext cx="5943600" cy="7823200"/>
                    </a:xfrm>
                    <a:prstGeom prst="rect">
                      <a:avLst/>
                    </a:prstGeom>
                    <a:ln w="25400">
                      <a:solidFill>
                        <a:srgbClr val="000000"/>
                      </a:solidFill>
                      <a:prstDash val="solid"/>
                    </a:ln>
                  </pic:spPr>
                </pic:pic>
              </a:graphicData>
            </a:graphic>
          </wp:inline>
        </w:drawing>
      </w:r>
    </w:p>
    <w:p w14:paraId="205CBB86" w14:textId="77777777" w:rsidR="00E3506F" w:rsidRDefault="00000000">
      <w:pPr>
        <w:jc w:val="center"/>
        <w:rPr>
          <w:b/>
          <w:bCs/>
        </w:rPr>
      </w:pPr>
      <w:r>
        <w:rPr>
          <w:b/>
          <w:bCs/>
        </w:rPr>
        <w:t>Figure: Liabilities and Equity Position for the Year Ended 2023-2024</w:t>
      </w:r>
    </w:p>
    <w:p w14:paraId="2092C9E4" w14:textId="77777777" w:rsidR="00E3506F" w:rsidRDefault="00000000">
      <w:pPr>
        <w:jc w:val="center"/>
        <w:rPr>
          <w:b/>
          <w:bCs/>
        </w:rPr>
      </w:pPr>
      <w:r>
        <w:rPr>
          <w:b/>
          <w:bCs/>
          <w:noProof/>
        </w:rPr>
        <w:lastRenderedPageBreak/>
        <w:drawing>
          <wp:inline distT="114300" distB="114300" distL="114300" distR="114300" wp14:anchorId="4E559607" wp14:editId="446972B1">
            <wp:extent cx="5943600" cy="5588000"/>
            <wp:effectExtent l="25400" t="25400" r="25400" b="25400"/>
            <wp:docPr id="36"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119"/>
                    <a:srcRect/>
                    <a:stretch>
                      <a:fillRect/>
                    </a:stretch>
                  </pic:blipFill>
                  <pic:spPr>
                    <a:xfrm>
                      <a:off x="0" y="0"/>
                      <a:ext cx="5943600" cy="5588000"/>
                    </a:xfrm>
                    <a:prstGeom prst="rect">
                      <a:avLst/>
                    </a:prstGeom>
                    <a:ln w="25400">
                      <a:solidFill>
                        <a:srgbClr val="000000"/>
                      </a:solidFill>
                      <a:prstDash val="solid"/>
                    </a:ln>
                  </pic:spPr>
                </pic:pic>
              </a:graphicData>
            </a:graphic>
          </wp:inline>
        </w:drawing>
      </w:r>
    </w:p>
    <w:p w14:paraId="3A57EADF" w14:textId="77777777" w:rsidR="00E3506F" w:rsidRDefault="00000000">
      <w:pPr>
        <w:jc w:val="center"/>
        <w:rPr>
          <w:b/>
          <w:bCs/>
        </w:rPr>
      </w:pPr>
      <w:r>
        <w:rPr>
          <w:b/>
          <w:bCs/>
        </w:rPr>
        <w:t>Figure: Assets Position for the Year Ended 2024-2025</w:t>
      </w:r>
    </w:p>
    <w:p w14:paraId="59DA4BF2" w14:textId="77777777" w:rsidR="00E3506F" w:rsidRDefault="00000000">
      <w:pPr>
        <w:jc w:val="center"/>
        <w:rPr>
          <w:b/>
          <w:bCs/>
        </w:rPr>
      </w:pPr>
      <w:r>
        <w:rPr>
          <w:b/>
          <w:bCs/>
          <w:noProof/>
        </w:rPr>
        <w:lastRenderedPageBreak/>
        <w:drawing>
          <wp:inline distT="114300" distB="114300" distL="114300" distR="114300" wp14:anchorId="1C61DC93" wp14:editId="7157B8EF">
            <wp:extent cx="5943600" cy="7150100"/>
            <wp:effectExtent l="25400" t="25400" r="25400" b="25400"/>
            <wp:docPr id="9"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20"/>
                    <a:srcRect/>
                    <a:stretch>
                      <a:fillRect/>
                    </a:stretch>
                  </pic:blipFill>
                  <pic:spPr>
                    <a:xfrm>
                      <a:off x="0" y="0"/>
                      <a:ext cx="5943600" cy="7150100"/>
                    </a:xfrm>
                    <a:prstGeom prst="rect">
                      <a:avLst/>
                    </a:prstGeom>
                    <a:ln w="25400">
                      <a:solidFill>
                        <a:srgbClr val="000000"/>
                      </a:solidFill>
                      <a:prstDash val="solid"/>
                    </a:ln>
                  </pic:spPr>
                </pic:pic>
              </a:graphicData>
            </a:graphic>
          </wp:inline>
        </w:drawing>
      </w:r>
    </w:p>
    <w:p w14:paraId="26A06213" w14:textId="77777777" w:rsidR="00E3506F" w:rsidRDefault="00000000">
      <w:pPr>
        <w:jc w:val="center"/>
        <w:rPr>
          <w:b/>
          <w:bCs/>
        </w:rPr>
      </w:pPr>
      <w:r>
        <w:rPr>
          <w:b/>
          <w:bCs/>
        </w:rPr>
        <w:t>Figure: Liabilities and Equity Position for the Year Ended 2024-2025</w:t>
      </w:r>
    </w:p>
    <w:p w14:paraId="71DF409A" w14:textId="77777777" w:rsidR="00E3506F" w:rsidRDefault="00E3506F">
      <w:pPr>
        <w:jc w:val="center"/>
        <w:rPr>
          <w:b/>
          <w:bCs/>
        </w:rPr>
      </w:pPr>
    </w:p>
    <w:sectPr w:rsidR="00E3506F">
      <w:footerReference w:type="default" r:id="rId121"/>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D215E7" w14:textId="77777777" w:rsidR="007B7A13" w:rsidRDefault="007B7A13">
      <w:pPr>
        <w:spacing w:line="240" w:lineRule="auto"/>
      </w:pPr>
      <w:r>
        <w:separator/>
      </w:r>
    </w:p>
  </w:endnote>
  <w:endnote w:type="continuationSeparator" w:id="0">
    <w:p w14:paraId="2DED9A06" w14:textId="77777777" w:rsidR="007B7A13" w:rsidRDefault="007B7A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5D8A80C1-6F35-4A4A-8A3E-1DF3849E98F9}"/>
  </w:font>
  <w:font w:name="Shruti">
    <w:panose1 w:val="02000500000000000000"/>
    <w:charset w:val="00"/>
    <w:family w:val="swiss"/>
    <w:pitch w:val="variable"/>
    <w:sig w:usb0="00040003" w:usb1="00000000" w:usb2="00000000" w:usb3="00000000" w:csb0="00000001" w:csb1="00000000"/>
  </w:font>
  <w:font w:name="Calibri">
    <w:panose1 w:val="020F0502020204030204"/>
    <w:charset w:val="00"/>
    <w:family w:val="swiss"/>
    <w:pitch w:val="variable"/>
    <w:sig w:usb0="E4002EFF" w:usb1="C200247B" w:usb2="00000009" w:usb3="00000000" w:csb0="000001FF" w:csb1="00000000"/>
    <w:embedRegular r:id="rId2" w:fontKey="{D35B8E5F-4E6F-4172-AB71-385165C24B6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568874" w14:textId="77777777" w:rsidR="00E3506F" w:rsidRDefault="00000000">
    <w:pPr>
      <w:jc w:val="right"/>
    </w:pPr>
    <w:r>
      <w:t>Page</w:t>
    </w:r>
    <w:r>
      <w:rPr>
        <w:b/>
        <w:bCs/>
      </w:rPr>
      <w:t xml:space="preserve"> </w:t>
    </w:r>
    <w:r>
      <w:rPr>
        <w:b/>
        <w:bCs/>
      </w:rPr>
      <w:fldChar w:fldCharType="begin"/>
    </w:r>
    <w:r>
      <w:rPr>
        <w:b/>
        <w:bCs/>
      </w:rPr>
      <w:instrText>PAGE</w:instrText>
    </w:r>
    <w:r>
      <w:rPr>
        <w:b/>
        <w:bCs/>
      </w:rPr>
      <w:fldChar w:fldCharType="separate"/>
    </w:r>
    <w:r w:rsidR="00C02E40">
      <w:rPr>
        <w:b/>
        <w:bCs/>
        <w:noProof/>
      </w:rPr>
      <w:t>2</w:t>
    </w:r>
    <w:r>
      <w:rPr>
        <w:b/>
        <w:bCs/>
      </w:rPr>
      <w:fldChar w:fldCharType="end"/>
    </w:r>
    <w:r>
      <w:rPr>
        <w:b/>
        <w:bCs/>
      </w:rPr>
      <w:t xml:space="preserve"> </w:t>
    </w:r>
    <w:r>
      <w:t>of 59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7557B9" w14:textId="77777777" w:rsidR="007B7A13" w:rsidRDefault="007B7A13">
      <w:pPr>
        <w:spacing w:line="240" w:lineRule="auto"/>
      </w:pPr>
      <w:r>
        <w:separator/>
      </w:r>
    </w:p>
  </w:footnote>
  <w:footnote w:type="continuationSeparator" w:id="0">
    <w:p w14:paraId="6A503934" w14:textId="77777777" w:rsidR="007B7A13" w:rsidRDefault="007B7A1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506F"/>
    <w:rsid w:val="0020361F"/>
    <w:rsid w:val="00244B04"/>
    <w:rsid w:val="00273174"/>
    <w:rsid w:val="003F3757"/>
    <w:rsid w:val="00515BE0"/>
    <w:rsid w:val="00535572"/>
    <w:rsid w:val="00635C6A"/>
    <w:rsid w:val="00713682"/>
    <w:rsid w:val="007637EA"/>
    <w:rsid w:val="007B7A13"/>
    <w:rsid w:val="008771B4"/>
    <w:rsid w:val="00C02E40"/>
    <w:rsid w:val="00E3506F"/>
    <w:rsid w:val="00E86CB9"/>
    <w:rsid w:val="00FE4ECC"/>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DD30A"/>
  <w15:docId w15:val="{081A71BD-5ED4-4AF5-B67C-87AE17CC9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gu-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C02E40"/>
    <w:pPr>
      <w:spacing w:after="100"/>
    </w:pPr>
  </w:style>
  <w:style w:type="paragraph" w:styleId="TOC2">
    <w:name w:val="toc 2"/>
    <w:basedOn w:val="Normal"/>
    <w:next w:val="Normal"/>
    <w:autoRedefine/>
    <w:uiPriority w:val="39"/>
    <w:unhideWhenUsed/>
    <w:rsid w:val="00C02E40"/>
    <w:pPr>
      <w:spacing w:after="100"/>
      <w:ind w:left="240"/>
    </w:pPr>
  </w:style>
  <w:style w:type="paragraph" w:styleId="TOC3">
    <w:name w:val="toc 3"/>
    <w:basedOn w:val="Normal"/>
    <w:next w:val="Normal"/>
    <w:autoRedefine/>
    <w:uiPriority w:val="39"/>
    <w:unhideWhenUsed/>
    <w:rsid w:val="00C02E40"/>
    <w:pPr>
      <w:spacing w:after="100"/>
      <w:ind w:left="480"/>
    </w:pPr>
  </w:style>
  <w:style w:type="character" w:styleId="Hyperlink">
    <w:name w:val="Hyperlink"/>
    <w:basedOn w:val="DefaultParagraphFont"/>
    <w:uiPriority w:val="99"/>
    <w:unhideWhenUsed/>
    <w:rsid w:val="00C02E4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117" Type="http://schemas.openxmlformats.org/officeDocument/2006/relationships/image" Target="media/image38.png"/><Relationship Id="rId21" Type="http://schemas.openxmlformats.org/officeDocument/2006/relationships/image" Target="media/image16.png"/><Relationship Id="rId42" Type="http://schemas.openxmlformats.org/officeDocument/2006/relationships/hyperlink" Target="https://www.elgaronline.com/edcollchap/book/9781800370494/book-part-9781800370494-8.xml" TargetMode="External"/><Relationship Id="rId47" Type="http://schemas.openxmlformats.org/officeDocument/2006/relationships/hyperlink" Target="https://hospitality.institute/bha510/financial-ratio-analysis-hotel-management-kpis/" TargetMode="External"/><Relationship Id="rId63" Type="http://schemas.openxmlformats.org/officeDocument/2006/relationships/hyperlink" Target="https://www.readyratios.com/sec/industry/7011/" TargetMode="External"/><Relationship Id="rId68" Type="http://schemas.openxmlformats.org/officeDocument/2006/relationships/hyperlink" Target="https://papers.ssrn.com/sol3/papers.cfm?abstract_id=6732438" TargetMode="External"/><Relationship Id="rId84" Type="http://schemas.openxmlformats.org/officeDocument/2006/relationships/hyperlink" Target="https://sitecore-cd.shangri-la.com/-/media/Project/Shangri-La-Group/Sustainability/Images/Sustainability-Report/2024_Sustainability-Report.pdf" TargetMode="External"/><Relationship Id="rId89" Type="http://schemas.openxmlformats.org/officeDocument/2006/relationships/hyperlink" Target="https://www.atlantis-press.com/proceedings/icemed-22/125975449" TargetMode="External"/><Relationship Id="rId112" Type="http://schemas.openxmlformats.org/officeDocument/2006/relationships/image" Target="media/image33.png"/><Relationship Id="rId16" Type="http://schemas.openxmlformats.org/officeDocument/2006/relationships/image" Target="media/image11.png"/><Relationship Id="rId107" Type="http://schemas.openxmlformats.org/officeDocument/2006/relationships/image" Target="media/image28.png"/><Relationship Id="rId11" Type="http://schemas.openxmlformats.org/officeDocument/2006/relationships/image" Target="media/image6.png"/><Relationship Id="rId32" Type="http://schemas.openxmlformats.org/officeDocument/2006/relationships/hyperlink" Target="https://www.uowoajournals.org/aabfj/article/id/941/" TargetMode="External"/><Relationship Id="rId37" Type="http://schemas.openxmlformats.org/officeDocument/2006/relationships/hyperlink" Target="https://www.atlantis-press.com/proceedings/icfied-22/125971510" TargetMode="External"/><Relationship Id="rId53" Type="http://schemas.openxmlformats.org/officeDocument/2006/relationships/hyperlink" Target="https://in.marketscreener.com/quote/stock/SHANGRI-LA-HOTEL-20699621/sector-dividend/" TargetMode="External"/><Relationship Id="rId58" Type="http://schemas.openxmlformats.org/officeDocument/2006/relationships/hyperlink" Target="https://www.minichart.com.sg/2026/03/26/shangri-la-asia-limited-2025-annual-results-financial-performance-hk15-cents-dividend-revenue-growth-and-outlook/" TargetMode="External"/><Relationship Id="rId74" Type="http://schemas.openxmlformats.org/officeDocument/2006/relationships/hyperlink" Target="https://sitecore-cd.shangri-la.com/-/media/Project/Shangri-La-Group/Investor/Files/Public-Disclosures/Announcements-and-Circulars/2021/2021-03-26-final-results_E.pdf" TargetMode="External"/><Relationship Id="rId79" Type="http://schemas.openxmlformats.org/officeDocument/2006/relationships/hyperlink" Target="https://sitecore-cd.shangri-la.com/-/media/Project/Shangri-La-Group/Investor/Files/Public-Disclosures/Financial-Information/Results-Announcements/Results-Announcements-Chinese/2024-03-22-Final-Results-Announcement_E.pdf" TargetMode="External"/><Relationship Id="rId102" Type="http://schemas.openxmlformats.org/officeDocument/2006/relationships/hyperlink" Target="https://www.zionmarketresearch.com/report/hotels-market" TargetMode="External"/><Relationship Id="rId123" Type="http://schemas.openxmlformats.org/officeDocument/2006/relationships/theme" Target="theme/theme1.xml"/><Relationship Id="rId5" Type="http://schemas.openxmlformats.org/officeDocument/2006/relationships/endnotes" Target="endnotes.xml"/><Relationship Id="rId90" Type="http://schemas.openxmlformats.org/officeDocument/2006/relationships/hyperlink" Target="https://www.atlantis-press.com/proceedings/icemed-22/125975449" TargetMode="External"/><Relationship Id="rId95" Type="http://schemas.openxmlformats.org/officeDocument/2006/relationships/hyperlink" Target="http://oldeconomice.ulbsibiu.ro/revista.economica/archive/75108tileaga.pdf" TargetMode="External"/><Relationship Id="rId22" Type="http://schemas.openxmlformats.org/officeDocument/2006/relationships/image" Target="media/image17.png"/><Relationship Id="rId27" Type="http://schemas.openxmlformats.org/officeDocument/2006/relationships/image" Target="media/image22.png"/><Relationship Id="rId43" Type="http://schemas.openxmlformats.org/officeDocument/2006/relationships/hyperlink" Target="https://www1.hkexnews.hk/listedco/listconews/sehk/2026/0423/2026042301259.pdf" TargetMode="External"/><Relationship Id="rId48" Type="http://schemas.openxmlformats.org/officeDocument/2006/relationships/hyperlink" Target="https://hospitality.institute/bha510/financial-ratio-analysis-hotel-management-kpis/" TargetMode="External"/><Relationship Id="rId64" Type="http://schemas.openxmlformats.org/officeDocument/2006/relationships/hyperlink" Target="https://www.readyratios.com/sec/industry/7011/" TargetMode="External"/><Relationship Id="rId69" Type="http://schemas.openxmlformats.org/officeDocument/2006/relationships/hyperlink" Target="https://www.shangri-la.com/group/media/media_post?post=Shangri-La+Group+Releases+2025+Full+Year+Results" TargetMode="External"/><Relationship Id="rId113" Type="http://schemas.openxmlformats.org/officeDocument/2006/relationships/image" Target="media/image34.png"/><Relationship Id="rId118" Type="http://schemas.openxmlformats.org/officeDocument/2006/relationships/image" Target="media/image39.png"/><Relationship Id="rId80" Type="http://schemas.openxmlformats.org/officeDocument/2006/relationships/hyperlink" Target="https://sitecore-cd.shangri-la.com/-/media/Project/Shangri-La-Group/Investor/Files/Public-Disclosures/Financial-Information/Results-Announcements/Results-Announcements-Chinese/2024-03-22-Final-Results-Announcement_E.pdf" TargetMode="External"/><Relationship Id="rId85" Type="http://schemas.openxmlformats.org/officeDocument/2006/relationships/hyperlink" Target="https://links.sgx.com/FileOpen/Shangri-La%20OCBC%20Tap%20-%20Pricing%20Supplement.ashx?App=Prospectus&amp;FileID=66762" TargetMode="External"/><Relationship Id="rId12" Type="http://schemas.openxmlformats.org/officeDocument/2006/relationships/image" Target="media/image7.png"/><Relationship Id="rId17" Type="http://schemas.openxmlformats.org/officeDocument/2006/relationships/image" Target="media/image12.png"/><Relationship Id="rId33" Type="http://schemas.openxmlformats.org/officeDocument/2006/relationships/hyperlink" Target="https://www.academia.edu/download/115377930/Capital_Budgeting_and_Financial_Investme.pdf" TargetMode="External"/><Relationship Id="rId38" Type="http://schemas.openxmlformats.org/officeDocument/2006/relationships/hyperlink" Target="https://www.atlantis-press.com/proceedings/icfied-22/125971510" TargetMode="External"/><Relationship Id="rId59" Type="http://schemas.openxmlformats.org/officeDocument/2006/relationships/hyperlink" Target="https://www.poems.com.sg/market-journal/shangri-la-hotel-slhsp-high-leverage-mitigated-liquidity-and-sponsor-support/" TargetMode="External"/><Relationship Id="rId103" Type="http://schemas.openxmlformats.org/officeDocument/2006/relationships/image" Target="media/image24.png"/><Relationship Id="rId108" Type="http://schemas.openxmlformats.org/officeDocument/2006/relationships/image" Target="media/image29.png"/><Relationship Id="rId54" Type="http://schemas.openxmlformats.org/officeDocument/2006/relationships/hyperlink" Target="https://in.marketscreener.com/quote/stock/SHANGRI-LA-HOTEL-20699621/sector-dividend/" TargetMode="External"/><Relationship Id="rId70" Type="http://schemas.openxmlformats.org/officeDocument/2006/relationships/hyperlink" Target="https://www.shangri-la.com/group/media/media_post?post=Shangri-La+Group+Releases+2025+Full+Year+Results" TargetMode="External"/><Relationship Id="rId75" Type="http://schemas.openxmlformats.org/officeDocument/2006/relationships/hyperlink" Target="https://sitecore-cd.shangri-la.com/-/media/Project/Shangri-La-Group/Investor/Files/Public-Disclosures/Financial-Information/Results-Announcements/2022-03-24-Final-Results-2021_E.pdf" TargetMode="External"/><Relationship Id="rId91" Type="http://schemas.openxmlformats.org/officeDocument/2006/relationships/hyperlink" Target="https://www.statista.com/statistics/1313913/new-hotel-count-worldwide/?srsltid=AfmBOops2f6hFibxEhkNVpGf2Z4aOZ-u7A4RYEXSoj1bWiIaPRys6qqk" TargetMode="External"/><Relationship Id="rId96" Type="http://schemas.openxmlformats.org/officeDocument/2006/relationships/hyperlink" Target="http://oldeconomice.ulbsibiu.ro/revista.economica/archive/75108tileaga.pdf" TargetMode="External"/><Relationship Id="rId1" Type="http://schemas.openxmlformats.org/officeDocument/2006/relationships/styles" Target="styles.xml"/><Relationship Id="rId6" Type="http://schemas.openxmlformats.org/officeDocument/2006/relationships/image" Target="media/image1.png"/><Relationship Id="rId23" Type="http://schemas.openxmlformats.org/officeDocument/2006/relationships/image" Target="media/image18.png"/><Relationship Id="rId28" Type="http://schemas.openxmlformats.org/officeDocument/2006/relationships/image" Target="media/image23.png"/><Relationship Id="rId49" Type="http://schemas.openxmlformats.org/officeDocument/2006/relationships/hyperlink" Target="https://www.researchgate.net/profile/Iqbal-Islam-2/publication/403642930_Financial_leverage_and_firm_performance_An_empirical_review_and_analysis/links/69d72d79c203cd5e341698f2/Financial-leverage-and-firm-performance-An-empirical-review-and-analysis.pdf" TargetMode="External"/><Relationship Id="rId114" Type="http://schemas.openxmlformats.org/officeDocument/2006/relationships/image" Target="media/image35.png"/><Relationship Id="rId119" Type="http://schemas.openxmlformats.org/officeDocument/2006/relationships/image" Target="media/image40.png"/><Relationship Id="rId44" Type="http://schemas.openxmlformats.org/officeDocument/2006/relationships/hyperlink" Target="https://www1.hkexnews.hk/listedco/listconews/sehk/2026/0423/2026042301259.pdf" TargetMode="External"/><Relationship Id="rId60" Type="http://schemas.openxmlformats.org/officeDocument/2006/relationships/hyperlink" Target="https://www.poems.com.sg/market-journal/shangri-la-hotel-slhsp-high-leverage-mitigated-liquidity-and-sponsor-support/" TargetMode="External"/><Relationship Id="rId65" Type="http://schemas.openxmlformats.org/officeDocument/2006/relationships/hyperlink" Target="https://www.aeaweb.org/articles?id=10.1257/jep.36.4.103" TargetMode="External"/><Relationship Id="rId81" Type="http://schemas.openxmlformats.org/officeDocument/2006/relationships/hyperlink" Target="https://sitecore-cd.shangri-la.com/-/media/Project/Shangri-La-Group/Investor/Files/Public-Disclosures/Financial-Information/Results-Announcements/e_ARA_20250327.pdf" TargetMode="External"/><Relationship Id="rId86" Type="http://schemas.openxmlformats.org/officeDocument/2006/relationships/hyperlink" Target="https://links.sgx.com/FileOpen/Shangri-La%20OCBC%20Tap%20-%20Pricing%20Supplement.ashx?App=Prospectus&amp;FileID=66762" TargetMode="External"/><Relationship Id="rId4" Type="http://schemas.openxmlformats.org/officeDocument/2006/relationships/footnotes" Target="footnote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hyperlink" Target="https://www.synstojournals.com/multi/article/view/147" TargetMode="External"/><Relationship Id="rId109" Type="http://schemas.openxmlformats.org/officeDocument/2006/relationships/image" Target="media/image30.png"/><Relationship Id="rId34" Type="http://schemas.openxmlformats.org/officeDocument/2006/relationships/hyperlink" Target="https://www.academia.edu/download/115377930/Capital_Budgeting_and_Financial_Investme.pdf" TargetMode="External"/><Relationship Id="rId50" Type="http://schemas.openxmlformats.org/officeDocument/2006/relationships/hyperlink" Target="https://www.researchgate.net/profile/Iqbal-Islam-2/publication/403642930_Financial_leverage_and_firm_performance_An_empirical_review_and_analysis/links/69d72d79c203cd5e341698f2/Financial-leverage-and-firm-performance-An-empirical-review-and-analysis.pdf" TargetMode="External"/><Relationship Id="rId55" Type="http://schemas.openxmlformats.org/officeDocument/2006/relationships/hyperlink" Target="https://www.mingtiandi.com/real-estate/finance/shangri-la-returned-to-profit-in-2023-as-revenue-jumped-47-on-travel-recovery/" TargetMode="External"/><Relationship Id="rId76" Type="http://schemas.openxmlformats.org/officeDocument/2006/relationships/hyperlink" Target="https://sitecore-cd.shangri-la.com/-/media/Project/Shangri-La-Group/Investor/Files/Public-Disclosures/Financial-Information/Results-Announcements/2022-03-24-Final-Results-2021_E.pdf" TargetMode="External"/><Relationship Id="rId97" Type="http://schemas.openxmlformats.org/officeDocument/2006/relationships/hyperlink" Target="https://www.vorys.com/publication-hotel-income-and-sales-of-hotels-have-been-down-since-covid-but-counties-continue-to-place-high-real-property-values-on-many-of-these-properties" TargetMode="External"/><Relationship Id="rId104" Type="http://schemas.openxmlformats.org/officeDocument/2006/relationships/image" Target="media/image25.png"/><Relationship Id="rId120" Type="http://schemas.openxmlformats.org/officeDocument/2006/relationships/image" Target="media/image41.png"/><Relationship Id="rId7" Type="http://schemas.openxmlformats.org/officeDocument/2006/relationships/image" Target="media/image2.png"/><Relationship Id="rId71" Type="http://schemas.openxmlformats.org/officeDocument/2006/relationships/hyperlink" Target="https://www.shangri-la.com/group/media/media_post?post=Shangri-La%20Group%20Releases%202025%20Interim%20Results" TargetMode="External"/><Relationship Id="rId92" Type="http://schemas.openxmlformats.org/officeDocument/2006/relationships/hyperlink" Target="https://www.statista.com/statistics/1313913/new-hotel-count-worldwide/?srsltid=AfmBOops2f6hFibxEhkNVpGf2Z4aOZ-u7A4RYEXSoj1bWiIaPRys6qqk" TargetMode="External"/><Relationship Id="rId2" Type="http://schemas.openxmlformats.org/officeDocument/2006/relationships/settings" Target="settings.xml"/><Relationship Id="rId29" Type="http://schemas.openxmlformats.org/officeDocument/2006/relationships/hyperlink" Target="https://www.academia.edu/download/104189813/2307-9878-2022-498-56-79.pdf" TargetMode="External"/><Relationship Id="rId24" Type="http://schemas.openxmlformats.org/officeDocument/2006/relationships/image" Target="media/image19.png"/><Relationship Id="rId40" Type="http://schemas.openxmlformats.org/officeDocument/2006/relationships/hyperlink" Target="https://www.synstojournals.com/multi/article/view/147" TargetMode="External"/><Relationship Id="rId45" Type="http://schemas.openxmlformats.org/officeDocument/2006/relationships/hyperlink" Target="https://hongkongbusiness.hk/financial-services/news/bochk-grants-6255m-sustainable-loan-shangri-la-asia" TargetMode="External"/><Relationship Id="rId66" Type="http://schemas.openxmlformats.org/officeDocument/2006/relationships/hyperlink" Target="https://www.aeaweb.org/articles?id=10.1257/jep.36.4.103" TargetMode="External"/><Relationship Id="rId87" Type="http://schemas.openxmlformats.org/officeDocument/2006/relationships/hyperlink" Target="https://sitecore-cd.shangri-la.com/-/media/Project/Shangri-La-Group/Investor/Files/Public-Disclosures/Financial-Information/Results-Announcements/2025-Final-Results-Announcement.pdf" TargetMode="External"/><Relationship Id="rId110" Type="http://schemas.openxmlformats.org/officeDocument/2006/relationships/image" Target="media/image31.png"/><Relationship Id="rId115" Type="http://schemas.openxmlformats.org/officeDocument/2006/relationships/image" Target="media/image36.png"/><Relationship Id="rId61" Type="http://schemas.openxmlformats.org/officeDocument/2006/relationships/hyperlink" Target="https://papers.ssrn.com/sol3/papers.cfm?abstract_id=5781142" TargetMode="External"/><Relationship Id="rId82" Type="http://schemas.openxmlformats.org/officeDocument/2006/relationships/hyperlink" Target="https://sitecore-cd.shangri-la.com/-/media/Project/Shangri-La-Group/Investor/Files/Public-Disclosures/Financial-Information/Results-Announcements/e_ARA_20250327.pdf" TargetMode="External"/><Relationship Id="rId19" Type="http://schemas.openxmlformats.org/officeDocument/2006/relationships/image" Target="media/image14.png"/><Relationship Id="rId14" Type="http://schemas.openxmlformats.org/officeDocument/2006/relationships/image" Target="media/image9.png"/><Relationship Id="rId30" Type="http://schemas.openxmlformats.org/officeDocument/2006/relationships/hyperlink" Target="https://www.academia.edu/download/104189813/2307-9878-2022-498-56-79.pdf" TargetMode="External"/><Relationship Id="rId35" Type="http://schemas.openxmlformats.org/officeDocument/2006/relationships/hyperlink" Target="https://www.bondsupermart.com/bsm/article-detail/shangri-la-five-star-assets-and-bonds-within-the-sgd-space-RSS299" TargetMode="External"/><Relationship Id="rId56" Type="http://schemas.openxmlformats.org/officeDocument/2006/relationships/hyperlink" Target="https://www.mingtiandi.com/real-estate/finance/shangri-la-returned-to-profit-in-2023-as-revenue-jumped-47-on-travel-recovery/" TargetMode="External"/><Relationship Id="rId77" Type="http://schemas.openxmlformats.org/officeDocument/2006/relationships/hyperlink" Target="https://sitecore-cd.shangri-la.com/-/media/Project/Shangri-La-Group/Investor/Files/Public-Disclosures/Financial-Information/Results-Announcements/e_final-results_20230324.pdf" TargetMode="External"/><Relationship Id="rId100" Type="http://schemas.openxmlformats.org/officeDocument/2006/relationships/hyperlink" Target="https://onlinelibrary.wiley.com/doi/abs/10.1111/jofi.13436" TargetMode="External"/><Relationship Id="rId105" Type="http://schemas.openxmlformats.org/officeDocument/2006/relationships/image" Target="media/image26.png"/><Relationship Id="rId8" Type="http://schemas.openxmlformats.org/officeDocument/2006/relationships/image" Target="media/image3.png"/><Relationship Id="rId51" Type="http://schemas.openxmlformats.org/officeDocument/2006/relationships/hyperlink" Target="https://books.google.com/books?hl=en&amp;lr=&amp;id=XIsrEQAAQBAJ&amp;oi=fnd&amp;pg=PA1&amp;dq=Recurring+capital+expenditures+necessary+to+maintain+the+current+asset+base+continue+to+consume+a+considerable+portion+of+operating+cash+flow,+which+limits+the+amount+of+money+available+for+debt+reduction&amp;ots=JYBfjXH4At&amp;sig=PDNCDZWrsVuojcFLfip8K3ynu18" TargetMode="External"/><Relationship Id="rId72" Type="http://schemas.openxmlformats.org/officeDocument/2006/relationships/hyperlink" Target="https://www.shangri-la.com/group/media/media_post?post=Shangri-La%20Group%20Releases%202025%20Interim%20Results" TargetMode="External"/><Relationship Id="rId93" Type="http://schemas.openxmlformats.org/officeDocument/2006/relationships/hyperlink" Target="https://tracxn.com/d/companies/shangrila-hotels-and-resorts/__Vuy-eyCdUA_EyYbWJtO--PwAYbla4oqAGRawnokxBto" TargetMode="External"/><Relationship Id="rId98" Type="http://schemas.openxmlformats.org/officeDocument/2006/relationships/hyperlink" Target="https://www.vorys.com/publication-hotel-income-and-sales-of-hotels-have-been-down-since-covid-but-counties-continue-to-place-high-real-property-values-on-many-of-these-properties" TargetMode="External"/><Relationship Id="rId121" Type="http://schemas.openxmlformats.org/officeDocument/2006/relationships/footer" Target="footer1.xml"/><Relationship Id="rId3" Type="http://schemas.openxmlformats.org/officeDocument/2006/relationships/webSettings" Target="webSettings.xml"/><Relationship Id="rId25" Type="http://schemas.openxmlformats.org/officeDocument/2006/relationships/image" Target="media/image20.png"/><Relationship Id="rId46" Type="http://schemas.openxmlformats.org/officeDocument/2006/relationships/hyperlink" Target="https://hongkongbusiness.hk/financial-services/news/bochk-grants-6255m-sustainable-loan-shangri-la-asia" TargetMode="External"/><Relationship Id="rId67" Type="http://schemas.openxmlformats.org/officeDocument/2006/relationships/hyperlink" Target="https://papers.ssrn.com/sol3/papers.cfm?abstract_id=6732438" TargetMode="External"/><Relationship Id="rId116" Type="http://schemas.openxmlformats.org/officeDocument/2006/relationships/image" Target="media/image37.png"/><Relationship Id="rId20" Type="http://schemas.openxmlformats.org/officeDocument/2006/relationships/image" Target="media/image15.png"/><Relationship Id="rId41" Type="http://schemas.openxmlformats.org/officeDocument/2006/relationships/hyperlink" Target="https://www.elgaronline.com/edcollchap/book/9781800370494/book-part-9781800370494-8.xml" TargetMode="External"/><Relationship Id="rId62" Type="http://schemas.openxmlformats.org/officeDocument/2006/relationships/hyperlink" Target="https://papers.ssrn.com/sol3/papers.cfm?abstract_id=5781142" TargetMode="External"/><Relationship Id="rId83" Type="http://schemas.openxmlformats.org/officeDocument/2006/relationships/hyperlink" Target="https://sitecore-cd.shangri-la.com/-/media/Project/Shangri-La-Group/Sustainability/Images/Sustainability-Report/2024_Sustainability-Report.pdf" TargetMode="External"/><Relationship Id="rId88" Type="http://schemas.openxmlformats.org/officeDocument/2006/relationships/hyperlink" Target="https://sitecore-cd.shangri-la.com/-/media/Project/Shangri-La-Group/Investor/Files/Public-Disclosures/Financial-Information/Results-Announcements/2025-Final-Results-Announcement.pdf" TargetMode="External"/><Relationship Id="rId111" Type="http://schemas.openxmlformats.org/officeDocument/2006/relationships/image" Target="media/image32.png"/><Relationship Id="rId15" Type="http://schemas.openxmlformats.org/officeDocument/2006/relationships/image" Target="media/image10.png"/><Relationship Id="rId36" Type="http://schemas.openxmlformats.org/officeDocument/2006/relationships/hyperlink" Target="https://www.bondsupermart.com/bsm/article-detail/shangri-la-five-star-assets-and-bonds-within-the-sgd-space-RSS299" TargetMode="External"/><Relationship Id="rId57" Type="http://schemas.openxmlformats.org/officeDocument/2006/relationships/hyperlink" Target="https://www.minichart.com.sg/2026/03/26/shangri-la-asia-limited-2025-annual-results-financial-performance-hk15-cents-dividend-revenue-growth-and-outlook/" TargetMode="External"/><Relationship Id="rId106" Type="http://schemas.openxmlformats.org/officeDocument/2006/relationships/image" Target="media/image27.png"/><Relationship Id="rId10" Type="http://schemas.openxmlformats.org/officeDocument/2006/relationships/image" Target="media/image5.png"/><Relationship Id="rId31" Type="http://schemas.openxmlformats.org/officeDocument/2006/relationships/hyperlink" Target="https://www.uowoajournals.org/aabfj/article/id/941/" TargetMode="External"/><Relationship Id="rId52" Type="http://schemas.openxmlformats.org/officeDocument/2006/relationships/hyperlink" Target="https://books.google.com/books?hl=en&amp;lr=&amp;id=XIsrEQAAQBAJ&amp;oi=fnd&amp;pg=PA1&amp;dq=Recurring+capital+expenditures+necessary+to+maintain+the+current+asset+base+continue+to+consume+a+considerable+portion+of+operating+cash+flow,+which+limits+the+amount+of+money+available+for+debt+reduction&amp;ots=JYBfjXH4At&amp;sig=PDNCDZWrsVuojcFLfip8K3ynu18" TargetMode="External"/><Relationship Id="rId73" Type="http://schemas.openxmlformats.org/officeDocument/2006/relationships/hyperlink" Target="https://sitecore-cd.shangri-la.com/-/media/Project/Shangri-La-Group/Investor/Files/Public-Disclosures/Announcements-and-Circulars/2021/2021-03-26-final-results_E.pdf" TargetMode="External"/><Relationship Id="rId78" Type="http://schemas.openxmlformats.org/officeDocument/2006/relationships/hyperlink" Target="https://sitecore-cd.shangri-la.com/-/media/Project/Shangri-La-Group/Investor/Files/Public-Disclosures/Financial-Information/Results-Announcements/e_final-results_20230324.pdf" TargetMode="External"/><Relationship Id="rId94" Type="http://schemas.openxmlformats.org/officeDocument/2006/relationships/hyperlink" Target="https://tracxn.com/d/companies/shangrila-hotels-and-resorts/__Vuy-eyCdUA_EyYbWJtO--PwAYbla4oqAGRawnokxBto" TargetMode="External"/><Relationship Id="rId99" Type="http://schemas.openxmlformats.org/officeDocument/2006/relationships/hyperlink" Target="https://onlinelibrary.wiley.com/doi/abs/10.1111/jofi.13436" TargetMode="External"/><Relationship Id="rId101" Type="http://schemas.openxmlformats.org/officeDocument/2006/relationships/hyperlink" Target="https://www.zionmarketresearch.com/report/hotels-market" TargetMode="External"/><Relationship Id="rId122"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59</Pages>
  <Words>8448</Words>
  <Characters>48154</Characters>
  <Application>Microsoft Office Word</Application>
  <DocSecurity>0</DocSecurity>
  <Lines>401</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irghachi</dc:creator>
  <cp:lastModifiedBy>IR Ghanchi</cp:lastModifiedBy>
  <cp:revision>2</cp:revision>
  <dcterms:created xsi:type="dcterms:W3CDTF">2026-08-12T22:31:00Z</dcterms:created>
  <dcterms:modified xsi:type="dcterms:W3CDTF">2026-08-12T22:31:00Z</dcterms:modified>
</cp:coreProperties>
</file>