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904DE" w14:textId="6660180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My name is Gwawr </w:t>
      </w:r>
      <w:proofErr w:type="gramStart"/>
      <w:r w:rsidRPr="00D66C9C">
        <w:rPr>
          <w:rFonts w:ascii="Arial" w:hAnsi="Arial" w:cs="Arial"/>
          <w:color w:val="00B0F0"/>
          <w:sz w:val="20"/>
          <w:szCs w:val="20"/>
        </w:rPr>
        <w:t>Lewis</w:t>
      </w:r>
      <w:proofErr w:type="gramEnd"/>
      <w:r w:rsidRPr="00D66C9C">
        <w:rPr>
          <w:rFonts w:ascii="Arial" w:hAnsi="Arial" w:cs="Arial"/>
          <w:color w:val="00B0F0"/>
          <w:sz w:val="20"/>
          <w:szCs w:val="20"/>
        </w:rPr>
        <w:t xml:space="preserve"> and I am the allocated Lead Social Worker for this case, my responsibilities are framed by the Children Act 1989, Children Act 2004, and statutory guidance in Working Together to Safeguard Children (HM Government, 2023). My role is to ensure the safety and welfare of Joseph (aged 3) and Amelia (aged 10 months) by conducting a robust assessment of need and risk, convening a Section 47 investigation, and coordinating a Child Protection Plan following the Initial Child Protection Conference (ICPC) (Munro, 2011; HM Government, 2023).</w:t>
      </w:r>
    </w:p>
    <w:p w14:paraId="2B9C7EC8" w14:textId="77777777" w:rsidR="00AC55D8" w:rsidRPr="00D66C9C" w:rsidRDefault="00AC55D8" w:rsidP="00D66C9C">
      <w:pPr>
        <w:spacing w:line="276" w:lineRule="auto"/>
        <w:rPr>
          <w:rFonts w:ascii="Arial" w:hAnsi="Arial" w:cs="Arial"/>
          <w:color w:val="00B0F0"/>
          <w:sz w:val="20"/>
          <w:szCs w:val="20"/>
        </w:rPr>
      </w:pPr>
    </w:p>
    <w:p w14:paraId="2DB89919"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Social workers must act on the early identification of harm, coordinate information-sharing between agencies, and lead safeguarding interventions when the threshold of significant harm is met (Parton, 2014; Ferguson, 2017). These duties are guided by the principle of acting in the best interests of the child (UNCRC, 1989).</w:t>
      </w:r>
    </w:p>
    <w:p w14:paraId="69C27DD4" w14:textId="77777777" w:rsidR="00AC55D8" w:rsidRPr="00D66C9C" w:rsidRDefault="00AC55D8" w:rsidP="00D66C9C">
      <w:pPr>
        <w:spacing w:line="276" w:lineRule="auto"/>
        <w:rPr>
          <w:rFonts w:ascii="Arial" w:hAnsi="Arial" w:cs="Arial"/>
          <w:color w:val="00B0F0"/>
          <w:sz w:val="20"/>
          <w:szCs w:val="20"/>
        </w:rPr>
      </w:pPr>
    </w:p>
    <w:p w14:paraId="65621DE2" w14:textId="58BCA2A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The case was referred by 3 Multi agency Referral Forms, referred by the nursery, the health visitor and team around the family, following a pattern of concerning behaviours. </w:t>
      </w:r>
    </w:p>
    <w:p w14:paraId="00214836"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Emotional withdrawal and developmental regression</w:t>
      </w:r>
    </w:p>
    <w:p w14:paraId="17DC02A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Persistent poor hygiene and dirty clothing</w:t>
      </w:r>
    </w:p>
    <w:p w14:paraId="6E5F967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Presentation by an unfamiliar adult male with signs of intoxication</w:t>
      </w:r>
    </w:p>
    <w:p w14:paraId="641D3A57" w14:textId="77777777" w:rsidR="00AC55D8" w:rsidRPr="00D66C9C" w:rsidRDefault="00AC55D8" w:rsidP="00D66C9C">
      <w:pPr>
        <w:spacing w:line="276" w:lineRule="auto"/>
        <w:rPr>
          <w:rFonts w:ascii="Arial" w:hAnsi="Arial" w:cs="Arial"/>
          <w:color w:val="00B0F0"/>
          <w:sz w:val="20"/>
          <w:szCs w:val="20"/>
        </w:rPr>
      </w:pPr>
    </w:p>
    <w:p w14:paraId="50541477" w14:textId="7E9DA2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These concerns were supported by internal nursery documentation, completed in line with Keeping Children Safe in Education (DfE, 2023). The nursery worker noted Joseph’s fear response, non-verbal behaviour, and a lack of explanation from her mother during discussions. Given the indicators of neglect, emotional abuse, and potential risk of exposure to domestic violence and substance misuse, I authorised a Section 47 investigation within 24 hours (Department for Education, 2023).</w:t>
      </w:r>
    </w:p>
    <w:p w14:paraId="79F1CAC5" w14:textId="77777777" w:rsidR="00AC55D8" w:rsidRPr="00D66C9C" w:rsidRDefault="00AC55D8" w:rsidP="00D66C9C">
      <w:pPr>
        <w:spacing w:line="276" w:lineRule="auto"/>
        <w:rPr>
          <w:rFonts w:ascii="Arial" w:hAnsi="Arial" w:cs="Arial"/>
          <w:color w:val="00B0F0"/>
          <w:sz w:val="20"/>
          <w:szCs w:val="20"/>
        </w:rPr>
      </w:pPr>
    </w:p>
    <w:p w14:paraId="4BFCD988" w14:textId="5821237F"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My Initial Home Visit and Assessment</w:t>
      </w:r>
    </w:p>
    <w:p w14:paraId="3E321AE3" w14:textId="77777777" w:rsidR="00AC55D8" w:rsidRPr="00D66C9C" w:rsidRDefault="00AC55D8" w:rsidP="00D66C9C">
      <w:pPr>
        <w:spacing w:line="276" w:lineRule="auto"/>
        <w:rPr>
          <w:rFonts w:ascii="Arial" w:hAnsi="Arial" w:cs="Arial"/>
          <w:color w:val="00B0F0"/>
          <w:sz w:val="20"/>
          <w:szCs w:val="20"/>
        </w:rPr>
      </w:pPr>
    </w:p>
    <w:p w14:paraId="27EE56A8" w14:textId="586F5743"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 made unannounced home visits within 24 hours of the TAF visit, consistent with statutory guidance (</w:t>
      </w:r>
      <w:proofErr w:type="spellStart"/>
      <w:r w:rsidRPr="00D66C9C">
        <w:rPr>
          <w:rFonts w:ascii="Arial" w:hAnsi="Arial" w:cs="Arial"/>
          <w:color w:val="00B0F0"/>
          <w:sz w:val="20"/>
          <w:szCs w:val="20"/>
        </w:rPr>
        <w:t>Childlawadvice</w:t>
      </w:r>
      <w:proofErr w:type="spellEnd"/>
      <w:r w:rsidRPr="00D66C9C">
        <w:rPr>
          <w:rFonts w:ascii="Arial" w:hAnsi="Arial" w:cs="Arial"/>
          <w:color w:val="00B0F0"/>
          <w:sz w:val="20"/>
          <w:szCs w:val="20"/>
        </w:rPr>
        <w:t>, n.d.).</w:t>
      </w:r>
    </w:p>
    <w:p w14:paraId="784A8DB5" w14:textId="77777777" w:rsidR="00AC55D8" w:rsidRPr="00D66C9C" w:rsidRDefault="00AC55D8" w:rsidP="00D66C9C">
      <w:pPr>
        <w:spacing w:line="276" w:lineRule="auto"/>
        <w:rPr>
          <w:rFonts w:ascii="Arial" w:hAnsi="Arial" w:cs="Arial"/>
          <w:color w:val="00B0F0"/>
          <w:sz w:val="20"/>
          <w:szCs w:val="20"/>
        </w:rPr>
      </w:pPr>
    </w:p>
    <w:p w14:paraId="1E744FA2"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When I arrived at the house, I noticed a ring doorbell at the door which rang and I was greeted by Jenny, who is the mother of both Joseph and Amelia. It was the only three of them present in the house at the time of my visit, although during my visit, mum was quite anxious, and regularly peeping and staring at the door.</w:t>
      </w:r>
    </w:p>
    <w:p w14:paraId="6F1FB9D7" w14:textId="77777777" w:rsidR="00AC55D8" w:rsidRPr="00D66C9C" w:rsidRDefault="00AC55D8" w:rsidP="00D66C9C">
      <w:pPr>
        <w:spacing w:line="276" w:lineRule="auto"/>
        <w:rPr>
          <w:rFonts w:ascii="Arial" w:hAnsi="Arial" w:cs="Arial"/>
          <w:color w:val="00B0F0"/>
          <w:sz w:val="20"/>
          <w:szCs w:val="20"/>
        </w:rPr>
      </w:pPr>
    </w:p>
    <w:p w14:paraId="2F295718"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When I visited and viewed the house, I noticed many a concern about the unsafe and unsanitary environment of their current living conditions, there were scattered soiled nappies, visible mould in both the shared and children’s bedroom spaces. </w:t>
      </w:r>
    </w:p>
    <w:p w14:paraId="5FFEF7AD"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Mum did declare to me about the lack of food and formula she had in the house that specific day, she declared that it was because she hadn’t had a chance to go shopping yet. </w:t>
      </w:r>
    </w:p>
    <w:p w14:paraId="53709E62" w14:textId="77777777" w:rsidR="00AC55D8" w:rsidRPr="00D66C9C" w:rsidRDefault="00AC55D8" w:rsidP="00D66C9C">
      <w:pPr>
        <w:spacing w:line="276" w:lineRule="auto"/>
        <w:rPr>
          <w:rFonts w:ascii="Arial" w:hAnsi="Arial" w:cs="Arial"/>
          <w:color w:val="00B0F0"/>
          <w:sz w:val="20"/>
          <w:szCs w:val="20"/>
        </w:rPr>
      </w:pPr>
    </w:p>
    <w:p w14:paraId="2278FD1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also picked up great concerns and signs of emotional neglect of both the children, Joseph was observed very withdrawn, unable to come forward to talk or play alongside me, he spent the time hiding behind different furniture, he wasn’t communicative at all. Joseph seemed very fearful and aware of the surroundings behind him, he also was peering at the door, looking like he expected it to open. Amelia was of greatest concern as she was visibly in a soiled nappy, still sat in an infant car seat. </w:t>
      </w:r>
    </w:p>
    <w:p w14:paraId="1691BC30" w14:textId="77777777" w:rsidR="00AC55D8" w:rsidRPr="00D66C9C" w:rsidRDefault="00AC55D8" w:rsidP="00D66C9C">
      <w:pPr>
        <w:spacing w:line="276" w:lineRule="auto"/>
        <w:rPr>
          <w:rFonts w:ascii="Arial" w:hAnsi="Arial" w:cs="Arial"/>
          <w:color w:val="00B0F0"/>
          <w:sz w:val="20"/>
          <w:szCs w:val="20"/>
        </w:rPr>
      </w:pPr>
    </w:p>
    <w:p w14:paraId="0074DDF9" w14:textId="32EFAB3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chatted to mum generally asking how things are going, she came across emotionally flat, she was unkept and seemed unbothered and very uncooperative to my questions and conversation. Following form, the information written in the MARF’s I asked mum about her partner, which she denied having, Mum explained that it was just the three of them in the house. There was no one else was involved. </w:t>
      </w:r>
      <w:r w:rsidRPr="00D66C9C">
        <w:rPr>
          <w:rFonts w:ascii="Arial" w:hAnsi="Arial" w:cs="Arial"/>
          <w:color w:val="00B0F0"/>
          <w:sz w:val="20"/>
          <w:szCs w:val="20"/>
        </w:rPr>
        <w:lastRenderedPageBreak/>
        <w:t>Which is conflicting with the MARF form’s I have received, which I declared with Jenny. To which she revised to say, I was with someone, but he won’t be coming back. After my visit I referred to Dyfed Powys Police, to raise concerns about the male in the house for further investigation. (Section 47 – Child Protection Enquiries)</w:t>
      </w:r>
    </w:p>
    <w:p w14:paraId="682E600B" w14:textId="77777777" w:rsidR="00AC55D8" w:rsidRPr="00D66C9C" w:rsidRDefault="00AC55D8" w:rsidP="00D66C9C">
      <w:pPr>
        <w:spacing w:line="276" w:lineRule="auto"/>
        <w:rPr>
          <w:rFonts w:ascii="Arial" w:hAnsi="Arial" w:cs="Arial"/>
          <w:color w:val="00B0F0"/>
          <w:sz w:val="20"/>
          <w:szCs w:val="20"/>
        </w:rPr>
      </w:pPr>
    </w:p>
    <w:p w14:paraId="56276454"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visit raised immediate safeguarding concerns in line with The Framework for the Assessment of Children in Need and their Families (</w:t>
      </w:r>
      <w:proofErr w:type="spellStart"/>
      <w:r w:rsidRPr="00D66C9C">
        <w:rPr>
          <w:rFonts w:ascii="Arial" w:hAnsi="Arial" w:cs="Arial"/>
          <w:color w:val="00B0F0"/>
          <w:sz w:val="20"/>
          <w:szCs w:val="20"/>
        </w:rPr>
        <w:t>DoH</w:t>
      </w:r>
      <w:proofErr w:type="spellEnd"/>
      <w:r w:rsidRPr="00D66C9C">
        <w:rPr>
          <w:rFonts w:ascii="Arial" w:hAnsi="Arial" w:cs="Arial"/>
          <w:color w:val="00B0F0"/>
          <w:sz w:val="20"/>
          <w:szCs w:val="20"/>
        </w:rPr>
        <w:t xml:space="preserve"> et al., 2000). The children’s lived experiences suggest chronic neglect, unmet physical and emotional needs, and an unsafe household with unvetted adults present (Cleaver, </w:t>
      </w:r>
      <w:proofErr w:type="spellStart"/>
      <w:r w:rsidRPr="00D66C9C">
        <w:rPr>
          <w:rFonts w:ascii="Arial" w:hAnsi="Arial" w:cs="Arial"/>
          <w:color w:val="00B0F0"/>
          <w:sz w:val="20"/>
          <w:szCs w:val="20"/>
        </w:rPr>
        <w:t>Unell</w:t>
      </w:r>
      <w:proofErr w:type="spellEnd"/>
      <w:r w:rsidRPr="00D66C9C">
        <w:rPr>
          <w:rFonts w:ascii="Arial" w:hAnsi="Arial" w:cs="Arial"/>
          <w:color w:val="00B0F0"/>
          <w:sz w:val="20"/>
          <w:szCs w:val="20"/>
        </w:rPr>
        <w:t xml:space="preserve"> and Aldgate, 2011; Brandon et al., 2020).</w:t>
      </w:r>
    </w:p>
    <w:p w14:paraId="7E1485BF" w14:textId="77777777" w:rsidR="00AC55D8" w:rsidRPr="00D66C9C" w:rsidRDefault="00AC55D8" w:rsidP="00D66C9C">
      <w:pPr>
        <w:spacing w:line="276" w:lineRule="auto"/>
        <w:rPr>
          <w:rFonts w:ascii="Arial" w:hAnsi="Arial" w:cs="Arial"/>
          <w:color w:val="00B0F0"/>
          <w:sz w:val="20"/>
          <w:szCs w:val="20"/>
        </w:rPr>
      </w:pPr>
    </w:p>
    <w:p w14:paraId="0852EFAF"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multi-agency strategy meeting convened within 48 hours, including representatives from:</w:t>
      </w:r>
    </w:p>
    <w:p w14:paraId="70C1B08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Social Services (lead worker and manager)</w:t>
      </w:r>
    </w:p>
    <w:p w14:paraId="519E7F2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    •    Team around the family officer </w:t>
      </w:r>
    </w:p>
    <w:p w14:paraId="488150CA"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Police (Child Protection Unit)</w:t>
      </w:r>
    </w:p>
    <w:p w14:paraId="240529C1"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    Health Visitor</w:t>
      </w:r>
    </w:p>
    <w:p w14:paraId="256C71DC" w14:textId="77777777" w:rsidR="00AC55D8" w:rsidRPr="00D66C9C" w:rsidRDefault="00AC55D8" w:rsidP="00D66C9C">
      <w:pPr>
        <w:spacing w:line="276" w:lineRule="auto"/>
        <w:rPr>
          <w:rFonts w:ascii="Arial" w:hAnsi="Arial" w:cs="Arial"/>
          <w:color w:val="00B0F0"/>
          <w:sz w:val="20"/>
          <w:szCs w:val="20"/>
        </w:rPr>
      </w:pPr>
    </w:p>
    <w:p w14:paraId="05D64648" w14:textId="5836839C"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 consensus was reached that the threshold for significant harm had been met and an ICPC was necessary. This decision was recorded as per statutory requirements.</w:t>
      </w:r>
    </w:p>
    <w:p w14:paraId="131616F3" w14:textId="77777777" w:rsidR="00AC55D8" w:rsidRPr="00D66C9C" w:rsidRDefault="00AC55D8" w:rsidP="00D66C9C">
      <w:pPr>
        <w:spacing w:line="276" w:lineRule="auto"/>
        <w:rPr>
          <w:rFonts w:ascii="Arial" w:hAnsi="Arial" w:cs="Arial"/>
          <w:color w:val="00B0F0"/>
          <w:sz w:val="20"/>
          <w:szCs w:val="20"/>
        </w:rPr>
      </w:pPr>
    </w:p>
    <w:p w14:paraId="2EFCD593" w14:textId="648CFF2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As the lead social worker, I have Coordinated attendance of relevant professionals, in compliance with statutory attendance expectations (ELFT Procedure 3.3; NSPCC, 2024)</w:t>
      </w:r>
    </w:p>
    <w:p w14:paraId="28753CBC" w14:textId="2E9F59C6"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I have also prepared the above report on my house visit, outlined evidence of the current safeguarding issues. The ICPC is held today, which is within the statutory 15-working-day timeframe. All core professionals now will share their written reports, and when they have concluded I will then recommend protective interventions if needed (York CYSCP, </w:t>
      </w:r>
      <w:proofErr w:type="spellStart"/>
      <w:r w:rsidRPr="00D66C9C">
        <w:rPr>
          <w:rFonts w:ascii="Arial" w:hAnsi="Arial" w:cs="Arial"/>
          <w:color w:val="00B0F0"/>
          <w:sz w:val="20"/>
          <w:szCs w:val="20"/>
        </w:rPr>
        <w:t>nd</w:t>
      </w:r>
      <w:proofErr w:type="spellEnd"/>
      <w:r w:rsidRPr="00D66C9C">
        <w:rPr>
          <w:rFonts w:ascii="Arial" w:hAnsi="Arial" w:cs="Arial"/>
          <w:color w:val="00B0F0"/>
          <w:sz w:val="20"/>
          <w:szCs w:val="20"/>
        </w:rPr>
        <w:t>.; Wirral SCP, 2021)</w:t>
      </w:r>
    </w:p>
    <w:p w14:paraId="1152B1F3" w14:textId="77777777" w:rsidR="00D66C9C" w:rsidRPr="00D66C9C" w:rsidRDefault="00D66C9C" w:rsidP="00D66C9C">
      <w:pPr>
        <w:spacing w:line="276" w:lineRule="auto"/>
        <w:rPr>
          <w:rFonts w:ascii="Arial" w:hAnsi="Arial" w:cs="Arial"/>
          <w:color w:val="00B0F0"/>
          <w:sz w:val="20"/>
          <w:szCs w:val="20"/>
        </w:rPr>
      </w:pPr>
    </w:p>
    <w:p w14:paraId="323BF17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Good afternoon, my name is Cody, and I am a Senior Nursery Practitioner at the nursery where Joseph attends 3 days a week. As a senior nursery practitioner, I work under the Statutory Framework for the Early Years Foundation Stage (EYFS) (DfE, 2024), which emphasises safeguarding, promoting welfare, and supporting the learning and development of all children. </w:t>
      </w:r>
    </w:p>
    <w:p w14:paraId="40AC3F79"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My responsibilities include daily observation, planning, and monitoring of children’s physical, social, and emotional development and acting promptly on concerns that may indicate abuse or neglect in accordance with Working Together to Safeguard Children (HM Government, 2023) and Keeping Children Safe in Education (DfE, 2023).</w:t>
      </w:r>
    </w:p>
    <w:p w14:paraId="2B0BD07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All staff are trained in safeguarding procedures and must follow the Designated Safeguarding Lead (DSL) escalation pathway when concerns arise (Estyn, 2021).</w:t>
      </w:r>
    </w:p>
    <w:p w14:paraId="7F4A027B"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Over the course of four weeks, I have observed a notable deterioration in the wellbeing of Joseph, who is three years old. Initially a sociable and engaged child, Joseph has become withdrawn, shows reduced interaction with his friends, and the other adults in work, and often isolates himself in quiet areas. This behavioural regression aligns with Bowlby’s Attachment Theory, which suggests that emotional withdrawal and clinginess can indicate disruption in caregiver bonds (Bowlby, 1988; Geddes, 2006).</w:t>
      </w:r>
    </w:p>
    <w:p w14:paraId="554E15EE"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The following concerns that I have documented and included in the Multi agency Referral Form are Josephs, </w:t>
      </w:r>
    </w:p>
    <w:p w14:paraId="2FAC1ED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Hygiene and appearance: Josephs consistently arrives in dirty, ill-fitting clothing, often with an odour indicating infrequent washing. HIS nails are long and dirty, and </w:t>
      </w:r>
      <w:proofErr w:type="spellStart"/>
      <w:r w:rsidRPr="00D66C9C">
        <w:rPr>
          <w:rFonts w:ascii="Arial" w:hAnsi="Arial" w:cs="Arial"/>
          <w:color w:val="70AD47" w:themeColor="accent6"/>
          <w:sz w:val="20"/>
          <w:szCs w:val="20"/>
        </w:rPr>
        <w:t>hIS</w:t>
      </w:r>
      <w:proofErr w:type="spellEnd"/>
      <w:r w:rsidRPr="00D66C9C">
        <w:rPr>
          <w:rFonts w:ascii="Arial" w:hAnsi="Arial" w:cs="Arial"/>
          <w:color w:val="70AD47" w:themeColor="accent6"/>
          <w:sz w:val="20"/>
          <w:szCs w:val="20"/>
        </w:rPr>
        <w:t xml:space="preserve"> hair is matted. This indicates a potential failure to meet basic care needs, consistent with physical neglect (Horwath, 2007).</w:t>
      </w:r>
    </w:p>
    <w:p w14:paraId="792897C3"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lastRenderedPageBreak/>
        <w:t>Behavioural changes: Joseph shows fear-based behaviours, such as flinching when approached and hiding under tables. These are recognised as non-verbal trauma indicators (Daniel et al., 2011; NSPCC, 2023).</w:t>
      </w:r>
    </w:p>
    <w:p w14:paraId="25531CBC" w14:textId="77777777" w:rsidR="00D66C9C" w:rsidRPr="00D66C9C" w:rsidRDefault="00D66C9C" w:rsidP="00D66C9C">
      <w:pPr>
        <w:numPr>
          <w:ilvl w:val="0"/>
          <w:numId w:val="1"/>
        </w:numPr>
        <w:spacing w:after="160" w:line="276" w:lineRule="auto"/>
        <w:rPr>
          <w:rFonts w:ascii="Arial" w:hAnsi="Arial" w:cs="Arial"/>
          <w:color w:val="70AD47" w:themeColor="accent6"/>
          <w:sz w:val="20"/>
          <w:szCs w:val="20"/>
        </w:rPr>
      </w:pPr>
      <w:r w:rsidRPr="00D66C9C">
        <w:rPr>
          <w:rFonts w:ascii="Arial" w:hAnsi="Arial" w:cs="Arial"/>
          <w:color w:val="70AD47" w:themeColor="accent6"/>
          <w:sz w:val="20"/>
          <w:szCs w:val="20"/>
        </w:rPr>
        <w:t>Emotional regulation: He frequently cries during transitions and is resistant to adult support. This suggests emotional insecurity and the possibility of witnessing or experiencing domestic conflict (Sidebotham and Heron, 2006).</w:t>
      </w:r>
    </w:p>
    <w:p w14:paraId="00822CBF"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Last week, Joseph was brought in by an unknown adult male who appeared intoxicated, evidenced by slurred speech and a strong smell of alcohol. This incident was deeply concerning and was recorded as a safeguarding breach, in line with Safer Working Practice guidelines (Safer Recruitment Consortium, 2022).</w:t>
      </w:r>
    </w:p>
    <w:p w14:paraId="1CFB43B3"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Following our observations, the Designated Safeguarding Lead and I arranged a meeting with Joseph’s mother. In the meeting, she was very dismissive and vague, offering no explanation for Joseph’s recent condition or the unknown male’s identity. This raises concerns of disguised compliance – a known barrier to early intervention where parents present superficially compliant behaviours to deflect scrutiny (Reder and Duncan, 1999; Laming, 2009)</w:t>
      </w:r>
    </w:p>
    <w:p w14:paraId="6E60F93A"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We are aware that Joseph has a younger sibling, Amelia, who I believe to be around 10 months old, whom we have never seen. There is no known father registered with the setting. The family has declined offers of Early Help previously.</w:t>
      </w:r>
    </w:p>
    <w:p w14:paraId="19460B30"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 xml:space="preserve">In line with the Threshold Criteria of our Local Safeguarding Children Board (LSCB), this case meets indicators of neglect and emotional abuse (Cleaver, </w:t>
      </w:r>
      <w:proofErr w:type="spellStart"/>
      <w:r w:rsidRPr="00D66C9C">
        <w:rPr>
          <w:rFonts w:ascii="Arial" w:hAnsi="Arial" w:cs="Arial"/>
          <w:color w:val="70AD47" w:themeColor="accent6"/>
          <w:sz w:val="20"/>
          <w:szCs w:val="20"/>
        </w:rPr>
        <w:t>Unell</w:t>
      </w:r>
      <w:proofErr w:type="spellEnd"/>
      <w:r w:rsidRPr="00D66C9C">
        <w:rPr>
          <w:rFonts w:ascii="Arial" w:hAnsi="Arial" w:cs="Arial"/>
          <w:color w:val="70AD47" w:themeColor="accent6"/>
          <w:sz w:val="20"/>
          <w:szCs w:val="20"/>
        </w:rPr>
        <w:t xml:space="preserve"> and Aldgate, 2011). I immediately escalated the case to the Designated Safeguarding Lead, who documented the concerns and submitted a MARF to Children’s Services under Section 11 of the Children Act 2004. This led to a Section 47 investigation (HM Government, 2023).</w:t>
      </w:r>
    </w:p>
    <w:p w14:paraId="2F27FBE4"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This case exemplifies the crucial role early years professionals play in the early identification of safeguarding concerns. We see the importance of ecological models (Bronfenbrenner, 1979), which place children within complex systems of family, social services, and education, all of which influence outcomes.</w:t>
      </w:r>
    </w:p>
    <w:p w14:paraId="2BF7304C"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Our team recognises that Adverse Childhood Experiences (ACEs), such as neglect or exposure to substance misuse, may have long-term effects on Ella’s emotional regulation, self-esteem, and developmental trajectory (</w:t>
      </w:r>
      <w:proofErr w:type="spellStart"/>
      <w:r w:rsidRPr="00D66C9C">
        <w:rPr>
          <w:rFonts w:ascii="Arial" w:hAnsi="Arial" w:cs="Arial"/>
          <w:color w:val="70AD47" w:themeColor="accent6"/>
          <w:sz w:val="20"/>
          <w:szCs w:val="20"/>
        </w:rPr>
        <w:t>Felitti</w:t>
      </w:r>
      <w:proofErr w:type="spellEnd"/>
      <w:r w:rsidRPr="00D66C9C">
        <w:rPr>
          <w:rFonts w:ascii="Arial" w:hAnsi="Arial" w:cs="Arial"/>
          <w:color w:val="70AD47" w:themeColor="accent6"/>
          <w:sz w:val="20"/>
          <w:szCs w:val="20"/>
        </w:rPr>
        <w:t xml:space="preserve"> et al., 1998; Bellis et al., 2014). Therefore, trauma-informed practice (Bath, 2008) has been embedded into our key worker support approach.</w:t>
      </w:r>
    </w:p>
    <w:p w14:paraId="45049E9D" w14:textId="77777777" w:rsidR="00D66C9C" w:rsidRPr="00D66C9C" w:rsidRDefault="00D66C9C" w:rsidP="00D66C9C">
      <w:pPr>
        <w:spacing w:line="276" w:lineRule="auto"/>
        <w:rPr>
          <w:rFonts w:ascii="Arial" w:hAnsi="Arial" w:cs="Arial"/>
          <w:color w:val="70AD47" w:themeColor="accent6"/>
          <w:sz w:val="20"/>
          <w:szCs w:val="20"/>
        </w:rPr>
      </w:pPr>
      <w:r w:rsidRPr="00D66C9C">
        <w:rPr>
          <w:rFonts w:ascii="Arial" w:hAnsi="Arial" w:cs="Arial"/>
          <w:color w:val="70AD47" w:themeColor="accent6"/>
          <w:sz w:val="20"/>
          <w:szCs w:val="20"/>
        </w:rPr>
        <w:t>For us as a nursery, Joseph’s case highlights serious safeguarding concerns, particularly around neglect, emotional harm, and unsafe adult exposure. Early years practitioners are often the first to recognise such concerns due to consistent contact with children. Timely multi-agency intervention is essential to break cycles of harm and provide Joseph and Amelia with a safer, more supportive environment (Allen, 2011; Munro, 2011).</w:t>
      </w:r>
    </w:p>
    <w:p w14:paraId="05D62F70" w14:textId="77777777" w:rsidR="00AC55D8" w:rsidRPr="00D66C9C" w:rsidRDefault="00AC55D8" w:rsidP="00D66C9C">
      <w:pPr>
        <w:spacing w:line="276" w:lineRule="auto"/>
        <w:rPr>
          <w:rFonts w:ascii="Arial" w:hAnsi="Arial" w:cs="Arial"/>
          <w:sz w:val="20"/>
          <w:szCs w:val="20"/>
          <w:highlight w:val="cyan"/>
        </w:rPr>
      </w:pPr>
    </w:p>
    <w:p w14:paraId="6F76175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Good afternoon. My name is Joelle Evans, and I am a Health Visitor working within the community public health team. My role involves supporting families with young children during the crucial early years of development, with a focus on supporting wellbeing, minimising illness, and narrowing health gaps. As stated in Article 6 of the UNCRC (1989), all children are entitled to life, and governments must make every effort to ensure their survival and support their development to their full potential.</w:t>
      </w:r>
    </w:p>
    <w:p w14:paraId="206AE0BE" w14:textId="6E5F3E4B"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I have been involved with Joseph, Amelia, and their family since the children were very young. Over time, I have built a trusting relationship with the family, offering guidance and support through key developmental stages. This links with Bowlby’s Attachment Theory (1969), which emphasize the importance of stable, secure relationships in helping children feel safe, explore their environment, and develop emotionally (The Attachment Project 2024). However, during recent visits, I have observed some changes in the children’s health, wellbeing and home environment that have raised concerns. According to the Royal College of Nursing (2024), as a registered health professional, I have a legal and ethical duty of care to act in the best interests of the children and to safeguard their health and </w:t>
      </w:r>
      <w:r w:rsidRPr="00D66C9C">
        <w:rPr>
          <w:rFonts w:ascii="Arial" w:eastAsia="Times New Roman" w:hAnsi="Arial" w:cs="Arial"/>
          <w:color w:val="D883FF"/>
          <w:kern w:val="0"/>
          <w:sz w:val="20"/>
          <w:szCs w:val="20"/>
          <w:lang w:eastAsia="en-GB"/>
          <w14:ligatures w14:val="none"/>
        </w:rPr>
        <w:lastRenderedPageBreak/>
        <w:t>development. This is supported by Every Child Matters framework (2003), which outlines five key outcomes that are essential for every child's well-being.  This includes identifying potential risks, offering early intervention, and working collaboratively with other professionals to ensure the family receives the support they need. This approach shows the importance of the principles of multi-agency working, which is essential in safeguarding to ensure that no information is missed and that children and families get the right help at the right time (Department for Education 2025</w:t>
      </w:r>
      <w:proofErr w:type="gramStart"/>
      <w:r w:rsidRPr="00D66C9C">
        <w:rPr>
          <w:rFonts w:ascii="Arial" w:eastAsia="Times New Roman" w:hAnsi="Arial" w:cs="Arial"/>
          <w:color w:val="D883FF"/>
          <w:kern w:val="0"/>
          <w:sz w:val="20"/>
          <w:szCs w:val="20"/>
          <w:lang w:eastAsia="en-GB"/>
          <w14:ligatures w14:val="none"/>
        </w:rPr>
        <w:t>) .</w:t>
      </w:r>
      <w:proofErr w:type="gramEnd"/>
      <w:r w:rsidRPr="00D66C9C">
        <w:rPr>
          <w:rFonts w:ascii="Arial" w:eastAsia="Times New Roman" w:hAnsi="Arial" w:cs="Arial"/>
          <w:color w:val="D883FF"/>
          <w:kern w:val="0"/>
          <w:sz w:val="20"/>
          <w:szCs w:val="20"/>
          <w:lang w:eastAsia="en-GB"/>
          <w14:ligatures w14:val="none"/>
        </w:rPr>
        <w:t xml:space="preserve">  </w:t>
      </w:r>
    </w:p>
    <w:p w14:paraId="3F3C950B"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Over the past couple of years, there has been a noticeable change in the family's engagement. When Joseph was a baby, Mum regularly attended all scheduled health appointments and ensured he remained up to date with his immunisations. During that time, Joseph was meeting his developmental milestones but as we know, milestones are just general guidelines, as every child is different and develops at their own pace (NHS 2024).  Mum appeared to be enjoying her role as a new parent, fully immersed in the baby bubble.</w:t>
      </w:r>
    </w:p>
    <w:p w14:paraId="122E8D6F"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However, since the birth of Amelia, there has been a significant change. Mum has struggled to attend appointments at the baby clinic, and Amelia has fallen behind with her routine immunisations which are vitally important (NHS 2024). These concerns led me to my most recent home visit, during which I observed several changes in the children’s behaviour and the overall home environment. Both children, have experienced a drop in weight, which is unusual. Particularly for Joseph, as previously he has maintained a steady position on the centile charts in his personal health record (Red Book), the recent decline marks a noticeable change in his growth pattern. As Almond-Bushell (2019) explains, these charts help professionals monitor whether a child is growing as expected, and whether any significant drop might be a cause for concern. This has raised further concerns about both children's nutritional intake and overall wellbeing along with the lack of routines, all of which can contribute to developmental delays. According to Maslow’s Hierarchy of Needs, children require their basic physiological needs such as food and water, to be consistently met to support their holistic development and learning (Early Years TV </w:t>
      </w:r>
      <w:proofErr w:type="spellStart"/>
      <w:r w:rsidRPr="00D66C9C">
        <w:rPr>
          <w:rFonts w:ascii="Arial" w:eastAsia="Times New Roman" w:hAnsi="Arial" w:cs="Arial"/>
          <w:color w:val="D883FF"/>
          <w:kern w:val="0"/>
          <w:sz w:val="20"/>
          <w:szCs w:val="20"/>
          <w:lang w:eastAsia="en-GB"/>
          <w14:ligatures w14:val="none"/>
        </w:rPr>
        <w:t>nodate</w:t>
      </w:r>
      <w:proofErr w:type="spellEnd"/>
      <w:r w:rsidRPr="00D66C9C">
        <w:rPr>
          <w:rFonts w:ascii="Arial" w:eastAsia="Times New Roman" w:hAnsi="Arial" w:cs="Arial"/>
          <w:color w:val="D883FF"/>
          <w:kern w:val="0"/>
          <w:sz w:val="20"/>
          <w:szCs w:val="20"/>
          <w:lang w:eastAsia="en-GB"/>
          <w14:ligatures w14:val="none"/>
        </w:rPr>
        <w:t>).</w:t>
      </w:r>
    </w:p>
    <w:p w14:paraId="1EF484E9" w14:textId="2E70D85B"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noted that both children appeared visibly tired, and Joseph showed signs of behavioural deterioration alongside reduced physical energy, which may indicate underlying emotional or physical needs not being met. Amelia appeared withdrawn and was reluctant to engage in the activities she previously enjoyed. Linking this to the Bronfenbrenner’s Ecological Systems Theory, which highlights how a child’s development is shaped by a series of interconnected systems, beginning with their immediate environment, such as the home (Laroche 2025). If this environment becomes unstable, stressful, or lacks consistent support, it can negatively affect a child’s physical health, emotional wellbeing, and ability to engage in learning and play. This relates to Article 31 of the UNCRC, which recognises every child’s right to rest, leisure, and play as essential to their development and wellbeing (UNCRC, 1989).</w:t>
      </w:r>
    </w:p>
    <w:p w14:paraId="259BB138" w14:textId="7F2CEC8D"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I also noticed that when I tried to talk to Mum, Jenny, about how she was doing, her partner would often interrupt and speak over her quite sharply, showing very little patience. which led to an immediate change in Jenny’s body language, she became withdrawn and flinched once or twice when he came close. Furthermore, I observed Joseph rocking back and forth when Mum’s partner was moving in and out of the room, and Amelia appeared jumpy. These behaviours lead me to further concerns about the partners impact on both jenny and the children. This situation might be a sign of coercive control, where one partner tries to take control by using intimidation, pressure, or emotional tactics to overpower others in the home. Research shows that these actions can have serious emotional and developmental impacts on children living in these environments (McLeod </w:t>
      </w:r>
      <w:r w:rsidRPr="00D66C9C">
        <w:rPr>
          <w:rFonts w:ascii="Arial" w:eastAsia="Times New Roman" w:hAnsi="Arial" w:cs="Arial"/>
          <w:i/>
          <w:iCs/>
          <w:color w:val="D883FF"/>
          <w:kern w:val="0"/>
          <w:sz w:val="20"/>
          <w:szCs w:val="20"/>
          <w:lang w:eastAsia="en-GB"/>
          <w14:ligatures w14:val="none"/>
        </w:rPr>
        <w:t>et al.</w:t>
      </w:r>
      <w:r w:rsidRPr="00D66C9C">
        <w:rPr>
          <w:rFonts w:ascii="Arial" w:eastAsia="Times New Roman" w:hAnsi="Arial" w:cs="Arial"/>
          <w:color w:val="D883FF"/>
          <w:kern w:val="0"/>
          <w:sz w:val="20"/>
          <w:szCs w:val="20"/>
          <w:lang w:eastAsia="en-GB"/>
          <w14:ligatures w14:val="none"/>
        </w:rPr>
        <w:t> 2018).</w:t>
      </w:r>
    </w:p>
    <w:p w14:paraId="60EA6B43" w14:textId="6BBA200E"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r w:rsidRPr="00D66C9C">
        <w:rPr>
          <w:rFonts w:ascii="Arial" w:eastAsia="Times New Roman" w:hAnsi="Arial" w:cs="Arial"/>
          <w:color w:val="D883FF"/>
          <w:kern w:val="0"/>
          <w:sz w:val="20"/>
          <w:szCs w:val="20"/>
          <w:lang w:eastAsia="en-GB"/>
          <w14:ligatures w14:val="none"/>
        </w:rPr>
        <w:t xml:space="preserve">Based on these observations, my background from previous meetings and the changes reported by the parents, including financial challenges and irregular meal routines, have led me to believe that the family may be experiencing difficulties that could impact the children’s growth and development, and be at significant risk of harm. Therefore, I </w:t>
      </w:r>
      <w:r w:rsidR="001B3AA2">
        <w:rPr>
          <w:rFonts w:ascii="Arial" w:eastAsia="Times New Roman" w:hAnsi="Arial" w:cs="Arial"/>
          <w:color w:val="D883FF"/>
          <w:kern w:val="0"/>
          <w:sz w:val="20"/>
          <w:szCs w:val="20"/>
          <w:lang w:eastAsia="en-GB"/>
          <w14:ligatures w14:val="none"/>
        </w:rPr>
        <w:t>had</w:t>
      </w:r>
      <w:r w:rsidRPr="00D66C9C">
        <w:rPr>
          <w:rFonts w:ascii="Arial" w:eastAsia="Times New Roman" w:hAnsi="Arial" w:cs="Arial"/>
          <w:color w:val="D883FF"/>
          <w:kern w:val="0"/>
          <w:sz w:val="20"/>
          <w:szCs w:val="20"/>
          <w:lang w:eastAsia="en-GB"/>
          <w14:ligatures w14:val="none"/>
        </w:rPr>
        <w:t xml:space="preserve"> put in a MARF and referred to the Team around the family for my concerns.</w:t>
      </w:r>
    </w:p>
    <w:p w14:paraId="249D668A" w14:textId="77777777" w:rsidR="00D66C9C" w:rsidRPr="00D66C9C" w:rsidRDefault="00D66C9C" w:rsidP="00D66C9C">
      <w:pPr>
        <w:shd w:val="clear" w:color="auto" w:fill="FFFFFF"/>
        <w:spacing w:line="276" w:lineRule="auto"/>
        <w:rPr>
          <w:rFonts w:ascii="Arial" w:eastAsia="Times New Roman" w:hAnsi="Arial" w:cs="Arial"/>
          <w:color w:val="D883FF"/>
          <w:kern w:val="0"/>
          <w:sz w:val="20"/>
          <w:szCs w:val="20"/>
          <w:lang w:eastAsia="en-GB"/>
          <w14:ligatures w14:val="none"/>
        </w:rPr>
      </w:pPr>
    </w:p>
    <w:p w14:paraId="6DD75D12"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lastRenderedPageBreak/>
        <w:t xml:space="preserve">Good afternoon, my name is Bobbie </w:t>
      </w:r>
      <w:proofErr w:type="gramStart"/>
      <w:r w:rsidRPr="00D66C9C">
        <w:rPr>
          <w:rFonts w:ascii="Arial" w:hAnsi="Arial" w:cs="Arial"/>
          <w:color w:val="FFC000" w:themeColor="accent4"/>
          <w:sz w:val="20"/>
          <w:szCs w:val="20"/>
          <w:lang w:val="en-US"/>
        </w:rPr>
        <w:t>Rees</w:t>
      </w:r>
      <w:proofErr w:type="gramEnd"/>
      <w:r w:rsidRPr="00D66C9C">
        <w:rPr>
          <w:rFonts w:ascii="Arial" w:hAnsi="Arial" w:cs="Arial"/>
          <w:color w:val="FFC000" w:themeColor="accent4"/>
          <w:sz w:val="20"/>
          <w:szCs w:val="20"/>
          <w:lang w:val="en-US"/>
        </w:rPr>
        <w:t xml:space="preserve"> and I am the Team Around </w:t>
      </w:r>
      <w:proofErr w:type="gramStart"/>
      <w:r w:rsidRPr="00D66C9C">
        <w:rPr>
          <w:rFonts w:ascii="Arial" w:hAnsi="Arial" w:cs="Arial"/>
          <w:color w:val="FFC000" w:themeColor="accent4"/>
          <w:sz w:val="20"/>
          <w:szCs w:val="20"/>
          <w:lang w:val="en-US"/>
        </w:rPr>
        <w:t>The</w:t>
      </w:r>
      <w:proofErr w:type="gramEnd"/>
      <w:r w:rsidRPr="00D66C9C">
        <w:rPr>
          <w:rFonts w:ascii="Arial" w:hAnsi="Arial" w:cs="Arial"/>
          <w:color w:val="FFC000" w:themeColor="accent4"/>
          <w:sz w:val="20"/>
          <w:szCs w:val="20"/>
          <w:lang w:val="en-US"/>
        </w:rPr>
        <w:t xml:space="preserve"> Family Support Worker. I have recently been referred to the family by the health visitor and have carried out my first meeting in the family home last week as agreed by the mother Jenny. My role is to work together with the mother and the children individually, listening to </w:t>
      </w:r>
      <w:proofErr w:type="gramStart"/>
      <w:r w:rsidRPr="00D66C9C">
        <w:rPr>
          <w:rFonts w:ascii="Arial" w:hAnsi="Arial" w:cs="Arial"/>
          <w:color w:val="FFC000" w:themeColor="accent4"/>
          <w:sz w:val="20"/>
          <w:szCs w:val="20"/>
          <w:lang w:val="en-US"/>
        </w:rPr>
        <w:t>all of</w:t>
      </w:r>
      <w:proofErr w:type="gramEnd"/>
      <w:r w:rsidRPr="00D66C9C">
        <w:rPr>
          <w:rFonts w:ascii="Arial" w:hAnsi="Arial" w:cs="Arial"/>
          <w:color w:val="FFC000" w:themeColor="accent4"/>
          <w:sz w:val="20"/>
          <w:szCs w:val="20"/>
          <w:lang w:val="en-US"/>
        </w:rPr>
        <w:t xml:space="preserve"> their voices and identifying any specific needs which require further support. This will then allow me to create a tailored support plan to improve well-being and ensure the best outcomes for the whole family in line with The Social Services and Well-being (Wales) Act 2014. In doing so, this supports Article 3 of the United Nations Conventions on the Rights of the child standards 1989. Providing early intervention is fundamental to prevent any problems from escalating which can cause adverse childhood experiences. This is important to support the goals of the Well-being of Future Generations (Wales) Act 2015. It is important to note that mum gave permission for the meeting to take place but requested that some of the information I am about to share remained confidential. </w:t>
      </w:r>
      <w:proofErr w:type="gramStart"/>
      <w:r w:rsidRPr="00D66C9C">
        <w:rPr>
          <w:rFonts w:ascii="Arial" w:hAnsi="Arial" w:cs="Arial"/>
          <w:color w:val="FFC000" w:themeColor="accent4"/>
          <w:sz w:val="20"/>
          <w:szCs w:val="20"/>
          <w:lang w:val="en-US"/>
        </w:rPr>
        <w:t>However</w:t>
      </w:r>
      <w:proofErr w:type="gramEnd"/>
      <w:r w:rsidRPr="00D66C9C">
        <w:rPr>
          <w:rFonts w:ascii="Arial" w:hAnsi="Arial" w:cs="Arial"/>
          <w:color w:val="FFC000" w:themeColor="accent4"/>
          <w:sz w:val="20"/>
          <w:szCs w:val="20"/>
          <w:lang w:val="en-US"/>
        </w:rPr>
        <w:t xml:space="preserve"> under The Data Protection Act 2018 I have a legal duty to share my concerns </w:t>
      </w:r>
      <w:proofErr w:type="gramStart"/>
      <w:r w:rsidRPr="00D66C9C">
        <w:rPr>
          <w:rFonts w:ascii="Arial" w:hAnsi="Arial" w:cs="Arial"/>
          <w:color w:val="FFC000" w:themeColor="accent4"/>
          <w:sz w:val="20"/>
          <w:szCs w:val="20"/>
          <w:lang w:val="en-US"/>
        </w:rPr>
        <w:t>in order to</w:t>
      </w:r>
      <w:proofErr w:type="gramEnd"/>
      <w:r w:rsidRPr="00D66C9C">
        <w:rPr>
          <w:rFonts w:ascii="Arial" w:hAnsi="Arial" w:cs="Arial"/>
          <w:color w:val="FFC000" w:themeColor="accent4"/>
          <w:sz w:val="20"/>
          <w:szCs w:val="20"/>
          <w:lang w:val="en-US"/>
        </w:rPr>
        <w:t xml:space="preserve"> prevent further serious harm. This is further supported by Working Together to Safeguard people Volume 1 (Welsh Government) which states information can be shared without consent when there is a public concern. </w:t>
      </w:r>
    </w:p>
    <w:p w14:paraId="7A1A69AE"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Upon arrival </w:t>
      </w:r>
      <w:proofErr w:type="gramStart"/>
      <w:r w:rsidRPr="00D66C9C">
        <w:rPr>
          <w:rFonts w:ascii="Arial" w:hAnsi="Arial" w:cs="Arial"/>
          <w:color w:val="FFC000" w:themeColor="accent4"/>
          <w:sz w:val="20"/>
          <w:szCs w:val="20"/>
          <w:lang w:val="en-US"/>
        </w:rPr>
        <w:t>into</w:t>
      </w:r>
      <w:proofErr w:type="gramEnd"/>
      <w:r w:rsidRPr="00D66C9C">
        <w:rPr>
          <w:rFonts w:ascii="Arial" w:hAnsi="Arial" w:cs="Arial"/>
          <w:color w:val="FFC000" w:themeColor="accent4"/>
          <w:sz w:val="20"/>
          <w:szCs w:val="20"/>
          <w:lang w:val="en-US"/>
        </w:rPr>
        <w:t xml:space="preserve"> the family </w:t>
      </w:r>
      <w:proofErr w:type="gramStart"/>
      <w:r w:rsidRPr="00D66C9C">
        <w:rPr>
          <w:rFonts w:ascii="Arial" w:hAnsi="Arial" w:cs="Arial"/>
          <w:color w:val="FFC000" w:themeColor="accent4"/>
          <w:sz w:val="20"/>
          <w:szCs w:val="20"/>
          <w:lang w:val="en-US"/>
        </w:rPr>
        <w:t>home</w:t>
      </w:r>
      <w:proofErr w:type="gramEnd"/>
      <w:r w:rsidRPr="00D66C9C">
        <w:rPr>
          <w:rFonts w:ascii="Arial" w:hAnsi="Arial" w:cs="Arial"/>
          <w:color w:val="FFC000" w:themeColor="accent4"/>
          <w:sz w:val="20"/>
          <w:szCs w:val="20"/>
          <w:lang w:val="en-US"/>
        </w:rPr>
        <w:t xml:space="preserve"> I first observed that the living conditions were not adequate. My immediate concern was that the home was very cluttered and generally unclean, I could see a lot of unwashed dishes and piles of clothing. Both Joseph and Amelia were wearing dirty clothes, their hair appeared greasy which fails to meet the basic needs of the child. Throughout my visit Amelia cried a lot but Jenny always responded by picking Ameila up and attempting to comfort her showing that she is supporting her emotional needs. Jenny had dark circles under eyes and told me she had been up all night with her. I asked what Amelia and Joseph’s sleep routine is like, Jenny informed me that Amelia has never slept well since birth and said she cries a lot which often wakes Joseph as they share a bedroom. As a </w:t>
      </w:r>
      <w:proofErr w:type="gramStart"/>
      <w:r w:rsidRPr="00D66C9C">
        <w:rPr>
          <w:rFonts w:ascii="Arial" w:hAnsi="Arial" w:cs="Arial"/>
          <w:color w:val="FFC000" w:themeColor="accent4"/>
          <w:sz w:val="20"/>
          <w:szCs w:val="20"/>
          <w:lang w:val="en-US"/>
        </w:rPr>
        <w:t>result</w:t>
      </w:r>
      <w:proofErr w:type="gramEnd"/>
      <w:r w:rsidRPr="00D66C9C">
        <w:rPr>
          <w:rFonts w:ascii="Arial" w:hAnsi="Arial" w:cs="Arial"/>
          <w:color w:val="FFC000" w:themeColor="accent4"/>
          <w:sz w:val="20"/>
          <w:szCs w:val="20"/>
          <w:lang w:val="en-US"/>
        </w:rPr>
        <w:t xml:space="preserve"> Joseph is tired during the day and Jenny feels this is causing him to have some challenging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During my visit Joseph was watching television and I could not see many toys in the living room for him to play with. Jenny admitted that she puts the television on a lot so she can tend to Amelia. I explained to Jenny the importance of Joseph having the opportunity to play as outlined in article 31 of the UNCRC and Every Child Matters framework to support his health, well-being and development. Upon speaking to </w:t>
      </w:r>
      <w:proofErr w:type="gramStart"/>
      <w:r w:rsidRPr="00D66C9C">
        <w:rPr>
          <w:rFonts w:ascii="Arial" w:hAnsi="Arial" w:cs="Arial"/>
          <w:color w:val="FFC000" w:themeColor="accent4"/>
          <w:sz w:val="20"/>
          <w:szCs w:val="20"/>
          <w:lang w:val="en-US"/>
        </w:rPr>
        <w:t>Jenny</w:t>
      </w:r>
      <w:proofErr w:type="gramEnd"/>
      <w:r w:rsidRPr="00D66C9C">
        <w:rPr>
          <w:rFonts w:ascii="Arial" w:hAnsi="Arial" w:cs="Arial"/>
          <w:color w:val="FFC000" w:themeColor="accent4"/>
          <w:sz w:val="20"/>
          <w:szCs w:val="20"/>
          <w:lang w:val="en-US"/>
        </w:rPr>
        <w:t xml:space="preserve"> it was clear she was sleep deprived and appeared overwhelmed with the responsibilities of being a mother.  It was clear I needed to support the family with implementing daily routines and improving the living conditions.</w:t>
      </w:r>
    </w:p>
    <w:p w14:paraId="625538DC"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if there </w:t>
      </w:r>
      <w:proofErr w:type="gramStart"/>
      <w:r w:rsidRPr="00D66C9C">
        <w:rPr>
          <w:rFonts w:ascii="Arial" w:hAnsi="Arial" w:cs="Arial"/>
          <w:color w:val="FFC000" w:themeColor="accent4"/>
          <w:sz w:val="20"/>
          <w:szCs w:val="20"/>
          <w:lang w:val="en-US"/>
        </w:rPr>
        <w:t>was</w:t>
      </w:r>
      <w:proofErr w:type="gramEnd"/>
      <w:r w:rsidRPr="00D66C9C">
        <w:rPr>
          <w:rFonts w:ascii="Arial" w:hAnsi="Arial" w:cs="Arial"/>
          <w:color w:val="FFC000" w:themeColor="accent4"/>
          <w:sz w:val="20"/>
          <w:szCs w:val="20"/>
          <w:lang w:val="en-US"/>
        </w:rPr>
        <w:t xml:space="preserve"> any wider family members who could support by looking after the children while she could have time to clean and catch up on sleep. Jenny informed me that she does not live near any family members and has lost contact with her friends since she met her new partner. She said her partner told her that she did not have time for friends. When I asked questions about the partner Jenny was vague in her answers, she said he would not like her talking about him when he is not there. When I asked what the living arrangements </w:t>
      </w:r>
      <w:proofErr w:type="gramStart"/>
      <w:r w:rsidRPr="00D66C9C">
        <w:rPr>
          <w:rFonts w:ascii="Arial" w:hAnsi="Arial" w:cs="Arial"/>
          <w:color w:val="FFC000" w:themeColor="accent4"/>
          <w:sz w:val="20"/>
          <w:szCs w:val="20"/>
          <w:lang w:val="en-US"/>
        </w:rPr>
        <w:t>are</w:t>
      </w:r>
      <w:proofErr w:type="gramEnd"/>
      <w:r w:rsidRPr="00D66C9C">
        <w:rPr>
          <w:rFonts w:ascii="Arial" w:hAnsi="Arial" w:cs="Arial"/>
          <w:color w:val="FFC000" w:themeColor="accent4"/>
          <w:sz w:val="20"/>
          <w:szCs w:val="20"/>
          <w:lang w:val="en-US"/>
        </w:rPr>
        <w:t xml:space="preserve"> Jenny said her partner wants to move </w:t>
      </w:r>
      <w:proofErr w:type="gramStart"/>
      <w:r w:rsidRPr="00D66C9C">
        <w:rPr>
          <w:rFonts w:ascii="Arial" w:hAnsi="Arial" w:cs="Arial"/>
          <w:color w:val="FFC000" w:themeColor="accent4"/>
          <w:sz w:val="20"/>
          <w:szCs w:val="20"/>
          <w:lang w:val="en-US"/>
        </w:rPr>
        <w:t>in</w:t>
      </w:r>
      <w:proofErr w:type="gramEnd"/>
      <w:r w:rsidRPr="00D66C9C">
        <w:rPr>
          <w:rFonts w:ascii="Arial" w:hAnsi="Arial" w:cs="Arial"/>
          <w:color w:val="FFC000" w:themeColor="accent4"/>
          <w:sz w:val="20"/>
          <w:szCs w:val="20"/>
          <w:lang w:val="en-US"/>
        </w:rPr>
        <w:t xml:space="preserve"> but she has only known him for 8 weeks. According to Women’s Aid (2025) this suggests that Jenny is potentially suffering from controlling and coercive </w:t>
      </w:r>
      <w:proofErr w:type="spellStart"/>
      <w:r w:rsidRPr="00D66C9C">
        <w:rPr>
          <w:rFonts w:ascii="Arial" w:hAnsi="Arial" w:cs="Arial"/>
          <w:color w:val="FFC000" w:themeColor="accent4"/>
          <w:sz w:val="20"/>
          <w:szCs w:val="20"/>
          <w:lang w:val="en-US"/>
        </w:rPr>
        <w:t>behaviour</w:t>
      </w:r>
      <w:proofErr w:type="spellEnd"/>
      <w:r w:rsidRPr="00D66C9C">
        <w:rPr>
          <w:rFonts w:ascii="Arial" w:hAnsi="Arial" w:cs="Arial"/>
          <w:color w:val="FFC000" w:themeColor="accent4"/>
          <w:sz w:val="20"/>
          <w:szCs w:val="20"/>
          <w:lang w:val="en-US"/>
        </w:rPr>
        <w:t xml:space="preserve"> in this new relationship. Jenny is currently living a very isolated </w:t>
      </w:r>
      <w:proofErr w:type="gramStart"/>
      <w:r w:rsidRPr="00D66C9C">
        <w:rPr>
          <w:rFonts w:ascii="Arial" w:hAnsi="Arial" w:cs="Arial"/>
          <w:color w:val="FFC000" w:themeColor="accent4"/>
          <w:sz w:val="20"/>
          <w:szCs w:val="20"/>
          <w:lang w:val="en-US"/>
        </w:rPr>
        <w:t>life,</w:t>
      </w:r>
      <w:proofErr w:type="gramEnd"/>
      <w:r w:rsidRPr="00D66C9C">
        <w:rPr>
          <w:rFonts w:ascii="Arial" w:hAnsi="Arial" w:cs="Arial"/>
          <w:color w:val="FFC000" w:themeColor="accent4"/>
          <w:sz w:val="20"/>
          <w:szCs w:val="20"/>
          <w:lang w:val="en-US"/>
        </w:rPr>
        <w:t xml:space="preserve"> she only leaves the house to take Joseph to Nursery and collect him. I asked Jenny to describe her well-being </w:t>
      </w:r>
      <w:proofErr w:type="gramStart"/>
      <w:r w:rsidRPr="00D66C9C">
        <w:rPr>
          <w:rFonts w:ascii="Arial" w:hAnsi="Arial" w:cs="Arial"/>
          <w:color w:val="FFC000" w:themeColor="accent4"/>
          <w:sz w:val="20"/>
          <w:szCs w:val="20"/>
          <w:lang w:val="en-US"/>
        </w:rPr>
        <w:t>at the moment</w:t>
      </w:r>
      <w:proofErr w:type="gramEnd"/>
      <w:r w:rsidRPr="00D66C9C">
        <w:rPr>
          <w:rFonts w:ascii="Arial" w:hAnsi="Arial" w:cs="Arial"/>
          <w:color w:val="FFC000" w:themeColor="accent4"/>
          <w:sz w:val="20"/>
          <w:szCs w:val="20"/>
          <w:lang w:val="en-US"/>
        </w:rPr>
        <w:t xml:space="preserve"> she said her mood is low, she does not feel she has energy and is continuously tired. I offered Jenny reassurance that these feelings can be a normal part of motherhood however I explained they can also be signs of postnatal depression as outlined by the NHS (2022). I advised Jenny that she makes an appointment with the GP to discuss how she is feeling and reminded her that if she is </w:t>
      </w:r>
      <w:proofErr w:type="gramStart"/>
      <w:r w:rsidRPr="00D66C9C">
        <w:rPr>
          <w:rFonts w:ascii="Arial" w:hAnsi="Arial" w:cs="Arial"/>
          <w:color w:val="FFC000" w:themeColor="accent4"/>
          <w:sz w:val="20"/>
          <w:szCs w:val="20"/>
          <w:lang w:val="en-US"/>
        </w:rPr>
        <w:t>diagnosed</w:t>
      </w:r>
      <w:proofErr w:type="gramEnd"/>
      <w:r w:rsidRPr="00D66C9C">
        <w:rPr>
          <w:rFonts w:ascii="Arial" w:hAnsi="Arial" w:cs="Arial"/>
          <w:color w:val="FFC000" w:themeColor="accent4"/>
          <w:sz w:val="20"/>
          <w:szCs w:val="20"/>
          <w:lang w:val="en-US"/>
        </w:rPr>
        <w:t xml:space="preserve"> she will not be treated any differently under The Equality Act 2010 and The Mental Capacity Act 2005.</w:t>
      </w:r>
    </w:p>
    <w:p w14:paraId="7A734B7A" w14:textId="77777777"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I asked Jenny if she had any other worries which might be </w:t>
      </w:r>
      <w:proofErr w:type="gramStart"/>
      <w:r w:rsidRPr="00D66C9C">
        <w:rPr>
          <w:rFonts w:ascii="Arial" w:hAnsi="Arial" w:cs="Arial"/>
          <w:color w:val="FFC000" w:themeColor="accent4"/>
          <w:sz w:val="20"/>
          <w:szCs w:val="20"/>
          <w:lang w:val="en-US"/>
        </w:rPr>
        <w:t>effecting</w:t>
      </w:r>
      <w:proofErr w:type="gramEnd"/>
      <w:r w:rsidRPr="00D66C9C">
        <w:rPr>
          <w:rFonts w:ascii="Arial" w:hAnsi="Arial" w:cs="Arial"/>
          <w:color w:val="FFC000" w:themeColor="accent4"/>
          <w:sz w:val="20"/>
          <w:szCs w:val="20"/>
          <w:lang w:val="en-US"/>
        </w:rPr>
        <w:t xml:space="preserve"> the family home at present, she shared with me that she is struggling financially. She was due to return to work one month ago when her </w:t>
      </w:r>
      <w:proofErr w:type="gramStart"/>
      <w:r w:rsidRPr="00D66C9C">
        <w:rPr>
          <w:rFonts w:ascii="Arial" w:hAnsi="Arial" w:cs="Arial"/>
          <w:color w:val="FFC000" w:themeColor="accent4"/>
          <w:sz w:val="20"/>
          <w:szCs w:val="20"/>
          <w:lang w:val="en-US"/>
        </w:rPr>
        <w:t>maternity</w:t>
      </w:r>
      <w:proofErr w:type="gramEnd"/>
      <w:r w:rsidRPr="00D66C9C">
        <w:rPr>
          <w:rFonts w:ascii="Arial" w:hAnsi="Arial" w:cs="Arial"/>
          <w:color w:val="FFC000" w:themeColor="accent4"/>
          <w:sz w:val="20"/>
          <w:szCs w:val="20"/>
          <w:lang w:val="en-US"/>
        </w:rPr>
        <w:t xml:space="preserve"> ended but due to being so tired and feeling </w:t>
      </w:r>
      <w:proofErr w:type="gramStart"/>
      <w:r w:rsidRPr="00D66C9C">
        <w:rPr>
          <w:rFonts w:ascii="Arial" w:hAnsi="Arial" w:cs="Arial"/>
          <w:color w:val="FFC000" w:themeColor="accent4"/>
          <w:sz w:val="20"/>
          <w:szCs w:val="20"/>
          <w:lang w:val="en-US"/>
        </w:rPr>
        <w:t>low</w:t>
      </w:r>
      <w:proofErr w:type="gramEnd"/>
      <w:r w:rsidRPr="00D66C9C">
        <w:rPr>
          <w:rFonts w:ascii="Arial" w:hAnsi="Arial" w:cs="Arial"/>
          <w:color w:val="FFC000" w:themeColor="accent4"/>
          <w:sz w:val="20"/>
          <w:szCs w:val="20"/>
          <w:lang w:val="en-US"/>
        </w:rPr>
        <w:t xml:space="preserve"> she explained she </w:t>
      </w:r>
      <w:proofErr w:type="gramStart"/>
      <w:r w:rsidRPr="00D66C9C">
        <w:rPr>
          <w:rFonts w:ascii="Arial" w:hAnsi="Arial" w:cs="Arial"/>
          <w:color w:val="FFC000" w:themeColor="accent4"/>
          <w:sz w:val="20"/>
          <w:szCs w:val="20"/>
          <w:lang w:val="en-US"/>
        </w:rPr>
        <w:t>has</w:t>
      </w:r>
      <w:proofErr w:type="gramEnd"/>
      <w:r w:rsidRPr="00D66C9C">
        <w:rPr>
          <w:rFonts w:ascii="Arial" w:hAnsi="Arial" w:cs="Arial"/>
          <w:color w:val="FFC000" w:themeColor="accent4"/>
          <w:sz w:val="20"/>
          <w:szCs w:val="20"/>
          <w:lang w:val="en-US"/>
        </w:rPr>
        <w:t xml:space="preserve"> not felt ready. Jenny shared with me that she now has a limited amount of money to spend on food, clothes and toys. When I asked for some examples of recent meals it was clear there is a lot of processed foods </w:t>
      </w:r>
      <w:r w:rsidRPr="00D66C9C">
        <w:rPr>
          <w:rFonts w:ascii="Arial" w:hAnsi="Arial" w:cs="Arial"/>
          <w:color w:val="FFC000" w:themeColor="accent4"/>
          <w:sz w:val="20"/>
          <w:szCs w:val="20"/>
          <w:lang w:val="en-US"/>
        </w:rPr>
        <w:lastRenderedPageBreak/>
        <w:t xml:space="preserve">being given to Joseph as they are the cheaper option for Jenny. This does not provide a nutritious diet needed to support children to keep healthy and develop physically as outlined by the NHS (2022). To support </w:t>
      </w:r>
      <w:proofErr w:type="gramStart"/>
      <w:r w:rsidRPr="00D66C9C">
        <w:rPr>
          <w:rFonts w:ascii="Arial" w:hAnsi="Arial" w:cs="Arial"/>
          <w:color w:val="FFC000" w:themeColor="accent4"/>
          <w:sz w:val="20"/>
          <w:szCs w:val="20"/>
          <w:lang w:val="en-US"/>
        </w:rPr>
        <w:t>this</w:t>
      </w:r>
      <w:proofErr w:type="gramEnd"/>
      <w:r w:rsidRPr="00D66C9C">
        <w:rPr>
          <w:rFonts w:ascii="Arial" w:hAnsi="Arial" w:cs="Arial"/>
          <w:color w:val="FFC000" w:themeColor="accent4"/>
          <w:sz w:val="20"/>
          <w:szCs w:val="20"/>
          <w:lang w:val="en-US"/>
        </w:rPr>
        <w:t xml:space="preserve"> I provided Jenny with information on her local food bank along with a request for a Section 17 assessment under the Children Act 1989.</w:t>
      </w:r>
    </w:p>
    <w:p w14:paraId="7AFA6968" w14:textId="34754E88" w:rsidR="00D66C9C" w:rsidRPr="00D66C9C" w:rsidRDefault="00D66C9C" w:rsidP="00D66C9C">
      <w:pPr>
        <w:spacing w:line="276" w:lineRule="auto"/>
        <w:rPr>
          <w:rFonts w:ascii="Arial" w:hAnsi="Arial" w:cs="Arial"/>
          <w:color w:val="FFC000" w:themeColor="accent4"/>
          <w:sz w:val="20"/>
          <w:szCs w:val="20"/>
          <w:lang w:val="en-US"/>
        </w:rPr>
      </w:pPr>
      <w:r w:rsidRPr="00D66C9C">
        <w:rPr>
          <w:rFonts w:ascii="Arial" w:hAnsi="Arial" w:cs="Arial"/>
          <w:color w:val="FFC000" w:themeColor="accent4"/>
          <w:sz w:val="20"/>
          <w:szCs w:val="20"/>
          <w:lang w:val="en-US"/>
        </w:rPr>
        <w:t xml:space="preserve">To conclude my </w:t>
      </w:r>
      <w:proofErr w:type="gramStart"/>
      <w:r w:rsidRPr="00D66C9C">
        <w:rPr>
          <w:rFonts w:ascii="Arial" w:hAnsi="Arial" w:cs="Arial"/>
          <w:color w:val="FFC000" w:themeColor="accent4"/>
          <w:sz w:val="20"/>
          <w:szCs w:val="20"/>
          <w:lang w:val="en-US"/>
        </w:rPr>
        <w:t>report</w:t>
      </w:r>
      <w:proofErr w:type="gramEnd"/>
      <w:r w:rsidRPr="00D66C9C">
        <w:rPr>
          <w:rFonts w:ascii="Arial" w:hAnsi="Arial" w:cs="Arial"/>
          <w:color w:val="FFC000" w:themeColor="accent4"/>
          <w:sz w:val="20"/>
          <w:szCs w:val="20"/>
          <w:lang w:val="en-US"/>
        </w:rPr>
        <w:t xml:space="preserve"> It is my professional judgement that urgent intervention and support for Jenny is required to prevent the risk of significant harm from happening to Joseph and Amelia in the future. I do not believe Joseph and Amelia to be in an unsafe environment and feel with the right support from multi agencies, the general well-being and living conditions will improve for the whole family. I have seen that Jenny is a loving mum through her responses to the children during my visit. I have heard that she has particularly struggled the past couple of months due to financial hardship and possible depression. Jenny has agreed to actions which </w:t>
      </w:r>
      <w:proofErr w:type="gramStart"/>
      <w:r w:rsidRPr="00D66C9C">
        <w:rPr>
          <w:rFonts w:ascii="Arial" w:hAnsi="Arial" w:cs="Arial"/>
          <w:color w:val="FFC000" w:themeColor="accent4"/>
          <w:sz w:val="20"/>
          <w:szCs w:val="20"/>
          <w:lang w:val="en-US"/>
        </w:rPr>
        <w:t>shows</w:t>
      </w:r>
      <w:proofErr w:type="gramEnd"/>
      <w:r w:rsidRPr="00D66C9C">
        <w:rPr>
          <w:rFonts w:ascii="Arial" w:hAnsi="Arial" w:cs="Arial"/>
          <w:color w:val="FFC000" w:themeColor="accent4"/>
          <w:sz w:val="20"/>
          <w:szCs w:val="20"/>
          <w:lang w:val="en-US"/>
        </w:rPr>
        <w:t xml:space="preserve"> her willingness to work in </w:t>
      </w:r>
      <w:proofErr w:type="gramStart"/>
      <w:r w:rsidRPr="00D66C9C">
        <w:rPr>
          <w:rFonts w:ascii="Arial" w:hAnsi="Arial" w:cs="Arial"/>
          <w:color w:val="FFC000" w:themeColor="accent4"/>
          <w:sz w:val="20"/>
          <w:szCs w:val="20"/>
          <w:lang w:val="en-US"/>
        </w:rPr>
        <w:t>partnership .</w:t>
      </w:r>
      <w:proofErr w:type="gramEnd"/>
      <w:r w:rsidRPr="00D66C9C">
        <w:rPr>
          <w:rFonts w:ascii="Arial" w:hAnsi="Arial" w:cs="Arial"/>
          <w:color w:val="FFC000" w:themeColor="accent4"/>
          <w:sz w:val="20"/>
          <w:szCs w:val="20"/>
          <w:lang w:val="en-US"/>
        </w:rPr>
        <w:t xml:space="preserve"> I believe the welfare of Joseph and Amelia should be closely monitored and this case to be reviewed in a few weeks. That concludes my report to conference. Thank you for listening. </w:t>
      </w:r>
    </w:p>
    <w:p w14:paraId="2A94440D" w14:textId="77777777" w:rsidR="00D66C9C" w:rsidRPr="00D66C9C" w:rsidRDefault="00D66C9C" w:rsidP="00D66C9C">
      <w:pPr>
        <w:spacing w:line="276" w:lineRule="auto"/>
        <w:rPr>
          <w:rFonts w:ascii="Arial" w:hAnsi="Arial" w:cs="Arial"/>
          <w:sz w:val="20"/>
          <w:szCs w:val="20"/>
          <w:highlight w:val="cyan"/>
        </w:rPr>
      </w:pPr>
    </w:p>
    <w:p w14:paraId="3881CE3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Good afternoon my name is Officer Wemyss. This case was referred to me by the Social Worker under section 47 of the child protection enquiries.</w:t>
      </w:r>
    </w:p>
    <w:p w14:paraId="66D085E4"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Today is Monday 8th July 2025 and my report is a Child Welfare Concern.</w:t>
      </w:r>
    </w:p>
    <w:p w14:paraId="68AD7655"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Summary of Concerns</w:t>
      </w:r>
    </w:p>
    <w:p w14:paraId="61A19A6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The subjects of concern in this case are a 3-year-old boy named Joseph and a 10-month-old girl named Amelia. The reasons for Concern are suspected neglect in the home environment under the Children and Young Persons Act of 1989 (Legislations, Gov 2024). Joseph and his younger sister Amelia have been identified as at-risk individuals </w:t>
      </w:r>
      <w:proofErr w:type="gramStart"/>
      <w:r w:rsidRPr="00D66C9C">
        <w:rPr>
          <w:rFonts w:ascii="Arial" w:eastAsia="Times New Roman" w:hAnsi="Arial" w:cs="Arial"/>
          <w:color w:val="ED7D31" w:themeColor="accent2"/>
          <w:kern w:val="0"/>
          <w:sz w:val="20"/>
          <w:szCs w:val="20"/>
          <w:lang w:eastAsia="en-GB"/>
          <w14:ligatures w14:val="none"/>
        </w:rPr>
        <w:t>as a result of</w:t>
      </w:r>
      <w:proofErr w:type="gramEnd"/>
      <w:r w:rsidRPr="00D66C9C">
        <w:rPr>
          <w:rFonts w:ascii="Arial" w:eastAsia="Times New Roman" w:hAnsi="Arial" w:cs="Arial"/>
          <w:color w:val="ED7D31" w:themeColor="accent2"/>
          <w:kern w:val="0"/>
          <w:sz w:val="20"/>
          <w:szCs w:val="20"/>
          <w:lang w:eastAsia="en-GB"/>
          <w14:ligatures w14:val="none"/>
        </w:rPr>
        <w:t xml:space="preserve"> the potential neglect in their family environment. Emerging concerns have arisen regarding the mother's new relationship, including potential exposure to domestic violence, emotional well-being, and fundamental care. The children appear to be withdrawn, and Joseph has exhibited irregular nursery attendance and inadequate hygiene</w:t>
      </w:r>
      <w:r w:rsidRPr="00D66C9C">
        <w:rPr>
          <w:rFonts w:ascii="Arial" w:eastAsia="Times New Roman" w:hAnsi="Arial" w:cs="Arial"/>
          <w:b/>
          <w:bCs/>
          <w:color w:val="ED7D31" w:themeColor="accent2"/>
          <w:kern w:val="0"/>
          <w:sz w:val="20"/>
          <w:szCs w:val="20"/>
          <w:lang w:eastAsia="en-GB"/>
          <w14:ligatures w14:val="none"/>
        </w:rPr>
        <w:t>.</w:t>
      </w:r>
    </w:p>
    <w:p w14:paraId="0FAD6778"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 </w:t>
      </w:r>
    </w:p>
    <w:p w14:paraId="0A67185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Key risk factors</w:t>
      </w:r>
    </w:p>
    <w:p w14:paraId="301DD930"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mother has recently started a romantic relationship with a new partner. This individual is already familiar to law enforcement from prior enquiries concerning child safety. This man has no contact or interaction with his biological children due to domestic abuse in a prior relationship. Due to this, he possesses a restraining order issued under Section 360 sentence Act 2020 (CPS, 2025) stopping any contact or interaction with both children and ex-partner. Even though the restraining order remains in effect it has been breached once.</w:t>
      </w:r>
    </w:p>
    <w:p w14:paraId="0421CB86"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Information collected indicates worries around potential controlling and coercive behaviour within the household. The male subject had already previously been charged under Section 76 of the Serious Crime Act 2015 (CPS, 2021). There may be unverified reports of domestic violence, thereby jeopardising the physical and mental well-being of both children. The Mans history of domestic abuse and disregard for restraining orders, coupled with the mother's current involvement with this individual causes serious safeguarding concerns.</w:t>
      </w:r>
    </w:p>
    <w:p w14:paraId="1F89994A"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Criminal history</w:t>
      </w:r>
    </w:p>
    <w:p w14:paraId="7CCA7BE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The male has a history of abusing drugs and alcohol, and he has been arrested before for being abusive and drunk around a child, which led to Child Protective Services being called. The male was charged with drunk and disorderly conduct, which led to charges under the Public Order Act 1986 (CPS, 2024), charged for resisting arrest, which led to charges under the Police Act Section 89 (Legislation.Gov, 2020) and child endangerment, which led to charges under the Children and Young Person Act 1989 (Gov, 2022). These actions show that he is still a danger to any children he is responsible for or in contact with.</w:t>
      </w:r>
    </w:p>
    <w:p w14:paraId="7F004CD1"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My recommendations</w:t>
      </w:r>
    </w:p>
    <w:p w14:paraId="498FF08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xml:space="preserve">Based on the available facts I advise a criminal inquiry into possible coercive control, child endangerment, and domestic abuse under Section 76 of the Serious Crime Act 2015 (Gov, 2024), </w:t>
      </w:r>
      <w:r w:rsidRPr="00D66C9C">
        <w:rPr>
          <w:rFonts w:ascii="Arial" w:eastAsia="Times New Roman" w:hAnsi="Arial" w:cs="Arial"/>
          <w:color w:val="ED7D31" w:themeColor="accent2"/>
          <w:kern w:val="0"/>
          <w:sz w:val="20"/>
          <w:szCs w:val="20"/>
          <w:lang w:eastAsia="en-GB"/>
          <w14:ligatures w14:val="none"/>
        </w:rPr>
        <w:lastRenderedPageBreak/>
        <w:t>The Children and Young People Act 2004 (Legislation, Gov 2022) and the Sentencing Act 2020, Section 360 (Legislation.gov 2020). Until the outcomes of the police investigations and risk assessments are known, I advise the male in question to avoid any unsupervised interactions with the children. If the children are deemed at immediate risk after these risk assessments, I urge Children's Services to seek an Emergency Protection Order under the Children Act 1989, Section 44 (Child Law Advice, 2023).       </w:t>
      </w:r>
    </w:p>
    <w:p w14:paraId="320B359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Given the indications of coercive control, I suggest that the mother seek help from domestic abuse services, which include safety planning under the Domestic Abuse Act 2021 (Gov, 2024).</w:t>
      </w:r>
    </w:p>
    <w:p w14:paraId="7313FE27"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 </w:t>
      </w:r>
    </w:p>
    <w:p w14:paraId="610A1A9F"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b/>
          <w:bCs/>
          <w:color w:val="ED7D31" w:themeColor="accent2"/>
          <w:kern w:val="0"/>
          <w:sz w:val="20"/>
          <w:szCs w:val="20"/>
          <w:lang w:eastAsia="en-GB"/>
          <w14:ligatures w14:val="none"/>
        </w:rPr>
        <w:t>Conclusion</w:t>
      </w:r>
    </w:p>
    <w:p w14:paraId="5BAC3AB9" w14:textId="77777777" w:rsidR="00D66C9C" w:rsidRPr="00D66C9C" w:rsidRDefault="00D66C9C" w:rsidP="00D66C9C">
      <w:pPr>
        <w:shd w:val="clear" w:color="auto" w:fill="FFFFFF"/>
        <w:spacing w:line="276" w:lineRule="auto"/>
        <w:rPr>
          <w:rFonts w:ascii="Arial" w:eastAsia="Times New Roman" w:hAnsi="Arial" w:cs="Arial"/>
          <w:color w:val="ED7D31" w:themeColor="accent2"/>
          <w:kern w:val="0"/>
          <w:sz w:val="20"/>
          <w:szCs w:val="20"/>
          <w:lang w:eastAsia="en-GB"/>
          <w14:ligatures w14:val="none"/>
        </w:rPr>
      </w:pPr>
      <w:r w:rsidRPr="00D66C9C">
        <w:rPr>
          <w:rFonts w:ascii="Arial" w:eastAsia="Times New Roman" w:hAnsi="Arial" w:cs="Arial"/>
          <w:color w:val="ED7D31" w:themeColor="accent2"/>
          <w:kern w:val="0"/>
          <w:sz w:val="20"/>
          <w:szCs w:val="20"/>
          <w:lang w:eastAsia="en-GB"/>
          <w14:ligatures w14:val="none"/>
        </w:rPr>
        <w:t>Despite what the Team around the family have said, based on the data base I deem the welfare of Joseph, Amelia and Jenny at a serious and credible risk. I have multiple safeguarding concerns, which include neglect, suspected domestic abuse, breach of legal orders and a male adult with a significant offending history.</w:t>
      </w:r>
      <w:r w:rsidRPr="00D66C9C">
        <w:rPr>
          <w:rFonts w:ascii="Arial" w:eastAsia="Times New Roman" w:hAnsi="Arial" w:cs="Arial"/>
          <w:color w:val="ED7D31" w:themeColor="accent2"/>
          <w:kern w:val="0"/>
          <w:sz w:val="20"/>
          <w:szCs w:val="20"/>
          <w:lang w:eastAsia="en-GB"/>
          <w14:ligatures w14:val="none"/>
        </w:rPr>
        <w:br/>
        <w:t>As our duty of care under the Children Act 1989 (NSPCC, 2024) the police are in favour of immediate protective action, joint-agency investigation, and the implementation of appropriate legal measures to protect the minors from ongoing harm.</w:t>
      </w:r>
    </w:p>
    <w:p w14:paraId="32B39D95" w14:textId="77777777" w:rsidR="00D66C9C" w:rsidRPr="00D66C9C" w:rsidRDefault="00D66C9C" w:rsidP="00D66C9C">
      <w:pPr>
        <w:spacing w:line="276" w:lineRule="auto"/>
        <w:rPr>
          <w:rFonts w:ascii="Arial" w:hAnsi="Arial" w:cs="Arial"/>
          <w:sz w:val="20"/>
          <w:szCs w:val="20"/>
          <w:highlight w:val="cyan"/>
        </w:rPr>
      </w:pPr>
    </w:p>
    <w:p w14:paraId="18E5C73E" w14:textId="77777777"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This case exemplifies the complexity of cumulative neglect and the risks of disguised compliance, where parents offer minimal cooperation to deflect scrutiny (Reder and Duncan, 1999; Laming, 2009). The lack of visible injuries should not obscure the seriousness of emotional harm and developmental disruption experienced by both children (NSPCC, 2023).</w:t>
      </w:r>
    </w:p>
    <w:p w14:paraId="5EFE4D82" w14:textId="77777777" w:rsidR="00AC55D8" w:rsidRPr="00D66C9C" w:rsidRDefault="00AC55D8" w:rsidP="00D66C9C">
      <w:pPr>
        <w:spacing w:line="276" w:lineRule="auto"/>
        <w:rPr>
          <w:rFonts w:ascii="Arial" w:hAnsi="Arial" w:cs="Arial"/>
          <w:color w:val="00B0F0"/>
          <w:sz w:val="20"/>
          <w:szCs w:val="20"/>
        </w:rPr>
      </w:pPr>
    </w:p>
    <w:p w14:paraId="5E261707" w14:textId="10259A18"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Challenges include maternal non-engagement and the unknown role of the adult male, suggesting ongoing risk. As the lead professional, I will ensure robust Core Group coordination, ongoing risk reassessment, and that the children’s voices and experiences remain central to planning (Winter, 2011).</w:t>
      </w:r>
    </w:p>
    <w:p w14:paraId="07DF94A1" w14:textId="77777777" w:rsidR="00AC55D8" w:rsidRPr="00D66C9C" w:rsidRDefault="00AC55D8" w:rsidP="00D66C9C">
      <w:pPr>
        <w:spacing w:line="276" w:lineRule="auto"/>
        <w:rPr>
          <w:rFonts w:ascii="Arial" w:hAnsi="Arial" w:cs="Arial"/>
          <w:color w:val="00B0F0"/>
          <w:sz w:val="20"/>
          <w:szCs w:val="20"/>
        </w:rPr>
      </w:pPr>
    </w:p>
    <w:p w14:paraId="16DFD3CE" w14:textId="3D4CADED"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The evidence gathered from direct observation, partner agency input, and family history strongly supports the categorisation of significant harm. Including missed health appointments, social withdrawal, and maternal non-engagement. The police confirmed the male visitor has a criminal record for domestic assault and substance misuse. Consent for checks was not granted by the mother, prompting safeguarding overrides in line with GDPR Article 6(1)(d) and Article 9(2)(c) – protection of vital interests (Information Commissioner’s Office, 2023). My professional judgement is that the children remain at risk and require ongoing statutory intervention, including a Child Protection Plan, monitored through monthly Core Groups and a 3-month review conference.</w:t>
      </w:r>
    </w:p>
    <w:p w14:paraId="3594DD63" w14:textId="10F8CB1E"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If there is non-compliance or further deterioration, legal proceedings will be considered under the Children Act 1989 (Section 31 – Care Proceedings).</w:t>
      </w:r>
    </w:p>
    <w:p w14:paraId="341697FB" w14:textId="77777777" w:rsidR="00AC55D8" w:rsidRPr="00D66C9C" w:rsidRDefault="00AC55D8" w:rsidP="00D66C9C">
      <w:pPr>
        <w:spacing w:line="276" w:lineRule="auto"/>
        <w:rPr>
          <w:rFonts w:ascii="Arial" w:hAnsi="Arial" w:cs="Arial"/>
          <w:color w:val="00B0F0"/>
          <w:sz w:val="20"/>
          <w:szCs w:val="20"/>
        </w:rPr>
      </w:pPr>
    </w:p>
    <w:p w14:paraId="1B851624" w14:textId="4C8F03F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Bobby, do you agree with this outcome?</w:t>
      </w:r>
    </w:p>
    <w:p w14:paraId="51FFF436" w14:textId="657A72A9"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Cody, do you agree with this outcome?</w:t>
      </w:r>
    </w:p>
    <w:p w14:paraId="0D92BFB0" w14:textId="2CB546A2"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Joelle, do you agree with this outcome?</w:t>
      </w:r>
    </w:p>
    <w:p w14:paraId="43562975" w14:textId="4B8E0401"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Gemma, do you agree with this outcome?</w:t>
      </w:r>
    </w:p>
    <w:p w14:paraId="7AC00510" w14:textId="77777777" w:rsidR="00AC55D8" w:rsidRPr="00D66C9C" w:rsidRDefault="00AC55D8" w:rsidP="00D66C9C">
      <w:pPr>
        <w:spacing w:line="276" w:lineRule="auto"/>
        <w:rPr>
          <w:rFonts w:ascii="Arial" w:hAnsi="Arial" w:cs="Arial"/>
          <w:color w:val="00B0F0"/>
          <w:sz w:val="20"/>
          <w:szCs w:val="20"/>
        </w:rPr>
      </w:pPr>
    </w:p>
    <w:p w14:paraId="16783AA3" w14:textId="5FBB11C5"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 xml:space="preserve">We will meet again in 2 weeks’ time to review the steps to the plan. </w:t>
      </w:r>
    </w:p>
    <w:p w14:paraId="501AAC5A" w14:textId="77777777" w:rsidR="00AC55D8" w:rsidRPr="00D66C9C" w:rsidRDefault="00AC55D8" w:rsidP="00D66C9C">
      <w:pPr>
        <w:spacing w:line="276" w:lineRule="auto"/>
        <w:rPr>
          <w:rFonts w:ascii="Arial" w:hAnsi="Arial" w:cs="Arial"/>
          <w:color w:val="00B0F0"/>
          <w:sz w:val="20"/>
          <w:szCs w:val="20"/>
        </w:rPr>
      </w:pPr>
    </w:p>
    <w:p w14:paraId="30B950DC" w14:textId="71AF8E3A" w:rsidR="00AC55D8" w:rsidRPr="00D66C9C" w:rsidRDefault="00AC55D8" w:rsidP="00D66C9C">
      <w:pPr>
        <w:spacing w:line="276" w:lineRule="auto"/>
        <w:rPr>
          <w:rFonts w:ascii="Arial" w:hAnsi="Arial" w:cs="Arial"/>
          <w:color w:val="00B0F0"/>
          <w:sz w:val="20"/>
          <w:szCs w:val="20"/>
        </w:rPr>
      </w:pPr>
      <w:r w:rsidRPr="00D66C9C">
        <w:rPr>
          <w:rFonts w:ascii="Arial" w:hAnsi="Arial" w:cs="Arial"/>
          <w:color w:val="00B0F0"/>
          <w:sz w:val="20"/>
          <w:szCs w:val="20"/>
        </w:rPr>
        <w:t>Thank you all for your contribution and support.</w:t>
      </w:r>
    </w:p>
    <w:p w14:paraId="53CC98D5" w14:textId="77777777" w:rsidR="00AC55D8" w:rsidRPr="00D66C9C" w:rsidRDefault="00AC55D8" w:rsidP="00D66C9C">
      <w:pPr>
        <w:spacing w:line="276" w:lineRule="auto"/>
        <w:rPr>
          <w:rFonts w:ascii="Arial" w:hAnsi="Arial" w:cs="Arial"/>
          <w:sz w:val="20"/>
          <w:szCs w:val="20"/>
        </w:rPr>
      </w:pPr>
    </w:p>
    <w:p w14:paraId="5FCB3B01" w14:textId="77777777" w:rsidR="00AC55D8" w:rsidRPr="00D66C9C" w:rsidRDefault="00AC55D8" w:rsidP="00D66C9C">
      <w:pPr>
        <w:spacing w:line="276" w:lineRule="auto"/>
        <w:rPr>
          <w:rFonts w:ascii="Arial" w:hAnsi="Arial" w:cs="Arial"/>
          <w:sz w:val="20"/>
          <w:szCs w:val="20"/>
        </w:rPr>
      </w:pPr>
    </w:p>
    <w:p w14:paraId="0D8439CC" w14:textId="29E20870" w:rsidR="00AC55D8" w:rsidRPr="00D66C9C" w:rsidRDefault="00AC55D8" w:rsidP="00D66C9C">
      <w:pPr>
        <w:spacing w:line="276" w:lineRule="auto"/>
        <w:rPr>
          <w:rFonts w:ascii="Arial" w:hAnsi="Arial" w:cs="Arial"/>
          <w:sz w:val="20"/>
          <w:szCs w:val="20"/>
        </w:rPr>
      </w:pPr>
    </w:p>
    <w:p w14:paraId="14FAF299" w14:textId="77777777" w:rsidR="00AC55D8" w:rsidRPr="00D66C9C" w:rsidRDefault="00AC55D8" w:rsidP="00D66C9C">
      <w:pPr>
        <w:spacing w:line="276" w:lineRule="auto"/>
        <w:rPr>
          <w:rFonts w:ascii="Arial" w:hAnsi="Arial" w:cs="Arial"/>
          <w:sz w:val="20"/>
          <w:szCs w:val="20"/>
        </w:rPr>
      </w:pPr>
    </w:p>
    <w:p w14:paraId="0DCF0228" w14:textId="77777777" w:rsidR="00AC55D8" w:rsidRPr="00D66C9C" w:rsidRDefault="00AC55D8" w:rsidP="00D66C9C">
      <w:pPr>
        <w:spacing w:line="276" w:lineRule="auto"/>
        <w:rPr>
          <w:rFonts w:ascii="Arial" w:hAnsi="Arial" w:cs="Arial"/>
          <w:sz w:val="20"/>
          <w:szCs w:val="20"/>
        </w:rPr>
      </w:pPr>
    </w:p>
    <w:p w14:paraId="637F80CA" w14:textId="77777777" w:rsidR="00AC55D8" w:rsidRPr="00D66C9C" w:rsidRDefault="00AC55D8" w:rsidP="00D66C9C">
      <w:pPr>
        <w:spacing w:line="276" w:lineRule="auto"/>
        <w:rPr>
          <w:rFonts w:ascii="Arial" w:hAnsi="Arial" w:cs="Arial"/>
          <w:sz w:val="20"/>
          <w:szCs w:val="20"/>
        </w:rPr>
      </w:pPr>
    </w:p>
    <w:p w14:paraId="2516EFCA" w14:textId="77777777" w:rsidR="00AC55D8" w:rsidRPr="00D66C9C" w:rsidRDefault="00AC55D8" w:rsidP="00D66C9C">
      <w:pPr>
        <w:spacing w:line="276" w:lineRule="auto"/>
        <w:rPr>
          <w:rFonts w:ascii="Arial" w:hAnsi="Arial" w:cs="Arial"/>
          <w:sz w:val="20"/>
          <w:szCs w:val="20"/>
        </w:rPr>
      </w:pPr>
    </w:p>
    <w:p w14:paraId="3BAF2A55" w14:textId="77777777" w:rsidR="00AC55D8" w:rsidRPr="00D66C9C" w:rsidRDefault="00AC55D8" w:rsidP="00D66C9C">
      <w:pPr>
        <w:spacing w:line="276" w:lineRule="auto"/>
        <w:rPr>
          <w:rFonts w:ascii="Arial" w:hAnsi="Arial" w:cs="Arial"/>
          <w:sz w:val="20"/>
          <w:szCs w:val="20"/>
        </w:rPr>
      </w:pPr>
    </w:p>
    <w:p w14:paraId="43676658" w14:textId="77777777" w:rsidR="00AC55D8" w:rsidRPr="00D66C9C" w:rsidRDefault="00AC55D8" w:rsidP="00D66C9C">
      <w:pPr>
        <w:spacing w:line="276" w:lineRule="auto"/>
        <w:rPr>
          <w:rFonts w:ascii="Arial" w:hAnsi="Arial" w:cs="Arial"/>
          <w:sz w:val="20"/>
          <w:szCs w:val="20"/>
        </w:rPr>
      </w:pPr>
    </w:p>
    <w:p w14:paraId="2E5467C9" w14:textId="77777777" w:rsidR="00AC55D8" w:rsidRPr="00D66C9C" w:rsidRDefault="00AC55D8" w:rsidP="00D66C9C">
      <w:pPr>
        <w:spacing w:line="276" w:lineRule="auto"/>
        <w:rPr>
          <w:rFonts w:ascii="Arial" w:hAnsi="Arial" w:cs="Arial"/>
          <w:sz w:val="20"/>
          <w:szCs w:val="20"/>
        </w:rPr>
      </w:pPr>
    </w:p>
    <w:p w14:paraId="61AADA75" w14:textId="77777777" w:rsidR="00AC55D8" w:rsidRPr="00D66C9C" w:rsidRDefault="00AC55D8" w:rsidP="00D66C9C">
      <w:pPr>
        <w:spacing w:line="276" w:lineRule="auto"/>
        <w:rPr>
          <w:rFonts w:ascii="Arial" w:hAnsi="Arial" w:cs="Arial"/>
          <w:sz w:val="20"/>
          <w:szCs w:val="20"/>
        </w:rPr>
      </w:pPr>
    </w:p>
    <w:p w14:paraId="727E6657" w14:textId="77777777" w:rsidR="00AC55D8" w:rsidRPr="00D66C9C" w:rsidRDefault="00AC55D8" w:rsidP="00D66C9C">
      <w:pPr>
        <w:spacing w:line="276" w:lineRule="auto"/>
        <w:rPr>
          <w:rFonts w:ascii="Arial" w:hAnsi="Arial" w:cs="Arial"/>
          <w:sz w:val="20"/>
          <w:szCs w:val="20"/>
        </w:rPr>
      </w:pPr>
    </w:p>
    <w:p w14:paraId="2177B277" w14:textId="77777777" w:rsidR="00AC55D8" w:rsidRPr="00D66C9C" w:rsidRDefault="00AC55D8" w:rsidP="00D66C9C">
      <w:pPr>
        <w:spacing w:line="276" w:lineRule="auto"/>
        <w:rPr>
          <w:rFonts w:ascii="Arial" w:hAnsi="Arial" w:cs="Arial"/>
          <w:sz w:val="20"/>
          <w:szCs w:val="20"/>
        </w:rPr>
      </w:pPr>
    </w:p>
    <w:p w14:paraId="74497397" w14:textId="77777777" w:rsidR="00AC55D8" w:rsidRPr="00D66C9C" w:rsidRDefault="00AC55D8" w:rsidP="00D66C9C">
      <w:pPr>
        <w:spacing w:line="276" w:lineRule="auto"/>
        <w:rPr>
          <w:rFonts w:ascii="Arial" w:hAnsi="Arial" w:cs="Arial"/>
          <w:sz w:val="20"/>
          <w:szCs w:val="20"/>
        </w:rPr>
      </w:pPr>
    </w:p>
    <w:p w14:paraId="14E91FAA" w14:textId="77777777" w:rsidR="00AC55D8" w:rsidRPr="00D66C9C" w:rsidRDefault="00AC55D8" w:rsidP="00D66C9C">
      <w:pPr>
        <w:spacing w:line="276" w:lineRule="auto"/>
        <w:rPr>
          <w:rFonts w:ascii="Arial" w:hAnsi="Arial" w:cs="Arial"/>
          <w:sz w:val="20"/>
          <w:szCs w:val="20"/>
        </w:rPr>
      </w:pPr>
    </w:p>
    <w:p w14:paraId="4DAABBA5" w14:textId="77777777" w:rsidR="00AC55D8" w:rsidRPr="00D66C9C" w:rsidRDefault="00AC55D8" w:rsidP="00D66C9C">
      <w:pPr>
        <w:spacing w:line="276" w:lineRule="auto"/>
        <w:rPr>
          <w:rFonts w:ascii="Arial" w:hAnsi="Arial" w:cs="Arial"/>
          <w:sz w:val="20"/>
          <w:szCs w:val="20"/>
        </w:rPr>
      </w:pPr>
    </w:p>
    <w:p w14:paraId="048A2D8C" w14:textId="77777777" w:rsidR="00AC55D8" w:rsidRPr="00D66C9C" w:rsidRDefault="00AC55D8" w:rsidP="00D66C9C">
      <w:pPr>
        <w:spacing w:line="276" w:lineRule="auto"/>
        <w:rPr>
          <w:rFonts w:ascii="Arial" w:hAnsi="Arial" w:cs="Arial"/>
          <w:sz w:val="20"/>
          <w:szCs w:val="20"/>
        </w:rPr>
      </w:pPr>
    </w:p>
    <w:p w14:paraId="27692A63" w14:textId="77777777" w:rsidR="00302192" w:rsidRPr="00D66C9C" w:rsidRDefault="00302192" w:rsidP="00D66C9C">
      <w:pPr>
        <w:spacing w:line="276" w:lineRule="auto"/>
        <w:rPr>
          <w:rFonts w:ascii="Arial" w:hAnsi="Arial" w:cs="Arial"/>
          <w:sz w:val="20"/>
          <w:szCs w:val="20"/>
        </w:rPr>
      </w:pPr>
    </w:p>
    <w:p w14:paraId="76561C3A" w14:textId="77777777" w:rsidR="00302192" w:rsidRPr="00D66C9C" w:rsidRDefault="00302192" w:rsidP="00D66C9C">
      <w:pPr>
        <w:spacing w:line="276" w:lineRule="auto"/>
        <w:rPr>
          <w:rFonts w:ascii="Arial" w:hAnsi="Arial" w:cs="Arial"/>
          <w:sz w:val="20"/>
          <w:szCs w:val="20"/>
        </w:rPr>
      </w:pPr>
    </w:p>
    <w:p w14:paraId="77BE28FE" w14:textId="77777777" w:rsidR="00D66C9C" w:rsidRDefault="00D66C9C" w:rsidP="00D66C9C">
      <w:pPr>
        <w:spacing w:line="276" w:lineRule="auto"/>
        <w:rPr>
          <w:rFonts w:ascii="Arial" w:hAnsi="Arial" w:cs="Arial"/>
          <w:sz w:val="20"/>
          <w:szCs w:val="20"/>
        </w:rPr>
      </w:pPr>
    </w:p>
    <w:p w14:paraId="0451ACD8" w14:textId="77777777" w:rsidR="00D66C9C" w:rsidRDefault="00D66C9C" w:rsidP="00D66C9C">
      <w:pPr>
        <w:spacing w:line="276" w:lineRule="auto"/>
        <w:rPr>
          <w:rFonts w:ascii="Arial" w:hAnsi="Arial" w:cs="Arial"/>
          <w:sz w:val="20"/>
          <w:szCs w:val="20"/>
        </w:rPr>
      </w:pPr>
    </w:p>
    <w:p w14:paraId="15665E6B" w14:textId="77777777" w:rsidR="00D66C9C" w:rsidRPr="00D66C9C" w:rsidRDefault="00D66C9C" w:rsidP="00D66C9C">
      <w:pPr>
        <w:spacing w:line="276" w:lineRule="auto"/>
        <w:rPr>
          <w:rFonts w:ascii="Arial" w:hAnsi="Arial" w:cs="Arial"/>
          <w:sz w:val="20"/>
          <w:szCs w:val="20"/>
        </w:rPr>
      </w:pPr>
    </w:p>
    <w:p w14:paraId="33DE9F58" w14:textId="77777777" w:rsidR="00D66C9C" w:rsidRPr="00D66C9C" w:rsidRDefault="00D66C9C" w:rsidP="00D66C9C">
      <w:pPr>
        <w:spacing w:line="276" w:lineRule="auto"/>
        <w:rPr>
          <w:rFonts w:ascii="Arial" w:hAnsi="Arial" w:cs="Arial"/>
          <w:sz w:val="20"/>
          <w:szCs w:val="20"/>
        </w:rPr>
      </w:pPr>
    </w:p>
    <w:p w14:paraId="706CB949" w14:textId="46292789" w:rsidR="00AC55D8" w:rsidRPr="00D66C9C" w:rsidRDefault="00AC55D8" w:rsidP="00D66C9C">
      <w:pPr>
        <w:spacing w:line="276" w:lineRule="auto"/>
        <w:rPr>
          <w:rFonts w:ascii="Arial" w:hAnsi="Arial" w:cs="Arial"/>
          <w:sz w:val="20"/>
          <w:szCs w:val="20"/>
        </w:rPr>
      </w:pPr>
      <w:r w:rsidRPr="00D66C9C">
        <w:rPr>
          <w:rFonts w:ascii="Arial" w:hAnsi="Arial" w:cs="Arial"/>
          <w:sz w:val="20"/>
          <w:szCs w:val="20"/>
        </w:rPr>
        <w:t xml:space="preserve">Reference list </w:t>
      </w:r>
    </w:p>
    <w:p w14:paraId="043F543E" w14:textId="77777777" w:rsidR="00D66C9C" w:rsidRPr="00D66C9C" w:rsidRDefault="00D66C9C" w:rsidP="00D66C9C">
      <w:pPr>
        <w:spacing w:line="276" w:lineRule="auto"/>
        <w:rPr>
          <w:rFonts w:ascii="Arial" w:hAnsi="Arial" w:cs="Arial"/>
          <w:sz w:val="20"/>
          <w:szCs w:val="20"/>
        </w:rPr>
      </w:pPr>
    </w:p>
    <w:p w14:paraId="29ACBF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Allen, G. (2011) Early Intervention: The Next Steps. London: HM Government.</w:t>
      </w:r>
    </w:p>
    <w:p w14:paraId="633B26D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6F4E707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Bath, H. (2008) ‘The three pillars of trauma-informed care’, Reclaiming Children and Youth, 17(3), pp. 17–21.</w:t>
      </w:r>
    </w:p>
    <w:p w14:paraId="2F3DFF1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Bellis, M.A. et al. (2014) ‘National household survey of adverse childhood experiences and their relationship with resilience to health-harming behaviours in England’, BMC Medicine, 12(72).</w:t>
      </w:r>
    </w:p>
    <w:p w14:paraId="7870F30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Bowlby, J. (1988) A Secure Base: Clinical Applications of Attachment Theory. London: Routledge.</w:t>
      </w:r>
    </w:p>
    <w:p w14:paraId="2028E256"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Brandon, M., Sidebotham, P., </w:t>
      </w:r>
      <w:proofErr w:type="spellStart"/>
      <w:r w:rsidRPr="00D66C9C">
        <w:rPr>
          <w:rFonts w:ascii="Arial" w:hAnsi="Arial" w:cs="Arial"/>
          <w:sz w:val="20"/>
          <w:szCs w:val="20"/>
        </w:rPr>
        <w:t>Belderson</w:t>
      </w:r>
      <w:proofErr w:type="spellEnd"/>
      <w:r w:rsidRPr="00D66C9C">
        <w:rPr>
          <w:rFonts w:ascii="Arial" w:hAnsi="Arial" w:cs="Arial"/>
          <w:sz w:val="20"/>
          <w:szCs w:val="20"/>
        </w:rPr>
        <w:t>, P. and Ellis, C. (2020) Complexity and challenge: A triennial analysis of SCRs 2014–2017. London: DfE.</w:t>
      </w:r>
    </w:p>
    <w:p w14:paraId="5B7FC1F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Bronfenbrenner, U. (1979) The Ecology of Human Development. Cambridge, MA: Harvard University Press.</w:t>
      </w:r>
    </w:p>
    <w:p w14:paraId="4F4076C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Child Law Advice (2023) </w:t>
      </w:r>
      <w:r w:rsidRPr="00D66C9C">
        <w:rPr>
          <w:rFonts w:ascii="Arial" w:hAnsi="Arial" w:cs="Arial"/>
          <w:i/>
          <w:iCs/>
          <w:color w:val="000000"/>
          <w:sz w:val="20"/>
          <w:szCs w:val="20"/>
        </w:rPr>
        <w:t>Police powers of protection and emergency protection orders. </w:t>
      </w:r>
      <w:r w:rsidRPr="00D66C9C">
        <w:rPr>
          <w:rFonts w:ascii="Arial" w:hAnsi="Arial" w:cs="Arial"/>
          <w:color w:val="000000"/>
          <w:sz w:val="20"/>
          <w:szCs w:val="20"/>
        </w:rPr>
        <w:t>Available at: </w:t>
      </w:r>
      <w:hyperlink r:id="rId7" w:tgtFrame="_blank" w:history="1">
        <w:r w:rsidRPr="00D66C9C">
          <w:rPr>
            <w:rStyle w:val="Hyperlink"/>
            <w:rFonts w:ascii="Arial" w:hAnsi="Arial" w:cs="Arial"/>
            <w:color w:val="1155CC"/>
            <w:sz w:val="20"/>
            <w:szCs w:val="20"/>
          </w:rPr>
          <w:t>https://childlawadvice.org.uk/information-pages/police-powers-of-protection-emergency-protection-orders/</w:t>
        </w:r>
      </w:hyperlink>
      <w:r w:rsidRPr="00D66C9C">
        <w:rPr>
          <w:rFonts w:ascii="Arial" w:hAnsi="Arial" w:cs="Arial"/>
          <w:color w:val="000000"/>
          <w:sz w:val="20"/>
          <w:szCs w:val="20"/>
        </w:rPr>
        <w:t> (Accessed 1st July 2025).</w:t>
      </w:r>
    </w:p>
    <w:p w14:paraId="77194831"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 xml:space="preserve">Childlawadvice.org.uk. (2019). Available at: </w:t>
      </w:r>
      <w:hyperlink r:id="rId8" w:history="1">
        <w:r w:rsidRPr="00D66C9C">
          <w:rPr>
            <w:rStyle w:val="Hyperlink"/>
            <w:rFonts w:ascii="Arial" w:hAnsi="Arial" w:cs="Arial"/>
            <w:sz w:val="20"/>
            <w:szCs w:val="20"/>
          </w:rPr>
          <w:t>https://childlawadvice.org.uk/</w:t>
        </w:r>
      </w:hyperlink>
      <w:r w:rsidRPr="00D66C9C">
        <w:rPr>
          <w:rFonts w:ascii="Arial" w:hAnsi="Arial" w:cs="Arial"/>
          <w:color w:val="000000"/>
          <w:sz w:val="20"/>
          <w:szCs w:val="20"/>
        </w:rPr>
        <w:t xml:space="preserve">.                                      </w:t>
      </w: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xml:space="preserve">, I. and Aldgate, J. (2011) Children’s needs—parenting capacity. 2nd </w:t>
      </w:r>
      <w:proofErr w:type="spellStart"/>
      <w:r w:rsidRPr="00D66C9C">
        <w:rPr>
          <w:rFonts w:ascii="Arial" w:hAnsi="Arial" w:cs="Arial"/>
          <w:sz w:val="20"/>
          <w:szCs w:val="20"/>
        </w:rPr>
        <w:t>edn</w:t>
      </w:r>
      <w:proofErr w:type="spellEnd"/>
      <w:r w:rsidRPr="00D66C9C">
        <w:rPr>
          <w:rFonts w:ascii="Arial" w:hAnsi="Arial" w:cs="Arial"/>
          <w:sz w:val="20"/>
          <w:szCs w:val="20"/>
        </w:rPr>
        <w:t>. London: TSO.</w:t>
      </w:r>
    </w:p>
    <w:p w14:paraId="1FF37DD5"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Children Act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9" w:history="1">
        <w:r w:rsidRPr="00D66C9C">
          <w:rPr>
            <w:rStyle w:val="Hyperlink"/>
            <w:rFonts w:ascii="Arial" w:hAnsi="Arial" w:cs="Arial"/>
            <w:sz w:val="20"/>
            <w:szCs w:val="20"/>
          </w:rPr>
          <w:t>https://www.legislation.gov.uk/ukpga/1989/41/contents</w:t>
        </w:r>
      </w:hyperlink>
      <w:r w:rsidRPr="00D66C9C">
        <w:rPr>
          <w:rFonts w:ascii="Arial" w:hAnsi="Arial" w:cs="Arial"/>
          <w:color w:val="000000"/>
          <w:sz w:val="20"/>
          <w:szCs w:val="20"/>
        </w:rPr>
        <w:t xml:space="preserve">. </w:t>
      </w:r>
    </w:p>
    <w:p w14:paraId="5B2F1BC9"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Cleaver, H., </w:t>
      </w:r>
      <w:proofErr w:type="spellStart"/>
      <w:r w:rsidRPr="00D66C9C">
        <w:rPr>
          <w:rFonts w:ascii="Arial" w:hAnsi="Arial" w:cs="Arial"/>
          <w:sz w:val="20"/>
          <w:szCs w:val="20"/>
        </w:rPr>
        <w:t>Unell</w:t>
      </w:r>
      <w:proofErr w:type="spellEnd"/>
      <w:r w:rsidRPr="00D66C9C">
        <w:rPr>
          <w:rFonts w:ascii="Arial" w:hAnsi="Arial" w:cs="Arial"/>
          <w:sz w:val="20"/>
          <w:szCs w:val="20"/>
        </w:rPr>
        <w:t>, I. and Aldgate, J. (2011) Children’s Needs – Parenting Capacity: Child Abuse: Parental Mental Illness, Learning Disability, Substance Misuse and Domestic Violence. London: TSO.</w:t>
      </w:r>
    </w:p>
    <w:p w14:paraId="3949CBD5"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(2024) </w:t>
      </w:r>
      <w:r w:rsidRPr="00D66C9C">
        <w:rPr>
          <w:rFonts w:ascii="Arial" w:hAnsi="Arial" w:cs="Arial"/>
          <w:i/>
          <w:iCs/>
          <w:color w:val="000000"/>
          <w:sz w:val="20"/>
          <w:szCs w:val="20"/>
        </w:rPr>
        <w:t>Public order offences incorporating the charging standard</w:t>
      </w:r>
      <w:r w:rsidRPr="00D66C9C">
        <w:rPr>
          <w:rFonts w:ascii="Arial" w:hAnsi="Arial" w:cs="Arial"/>
          <w:color w:val="000000"/>
          <w:sz w:val="20"/>
          <w:szCs w:val="20"/>
        </w:rPr>
        <w:t>. Available at: </w:t>
      </w:r>
      <w:hyperlink r:id="rId10" w:tgtFrame="_blank" w:history="1">
        <w:r w:rsidRPr="00D66C9C">
          <w:rPr>
            <w:rStyle w:val="Hyperlink"/>
            <w:rFonts w:ascii="Arial" w:hAnsi="Arial" w:cs="Arial"/>
            <w:color w:val="1155CC"/>
            <w:sz w:val="20"/>
            <w:szCs w:val="20"/>
          </w:rPr>
          <w:t>https://www.cps.gov.uk/legal-guidance/public-order-offences-incorporating-charging-standard</w:t>
        </w:r>
      </w:hyperlink>
      <w:r w:rsidRPr="00D66C9C">
        <w:rPr>
          <w:rFonts w:ascii="Arial" w:hAnsi="Arial" w:cs="Arial"/>
          <w:color w:val="000000"/>
          <w:sz w:val="20"/>
          <w:szCs w:val="20"/>
        </w:rPr>
        <w:t> (Accessed 1st July 2025)</w:t>
      </w:r>
    </w:p>
    <w:p w14:paraId="5F1D6DBD"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Controlling or coercive behaviour in an intimate or family relationship</w:t>
      </w:r>
      <w:r w:rsidRPr="00D66C9C">
        <w:rPr>
          <w:rFonts w:ascii="Arial" w:hAnsi="Arial" w:cs="Arial"/>
          <w:color w:val="000000"/>
          <w:sz w:val="20"/>
          <w:szCs w:val="20"/>
        </w:rPr>
        <w:t>. Available at: </w:t>
      </w:r>
      <w:hyperlink r:id="rId11" w:tgtFrame="_blank" w:history="1">
        <w:r w:rsidRPr="00D66C9C">
          <w:rPr>
            <w:rStyle w:val="Hyperlink"/>
            <w:rFonts w:ascii="Arial" w:hAnsi="Arial" w:cs="Arial"/>
            <w:color w:val="1155CC"/>
            <w:sz w:val="20"/>
            <w:szCs w:val="20"/>
          </w:rPr>
          <w:t>https://www.cps.gov.uk/legal-guidance/controlling-or-coercive-behaviour-intimate-or-family-relationship</w:t>
        </w:r>
      </w:hyperlink>
      <w:r w:rsidRPr="00D66C9C">
        <w:rPr>
          <w:rFonts w:ascii="Arial" w:hAnsi="Arial" w:cs="Arial"/>
          <w:color w:val="000000"/>
          <w:sz w:val="20"/>
          <w:szCs w:val="20"/>
        </w:rPr>
        <w:t> (Accessed 1st July 2025).</w:t>
      </w:r>
    </w:p>
    <w:p w14:paraId="0707D0D1"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CPS (2025) </w:t>
      </w:r>
      <w:r w:rsidRPr="00D66C9C">
        <w:rPr>
          <w:rFonts w:ascii="Arial" w:hAnsi="Arial" w:cs="Arial"/>
          <w:i/>
          <w:iCs/>
          <w:color w:val="000000"/>
          <w:sz w:val="20"/>
          <w:szCs w:val="20"/>
        </w:rPr>
        <w:t>Restraining orders</w:t>
      </w:r>
      <w:r w:rsidRPr="00D66C9C">
        <w:rPr>
          <w:rFonts w:ascii="Arial" w:hAnsi="Arial" w:cs="Arial"/>
          <w:color w:val="000000"/>
          <w:sz w:val="20"/>
          <w:szCs w:val="20"/>
        </w:rPr>
        <w:t>. Available at: </w:t>
      </w:r>
      <w:hyperlink r:id="rId12" w:tgtFrame="_blank" w:history="1">
        <w:r w:rsidRPr="00D66C9C">
          <w:rPr>
            <w:rStyle w:val="Hyperlink"/>
            <w:rFonts w:ascii="Arial" w:hAnsi="Arial" w:cs="Arial"/>
            <w:color w:val="1155CC"/>
            <w:sz w:val="20"/>
            <w:szCs w:val="20"/>
          </w:rPr>
          <w:t>https://www.cps.gov.uk/legal-guidance/restraining-orders</w:t>
        </w:r>
      </w:hyperlink>
      <w:r w:rsidRPr="00D66C9C">
        <w:rPr>
          <w:rFonts w:ascii="Arial" w:hAnsi="Arial" w:cs="Arial"/>
          <w:color w:val="000000"/>
          <w:sz w:val="20"/>
          <w:szCs w:val="20"/>
        </w:rPr>
        <w:t> (Accessed 1st July 2025).</w:t>
      </w:r>
    </w:p>
    <w:p w14:paraId="51E29D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lastRenderedPageBreak/>
        <w:t xml:space="preserve">Daniel, B., Wassell, S. and Gilligan, R. (2011) Child Development for Child Care and Protection Workers. 2nd </w:t>
      </w:r>
      <w:proofErr w:type="spellStart"/>
      <w:r w:rsidRPr="00D66C9C">
        <w:rPr>
          <w:rFonts w:ascii="Arial" w:hAnsi="Arial" w:cs="Arial"/>
          <w:sz w:val="20"/>
          <w:szCs w:val="20"/>
        </w:rPr>
        <w:t>edn</w:t>
      </w:r>
      <w:proofErr w:type="spellEnd"/>
      <w:r w:rsidRPr="00D66C9C">
        <w:rPr>
          <w:rFonts w:ascii="Arial" w:hAnsi="Arial" w:cs="Arial"/>
          <w:sz w:val="20"/>
          <w:szCs w:val="20"/>
        </w:rPr>
        <w:t xml:space="preserve">. London: Jessica Kingsley.                                                                             </w:t>
      </w:r>
      <w:r w:rsidRPr="00D66C9C">
        <w:rPr>
          <w:rFonts w:ascii="Arial" w:hAnsi="Arial" w:cs="Arial"/>
          <w:color w:val="000000"/>
          <w:sz w:val="20"/>
          <w:szCs w:val="20"/>
        </w:rPr>
        <w:t>Department for Education (2003). </w:t>
      </w:r>
      <w:r w:rsidRPr="00D66C9C">
        <w:rPr>
          <w:rFonts w:ascii="Arial" w:hAnsi="Arial" w:cs="Arial"/>
          <w:i/>
          <w:iCs/>
          <w:color w:val="000000"/>
          <w:sz w:val="20"/>
          <w:szCs w:val="20"/>
        </w:rPr>
        <w:t>Every Child Matters</w:t>
      </w:r>
      <w:r w:rsidRPr="00D66C9C">
        <w:rPr>
          <w:rFonts w:ascii="Arial" w:hAnsi="Arial" w:cs="Arial"/>
          <w:color w:val="000000"/>
          <w:sz w:val="20"/>
          <w:szCs w:val="20"/>
        </w:rPr>
        <w:t xml:space="preserve">. [online] Available at: </w:t>
      </w:r>
      <w:hyperlink r:id="rId13" w:history="1">
        <w:r w:rsidRPr="00D66C9C">
          <w:rPr>
            <w:rStyle w:val="Hyperlink"/>
            <w:rFonts w:ascii="Arial" w:hAnsi="Arial" w:cs="Arial"/>
            <w:sz w:val="20"/>
            <w:szCs w:val="20"/>
          </w:rPr>
          <w:t>https://assets.publishing.service.gov.uk/media/5a7c95a4e5274a0bb7cb806d/5860.pdf</w:t>
        </w:r>
      </w:hyperlink>
      <w:r w:rsidRPr="00D66C9C">
        <w:rPr>
          <w:rFonts w:ascii="Arial" w:hAnsi="Arial" w:cs="Arial"/>
          <w:color w:val="000000"/>
          <w:sz w:val="20"/>
          <w:szCs w:val="20"/>
        </w:rPr>
        <w:t xml:space="preserve">. </w:t>
      </w:r>
    </w:p>
    <w:p w14:paraId="7DC693D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(2023) Keeping children safe in education. London: DfE.</w:t>
      </w:r>
    </w:p>
    <w:p w14:paraId="462365B8"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for Education (2024) Statutory Framework for the Early Years Foundation Stage. London: DfE.</w:t>
      </w:r>
    </w:p>
    <w:p w14:paraId="570214FD"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Department of Health, Department for Education and Employment, and Home Office (2000)</w:t>
      </w:r>
    </w:p>
    <w:p w14:paraId="05EC234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Equality Act (2010) </w:t>
      </w:r>
      <w:r w:rsidRPr="00D66C9C">
        <w:rPr>
          <w:rFonts w:ascii="Arial" w:hAnsi="Arial" w:cs="Arial"/>
          <w:i/>
          <w:iCs/>
          <w:sz w:val="20"/>
          <w:szCs w:val="20"/>
        </w:rPr>
        <w:t>Direct discrimination</w:t>
      </w:r>
      <w:r w:rsidRPr="00D66C9C">
        <w:rPr>
          <w:rFonts w:ascii="Arial" w:hAnsi="Arial" w:cs="Arial"/>
          <w:sz w:val="20"/>
          <w:szCs w:val="20"/>
        </w:rPr>
        <w:t xml:space="preserve">. Available at: </w:t>
      </w:r>
      <w:hyperlink r:id="rId14" w:history="1">
        <w:r w:rsidRPr="00D66C9C">
          <w:rPr>
            <w:rStyle w:val="Hyperlink"/>
            <w:rFonts w:ascii="Arial" w:hAnsi="Arial" w:cs="Arial"/>
            <w:sz w:val="20"/>
            <w:szCs w:val="20"/>
          </w:rPr>
          <w:t>https://www.legislation.gov.uk/ukpga/2010/15/section/13</w:t>
        </w:r>
      </w:hyperlink>
      <w:r w:rsidRPr="00D66C9C">
        <w:rPr>
          <w:rFonts w:ascii="Arial" w:hAnsi="Arial" w:cs="Arial"/>
          <w:sz w:val="20"/>
          <w:szCs w:val="20"/>
        </w:rPr>
        <w:t xml:space="preserve"> (Accessed 2nd July 2025)  </w:t>
      </w:r>
    </w:p>
    <w:p w14:paraId="4F1112F5" w14:textId="77777777" w:rsidR="00D66C9C" w:rsidRPr="00D66C9C" w:rsidRDefault="00D66C9C" w:rsidP="00D66C9C">
      <w:pPr>
        <w:spacing w:line="276" w:lineRule="auto"/>
        <w:rPr>
          <w:rFonts w:ascii="Arial" w:hAnsi="Arial" w:cs="Arial"/>
          <w:sz w:val="20"/>
          <w:szCs w:val="20"/>
        </w:rPr>
      </w:pPr>
      <w:proofErr w:type="spellStart"/>
      <w:r w:rsidRPr="00D66C9C">
        <w:rPr>
          <w:rFonts w:ascii="Arial" w:hAnsi="Arial" w:cs="Arial"/>
          <w:sz w:val="20"/>
          <w:szCs w:val="20"/>
        </w:rPr>
        <w:t>Felitti</w:t>
      </w:r>
      <w:proofErr w:type="spellEnd"/>
      <w:r w:rsidRPr="00D66C9C">
        <w:rPr>
          <w:rFonts w:ascii="Arial" w:hAnsi="Arial" w:cs="Arial"/>
          <w:sz w:val="20"/>
          <w:szCs w:val="20"/>
        </w:rPr>
        <w:t>, V.J. et al. (1998) ‘Relationship of childhood abuse and household dysfunction to many of the leading causes of death in adults’, American Journal of Preventive Medicine, 14(4), pp. 245–258.</w:t>
      </w:r>
    </w:p>
    <w:p w14:paraId="5D11307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Ferguson, H. (2017) ‘How children become invisible in child protection work: findings from research into day-to-day social work practice’, British Journal of Social Work, 47(4), pp. 1007–1023.</w:t>
      </w:r>
    </w:p>
    <w:p w14:paraId="777E5CC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Framework for the assessment of children in need and their families. London: The Stationery Office.</w:t>
      </w:r>
    </w:p>
    <w:p w14:paraId="45B9A2DF"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DAA0C6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Geddes, H. (2006) Attachment in the Classroom: The Links Between Children’s Early Experience, Emotional Well-Being, and Performance in School. London: Worth.</w:t>
      </w:r>
    </w:p>
    <w:p w14:paraId="7FAB42A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Gottman, J.M. (1997) Raising an Emotionally Intelligent Child. New York: Simon &amp; Schuster.</w:t>
      </w:r>
    </w:p>
    <w:p w14:paraId="6829F6EF"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Amendment to the controlling or coercive behaviour offence</w:t>
      </w:r>
      <w:r w:rsidRPr="00D66C9C">
        <w:rPr>
          <w:rFonts w:ascii="Arial" w:hAnsi="Arial" w:cs="Arial"/>
          <w:color w:val="000000"/>
          <w:sz w:val="20"/>
          <w:szCs w:val="20"/>
        </w:rPr>
        <w:t>. Available at: </w:t>
      </w:r>
      <w:hyperlink r:id="rId15" w:tgtFrame="_blank" w:history="1">
        <w:r w:rsidRPr="00D66C9C">
          <w:rPr>
            <w:rStyle w:val="Hyperlink"/>
            <w:rFonts w:ascii="Arial" w:hAnsi="Arial" w:cs="Arial"/>
            <w:color w:val="1155CC"/>
            <w:sz w:val="20"/>
            <w:szCs w:val="20"/>
          </w:rPr>
          <w:t>https://www.gov.uk/government/publications/domestic-abuse-bill-2020-factsheets/amendment-to-the-controlling-or-coercive-behaviour-offence</w:t>
        </w:r>
      </w:hyperlink>
      <w:r w:rsidRPr="00D66C9C">
        <w:rPr>
          <w:rFonts w:ascii="Arial" w:hAnsi="Arial" w:cs="Arial"/>
          <w:color w:val="000000"/>
          <w:sz w:val="20"/>
          <w:szCs w:val="20"/>
        </w:rPr>
        <w:t> (Accessed 1st July 2025)</w:t>
      </w:r>
    </w:p>
    <w:p w14:paraId="2CF3140E"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Gov (2024) </w:t>
      </w:r>
      <w:r w:rsidRPr="00D66C9C">
        <w:rPr>
          <w:rFonts w:ascii="Arial" w:hAnsi="Arial" w:cs="Arial"/>
          <w:i/>
          <w:iCs/>
          <w:color w:val="000000"/>
          <w:sz w:val="20"/>
          <w:szCs w:val="20"/>
        </w:rPr>
        <w:t>Domestic Abuse Act 2021: overarching factsheets</w:t>
      </w:r>
      <w:r w:rsidRPr="00D66C9C">
        <w:rPr>
          <w:rFonts w:ascii="Arial" w:hAnsi="Arial" w:cs="Arial"/>
          <w:color w:val="000000"/>
          <w:sz w:val="20"/>
          <w:szCs w:val="20"/>
        </w:rPr>
        <w:t>. Available at: </w:t>
      </w:r>
      <w:hyperlink r:id="rId16" w:tgtFrame="_blank" w:history="1">
        <w:r w:rsidRPr="00D66C9C">
          <w:rPr>
            <w:rStyle w:val="Hyperlink"/>
            <w:rFonts w:ascii="Arial" w:hAnsi="Arial" w:cs="Arial"/>
            <w:color w:val="1155CC"/>
            <w:sz w:val="20"/>
            <w:szCs w:val="20"/>
          </w:rPr>
          <w:t>https://www.gov.uk/government/publications/domestic-abuse-bill-2020-factsheets/domestic-abuse-bill-2020-overarching-factsheet</w:t>
        </w:r>
      </w:hyperlink>
      <w:r w:rsidRPr="00D66C9C">
        <w:rPr>
          <w:rFonts w:ascii="Arial" w:hAnsi="Arial" w:cs="Arial"/>
          <w:color w:val="000000"/>
          <w:sz w:val="20"/>
          <w:szCs w:val="20"/>
        </w:rPr>
        <w:t> (Accessed 1st July 2025).</w:t>
      </w:r>
    </w:p>
    <w:p w14:paraId="04551FC7"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17" w:history="1">
        <w:r w:rsidRPr="00D66C9C">
          <w:rPr>
            <w:rStyle w:val="Hyperlink"/>
            <w:rFonts w:ascii="Arial" w:hAnsi="Arial" w:cs="Arial"/>
            <w:sz w:val="20"/>
            <w:szCs w:val="20"/>
          </w:rPr>
          <w:t>https://www.legislation.gov.uk/ukpga/1989/41/section/31</w:t>
        </w:r>
      </w:hyperlink>
      <w:r w:rsidRPr="00D66C9C">
        <w:rPr>
          <w:rFonts w:ascii="Arial" w:hAnsi="Arial" w:cs="Arial"/>
          <w:color w:val="000000"/>
          <w:sz w:val="20"/>
          <w:szCs w:val="20"/>
        </w:rPr>
        <w:t>.</w:t>
      </w:r>
    </w:p>
    <w:p w14:paraId="50B0BBB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GOV.UK (2018). </w:t>
      </w:r>
      <w:r w:rsidRPr="00D66C9C">
        <w:rPr>
          <w:rFonts w:ascii="Arial" w:hAnsi="Arial" w:cs="Arial"/>
          <w:i/>
          <w:iCs/>
          <w:color w:val="000000"/>
          <w:sz w:val="20"/>
          <w:szCs w:val="20"/>
        </w:rPr>
        <w:t>Data Protection Act 2018</w:t>
      </w:r>
      <w:r w:rsidRPr="00D66C9C">
        <w:rPr>
          <w:rFonts w:ascii="Arial" w:hAnsi="Arial" w:cs="Arial"/>
          <w:color w:val="000000"/>
          <w:sz w:val="20"/>
          <w:szCs w:val="20"/>
        </w:rPr>
        <w:t xml:space="preserve">. [online] legislation.gov.uk. Available at: </w:t>
      </w:r>
      <w:hyperlink r:id="rId18" w:history="1">
        <w:r w:rsidRPr="00D66C9C">
          <w:rPr>
            <w:rStyle w:val="Hyperlink"/>
            <w:rFonts w:ascii="Arial" w:hAnsi="Arial" w:cs="Arial"/>
            <w:sz w:val="20"/>
            <w:szCs w:val="20"/>
          </w:rPr>
          <w:t>https://www.legislation.gov.uk/ukpga/2018/12/contents</w:t>
        </w:r>
      </w:hyperlink>
      <w:r w:rsidRPr="00D66C9C">
        <w:rPr>
          <w:rFonts w:ascii="Arial" w:hAnsi="Arial" w:cs="Arial"/>
          <w:color w:val="000000"/>
          <w:sz w:val="20"/>
          <w:szCs w:val="20"/>
        </w:rPr>
        <w:t xml:space="preserve">. </w:t>
      </w:r>
    </w:p>
    <w:p w14:paraId="271ED5BE"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HM Government (2023) Working Together to Safeguard Children. London: The Stationery Office.</w:t>
      </w:r>
    </w:p>
    <w:p w14:paraId="64FAA79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Horwath, J. (2007) Child Neglect: Identification and Assessment. Basingstoke: Palgrave Macmillan.</w:t>
      </w:r>
    </w:p>
    <w:p w14:paraId="7EFB8C2A"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Information Commissioner’s Office (2023) Lawful basis for processing. [Online] Available at: https://ico.org.uk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133D18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Laming, H. (2009) The Protection of Children in England: A Progress Report. London: TSO.</w:t>
      </w:r>
    </w:p>
    <w:p w14:paraId="29DB05BD" w14:textId="77777777" w:rsidR="00D66C9C" w:rsidRPr="00D66C9C" w:rsidRDefault="00D66C9C" w:rsidP="00D66C9C">
      <w:pPr>
        <w:shd w:val="clear" w:color="auto" w:fill="FFFFFF"/>
        <w:spacing w:line="276" w:lineRule="auto"/>
        <w:rPr>
          <w:rFonts w:ascii="Arial" w:hAnsi="Arial" w:cs="Arial"/>
          <w:color w:val="000000"/>
          <w:sz w:val="20"/>
          <w:szCs w:val="20"/>
        </w:rPr>
      </w:pPr>
      <w:hyperlink r:id="rId19" w:tgtFrame="_blank" w:history="1">
        <w:r w:rsidRPr="00D66C9C">
          <w:rPr>
            <w:rStyle w:val="Hyperlink"/>
            <w:rFonts w:ascii="Arial" w:hAnsi="Arial" w:cs="Arial"/>
            <w:color w:val="1155CC"/>
            <w:sz w:val="20"/>
            <w:szCs w:val="20"/>
          </w:rPr>
          <w:t>Legisation.Gov.Uk</w:t>
        </w:r>
      </w:hyperlink>
      <w:r w:rsidRPr="00D66C9C">
        <w:rPr>
          <w:rFonts w:ascii="Arial" w:hAnsi="Arial" w:cs="Arial"/>
          <w:color w:val="000000"/>
          <w:sz w:val="20"/>
          <w:szCs w:val="20"/>
        </w:rPr>
        <w:t> (2024) </w:t>
      </w:r>
      <w:r w:rsidRPr="00D66C9C">
        <w:rPr>
          <w:rFonts w:ascii="Arial" w:hAnsi="Arial" w:cs="Arial"/>
          <w:i/>
          <w:iCs/>
          <w:color w:val="000000"/>
          <w:sz w:val="20"/>
          <w:szCs w:val="20"/>
        </w:rPr>
        <w:t>Children and Young Person</w:t>
      </w:r>
      <w:r w:rsidRPr="00D66C9C">
        <w:rPr>
          <w:rFonts w:ascii="Arial" w:hAnsi="Arial" w:cs="Arial"/>
          <w:color w:val="000000"/>
          <w:sz w:val="20"/>
          <w:szCs w:val="20"/>
        </w:rPr>
        <w:t> Act 1933. Available at: </w:t>
      </w:r>
      <w:hyperlink r:id="rId20" w:tgtFrame="_blank" w:history="1">
        <w:r w:rsidRPr="00D66C9C">
          <w:rPr>
            <w:rStyle w:val="Hyperlink"/>
            <w:rFonts w:ascii="Arial" w:hAnsi="Arial" w:cs="Arial"/>
            <w:color w:val="1155CC"/>
            <w:sz w:val="20"/>
            <w:szCs w:val="20"/>
          </w:rPr>
          <w:t>https://www.legislation.gov.uk/ukpga/Geo5/23-24/12/2024-01-31?view=plain</w:t>
        </w:r>
      </w:hyperlink>
      <w:r w:rsidRPr="00D66C9C">
        <w:rPr>
          <w:rFonts w:ascii="Arial" w:hAnsi="Arial" w:cs="Arial"/>
          <w:color w:val="000000"/>
          <w:sz w:val="20"/>
          <w:szCs w:val="20"/>
        </w:rPr>
        <w:t> (Accessed 1st July 2025).</w:t>
      </w:r>
    </w:p>
    <w:p w14:paraId="5277F87A"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(2020) </w:t>
      </w:r>
      <w:r w:rsidRPr="00D66C9C">
        <w:rPr>
          <w:rFonts w:ascii="Arial" w:hAnsi="Arial" w:cs="Arial"/>
          <w:i/>
          <w:iCs/>
          <w:color w:val="000000"/>
          <w:sz w:val="20"/>
          <w:szCs w:val="20"/>
        </w:rPr>
        <w:t>Assaults on constables</w:t>
      </w:r>
      <w:r w:rsidRPr="00D66C9C">
        <w:rPr>
          <w:rFonts w:ascii="Arial" w:hAnsi="Arial" w:cs="Arial"/>
          <w:color w:val="000000"/>
          <w:sz w:val="20"/>
          <w:szCs w:val="20"/>
        </w:rPr>
        <w:t>. Available at: </w:t>
      </w:r>
      <w:hyperlink r:id="rId21" w:tgtFrame="_blank" w:history="1">
        <w:r w:rsidRPr="00D66C9C">
          <w:rPr>
            <w:rStyle w:val="Hyperlink"/>
            <w:rFonts w:ascii="Arial" w:hAnsi="Arial" w:cs="Arial"/>
            <w:color w:val="1155CC"/>
            <w:sz w:val="20"/>
            <w:szCs w:val="20"/>
          </w:rPr>
          <w:t>https://www.legislation.gov.uk/ukpga/1996/16/section/89</w:t>
        </w:r>
      </w:hyperlink>
      <w:r w:rsidRPr="00D66C9C">
        <w:rPr>
          <w:rFonts w:ascii="Arial" w:hAnsi="Arial" w:cs="Arial"/>
          <w:color w:val="000000"/>
          <w:sz w:val="20"/>
          <w:szCs w:val="20"/>
        </w:rPr>
        <w:t> (Accessed 1st July 2025).</w:t>
      </w:r>
    </w:p>
    <w:p w14:paraId="5F8451D6"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(2020) </w:t>
      </w:r>
      <w:r w:rsidRPr="00D66C9C">
        <w:rPr>
          <w:rFonts w:ascii="Arial" w:hAnsi="Arial" w:cs="Arial"/>
          <w:i/>
          <w:iCs/>
          <w:color w:val="000000"/>
          <w:sz w:val="20"/>
          <w:szCs w:val="20"/>
        </w:rPr>
        <w:t>Restraining order availability</w:t>
      </w:r>
      <w:r w:rsidRPr="00D66C9C">
        <w:rPr>
          <w:rFonts w:ascii="Arial" w:hAnsi="Arial" w:cs="Arial"/>
          <w:color w:val="000000"/>
          <w:sz w:val="20"/>
          <w:szCs w:val="20"/>
        </w:rPr>
        <w:t>. Available at: </w:t>
      </w:r>
      <w:hyperlink r:id="rId22" w:tgtFrame="_blank" w:history="1">
        <w:r w:rsidRPr="00D66C9C">
          <w:rPr>
            <w:rStyle w:val="Hyperlink"/>
            <w:rFonts w:ascii="Arial" w:hAnsi="Arial" w:cs="Arial"/>
            <w:color w:val="1155CC"/>
            <w:sz w:val="20"/>
            <w:szCs w:val="20"/>
          </w:rPr>
          <w:t>https://www.legislation.gov.uk/ukpga/2020/17/section/360/2020-12-01</w:t>
        </w:r>
      </w:hyperlink>
      <w:r w:rsidRPr="00D66C9C">
        <w:rPr>
          <w:rFonts w:ascii="Arial" w:hAnsi="Arial" w:cs="Arial"/>
          <w:color w:val="000000"/>
          <w:sz w:val="20"/>
          <w:szCs w:val="20"/>
        </w:rPr>
        <w:t> (Accessed 1st June 2025).</w:t>
      </w:r>
    </w:p>
    <w:p w14:paraId="72445FB2"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Legislation Gov Uk (2022) </w:t>
      </w:r>
      <w:r w:rsidRPr="00D66C9C">
        <w:rPr>
          <w:rFonts w:ascii="Arial" w:hAnsi="Arial" w:cs="Arial"/>
          <w:i/>
          <w:iCs/>
          <w:color w:val="000000"/>
          <w:sz w:val="20"/>
          <w:szCs w:val="20"/>
        </w:rPr>
        <w:t>Cruelty to persons under sixteen</w:t>
      </w:r>
      <w:r w:rsidRPr="00D66C9C">
        <w:rPr>
          <w:rFonts w:ascii="Arial" w:hAnsi="Arial" w:cs="Arial"/>
          <w:color w:val="000000"/>
          <w:sz w:val="20"/>
          <w:szCs w:val="20"/>
        </w:rPr>
        <w:t>. Available at:  </w:t>
      </w:r>
      <w:hyperlink r:id="rId23" w:tgtFrame="_blank" w:history="1">
        <w:r w:rsidRPr="00D66C9C">
          <w:rPr>
            <w:rStyle w:val="Hyperlink"/>
            <w:rFonts w:ascii="Arial" w:hAnsi="Arial" w:cs="Arial"/>
            <w:color w:val="1155CC"/>
            <w:sz w:val="20"/>
            <w:szCs w:val="20"/>
          </w:rPr>
          <w:t>https://www.legislation.gov.uk/ukpga/Geo5/23-24/12/part/I/crossheading/offences</w:t>
        </w:r>
      </w:hyperlink>
      <w:r w:rsidRPr="00D66C9C">
        <w:rPr>
          <w:rFonts w:ascii="Arial" w:hAnsi="Arial" w:cs="Arial"/>
          <w:color w:val="000000"/>
          <w:sz w:val="20"/>
          <w:szCs w:val="20"/>
        </w:rPr>
        <w:t> (Accessed 1st July 2025).</w:t>
      </w:r>
    </w:p>
    <w:p w14:paraId="44183184"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legislation.gov.uk (1989). </w:t>
      </w:r>
      <w:r w:rsidRPr="00D66C9C">
        <w:rPr>
          <w:rFonts w:ascii="Arial" w:hAnsi="Arial" w:cs="Arial"/>
          <w:i/>
          <w:iCs/>
          <w:color w:val="000000"/>
          <w:sz w:val="20"/>
          <w:szCs w:val="20"/>
        </w:rPr>
        <w:t>Children Act 1989</w:t>
      </w:r>
      <w:r w:rsidRPr="00D66C9C">
        <w:rPr>
          <w:rFonts w:ascii="Arial" w:hAnsi="Arial" w:cs="Arial"/>
          <w:color w:val="000000"/>
          <w:sz w:val="20"/>
          <w:szCs w:val="20"/>
        </w:rPr>
        <w:t xml:space="preserve">. [online] Legislation.gov.uk. Available at: </w:t>
      </w:r>
      <w:hyperlink r:id="rId24" w:history="1">
        <w:r w:rsidRPr="00D66C9C">
          <w:rPr>
            <w:rStyle w:val="Hyperlink"/>
            <w:rFonts w:ascii="Arial" w:hAnsi="Arial" w:cs="Arial"/>
            <w:sz w:val="20"/>
            <w:szCs w:val="20"/>
          </w:rPr>
          <w:t>https://www.legislation.gov.uk/ukpga/1989/41/section/47</w:t>
        </w:r>
      </w:hyperlink>
      <w:r w:rsidRPr="00D66C9C">
        <w:rPr>
          <w:rFonts w:ascii="Arial" w:hAnsi="Arial" w:cs="Arial"/>
          <w:color w:val="000000"/>
          <w:sz w:val="20"/>
          <w:szCs w:val="20"/>
        </w:rPr>
        <w:t>.</w:t>
      </w:r>
    </w:p>
    <w:p w14:paraId="6F30668C"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Mental Capacity Act (2025) </w:t>
      </w:r>
      <w:r w:rsidRPr="00D66C9C">
        <w:rPr>
          <w:rFonts w:ascii="Arial" w:hAnsi="Arial" w:cs="Arial"/>
          <w:i/>
          <w:iCs/>
          <w:sz w:val="20"/>
          <w:szCs w:val="20"/>
        </w:rPr>
        <w:t>The Principles.</w:t>
      </w:r>
      <w:r w:rsidRPr="00D66C9C">
        <w:rPr>
          <w:rFonts w:ascii="Arial" w:hAnsi="Arial" w:cs="Arial"/>
          <w:sz w:val="20"/>
          <w:szCs w:val="20"/>
        </w:rPr>
        <w:t xml:space="preserve"> Available at: </w:t>
      </w:r>
      <w:hyperlink r:id="rId25" w:history="1">
        <w:r w:rsidRPr="00D66C9C">
          <w:rPr>
            <w:rFonts w:ascii="Arial" w:hAnsi="Arial" w:cs="Arial"/>
            <w:color w:val="0000FF"/>
            <w:sz w:val="20"/>
            <w:szCs w:val="20"/>
            <w:u w:val="single"/>
          </w:rPr>
          <w:t>https://www.legislation.gov.uk/ukpga/2005/9/section/1</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 </w:t>
      </w:r>
    </w:p>
    <w:p w14:paraId="2EDB01A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Munro, E. (2011) The Munro Review of Child Protection: Final Report. London: DfE.</w:t>
      </w:r>
    </w:p>
    <w:p w14:paraId="22DAE94A" w14:textId="77777777" w:rsidR="00D66C9C" w:rsidRPr="00D66C9C" w:rsidRDefault="00D66C9C" w:rsidP="00D66C9C">
      <w:pPr>
        <w:spacing w:line="276" w:lineRule="auto"/>
        <w:rPr>
          <w:rFonts w:ascii="Arial" w:hAnsi="Arial" w:cs="Arial"/>
          <w:b/>
          <w:bCs/>
          <w:sz w:val="20"/>
          <w:szCs w:val="20"/>
          <w:u w:val="single"/>
        </w:rPr>
      </w:pPr>
      <w:r w:rsidRPr="00D66C9C">
        <w:rPr>
          <w:rFonts w:ascii="Arial" w:hAnsi="Arial" w:cs="Arial"/>
          <w:sz w:val="20"/>
          <w:szCs w:val="20"/>
        </w:rPr>
        <w:lastRenderedPageBreak/>
        <w:t xml:space="preserve">NHS. (2022) </w:t>
      </w:r>
      <w:r w:rsidRPr="00D66C9C">
        <w:rPr>
          <w:rFonts w:ascii="Arial" w:hAnsi="Arial" w:cs="Arial"/>
          <w:i/>
          <w:iCs/>
          <w:sz w:val="20"/>
          <w:szCs w:val="20"/>
        </w:rPr>
        <w:t>Postnatal depression</w:t>
      </w:r>
      <w:r w:rsidRPr="00D66C9C">
        <w:rPr>
          <w:rFonts w:ascii="Arial" w:hAnsi="Arial" w:cs="Arial"/>
          <w:sz w:val="20"/>
          <w:szCs w:val="20"/>
        </w:rPr>
        <w:t xml:space="preserve">. Available at: </w:t>
      </w:r>
      <w:hyperlink r:id="rId26" w:history="1">
        <w:r w:rsidRPr="00D66C9C">
          <w:rPr>
            <w:rStyle w:val="Hyperlink"/>
            <w:rFonts w:ascii="Arial" w:hAnsi="Arial" w:cs="Arial"/>
            <w:sz w:val="20"/>
            <w:szCs w:val="20"/>
          </w:rPr>
          <w:t>https://www.nhs.uk/mental-health/conditions/post-natal-depression/overview/</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43348743"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 xml:space="preserve">NHS. (2022) </w:t>
      </w:r>
      <w:r w:rsidRPr="00D66C9C">
        <w:rPr>
          <w:rFonts w:ascii="Arial" w:hAnsi="Arial" w:cs="Arial"/>
          <w:i/>
          <w:iCs/>
          <w:sz w:val="20"/>
          <w:szCs w:val="20"/>
        </w:rPr>
        <w:t>The Eatwell Guide</w:t>
      </w:r>
      <w:r w:rsidRPr="00D66C9C">
        <w:rPr>
          <w:rFonts w:ascii="Arial" w:hAnsi="Arial" w:cs="Arial"/>
          <w:sz w:val="20"/>
          <w:szCs w:val="20"/>
        </w:rPr>
        <w:t xml:space="preserve">. Available at: </w:t>
      </w:r>
      <w:hyperlink r:id="rId27" w:history="1">
        <w:r w:rsidRPr="00D66C9C">
          <w:rPr>
            <w:rStyle w:val="Hyperlink"/>
            <w:rFonts w:ascii="Arial" w:hAnsi="Arial" w:cs="Arial"/>
            <w:sz w:val="20"/>
            <w:szCs w:val="20"/>
          </w:rPr>
          <w:t>https://www.nhs.uk/live-well/eat-well/food-guidelines-and-food-labels/the-eatwell-guide/</w:t>
        </w:r>
      </w:hyperlink>
      <w:r w:rsidRPr="00D66C9C">
        <w:rPr>
          <w:rFonts w:ascii="Arial" w:hAnsi="Arial" w:cs="Arial"/>
          <w:sz w:val="20"/>
          <w:szCs w:val="20"/>
        </w:rPr>
        <w:t xml:space="preserve"> (Accessed 2</w:t>
      </w:r>
      <w:r w:rsidRPr="00D66C9C">
        <w:rPr>
          <w:rFonts w:ascii="Arial" w:hAnsi="Arial" w:cs="Arial"/>
          <w:sz w:val="20"/>
          <w:szCs w:val="20"/>
          <w:vertAlign w:val="superscript"/>
        </w:rPr>
        <w:t>nd</w:t>
      </w:r>
      <w:r w:rsidRPr="00D66C9C">
        <w:rPr>
          <w:rFonts w:ascii="Arial" w:hAnsi="Arial" w:cs="Arial"/>
          <w:sz w:val="20"/>
          <w:szCs w:val="20"/>
        </w:rPr>
        <w:t xml:space="preserve"> July 2025)</w:t>
      </w:r>
    </w:p>
    <w:p w14:paraId="5135E4D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Learning from Case Reviews: Neglect. [Online] Available at: </w:t>
      </w:r>
      <w:hyperlink r:id="rId28" w:tooltip="Protected by Outlook: https://learning.nspcc.org.uk/. Click or tap to follow the link." w:history="1">
        <w:r w:rsidRPr="00D66C9C">
          <w:rPr>
            <w:rStyle w:val="Hyperlink"/>
            <w:rFonts w:ascii="Arial" w:hAnsi="Arial" w:cs="Arial"/>
            <w:sz w:val="20"/>
            <w:szCs w:val="20"/>
          </w:rPr>
          <w:t>https://learning.nspcc.org.uk</w:t>
        </w:r>
      </w:hyperlink>
    </w:p>
    <w:p w14:paraId="1B98DB3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NSPCC (2023) Understanding neglect. [Online] Available at: https://learning.nspcc.org.uk (Accessed: [Date 30</w:t>
      </w:r>
      <w:r w:rsidRPr="00D66C9C">
        <w:rPr>
          <w:rFonts w:ascii="Arial" w:hAnsi="Arial" w:cs="Arial"/>
          <w:sz w:val="20"/>
          <w:szCs w:val="20"/>
          <w:vertAlign w:val="superscript"/>
        </w:rPr>
        <w:t>th</w:t>
      </w:r>
      <w:r w:rsidRPr="00D66C9C">
        <w:rPr>
          <w:rFonts w:ascii="Arial" w:hAnsi="Arial" w:cs="Arial"/>
          <w:sz w:val="20"/>
          <w:szCs w:val="20"/>
        </w:rPr>
        <w:t xml:space="preserve"> June 2025]).</w:t>
      </w:r>
    </w:p>
    <w:p w14:paraId="521F3914" w14:textId="77777777" w:rsidR="00D66C9C" w:rsidRPr="00D66C9C" w:rsidRDefault="00D66C9C" w:rsidP="00D66C9C">
      <w:pPr>
        <w:shd w:val="clear" w:color="auto" w:fill="FFFFFF"/>
        <w:spacing w:line="276" w:lineRule="auto"/>
        <w:rPr>
          <w:rFonts w:ascii="Arial" w:hAnsi="Arial" w:cs="Arial"/>
          <w:color w:val="000000"/>
          <w:sz w:val="20"/>
          <w:szCs w:val="20"/>
        </w:rPr>
      </w:pPr>
      <w:r w:rsidRPr="00D66C9C">
        <w:rPr>
          <w:rFonts w:ascii="Arial" w:hAnsi="Arial" w:cs="Arial"/>
          <w:color w:val="000000"/>
          <w:sz w:val="20"/>
          <w:szCs w:val="20"/>
        </w:rPr>
        <w:t>NSPCC (2024) </w:t>
      </w:r>
      <w:r w:rsidRPr="00D66C9C">
        <w:rPr>
          <w:rFonts w:ascii="Arial" w:hAnsi="Arial" w:cs="Arial"/>
          <w:i/>
          <w:iCs/>
          <w:color w:val="000000"/>
          <w:sz w:val="20"/>
          <w:szCs w:val="20"/>
        </w:rPr>
        <w:t>Who is responsible for safeguarding and child protection</w:t>
      </w:r>
      <w:r w:rsidRPr="00D66C9C">
        <w:rPr>
          <w:rFonts w:ascii="Arial" w:hAnsi="Arial" w:cs="Arial"/>
          <w:color w:val="000000"/>
          <w:sz w:val="20"/>
          <w:szCs w:val="20"/>
        </w:rPr>
        <w:t>. Available at: </w:t>
      </w:r>
      <w:hyperlink r:id="rId29" w:tgtFrame="_blank" w:history="1">
        <w:r w:rsidRPr="00D66C9C">
          <w:rPr>
            <w:rStyle w:val="Hyperlink"/>
            <w:rFonts w:ascii="Arial" w:hAnsi="Arial" w:cs="Arial"/>
            <w:color w:val="1155CC"/>
            <w:sz w:val="20"/>
            <w:szCs w:val="20"/>
          </w:rPr>
          <w:t>https://learning.nspcc.org.uk/child-protection-system/england</w:t>
        </w:r>
      </w:hyperlink>
      <w:r w:rsidRPr="00D66C9C">
        <w:rPr>
          <w:rFonts w:ascii="Arial" w:hAnsi="Arial" w:cs="Arial"/>
          <w:color w:val="000000"/>
          <w:sz w:val="20"/>
          <w:szCs w:val="20"/>
        </w:rPr>
        <w:t> (Accessed 1st July 2025)</w:t>
      </w:r>
    </w:p>
    <w:p w14:paraId="12DD9B85"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Ofsted (2021) Inspecting safeguarding in early years, education, and skills settings. Manchester: Ofsted.</w:t>
      </w:r>
    </w:p>
    <w:p w14:paraId="5AA3FC54"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Parton, N. (2014) ‘The politics of child protection: Contemporary developments and future directions’, Palgrave Macmillan.</w:t>
      </w:r>
    </w:p>
    <w:p w14:paraId="60141980"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Reder, P. and Duncan, S. (1999) Lost Innocents: A Follow-up Study of Fatal Child Abuse. London: Routledge.</w:t>
      </w:r>
    </w:p>
    <w:p w14:paraId="7E232E6B"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UNCRC (1989) United Nations Convention on the Rights of the Child. Geneva: United Nations.</w:t>
      </w:r>
    </w:p>
    <w:p w14:paraId="26B8C6CB"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(2014). </w:t>
      </w:r>
      <w:r w:rsidRPr="00D66C9C">
        <w:rPr>
          <w:rFonts w:ascii="Arial" w:hAnsi="Arial" w:cs="Arial"/>
          <w:i/>
          <w:iCs/>
          <w:color w:val="000000"/>
          <w:sz w:val="20"/>
          <w:szCs w:val="20"/>
        </w:rPr>
        <w:t>Social Services and Well-being (Wales) Act 2014</w:t>
      </w:r>
      <w:r w:rsidRPr="00D66C9C">
        <w:rPr>
          <w:rFonts w:ascii="Arial" w:hAnsi="Arial" w:cs="Arial"/>
          <w:color w:val="000000"/>
          <w:sz w:val="20"/>
          <w:szCs w:val="20"/>
        </w:rPr>
        <w:t xml:space="preserve">. [online] Legislation.gov.uk. Available at: </w:t>
      </w:r>
      <w:hyperlink r:id="rId30" w:history="1">
        <w:r w:rsidRPr="00D66C9C">
          <w:rPr>
            <w:rStyle w:val="Hyperlink"/>
            <w:rFonts w:ascii="Arial" w:hAnsi="Arial" w:cs="Arial"/>
            <w:sz w:val="20"/>
            <w:szCs w:val="20"/>
          </w:rPr>
          <w:t>https://www.legislation.gov.uk/anaw/2014/4/contents</w:t>
        </w:r>
      </w:hyperlink>
      <w:r w:rsidRPr="00D66C9C">
        <w:rPr>
          <w:rFonts w:ascii="Arial" w:hAnsi="Arial" w:cs="Arial"/>
          <w:color w:val="000000"/>
          <w:sz w:val="20"/>
          <w:szCs w:val="20"/>
        </w:rPr>
        <w:t xml:space="preserve">. </w:t>
      </w:r>
    </w:p>
    <w:p w14:paraId="19AF2042"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Welsh Government (2015). </w:t>
      </w:r>
      <w:r w:rsidRPr="00D66C9C">
        <w:rPr>
          <w:rFonts w:ascii="Arial" w:hAnsi="Arial" w:cs="Arial"/>
          <w:i/>
          <w:iCs/>
          <w:color w:val="000000"/>
          <w:sz w:val="20"/>
          <w:szCs w:val="20"/>
        </w:rPr>
        <w:t>Well-being of Future Generations (Wales) Act 2015</w:t>
      </w:r>
      <w:r w:rsidRPr="00D66C9C">
        <w:rPr>
          <w:rFonts w:ascii="Arial" w:hAnsi="Arial" w:cs="Arial"/>
          <w:color w:val="000000"/>
          <w:sz w:val="20"/>
          <w:szCs w:val="20"/>
        </w:rPr>
        <w:t xml:space="preserve">. [online] Legislation.gov.uk. Available at: </w:t>
      </w:r>
      <w:hyperlink r:id="rId31" w:history="1">
        <w:r w:rsidRPr="00D66C9C">
          <w:rPr>
            <w:rStyle w:val="Hyperlink"/>
            <w:rFonts w:ascii="Arial" w:hAnsi="Arial" w:cs="Arial"/>
            <w:sz w:val="20"/>
            <w:szCs w:val="20"/>
          </w:rPr>
          <w:t>https://www.legislation.gov.uk/anaw/2015/2/contents</w:t>
        </w:r>
      </w:hyperlink>
      <w:r w:rsidRPr="00D66C9C">
        <w:rPr>
          <w:rFonts w:ascii="Arial" w:hAnsi="Arial" w:cs="Arial"/>
          <w:color w:val="000000"/>
          <w:sz w:val="20"/>
          <w:szCs w:val="20"/>
        </w:rPr>
        <w:t xml:space="preserve">. </w:t>
      </w:r>
    </w:p>
    <w:p w14:paraId="6E753487" w14:textId="77777777" w:rsidR="00D66C9C" w:rsidRPr="00D66C9C" w:rsidRDefault="00D66C9C" w:rsidP="00D66C9C">
      <w:pPr>
        <w:spacing w:line="276" w:lineRule="auto"/>
        <w:rPr>
          <w:rFonts w:ascii="Arial" w:hAnsi="Arial" w:cs="Arial"/>
          <w:sz w:val="20"/>
          <w:szCs w:val="20"/>
        </w:rPr>
      </w:pPr>
      <w:r w:rsidRPr="00D66C9C">
        <w:rPr>
          <w:rFonts w:ascii="Arial" w:hAnsi="Arial" w:cs="Arial"/>
          <w:sz w:val="20"/>
          <w:szCs w:val="20"/>
        </w:rPr>
        <w:t>Winter, K. (2011) Understanding and Supporting Young Children’s Transitions into State Care: Children’s Perspectives. London: Routledge.</w:t>
      </w:r>
    </w:p>
    <w:p w14:paraId="216D13DC" w14:textId="77777777" w:rsidR="00D66C9C" w:rsidRPr="00D66C9C" w:rsidRDefault="00D66C9C" w:rsidP="00D66C9C">
      <w:pPr>
        <w:pStyle w:val="NormalWeb"/>
        <w:spacing w:before="0" w:beforeAutospacing="0" w:after="0" w:afterAutospacing="0" w:line="276" w:lineRule="auto"/>
        <w:rPr>
          <w:rFonts w:ascii="Arial" w:hAnsi="Arial" w:cs="Arial"/>
          <w:color w:val="000000"/>
          <w:sz w:val="20"/>
          <w:szCs w:val="20"/>
        </w:rPr>
      </w:pPr>
      <w:r w:rsidRPr="00D66C9C">
        <w:rPr>
          <w:rFonts w:ascii="Arial" w:hAnsi="Arial" w:cs="Arial"/>
          <w:color w:val="000000"/>
          <w:sz w:val="20"/>
          <w:szCs w:val="20"/>
        </w:rPr>
        <w:t>Women's Aid (2025). </w:t>
      </w:r>
      <w:proofErr w:type="spellStart"/>
      <w:r w:rsidRPr="00D66C9C">
        <w:rPr>
          <w:rFonts w:ascii="Arial" w:hAnsi="Arial" w:cs="Arial"/>
          <w:i/>
          <w:iCs/>
          <w:color w:val="000000"/>
          <w:sz w:val="20"/>
          <w:szCs w:val="20"/>
        </w:rPr>
        <w:t>Womens</w:t>
      </w:r>
      <w:proofErr w:type="spellEnd"/>
      <w:r w:rsidRPr="00D66C9C">
        <w:rPr>
          <w:rFonts w:ascii="Arial" w:hAnsi="Arial" w:cs="Arial"/>
          <w:i/>
          <w:iCs/>
          <w:color w:val="000000"/>
          <w:sz w:val="20"/>
          <w:szCs w:val="20"/>
        </w:rPr>
        <w:t xml:space="preserve"> Aid</w:t>
      </w:r>
      <w:r w:rsidRPr="00D66C9C">
        <w:rPr>
          <w:rFonts w:ascii="Arial" w:hAnsi="Arial" w:cs="Arial"/>
          <w:color w:val="000000"/>
          <w:sz w:val="20"/>
          <w:szCs w:val="20"/>
        </w:rPr>
        <w:t xml:space="preserve">. [online] </w:t>
      </w:r>
      <w:proofErr w:type="spellStart"/>
      <w:r w:rsidRPr="00D66C9C">
        <w:rPr>
          <w:rFonts w:ascii="Arial" w:hAnsi="Arial" w:cs="Arial"/>
          <w:color w:val="000000"/>
          <w:sz w:val="20"/>
          <w:szCs w:val="20"/>
        </w:rPr>
        <w:t>Womens</w:t>
      </w:r>
      <w:proofErr w:type="spellEnd"/>
      <w:r w:rsidRPr="00D66C9C">
        <w:rPr>
          <w:rFonts w:ascii="Arial" w:hAnsi="Arial" w:cs="Arial"/>
          <w:color w:val="000000"/>
          <w:sz w:val="20"/>
          <w:szCs w:val="20"/>
        </w:rPr>
        <w:t xml:space="preserve"> Aid. Available at: </w:t>
      </w:r>
      <w:hyperlink r:id="rId32" w:history="1">
        <w:r w:rsidRPr="00D66C9C">
          <w:rPr>
            <w:rStyle w:val="Hyperlink"/>
            <w:rFonts w:ascii="Arial" w:hAnsi="Arial" w:cs="Arial"/>
            <w:sz w:val="20"/>
            <w:szCs w:val="20"/>
          </w:rPr>
          <w:t>https://www.womensaid.org.uk/</w:t>
        </w:r>
      </w:hyperlink>
      <w:r w:rsidRPr="00D66C9C">
        <w:rPr>
          <w:rFonts w:ascii="Arial" w:hAnsi="Arial" w:cs="Arial"/>
          <w:color w:val="000000"/>
          <w:sz w:val="20"/>
          <w:szCs w:val="20"/>
        </w:rPr>
        <w:t>.</w:t>
      </w:r>
    </w:p>
    <w:p w14:paraId="76C61F54" w14:textId="77777777" w:rsidR="00D66C9C" w:rsidRPr="00D66C9C" w:rsidRDefault="00D66C9C" w:rsidP="00D66C9C">
      <w:pPr>
        <w:spacing w:line="276" w:lineRule="auto"/>
        <w:rPr>
          <w:rFonts w:ascii="Arial" w:hAnsi="Arial" w:cs="Arial"/>
          <w:sz w:val="20"/>
          <w:szCs w:val="20"/>
        </w:rPr>
      </w:pPr>
    </w:p>
    <w:p w14:paraId="46ADA289" w14:textId="77777777" w:rsidR="00AC55D8" w:rsidRPr="00D66C9C" w:rsidRDefault="00AC55D8" w:rsidP="00D66C9C">
      <w:pPr>
        <w:spacing w:line="276" w:lineRule="auto"/>
        <w:rPr>
          <w:rFonts w:ascii="Arial" w:hAnsi="Arial" w:cs="Arial"/>
          <w:sz w:val="20"/>
          <w:szCs w:val="20"/>
        </w:rPr>
      </w:pPr>
    </w:p>
    <w:p w14:paraId="7626AB27" w14:textId="77777777" w:rsidR="00AC55D8" w:rsidRPr="00D66C9C" w:rsidRDefault="00AC55D8" w:rsidP="00D66C9C">
      <w:pPr>
        <w:spacing w:line="276" w:lineRule="auto"/>
        <w:rPr>
          <w:rFonts w:ascii="Arial" w:hAnsi="Arial" w:cs="Arial"/>
          <w:sz w:val="20"/>
          <w:szCs w:val="20"/>
        </w:rPr>
      </w:pPr>
    </w:p>
    <w:sectPr w:rsidR="00AC55D8" w:rsidRPr="00D66C9C">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70587" w14:textId="77777777" w:rsidR="00F531F3" w:rsidRDefault="00F531F3" w:rsidP="00D66C9C">
      <w:r>
        <w:separator/>
      </w:r>
    </w:p>
  </w:endnote>
  <w:endnote w:type="continuationSeparator" w:id="0">
    <w:p w14:paraId="31FFC4BA" w14:textId="77777777" w:rsidR="00F531F3" w:rsidRDefault="00F531F3" w:rsidP="00D6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A76AB" w14:textId="77777777" w:rsidR="00F531F3" w:rsidRDefault="00F531F3" w:rsidP="00D66C9C">
      <w:r>
        <w:separator/>
      </w:r>
    </w:p>
  </w:footnote>
  <w:footnote w:type="continuationSeparator" w:id="0">
    <w:p w14:paraId="259275AA" w14:textId="77777777" w:rsidR="00F531F3" w:rsidRDefault="00F531F3" w:rsidP="00D6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BCA43" w14:textId="32643B10" w:rsidR="00D66C9C" w:rsidRPr="00D66C9C" w:rsidRDefault="00D66C9C" w:rsidP="00D66C9C">
    <w:pPr>
      <w:jc w:val="right"/>
      <w:rPr>
        <w:color w:val="00B0F0"/>
        <w:sz w:val="18"/>
        <w:szCs w:val="18"/>
      </w:rPr>
    </w:pPr>
    <w:r w:rsidRPr="00D66C9C">
      <w:rPr>
        <w:noProof/>
        <w:color w:val="00B0F0"/>
        <w:sz w:val="18"/>
        <w:szCs w:val="18"/>
      </w:rPr>
      <mc:AlternateContent>
        <mc:Choice Requires="wps">
          <w:drawing>
            <wp:anchor distT="0" distB="0" distL="114300" distR="114300" simplePos="0" relativeHeight="251659264" behindDoc="0" locked="0" layoutInCell="1" allowOverlap="1" wp14:anchorId="4A3A97CC" wp14:editId="5E222D0B">
              <wp:simplePos x="0" y="0"/>
              <wp:positionH relativeFrom="column">
                <wp:posOffset>-353085</wp:posOffset>
              </wp:positionH>
              <wp:positionV relativeFrom="paragraph">
                <wp:posOffset>-141762</wp:posOffset>
              </wp:positionV>
              <wp:extent cx="2806574" cy="1213164"/>
              <wp:effectExtent l="0" t="0" r="0" b="0"/>
              <wp:wrapNone/>
              <wp:docPr id="934611588" name="Text Box 1"/>
              <wp:cNvGraphicFramePr/>
              <a:graphic xmlns:a="http://schemas.openxmlformats.org/drawingml/2006/main">
                <a:graphicData uri="http://schemas.microsoft.com/office/word/2010/wordprocessingShape">
                  <wps:wsp>
                    <wps:cNvSpPr txBox="1"/>
                    <wps:spPr>
                      <a:xfrm>
                        <a:off x="0" y="0"/>
                        <a:ext cx="2806574" cy="1213164"/>
                      </a:xfrm>
                      <a:prstGeom prst="rect">
                        <a:avLst/>
                      </a:prstGeom>
                      <a:noFill/>
                      <a:ln w="6350">
                        <a:noFill/>
                      </a:ln>
                    </wps:spPr>
                    <wps:txbx>
                      <w:txbxContent>
                        <w:p w14:paraId="41417E7F" w14:textId="5FD5D6AB" w:rsidR="00D66C9C" w:rsidRDefault="00D66C9C">
                          <w:r>
                            <w:t>ECEY5011</w:t>
                          </w:r>
                        </w:p>
                        <w:p w14:paraId="6FB63E0C" w14:textId="5E96CD77" w:rsidR="00B466BA" w:rsidRDefault="00B466BA">
                          <w:r>
                            <w:t xml:space="preserve">2413474 – Evey Joelle Evans. </w:t>
                          </w:r>
                        </w:p>
                        <w:p w14:paraId="765DC607" w14:textId="15A37383" w:rsidR="00D66C9C" w:rsidRDefault="00D66C9C">
                          <w:r>
                            <w:t xml:space="preserve">I have not used AI for this assignment.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3A97CC" id="_x0000_t202" coordsize="21600,21600" o:spt="202" path="m,l,21600r21600,l21600,xe">
              <v:stroke joinstyle="miter"/>
              <v:path gradientshapeok="t" o:connecttype="rect"/>
            </v:shapetype>
            <v:shape id="Text Box 1" o:spid="_x0000_s1026" type="#_x0000_t202" style="position:absolute;left:0;text-align:left;margin-left:-27.8pt;margin-top:-11.15pt;width:221pt;height:9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" filled="f" stroked="f" strokeweight=".5pt">
              <v:textbox>
                <w:txbxContent>
                  <w:p w14:paraId="41417E7F" w14:textId="5FD5D6AB" w:rsidR="00D66C9C" w:rsidRDefault="00D66C9C">
                    <w:r>
                      <w:t>ECEY5011</w:t>
                    </w:r>
                  </w:p>
                  <w:p w14:paraId="6FB63E0C" w14:textId="5E96CD77" w:rsidR="00B466BA" w:rsidRDefault="00B466BA">
                    <w:r>
                      <w:t xml:space="preserve">2413474 – Evey Joelle Evans. </w:t>
                    </w:r>
                  </w:p>
                  <w:p w14:paraId="765DC607" w14:textId="15A37383" w:rsidR="00D66C9C" w:rsidRDefault="00D66C9C">
                    <w:r>
                      <w:t xml:space="preserve">I have not used AI for this assignment. </w:t>
                    </w:r>
                  </w:p>
                </w:txbxContent>
              </v:textbox>
            </v:shape>
          </w:pict>
        </mc:Fallback>
      </mc:AlternateContent>
    </w:r>
    <w:r w:rsidRPr="00D66C9C">
      <w:rPr>
        <w:color w:val="00B0F0"/>
        <w:sz w:val="18"/>
        <w:szCs w:val="18"/>
      </w:rPr>
      <w:t xml:space="preserve">Gwawr </w:t>
    </w:r>
  </w:p>
  <w:p w14:paraId="3FDB4D99" w14:textId="77777777" w:rsidR="00D66C9C" w:rsidRPr="00D66C9C" w:rsidRDefault="00D66C9C" w:rsidP="00D66C9C">
    <w:pPr>
      <w:jc w:val="right"/>
      <w:rPr>
        <w:color w:val="70AD47" w:themeColor="accent6"/>
        <w:sz w:val="18"/>
        <w:szCs w:val="18"/>
      </w:rPr>
    </w:pPr>
    <w:r w:rsidRPr="00D66C9C">
      <w:rPr>
        <w:color w:val="70AD47" w:themeColor="accent6"/>
        <w:sz w:val="18"/>
        <w:szCs w:val="18"/>
      </w:rPr>
      <w:t xml:space="preserve">Cody </w:t>
    </w:r>
  </w:p>
  <w:p w14:paraId="5B3CB794" w14:textId="77777777" w:rsidR="00D66C9C" w:rsidRPr="00D66C9C" w:rsidRDefault="00D66C9C" w:rsidP="00D66C9C">
    <w:pPr>
      <w:jc w:val="right"/>
      <w:rPr>
        <w:color w:val="FFC000" w:themeColor="accent4"/>
        <w:sz w:val="18"/>
        <w:szCs w:val="18"/>
      </w:rPr>
    </w:pPr>
    <w:r w:rsidRPr="00D66C9C">
      <w:rPr>
        <w:color w:val="FFC000" w:themeColor="accent4"/>
        <w:sz w:val="18"/>
        <w:szCs w:val="18"/>
      </w:rPr>
      <w:t>Bobby</w:t>
    </w:r>
  </w:p>
  <w:p w14:paraId="435B902B" w14:textId="77777777" w:rsidR="00D66C9C" w:rsidRPr="00D66C9C" w:rsidRDefault="00D66C9C" w:rsidP="00D66C9C">
    <w:pPr>
      <w:jc w:val="right"/>
      <w:rPr>
        <w:color w:val="D883FF"/>
        <w:sz w:val="18"/>
        <w:szCs w:val="18"/>
      </w:rPr>
    </w:pPr>
    <w:r w:rsidRPr="00D66C9C">
      <w:rPr>
        <w:color w:val="D883FF"/>
        <w:sz w:val="18"/>
        <w:szCs w:val="18"/>
      </w:rPr>
      <w:t xml:space="preserve">Joelle </w:t>
    </w:r>
  </w:p>
  <w:p w14:paraId="2D5CE000" w14:textId="041040EE" w:rsidR="00D66C9C" w:rsidRPr="00D66C9C" w:rsidRDefault="00D66C9C" w:rsidP="00D66C9C">
    <w:pPr>
      <w:jc w:val="right"/>
      <w:rPr>
        <w:color w:val="ED7D31" w:themeColor="accent2"/>
        <w:sz w:val="18"/>
        <w:szCs w:val="18"/>
      </w:rPr>
    </w:pPr>
    <w:r w:rsidRPr="00D66C9C">
      <w:rPr>
        <w:color w:val="ED7D31" w:themeColor="accent2"/>
        <w:sz w:val="18"/>
        <w:szCs w:val="18"/>
      </w:rPr>
      <w:t xml:space="preserve">Gemma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B81A8E"/>
    <w:multiLevelType w:val="multilevel"/>
    <w:tmpl w:val="D8E2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4825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7E3"/>
    <w:rsid w:val="00164AFC"/>
    <w:rsid w:val="001B3AA2"/>
    <w:rsid w:val="00242902"/>
    <w:rsid w:val="00302192"/>
    <w:rsid w:val="005447E3"/>
    <w:rsid w:val="00A71678"/>
    <w:rsid w:val="00AC55D8"/>
    <w:rsid w:val="00B466BA"/>
    <w:rsid w:val="00D66C9C"/>
    <w:rsid w:val="00F5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DF17F"/>
  <w15:chartTrackingRefBased/>
  <w15:docId w15:val="{DCF22C51-54E9-9341-98C1-820C789B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C55D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C55D8"/>
    <w:rPr>
      <w:color w:val="0563C1" w:themeColor="hyperlink"/>
      <w:u w:val="single"/>
    </w:rPr>
  </w:style>
  <w:style w:type="character" w:styleId="UnresolvedMention">
    <w:name w:val="Unresolved Mention"/>
    <w:basedOn w:val="DefaultParagraphFont"/>
    <w:uiPriority w:val="99"/>
    <w:semiHidden/>
    <w:unhideWhenUsed/>
    <w:rsid w:val="00AC55D8"/>
    <w:rPr>
      <w:color w:val="605E5C"/>
      <w:shd w:val="clear" w:color="auto" w:fill="E1DFDD"/>
    </w:rPr>
  </w:style>
  <w:style w:type="paragraph" w:styleId="Header">
    <w:name w:val="header"/>
    <w:basedOn w:val="Normal"/>
    <w:link w:val="HeaderChar"/>
    <w:uiPriority w:val="99"/>
    <w:unhideWhenUsed/>
    <w:rsid w:val="00D66C9C"/>
    <w:pPr>
      <w:tabs>
        <w:tab w:val="center" w:pos="4513"/>
        <w:tab w:val="right" w:pos="9026"/>
      </w:tabs>
    </w:pPr>
  </w:style>
  <w:style w:type="character" w:customStyle="1" w:styleId="HeaderChar">
    <w:name w:val="Header Char"/>
    <w:basedOn w:val="DefaultParagraphFont"/>
    <w:link w:val="Header"/>
    <w:uiPriority w:val="99"/>
    <w:rsid w:val="00D66C9C"/>
  </w:style>
  <w:style w:type="paragraph" w:styleId="Footer">
    <w:name w:val="footer"/>
    <w:basedOn w:val="Normal"/>
    <w:link w:val="FooterChar"/>
    <w:uiPriority w:val="99"/>
    <w:unhideWhenUsed/>
    <w:rsid w:val="00D66C9C"/>
    <w:pPr>
      <w:tabs>
        <w:tab w:val="center" w:pos="4513"/>
        <w:tab w:val="right" w:pos="9026"/>
      </w:tabs>
    </w:pPr>
  </w:style>
  <w:style w:type="character" w:customStyle="1" w:styleId="FooterChar">
    <w:name w:val="Footer Char"/>
    <w:basedOn w:val="DefaultParagraphFont"/>
    <w:link w:val="Footer"/>
    <w:uiPriority w:val="99"/>
    <w:rsid w:val="00D6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627752">
      <w:bodyDiv w:val="1"/>
      <w:marLeft w:val="0"/>
      <w:marRight w:val="0"/>
      <w:marTop w:val="0"/>
      <w:marBottom w:val="0"/>
      <w:divBdr>
        <w:top w:val="none" w:sz="0" w:space="0" w:color="auto"/>
        <w:left w:val="none" w:sz="0" w:space="0" w:color="auto"/>
        <w:bottom w:val="none" w:sz="0" w:space="0" w:color="auto"/>
        <w:right w:val="none" w:sz="0" w:space="0" w:color="auto"/>
      </w:divBdr>
    </w:div>
    <w:div w:id="688793859">
      <w:bodyDiv w:val="1"/>
      <w:marLeft w:val="0"/>
      <w:marRight w:val="0"/>
      <w:marTop w:val="0"/>
      <w:marBottom w:val="0"/>
      <w:divBdr>
        <w:top w:val="none" w:sz="0" w:space="0" w:color="auto"/>
        <w:left w:val="none" w:sz="0" w:space="0" w:color="auto"/>
        <w:bottom w:val="none" w:sz="0" w:space="0" w:color="auto"/>
        <w:right w:val="none" w:sz="0" w:space="0" w:color="auto"/>
      </w:divBdr>
    </w:div>
    <w:div w:id="717901374">
      <w:bodyDiv w:val="1"/>
      <w:marLeft w:val="0"/>
      <w:marRight w:val="0"/>
      <w:marTop w:val="0"/>
      <w:marBottom w:val="0"/>
      <w:divBdr>
        <w:top w:val="none" w:sz="0" w:space="0" w:color="auto"/>
        <w:left w:val="none" w:sz="0" w:space="0" w:color="auto"/>
        <w:bottom w:val="none" w:sz="0" w:space="0" w:color="auto"/>
        <w:right w:val="none" w:sz="0" w:space="0" w:color="auto"/>
      </w:divBdr>
    </w:div>
    <w:div w:id="782304104">
      <w:bodyDiv w:val="1"/>
      <w:marLeft w:val="0"/>
      <w:marRight w:val="0"/>
      <w:marTop w:val="0"/>
      <w:marBottom w:val="0"/>
      <w:divBdr>
        <w:top w:val="none" w:sz="0" w:space="0" w:color="auto"/>
        <w:left w:val="none" w:sz="0" w:space="0" w:color="auto"/>
        <w:bottom w:val="none" w:sz="0" w:space="0" w:color="auto"/>
        <w:right w:val="none" w:sz="0" w:space="0" w:color="auto"/>
      </w:divBdr>
      <w:divsChild>
        <w:div w:id="108473077">
          <w:marLeft w:val="0"/>
          <w:marRight w:val="0"/>
          <w:marTop w:val="240"/>
          <w:marBottom w:val="240"/>
          <w:divBdr>
            <w:top w:val="none" w:sz="0" w:space="0" w:color="auto"/>
            <w:left w:val="none" w:sz="0" w:space="0" w:color="auto"/>
            <w:bottom w:val="none" w:sz="0" w:space="0" w:color="auto"/>
            <w:right w:val="none" w:sz="0" w:space="0" w:color="auto"/>
          </w:divBdr>
        </w:div>
        <w:div w:id="513420866">
          <w:marLeft w:val="0"/>
          <w:marRight w:val="0"/>
          <w:marTop w:val="240"/>
          <w:marBottom w:val="240"/>
          <w:divBdr>
            <w:top w:val="none" w:sz="0" w:space="0" w:color="auto"/>
            <w:left w:val="none" w:sz="0" w:space="0" w:color="auto"/>
            <w:bottom w:val="none" w:sz="0" w:space="0" w:color="auto"/>
            <w:right w:val="none" w:sz="0" w:space="0" w:color="auto"/>
          </w:divBdr>
        </w:div>
        <w:div w:id="753822551">
          <w:marLeft w:val="0"/>
          <w:marRight w:val="0"/>
          <w:marTop w:val="240"/>
          <w:marBottom w:val="240"/>
          <w:divBdr>
            <w:top w:val="none" w:sz="0" w:space="0" w:color="auto"/>
            <w:left w:val="none" w:sz="0" w:space="0" w:color="auto"/>
            <w:bottom w:val="none" w:sz="0" w:space="0" w:color="auto"/>
            <w:right w:val="none" w:sz="0" w:space="0" w:color="auto"/>
          </w:divBdr>
        </w:div>
        <w:div w:id="41563069">
          <w:marLeft w:val="0"/>
          <w:marRight w:val="0"/>
          <w:marTop w:val="240"/>
          <w:marBottom w:val="240"/>
          <w:divBdr>
            <w:top w:val="none" w:sz="0" w:space="0" w:color="auto"/>
            <w:left w:val="none" w:sz="0" w:space="0" w:color="auto"/>
            <w:bottom w:val="none" w:sz="0" w:space="0" w:color="auto"/>
            <w:right w:val="none" w:sz="0" w:space="0" w:color="auto"/>
          </w:divBdr>
        </w:div>
        <w:div w:id="1866286197">
          <w:marLeft w:val="0"/>
          <w:marRight w:val="0"/>
          <w:marTop w:val="240"/>
          <w:marBottom w:val="240"/>
          <w:divBdr>
            <w:top w:val="none" w:sz="0" w:space="0" w:color="auto"/>
            <w:left w:val="none" w:sz="0" w:space="0" w:color="auto"/>
            <w:bottom w:val="none" w:sz="0" w:space="0" w:color="auto"/>
            <w:right w:val="none" w:sz="0" w:space="0" w:color="auto"/>
          </w:divBdr>
        </w:div>
        <w:div w:id="1267159192">
          <w:marLeft w:val="0"/>
          <w:marRight w:val="0"/>
          <w:marTop w:val="240"/>
          <w:marBottom w:val="240"/>
          <w:divBdr>
            <w:top w:val="none" w:sz="0" w:space="0" w:color="auto"/>
            <w:left w:val="none" w:sz="0" w:space="0" w:color="auto"/>
            <w:bottom w:val="none" w:sz="0" w:space="0" w:color="auto"/>
            <w:right w:val="none" w:sz="0" w:space="0" w:color="auto"/>
          </w:divBdr>
        </w:div>
        <w:div w:id="2094352437">
          <w:marLeft w:val="0"/>
          <w:marRight w:val="0"/>
          <w:marTop w:val="240"/>
          <w:marBottom w:val="240"/>
          <w:divBdr>
            <w:top w:val="none" w:sz="0" w:space="0" w:color="auto"/>
            <w:left w:val="none" w:sz="0" w:space="0" w:color="auto"/>
            <w:bottom w:val="none" w:sz="0" w:space="0" w:color="auto"/>
            <w:right w:val="none" w:sz="0" w:space="0" w:color="auto"/>
          </w:divBdr>
        </w:div>
      </w:divsChild>
    </w:div>
    <w:div w:id="1600524465">
      <w:bodyDiv w:val="1"/>
      <w:marLeft w:val="0"/>
      <w:marRight w:val="0"/>
      <w:marTop w:val="0"/>
      <w:marBottom w:val="0"/>
      <w:divBdr>
        <w:top w:val="none" w:sz="0" w:space="0" w:color="auto"/>
        <w:left w:val="none" w:sz="0" w:space="0" w:color="auto"/>
        <w:bottom w:val="none" w:sz="0" w:space="0" w:color="auto"/>
        <w:right w:val="none" w:sz="0" w:space="0" w:color="auto"/>
      </w:divBdr>
      <w:divsChild>
        <w:div w:id="107088795">
          <w:marLeft w:val="0"/>
          <w:marRight w:val="0"/>
          <w:marTop w:val="240"/>
          <w:marBottom w:val="240"/>
          <w:divBdr>
            <w:top w:val="none" w:sz="0" w:space="0" w:color="auto"/>
            <w:left w:val="none" w:sz="0" w:space="0" w:color="auto"/>
            <w:bottom w:val="none" w:sz="0" w:space="0" w:color="auto"/>
            <w:right w:val="none" w:sz="0" w:space="0" w:color="auto"/>
          </w:divBdr>
        </w:div>
        <w:div w:id="1125661224">
          <w:marLeft w:val="0"/>
          <w:marRight w:val="0"/>
          <w:marTop w:val="240"/>
          <w:marBottom w:val="240"/>
          <w:divBdr>
            <w:top w:val="none" w:sz="0" w:space="0" w:color="auto"/>
            <w:left w:val="none" w:sz="0" w:space="0" w:color="auto"/>
            <w:bottom w:val="none" w:sz="0" w:space="0" w:color="auto"/>
            <w:right w:val="none" w:sz="0" w:space="0" w:color="auto"/>
          </w:divBdr>
        </w:div>
        <w:div w:id="654069491">
          <w:marLeft w:val="0"/>
          <w:marRight w:val="0"/>
          <w:marTop w:val="240"/>
          <w:marBottom w:val="240"/>
          <w:divBdr>
            <w:top w:val="none" w:sz="0" w:space="0" w:color="auto"/>
            <w:left w:val="none" w:sz="0" w:space="0" w:color="auto"/>
            <w:bottom w:val="none" w:sz="0" w:space="0" w:color="auto"/>
            <w:right w:val="none" w:sz="0" w:space="0" w:color="auto"/>
          </w:divBdr>
        </w:div>
        <w:div w:id="1412390931">
          <w:marLeft w:val="0"/>
          <w:marRight w:val="0"/>
          <w:marTop w:val="240"/>
          <w:marBottom w:val="240"/>
          <w:divBdr>
            <w:top w:val="none" w:sz="0" w:space="0" w:color="auto"/>
            <w:left w:val="none" w:sz="0" w:space="0" w:color="auto"/>
            <w:bottom w:val="none" w:sz="0" w:space="0" w:color="auto"/>
            <w:right w:val="none" w:sz="0" w:space="0" w:color="auto"/>
          </w:divBdr>
        </w:div>
        <w:div w:id="1428429120">
          <w:marLeft w:val="0"/>
          <w:marRight w:val="0"/>
          <w:marTop w:val="240"/>
          <w:marBottom w:val="240"/>
          <w:divBdr>
            <w:top w:val="none" w:sz="0" w:space="0" w:color="auto"/>
            <w:left w:val="none" w:sz="0" w:space="0" w:color="auto"/>
            <w:bottom w:val="none" w:sz="0" w:space="0" w:color="auto"/>
            <w:right w:val="none" w:sz="0" w:space="0" w:color="auto"/>
          </w:divBdr>
        </w:div>
        <w:div w:id="1283270499">
          <w:marLeft w:val="0"/>
          <w:marRight w:val="0"/>
          <w:marTop w:val="240"/>
          <w:marBottom w:val="240"/>
          <w:divBdr>
            <w:top w:val="none" w:sz="0" w:space="0" w:color="auto"/>
            <w:left w:val="none" w:sz="0" w:space="0" w:color="auto"/>
            <w:bottom w:val="none" w:sz="0" w:space="0" w:color="auto"/>
            <w:right w:val="none" w:sz="0" w:space="0" w:color="auto"/>
          </w:divBdr>
        </w:div>
        <w:div w:id="218982737">
          <w:marLeft w:val="0"/>
          <w:marRight w:val="0"/>
          <w:marTop w:val="240"/>
          <w:marBottom w:val="240"/>
          <w:divBdr>
            <w:top w:val="none" w:sz="0" w:space="0" w:color="auto"/>
            <w:left w:val="none" w:sz="0" w:space="0" w:color="auto"/>
            <w:bottom w:val="none" w:sz="0" w:space="0" w:color="auto"/>
            <w:right w:val="none" w:sz="0" w:space="0" w:color="auto"/>
          </w:divBdr>
        </w:div>
        <w:div w:id="2052920747">
          <w:marLeft w:val="0"/>
          <w:marRight w:val="0"/>
          <w:marTop w:val="240"/>
          <w:marBottom w:val="240"/>
          <w:divBdr>
            <w:top w:val="none" w:sz="0" w:space="0" w:color="auto"/>
            <w:left w:val="none" w:sz="0" w:space="0" w:color="auto"/>
            <w:bottom w:val="none" w:sz="0" w:space="0" w:color="auto"/>
            <w:right w:val="none" w:sz="0" w:space="0" w:color="auto"/>
          </w:divBdr>
        </w:div>
        <w:div w:id="1192063729">
          <w:marLeft w:val="0"/>
          <w:marRight w:val="0"/>
          <w:marTop w:val="240"/>
          <w:marBottom w:val="240"/>
          <w:divBdr>
            <w:top w:val="none" w:sz="0" w:space="0" w:color="auto"/>
            <w:left w:val="none" w:sz="0" w:space="0" w:color="auto"/>
            <w:bottom w:val="none" w:sz="0" w:space="0" w:color="auto"/>
            <w:right w:val="none" w:sz="0" w:space="0" w:color="auto"/>
          </w:divBdr>
        </w:div>
        <w:div w:id="993728669">
          <w:marLeft w:val="0"/>
          <w:marRight w:val="0"/>
          <w:marTop w:val="240"/>
          <w:marBottom w:val="240"/>
          <w:divBdr>
            <w:top w:val="none" w:sz="0" w:space="0" w:color="auto"/>
            <w:left w:val="none" w:sz="0" w:space="0" w:color="auto"/>
            <w:bottom w:val="none" w:sz="0" w:space="0" w:color="auto"/>
            <w:right w:val="none" w:sz="0" w:space="0" w:color="auto"/>
          </w:divBdr>
        </w:div>
        <w:div w:id="1017388972">
          <w:marLeft w:val="0"/>
          <w:marRight w:val="0"/>
          <w:marTop w:val="240"/>
          <w:marBottom w:val="0"/>
          <w:divBdr>
            <w:top w:val="none" w:sz="0" w:space="0" w:color="auto"/>
            <w:left w:val="none" w:sz="0" w:space="0" w:color="auto"/>
            <w:bottom w:val="none" w:sz="0" w:space="0" w:color="auto"/>
            <w:right w:val="none" w:sz="0" w:space="0" w:color="auto"/>
          </w:divBdr>
        </w:div>
        <w:div w:id="692726649">
          <w:marLeft w:val="0"/>
          <w:marRight w:val="0"/>
          <w:marTop w:val="240"/>
          <w:marBottom w:val="240"/>
          <w:divBdr>
            <w:top w:val="none" w:sz="0" w:space="0" w:color="auto"/>
            <w:left w:val="none" w:sz="0" w:space="0" w:color="auto"/>
            <w:bottom w:val="none" w:sz="0" w:space="0" w:color="auto"/>
            <w:right w:val="none" w:sz="0" w:space="0" w:color="auto"/>
          </w:divBdr>
        </w:div>
        <w:div w:id="1239553765">
          <w:marLeft w:val="0"/>
          <w:marRight w:val="0"/>
          <w:marTop w:val="240"/>
          <w:marBottom w:val="240"/>
          <w:divBdr>
            <w:top w:val="none" w:sz="0" w:space="0" w:color="auto"/>
            <w:left w:val="none" w:sz="0" w:space="0" w:color="auto"/>
            <w:bottom w:val="none" w:sz="0" w:space="0" w:color="auto"/>
            <w:right w:val="none" w:sz="0" w:space="0" w:color="auto"/>
          </w:divBdr>
        </w:div>
        <w:div w:id="1295284830">
          <w:marLeft w:val="0"/>
          <w:marRight w:val="0"/>
          <w:marTop w:val="240"/>
          <w:marBottom w:val="0"/>
          <w:divBdr>
            <w:top w:val="none" w:sz="0" w:space="0" w:color="auto"/>
            <w:left w:val="none" w:sz="0" w:space="0" w:color="auto"/>
            <w:bottom w:val="none" w:sz="0" w:space="0" w:color="auto"/>
            <w:right w:val="none" w:sz="0" w:space="0" w:color="auto"/>
          </w:divBdr>
        </w:div>
        <w:div w:id="248738133">
          <w:marLeft w:val="0"/>
          <w:marRight w:val="0"/>
          <w:marTop w:val="240"/>
          <w:marBottom w:val="240"/>
          <w:divBdr>
            <w:top w:val="none" w:sz="0" w:space="0" w:color="auto"/>
            <w:left w:val="none" w:sz="0" w:space="0" w:color="auto"/>
            <w:bottom w:val="none" w:sz="0" w:space="0" w:color="auto"/>
            <w:right w:val="none" w:sz="0" w:space="0" w:color="auto"/>
          </w:divBdr>
        </w:div>
        <w:div w:id="1798060018">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c95a4e5274a0bb7cb806d/5860.pdf" TargetMode="External"/><Relationship Id="rId18" Type="http://schemas.openxmlformats.org/officeDocument/2006/relationships/hyperlink" Target="https://www.legislation.gov.uk/ukpga/2018/12/contents" TargetMode="External"/><Relationship Id="rId26" Type="http://schemas.openxmlformats.org/officeDocument/2006/relationships/hyperlink" Target="https://www.nhs.uk/mental-health/conditions/post-natal-depression/overview/" TargetMode="External"/><Relationship Id="rId3" Type="http://schemas.openxmlformats.org/officeDocument/2006/relationships/settings" Target="settings.xml"/><Relationship Id="rId21" Type="http://schemas.openxmlformats.org/officeDocument/2006/relationships/hyperlink" Target="https://www.legislation.gov.uk/ukpga/1996/16/section/89" TargetMode="External"/><Relationship Id="rId34" Type="http://schemas.openxmlformats.org/officeDocument/2006/relationships/fontTable" Target="fontTable.xml"/><Relationship Id="rId7" Type="http://schemas.openxmlformats.org/officeDocument/2006/relationships/hyperlink" Target="https://childlawadvice.org.uk/information-pages/police-powers-of-protection-emergency-protection-orders/" TargetMode="External"/><Relationship Id="rId12" Type="http://schemas.openxmlformats.org/officeDocument/2006/relationships/hyperlink" Target="https://www.cps.gov.uk/legal-guidance/restraining-orders" TargetMode="External"/><Relationship Id="rId17" Type="http://schemas.openxmlformats.org/officeDocument/2006/relationships/hyperlink" Target="https://www.legislation.gov.uk/ukpga/1989/41/section/31" TargetMode="External"/><Relationship Id="rId25" Type="http://schemas.openxmlformats.org/officeDocument/2006/relationships/hyperlink" Target="https://www.legislation.gov.uk/ukpga/2005/9/section/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uk/government/publications/domestic-abuse-bill-2020-factsheets/domestic-abuse-bill-2020-overarching-factsheet" TargetMode="External"/><Relationship Id="rId20" Type="http://schemas.openxmlformats.org/officeDocument/2006/relationships/hyperlink" Target="https://www.legislation.gov.uk/ukpga/Geo5/23-24/12/2024-01-31?view=plain" TargetMode="External"/><Relationship Id="rId29" Type="http://schemas.openxmlformats.org/officeDocument/2006/relationships/hyperlink" Target="https://learning.nspcc.org.uk/child-protection-system/eng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controlling-or-coercive-behaviour-intimate-or-family-relationship" TargetMode="External"/><Relationship Id="rId24" Type="http://schemas.openxmlformats.org/officeDocument/2006/relationships/hyperlink" Target="https://www.legislation.gov.uk/ukpga/1989/41/section/47" TargetMode="External"/><Relationship Id="rId32" Type="http://schemas.openxmlformats.org/officeDocument/2006/relationships/hyperlink" Target="https://www.womensaid.org.uk/" TargetMode="External"/><Relationship Id="rId5" Type="http://schemas.openxmlformats.org/officeDocument/2006/relationships/footnotes" Target="footnotes.xml"/><Relationship Id="rId15" Type="http://schemas.openxmlformats.org/officeDocument/2006/relationships/hyperlink" Target="https://www.gov.uk/government/publications/domestic-abuse-bill-2020-factsheets/amendment-to-the-controlling-or-coercive-behaviour-offence" TargetMode="External"/><Relationship Id="rId23" Type="http://schemas.openxmlformats.org/officeDocument/2006/relationships/hyperlink" Target="https://www.legislation.gov.uk/ukpga/Geo5/23-24/12/part/I/crossheading/offences" TargetMode="External"/><Relationship Id="rId28" Type="http://schemas.openxmlformats.org/officeDocument/2006/relationships/hyperlink" Target="https://emea01.safelinks.protection.outlook.com/?url=https%3A%2F%2Flearning.nspcc.org.uk%2F&amp;data=05%7C02%7C%7Cba68601245484ecc4c8008ddbd52c4d8%7C84df9e7fe9f640afb435aaaaaaaaaaaa%7C1%7C0%7C638874885366613679%7CUnknown%7CTWFpbGZsb3d8eyJFbXB0eU1hcGkiOnRydWUsIlYiOiIwLjAuMDAwMCIsIlAiOiJXaW4zMiIsIkFOIjoiTWFpbCIsIldUIjoyfQ%3D%3D%7C0%7C%7C%7C&amp;sdata=xMj1nHFFv7m6XVT%2BxGcG0pyvSTuDYAJvONsLkQB5KrU%3D&amp;reserved=0" TargetMode="External"/><Relationship Id="rId10" Type="http://schemas.openxmlformats.org/officeDocument/2006/relationships/hyperlink" Target="https://www.cps.gov.uk/legal-guidance/public-order-offences-incorporating-charging-standard" TargetMode="External"/><Relationship Id="rId19" Type="http://schemas.openxmlformats.org/officeDocument/2006/relationships/hyperlink" Target="http://legisation.gov.uk/" TargetMode="External"/><Relationship Id="rId31" Type="http://schemas.openxmlformats.org/officeDocument/2006/relationships/hyperlink" Target="https://www.legislation.gov.uk/anaw/2015/2/contents" TargetMode="Externa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www.legislation.gov.uk/ukpga/2010/15/section/13" TargetMode="External"/><Relationship Id="rId22" Type="http://schemas.openxmlformats.org/officeDocument/2006/relationships/hyperlink" Target="https://www.legislation.gov.uk/ukpga/2020/17/section/360/2020-12-01" TargetMode="External"/><Relationship Id="rId27" Type="http://schemas.openxmlformats.org/officeDocument/2006/relationships/hyperlink" Target="https://www.nhs.uk/live-well/eat-well/food-guidelines-and-food-labels/the-eatwell-guide/" TargetMode="External"/><Relationship Id="rId30" Type="http://schemas.openxmlformats.org/officeDocument/2006/relationships/hyperlink" Target="https://www.legislation.gov.uk/anaw/2014/4/contents" TargetMode="External"/><Relationship Id="rId35" Type="http://schemas.openxmlformats.org/officeDocument/2006/relationships/theme" Target="theme/theme1.xml"/><Relationship Id="rId8" Type="http://schemas.openxmlformats.org/officeDocument/2006/relationships/hyperlink" Target="https://childlawadv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5742</Words>
  <Characters>32736</Characters>
  <Application>Microsoft Office Word</Application>
  <DocSecurity>0</DocSecurity>
  <Lines>272</Lines>
  <Paragraphs>76</Paragraphs>
  <ScaleCrop>false</ScaleCrop>
  <Company/>
  <LinksUpToDate>false</LinksUpToDate>
  <CharactersWithSpaces>38402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Joelle Evans</cp:lastModifiedBy>
  <cp:revision>2</cp:revision>
  <cp:lastPrinted>2025-07-07T17:11:00Z</cp:lastPrinted>
  <dcterms:created xsi:type="dcterms:W3CDTF">2025-07-07T19:28:00Z</dcterms:created>
  <dcterms:modified xsi:type="dcterms:W3CDTF">2025-07-07T19:28:00Z</dcterms:modified>
</cp:coreProperties>
</file>