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54EB2" w14:textId="7C909C5E" w:rsidR="005E3402" w:rsidRPr="00393773" w:rsidRDefault="005E3402" w:rsidP="00393773">
      <w:pPr>
        <w:pStyle w:val="NormalWeb"/>
        <w:spacing w:line="276" w:lineRule="auto"/>
        <w:jc w:val="both"/>
        <w:rPr>
          <w:rFonts w:asciiTheme="minorHAnsi" w:hAnsiTheme="minorHAnsi" w:cstheme="minorHAnsi"/>
        </w:rPr>
      </w:pPr>
      <w:r w:rsidRPr="00393773">
        <w:rPr>
          <w:rStyle w:val="Strong"/>
          <w:rFonts w:asciiTheme="minorHAnsi" w:hAnsiTheme="minorHAnsi" w:cstheme="minorHAnsi"/>
        </w:rPr>
        <w:t>University of Wales Trinity Saint David</w:t>
      </w:r>
      <w:r w:rsidRPr="00393773">
        <w:rPr>
          <w:rFonts w:asciiTheme="minorHAnsi" w:hAnsiTheme="minorHAnsi" w:cstheme="minorHAnsi"/>
        </w:rPr>
        <w:br/>
      </w:r>
      <w:r w:rsidRPr="00393773">
        <w:rPr>
          <w:rStyle w:val="Strong"/>
          <w:rFonts w:asciiTheme="minorHAnsi" w:hAnsiTheme="minorHAnsi" w:cstheme="minorHAnsi"/>
        </w:rPr>
        <w:t>School of Public Health and Social Care</w:t>
      </w:r>
    </w:p>
    <w:p w14:paraId="78798D0C" w14:textId="77777777" w:rsidR="005E3402" w:rsidRPr="00393773" w:rsidRDefault="005E3402" w:rsidP="00393773">
      <w:pPr>
        <w:pStyle w:val="Heading2"/>
        <w:spacing w:line="276" w:lineRule="auto"/>
        <w:jc w:val="both"/>
        <w:rPr>
          <w:rFonts w:asciiTheme="minorHAnsi" w:hAnsiTheme="minorHAnsi" w:cstheme="minorHAnsi"/>
        </w:rPr>
      </w:pPr>
      <w:bookmarkStart w:id="0" w:name="_Toc215092980"/>
      <w:r w:rsidRPr="00393773">
        <w:rPr>
          <w:rStyle w:val="Strong"/>
          <w:rFonts w:asciiTheme="minorHAnsi" w:hAnsiTheme="minorHAnsi" w:cstheme="minorHAnsi"/>
          <w:b w:val="0"/>
          <w:bCs w:val="0"/>
        </w:rPr>
        <w:t>Exploring the Relationship Between Workforce Wellbeing and Quality of Care in Health and Social Care Settings: A Scoping Review</w:t>
      </w:r>
      <w:bookmarkEnd w:id="0"/>
    </w:p>
    <w:p w14:paraId="2989D4AE" w14:textId="7059E94C" w:rsidR="005E3402" w:rsidRPr="00393773" w:rsidRDefault="005E3402" w:rsidP="00393773">
      <w:pPr>
        <w:pStyle w:val="NormalWeb"/>
        <w:spacing w:line="276" w:lineRule="auto"/>
        <w:jc w:val="both"/>
        <w:rPr>
          <w:rFonts w:asciiTheme="minorHAnsi" w:hAnsiTheme="minorHAnsi" w:cstheme="minorHAnsi"/>
        </w:rPr>
      </w:pPr>
      <w:r w:rsidRPr="00393773">
        <w:rPr>
          <w:rStyle w:val="Strong"/>
          <w:rFonts w:asciiTheme="minorHAnsi" w:hAnsiTheme="minorHAnsi" w:cstheme="minorHAnsi"/>
        </w:rPr>
        <w:t>Student Name</w:t>
      </w:r>
      <w:r w:rsidRPr="00393773">
        <w:rPr>
          <w:rFonts w:asciiTheme="minorHAnsi" w:hAnsiTheme="minorHAnsi" w:cstheme="minorHAnsi"/>
        </w:rPr>
        <w:t>: Farhat Azhar</w:t>
      </w:r>
      <w:r w:rsidRPr="00393773">
        <w:rPr>
          <w:rFonts w:asciiTheme="minorHAnsi" w:hAnsiTheme="minorHAnsi" w:cstheme="minorHAnsi"/>
        </w:rPr>
        <w:br/>
      </w:r>
      <w:r w:rsidRPr="00393773">
        <w:rPr>
          <w:rStyle w:val="Strong"/>
          <w:rFonts w:asciiTheme="minorHAnsi" w:hAnsiTheme="minorHAnsi" w:cstheme="minorHAnsi"/>
        </w:rPr>
        <w:t>Student ID</w:t>
      </w:r>
      <w:r w:rsidRPr="00393773">
        <w:rPr>
          <w:rFonts w:asciiTheme="minorHAnsi" w:hAnsiTheme="minorHAnsi" w:cstheme="minorHAnsi"/>
        </w:rPr>
        <w:t>: 2213611</w:t>
      </w:r>
      <w:r w:rsidRPr="00393773">
        <w:rPr>
          <w:rFonts w:asciiTheme="minorHAnsi" w:hAnsiTheme="minorHAnsi" w:cstheme="minorHAnsi"/>
        </w:rPr>
        <w:br/>
      </w:r>
      <w:proofErr w:type="spellStart"/>
      <w:r w:rsidRPr="00393773">
        <w:rPr>
          <w:rStyle w:val="Strong"/>
          <w:rFonts w:asciiTheme="minorHAnsi" w:hAnsiTheme="minorHAnsi" w:cstheme="minorHAnsi"/>
        </w:rPr>
        <w:t>Programme</w:t>
      </w:r>
      <w:proofErr w:type="spellEnd"/>
      <w:r w:rsidRPr="00393773">
        <w:rPr>
          <w:rFonts w:asciiTheme="minorHAnsi" w:hAnsiTheme="minorHAnsi" w:cstheme="minorHAnsi"/>
        </w:rPr>
        <w:t xml:space="preserve">: </w:t>
      </w:r>
      <w:proofErr w:type="spellStart"/>
      <w:r w:rsidRPr="00393773">
        <w:rPr>
          <w:rFonts w:asciiTheme="minorHAnsi" w:hAnsiTheme="minorHAnsi" w:cstheme="minorHAnsi"/>
        </w:rPr>
        <w:t>BSc</w:t>
      </w:r>
      <w:proofErr w:type="spellEnd"/>
      <w:r w:rsidRPr="00393773">
        <w:rPr>
          <w:rFonts w:asciiTheme="minorHAnsi" w:hAnsiTheme="minorHAnsi" w:cstheme="minorHAnsi"/>
        </w:rPr>
        <w:t xml:space="preserve"> (</w:t>
      </w:r>
      <w:proofErr w:type="spellStart"/>
      <w:r w:rsidRPr="00393773">
        <w:rPr>
          <w:rFonts w:asciiTheme="minorHAnsi" w:hAnsiTheme="minorHAnsi" w:cstheme="minorHAnsi"/>
        </w:rPr>
        <w:t>Hons</w:t>
      </w:r>
      <w:proofErr w:type="spellEnd"/>
      <w:r w:rsidRPr="00393773">
        <w:rPr>
          <w:rFonts w:asciiTheme="minorHAnsi" w:hAnsiTheme="minorHAnsi" w:cstheme="minorHAnsi"/>
        </w:rPr>
        <w:t>) Health and Social Care</w:t>
      </w:r>
      <w:r w:rsidRPr="00393773">
        <w:rPr>
          <w:rFonts w:asciiTheme="minorHAnsi" w:hAnsiTheme="minorHAnsi" w:cstheme="minorHAnsi"/>
        </w:rPr>
        <w:br/>
      </w:r>
      <w:r w:rsidRPr="00393773">
        <w:rPr>
          <w:rStyle w:val="Strong"/>
          <w:rFonts w:asciiTheme="minorHAnsi" w:hAnsiTheme="minorHAnsi" w:cstheme="minorHAnsi"/>
        </w:rPr>
        <w:t>Module</w:t>
      </w:r>
      <w:r w:rsidRPr="00393773">
        <w:rPr>
          <w:rFonts w:asciiTheme="minorHAnsi" w:hAnsiTheme="minorHAnsi" w:cstheme="minorHAnsi"/>
        </w:rPr>
        <w:t>: Independent Project</w:t>
      </w:r>
      <w:r w:rsidRPr="00393773">
        <w:rPr>
          <w:rFonts w:asciiTheme="minorHAnsi" w:hAnsiTheme="minorHAnsi" w:cstheme="minorHAnsi"/>
        </w:rPr>
        <w:br/>
      </w:r>
      <w:r w:rsidRPr="00393773">
        <w:rPr>
          <w:rStyle w:val="Strong"/>
          <w:rFonts w:asciiTheme="minorHAnsi" w:hAnsiTheme="minorHAnsi" w:cstheme="minorHAnsi"/>
        </w:rPr>
        <w:t>Module Code</w:t>
      </w:r>
      <w:r w:rsidRPr="00393773">
        <w:rPr>
          <w:rFonts w:asciiTheme="minorHAnsi" w:hAnsiTheme="minorHAnsi" w:cstheme="minorHAnsi"/>
        </w:rPr>
        <w:t>: BMHP6020</w:t>
      </w:r>
      <w:r w:rsidRPr="00393773">
        <w:rPr>
          <w:rFonts w:asciiTheme="minorHAnsi" w:hAnsiTheme="minorHAnsi" w:cstheme="minorHAnsi"/>
        </w:rPr>
        <w:br/>
      </w:r>
      <w:r w:rsidRPr="00393773">
        <w:rPr>
          <w:rStyle w:val="Strong"/>
          <w:rFonts w:asciiTheme="minorHAnsi" w:hAnsiTheme="minorHAnsi" w:cstheme="minorHAnsi"/>
        </w:rPr>
        <w:t>Word Count</w:t>
      </w:r>
      <w:r w:rsidRPr="00393773">
        <w:rPr>
          <w:rFonts w:asciiTheme="minorHAnsi" w:hAnsiTheme="minorHAnsi" w:cstheme="minorHAnsi"/>
        </w:rPr>
        <w:t xml:space="preserve">: </w:t>
      </w:r>
      <w:r w:rsidR="00E20816" w:rsidRPr="00393773">
        <w:rPr>
          <w:rFonts w:asciiTheme="minorHAnsi" w:hAnsiTheme="minorHAnsi" w:cstheme="minorHAnsi"/>
        </w:rPr>
        <w:t>11234</w:t>
      </w:r>
      <w:r w:rsidRPr="00393773">
        <w:rPr>
          <w:rFonts w:asciiTheme="minorHAnsi" w:hAnsiTheme="minorHAnsi" w:cstheme="minorHAnsi"/>
        </w:rPr>
        <w:br/>
      </w:r>
      <w:r w:rsidRPr="00393773">
        <w:rPr>
          <w:rStyle w:val="Strong"/>
          <w:rFonts w:asciiTheme="minorHAnsi" w:hAnsiTheme="minorHAnsi" w:cstheme="minorHAnsi"/>
        </w:rPr>
        <w:t>Internal Verifier</w:t>
      </w:r>
      <w:r w:rsidRPr="00393773">
        <w:rPr>
          <w:rFonts w:asciiTheme="minorHAnsi" w:hAnsiTheme="minorHAnsi" w:cstheme="minorHAnsi"/>
        </w:rPr>
        <w:t xml:space="preserve">: Dr </w:t>
      </w:r>
      <w:proofErr w:type="spellStart"/>
      <w:r w:rsidRPr="00393773">
        <w:rPr>
          <w:rFonts w:asciiTheme="minorHAnsi" w:hAnsiTheme="minorHAnsi" w:cstheme="minorHAnsi"/>
        </w:rPr>
        <w:t>Diola</w:t>
      </w:r>
      <w:proofErr w:type="spellEnd"/>
      <w:r w:rsidRPr="00393773">
        <w:rPr>
          <w:rFonts w:asciiTheme="minorHAnsi" w:hAnsiTheme="minorHAnsi" w:cstheme="minorHAnsi"/>
        </w:rPr>
        <w:t xml:space="preserve"> </w:t>
      </w:r>
      <w:proofErr w:type="spellStart"/>
      <w:r w:rsidRPr="00393773">
        <w:rPr>
          <w:rFonts w:asciiTheme="minorHAnsi" w:hAnsiTheme="minorHAnsi" w:cstheme="minorHAnsi"/>
        </w:rPr>
        <w:t>Bijlhout</w:t>
      </w:r>
      <w:proofErr w:type="spellEnd"/>
    </w:p>
    <w:p w14:paraId="010147EC" w14:textId="1FC75A76" w:rsidR="005E3402" w:rsidRPr="00393773" w:rsidRDefault="005E3402" w:rsidP="00393773">
      <w:pPr>
        <w:pStyle w:val="NormalWeb"/>
        <w:spacing w:line="276" w:lineRule="auto"/>
        <w:jc w:val="both"/>
        <w:rPr>
          <w:rFonts w:asciiTheme="minorHAnsi" w:hAnsiTheme="minorHAnsi" w:cstheme="minorHAnsi"/>
        </w:rPr>
      </w:pPr>
    </w:p>
    <w:p w14:paraId="3DE61B16" w14:textId="3FA9FA00" w:rsidR="005E3402" w:rsidRPr="00393773" w:rsidRDefault="005E3402" w:rsidP="00393773">
      <w:pPr>
        <w:pStyle w:val="NormalWeb"/>
        <w:spacing w:line="276" w:lineRule="auto"/>
        <w:jc w:val="both"/>
        <w:rPr>
          <w:rFonts w:asciiTheme="minorHAnsi" w:hAnsiTheme="minorHAnsi" w:cstheme="minorHAnsi"/>
        </w:rPr>
      </w:pPr>
    </w:p>
    <w:p w14:paraId="76E8B820" w14:textId="58EC9391" w:rsidR="005E3402" w:rsidRPr="00393773" w:rsidRDefault="005E3402" w:rsidP="00393773">
      <w:pPr>
        <w:pStyle w:val="NormalWeb"/>
        <w:spacing w:line="276" w:lineRule="auto"/>
        <w:jc w:val="both"/>
        <w:rPr>
          <w:rFonts w:asciiTheme="minorHAnsi" w:hAnsiTheme="minorHAnsi" w:cstheme="minorHAnsi"/>
        </w:rPr>
      </w:pPr>
    </w:p>
    <w:p w14:paraId="06E609E8" w14:textId="4216AFCB" w:rsidR="005E3402" w:rsidRPr="00393773" w:rsidRDefault="005E3402" w:rsidP="00393773">
      <w:pPr>
        <w:pStyle w:val="NormalWeb"/>
        <w:spacing w:line="276" w:lineRule="auto"/>
        <w:jc w:val="both"/>
        <w:rPr>
          <w:rFonts w:asciiTheme="minorHAnsi" w:hAnsiTheme="minorHAnsi" w:cstheme="minorHAnsi"/>
        </w:rPr>
      </w:pPr>
    </w:p>
    <w:p w14:paraId="7B62E685" w14:textId="1C326C1D" w:rsidR="005E3402" w:rsidRPr="00393773" w:rsidRDefault="005E3402" w:rsidP="00393773">
      <w:pPr>
        <w:pStyle w:val="NormalWeb"/>
        <w:spacing w:line="276" w:lineRule="auto"/>
        <w:jc w:val="both"/>
        <w:rPr>
          <w:rFonts w:asciiTheme="minorHAnsi" w:hAnsiTheme="minorHAnsi" w:cstheme="minorHAnsi"/>
        </w:rPr>
      </w:pPr>
    </w:p>
    <w:p w14:paraId="556A484F" w14:textId="6964EC3E" w:rsidR="005E3402" w:rsidRPr="00393773" w:rsidRDefault="005E3402" w:rsidP="00393773">
      <w:pPr>
        <w:pStyle w:val="NormalWeb"/>
        <w:spacing w:line="276" w:lineRule="auto"/>
        <w:jc w:val="both"/>
        <w:rPr>
          <w:rFonts w:asciiTheme="minorHAnsi" w:hAnsiTheme="minorHAnsi" w:cstheme="minorHAnsi"/>
        </w:rPr>
      </w:pPr>
    </w:p>
    <w:p w14:paraId="5FC7F5CA" w14:textId="152D3C79" w:rsidR="005E3402" w:rsidRPr="00393773" w:rsidRDefault="005E3402" w:rsidP="00393773">
      <w:pPr>
        <w:pStyle w:val="NormalWeb"/>
        <w:spacing w:line="276" w:lineRule="auto"/>
        <w:jc w:val="both"/>
        <w:rPr>
          <w:rFonts w:asciiTheme="minorHAnsi" w:hAnsiTheme="minorHAnsi" w:cstheme="minorHAnsi"/>
        </w:rPr>
      </w:pPr>
    </w:p>
    <w:p w14:paraId="0375ABA1" w14:textId="5445DF68" w:rsidR="005E3402" w:rsidRPr="00393773" w:rsidRDefault="005E3402" w:rsidP="00393773">
      <w:pPr>
        <w:pStyle w:val="NormalWeb"/>
        <w:spacing w:line="276" w:lineRule="auto"/>
        <w:jc w:val="both"/>
        <w:rPr>
          <w:rFonts w:asciiTheme="minorHAnsi" w:hAnsiTheme="minorHAnsi" w:cstheme="minorHAnsi"/>
        </w:rPr>
      </w:pPr>
    </w:p>
    <w:p w14:paraId="1626F2EA" w14:textId="6F41B560" w:rsidR="005E3402" w:rsidRPr="00393773" w:rsidRDefault="005E3402" w:rsidP="00393773">
      <w:pPr>
        <w:pStyle w:val="NormalWeb"/>
        <w:spacing w:line="276" w:lineRule="auto"/>
        <w:jc w:val="both"/>
        <w:rPr>
          <w:rFonts w:asciiTheme="minorHAnsi" w:hAnsiTheme="minorHAnsi" w:cstheme="minorHAnsi"/>
        </w:rPr>
      </w:pPr>
    </w:p>
    <w:sdt>
      <w:sdtPr>
        <w:rPr>
          <w:rFonts w:asciiTheme="minorHAnsi" w:eastAsiaTheme="minorHAnsi" w:hAnsiTheme="minorHAnsi" w:cstheme="minorHAnsi"/>
          <w:color w:val="auto"/>
          <w:sz w:val="22"/>
          <w:szCs w:val="22"/>
        </w:rPr>
        <w:id w:val="-682207768"/>
        <w:docPartObj>
          <w:docPartGallery w:val="Table of Contents"/>
          <w:docPartUnique/>
        </w:docPartObj>
      </w:sdtPr>
      <w:sdtEndPr>
        <w:rPr>
          <w:b/>
          <w:bCs/>
          <w:noProof/>
        </w:rPr>
      </w:sdtEndPr>
      <w:sdtContent>
        <w:p w14:paraId="510F2F9F" w14:textId="3B0DCF6B" w:rsidR="005E3402" w:rsidRPr="00393773" w:rsidRDefault="00E20816" w:rsidP="00393773">
          <w:pPr>
            <w:pStyle w:val="TOCHeading"/>
            <w:spacing w:line="276" w:lineRule="auto"/>
            <w:jc w:val="both"/>
            <w:rPr>
              <w:rStyle w:val="Heading2Char"/>
              <w:rFonts w:asciiTheme="minorHAnsi" w:hAnsiTheme="minorHAnsi" w:cstheme="minorHAnsi"/>
            </w:rPr>
          </w:pPr>
          <w:r w:rsidRPr="00393773">
            <w:rPr>
              <w:rStyle w:val="Heading2Char"/>
              <w:rFonts w:asciiTheme="minorHAnsi" w:hAnsiTheme="minorHAnsi" w:cstheme="minorHAnsi"/>
            </w:rPr>
            <w:t>Table of Contents</w:t>
          </w:r>
        </w:p>
        <w:p w14:paraId="5A45C9AA" w14:textId="0434F62B" w:rsidR="005E3402" w:rsidRPr="00393773" w:rsidRDefault="005E3402" w:rsidP="00393773">
          <w:pPr>
            <w:pStyle w:val="TOC2"/>
            <w:tabs>
              <w:tab w:val="right" w:leader="dot" w:pos="9350"/>
            </w:tabs>
            <w:spacing w:line="276" w:lineRule="auto"/>
            <w:jc w:val="both"/>
            <w:rPr>
              <w:rFonts w:cstheme="minorHAnsi"/>
              <w:noProof/>
            </w:rPr>
          </w:pPr>
          <w:r w:rsidRPr="00393773">
            <w:rPr>
              <w:rFonts w:cstheme="minorHAnsi"/>
            </w:rPr>
            <w:fldChar w:fldCharType="begin"/>
          </w:r>
          <w:r w:rsidRPr="00393773">
            <w:rPr>
              <w:rFonts w:cstheme="minorHAnsi"/>
            </w:rPr>
            <w:instrText xml:space="preserve"> TOC \o "1-3" \h \z \u </w:instrText>
          </w:r>
          <w:r w:rsidRPr="00393773">
            <w:rPr>
              <w:rFonts w:cstheme="minorHAnsi"/>
            </w:rPr>
            <w:fldChar w:fldCharType="separate"/>
          </w:r>
          <w:hyperlink w:anchor="_Toc215092980" w:history="1">
            <w:r w:rsidRPr="00393773">
              <w:rPr>
                <w:rStyle w:val="Hyperlink"/>
                <w:rFonts w:cstheme="minorHAnsi"/>
                <w:noProof/>
              </w:rPr>
              <w:t>Exploring the Relationship Between Workforce Wellbeing and Quality of Care in Health and Social Care Settings: A Scoping Review</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_Toc215092980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w:t>
            </w:r>
            <w:r w:rsidRPr="00393773">
              <w:rPr>
                <w:rFonts w:cstheme="minorHAnsi"/>
                <w:noProof/>
                <w:webHidden/>
              </w:rPr>
              <w:fldChar w:fldCharType="end"/>
            </w:r>
          </w:hyperlink>
        </w:p>
        <w:p w14:paraId="42565F0A" w14:textId="1EC51719" w:rsidR="005E3402" w:rsidRPr="00393773" w:rsidRDefault="005E3402" w:rsidP="00393773">
          <w:pPr>
            <w:pStyle w:val="TOC2"/>
            <w:tabs>
              <w:tab w:val="right" w:leader="dot" w:pos="9350"/>
            </w:tabs>
            <w:spacing w:line="276" w:lineRule="auto"/>
            <w:jc w:val="both"/>
            <w:rPr>
              <w:rFonts w:cstheme="minorHAnsi"/>
              <w:noProof/>
            </w:rPr>
          </w:pPr>
          <w:hyperlink w:anchor="_Toc215092981" w:history="1">
            <w:r w:rsidRPr="00393773">
              <w:rPr>
                <w:rStyle w:val="Hyperlink"/>
                <w:rFonts w:cstheme="minorHAnsi"/>
                <w:noProof/>
              </w:rPr>
              <w:t>Abstract</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_Toc215092981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w:t>
            </w:r>
            <w:r w:rsidRPr="00393773">
              <w:rPr>
                <w:rFonts w:cstheme="minorHAnsi"/>
                <w:noProof/>
                <w:webHidden/>
              </w:rPr>
              <w:fldChar w:fldCharType="end"/>
            </w:r>
          </w:hyperlink>
        </w:p>
        <w:p w14:paraId="0688EC23" w14:textId="74ADA605" w:rsidR="005E3402" w:rsidRPr="00393773" w:rsidRDefault="005E3402" w:rsidP="00393773">
          <w:pPr>
            <w:pStyle w:val="TOC1"/>
            <w:tabs>
              <w:tab w:val="right" w:leader="dot" w:pos="9350"/>
            </w:tabs>
            <w:spacing w:line="276" w:lineRule="auto"/>
            <w:jc w:val="both"/>
            <w:rPr>
              <w:rFonts w:cstheme="minorHAnsi"/>
              <w:noProof/>
            </w:rPr>
          </w:pPr>
          <w:hyperlink w:anchor="_Toc215092982" w:history="1">
            <w:r w:rsidRPr="00393773">
              <w:rPr>
                <w:rStyle w:val="Hyperlink"/>
                <w:rFonts w:eastAsia="Times New Roman" w:cstheme="minorHAnsi"/>
                <w:b/>
                <w:bCs/>
                <w:noProof/>
                <w:kern w:val="36"/>
              </w:rPr>
              <w:t>CHAPTER 1: INTRODUCTION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_Toc215092982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3</w:t>
            </w:r>
            <w:r w:rsidRPr="00393773">
              <w:rPr>
                <w:rFonts w:cstheme="minorHAnsi"/>
                <w:noProof/>
                <w:webHidden/>
              </w:rPr>
              <w:fldChar w:fldCharType="end"/>
            </w:r>
          </w:hyperlink>
        </w:p>
        <w:p w14:paraId="4DD7A499" w14:textId="445CD646" w:rsidR="005E3402" w:rsidRPr="00393773" w:rsidRDefault="005E3402" w:rsidP="00393773">
          <w:pPr>
            <w:pStyle w:val="TOC3"/>
            <w:tabs>
              <w:tab w:val="right" w:leader="dot" w:pos="9350"/>
            </w:tabs>
            <w:spacing w:line="276" w:lineRule="auto"/>
            <w:jc w:val="both"/>
            <w:rPr>
              <w:rFonts w:cstheme="minorHAnsi"/>
              <w:noProof/>
            </w:rPr>
          </w:pPr>
          <w:hyperlink w:anchor="_Toc215092983" w:history="1">
            <w:r w:rsidRPr="00393773">
              <w:rPr>
                <w:rStyle w:val="Hyperlink"/>
                <w:rFonts w:eastAsia="Times New Roman" w:cstheme="minorHAnsi"/>
                <w:b/>
                <w:bCs/>
                <w:noProof/>
              </w:rPr>
              <w:t>1.1 Introduction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_Toc215092983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3</w:t>
            </w:r>
            <w:r w:rsidRPr="00393773">
              <w:rPr>
                <w:rFonts w:cstheme="minorHAnsi"/>
                <w:noProof/>
                <w:webHidden/>
              </w:rPr>
              <w:fldChar w:fldCharType="end"/>
            </w:r>
          </w:hyperlink>
        </w:p>
        <w:p w14:paraId="64D27006" w14:textId="0F8B01D9" w:rsidR="005E3402" w:rsidRPr="00393773" w:rsidRDefault="005E3402" w:rsidP="00393773">
          <w:pPr>
            <w:pStyle w:val="TOC3"/>
            <w:tabs>
              <w:tab w:val="right" w:leader="dot" w:pos="9350"/>
            </w:tabs>
            <w:spacing w:line="276" w:lineRule="auto"/>
            <w:jc w:val="both"/>
            <w:rPr>
              <w:rFonts w:cstheme="minorHAnsi"/>
              <w:noProof/>
            </w:rPr>
          </w:pPr>
          <w:hyperlink w:anchor="_Toc215092984" w:history="1">
            <w:r w:rsidRPr="00393773">
              <w:rPr>
                <w:rStyle w:val="Hyperlink"/>
                <w:rFonts w:eastAsia="Times New Roman" w:cstheme="minorHAnsi"/>
                <w:b/>
                <w:bCs/>
                <w:noProof/>
              </w:rPr>
              <w:t>1.2 Rationale</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_Toc215092984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3</w:t>
            </w:r>
            <w:r w:rsidRPr="00393773">
              <w:rPr>
                <w:rFonts w:cstheme="minorHAnsi"/>
                <w:noProof/>
                <w:webHidden/>
              </w:rPr>
              <w:fldChar w:fldCharType="end"/>
            </w:r>
          </w:hyperlink>
        </w:p>
        <w:p w14:paraId="78208C57" w14:textId="046C324A" w:rsidR="005E3402" w:rsidRPr="00393773" w:rsidRDefault="005E3402" w:rsidP="00393773">
          <w:pPr>
            <w:pStyle w:val="TOC3"/>
            <w:tabs>
              <w:tab w:val="right" w:leader="dot" w:pos="9350"/>
            </w:tabs>
            <w:spacing w:line="276" w:lineRule="auto"/>
            <w:jc w:val="both"/>
            <w:rPr>
              <w:rFonts w:cstheme="minorHAnsi"/>
              <w:noProof/>
            </w:rPr>
          </w:pPr>
          <w:hyperlink w:anchor="_Toc215092985" w:history="1">
            <w:r w:rsidRPr="00393773">
              <w:rPr>
                <w:rStyle w:val="Hyperlink"/>
                <w:rFonts w:eastAsia="Times New Roman" w:cstheme="minorHAnsi"/>
                <w:b/>
                <w:bCs/>
                <w:noProof/>
              </w:rPr>
              <w:t>1.3 Research Aim and Objectives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_Toc215092985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4</w:t>
            </w:r>
            <w:r w:rsidRPr="00393773">
              <w:rPr>
                <w:rFonts w:cstheme="minorHAnsi"/>
                <w:noProof/>
                <w:webHidden/>
              </w:rPr>
              <w:fldChar w:fldCharType="end"/>
            </w:r>
          </w:hyperlink>
        </w:p>
        <w:p w14:paraId="13B4D09B" w14:textId="01404BF3" w:rsidR="005E3402" w:rsidRPr="00393773" w:rsidRDefault="005E3402" w:rsidP="00393773">
          <w:pPr>
            <w:pStyle w:val="TOC3"/>
            <w:tabs>
              <w:tab w:val="right" w:leader="dot" w:pos="9350"/>
            </w:tabs>
            <w:spacing w:line="276" w:lineRule="auto"/>
            <w:jc w:val="both"/>
            <w:rPr>
              <w:rFonts w:cstheme="minorHAnsi"/>
              <w:noProof/>
            </w:rPr>
          </w:pPr>
          <w:hyperlink w:anchor="_Toc215092986" w:history="1">
            <w:r w:rsidRPr="00393773">
              <w:rPr>
                <w:rStyle w:val="Hyperlink"/>
                <w:rFonts w:eastAsia="Times New Roman" w:cstheme="minorHAnsi"/>
                <w:b/>
                <w:bCs/>
                <w:noProof/>
              </w:rPr>
              <w:t>1.4 Theoretical Framework</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_Toc215092986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4</w:t>
            </w:r>
            <w:r w:rsidRPr="00393773">
              <w:rPr>
                <w:rFonts w:cstheme="minorHAnsi"/>
                <w:noProof/>
                <w:webHidden/>
              </w:rPr>
              <w:fldChar w:fldCharType="end"/>
            </w:r>
          </w:hyperlink>
        </w:p>
        <w:p w14:paraId="1AB38C79" w14:textId="3669B061" w:rsidR="005E3402" w:rsidRPr="00393773" w:rsidRDefault="005E3402" w:rsidP="00393773">
          <w:pPr>
            <w:pStyle w:val="TOC3"/>
            <w:tabs>
              <w:tab w:val="right" w:leader="dot" w:pos="9350"/>
            </w:tabs>
            <w:spacing w:line="276" w:lineRule="auto"/>
            <w:jc w:val="both"/>
            <w:rPr>
              <w:rFonts w:cstheme="minorHAnsi"/>
              <w:noProof/>
            </w:rPr>
          </w:pPr>
          <w:hyperlink w:anchor="_Toc215092987" w:history="1">
            <w:r w:rsidRPr="00393773">
              <w:rPr>
                <w:rStyle w:val="Hyperlink"/>
                <w:rFonts w:eastAsia="Times New Roman" w:cstheme="minorHAnsi"/>
                <w:b/>
                <w:bCs/>
                <w:noProof/>
              </w:rPr>
              <w:t>1.5 Structure of the Dissertation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_Toc215092987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5</w:t>
            </w:r>
            <w:r w:rsidRPr="00393773">
              <w:rPr>
                <w:rFonts w:cstheme="minorHAnsi"/>
                <w:noProof/>
                <w:webHidden/>
              </w:rPr>
              <w:fldChar w:fldCharType="end"/>
            </w:r>
          </w:hyperlink>
        </w:p>
        <w:p w14:paraId="7520C057" w14:textId="36A21060" w:rsidR="005E3402" w:rsidRPr="00393773" w:rsidRDefault="005E3402" w:rsidP="00393773">
          <w:pPr>
            <w:pStyle w:val="TOC1"/>
            <w:tabs>
              <w:tab w:val="right" w:leader="dot" w:pos="9350"/>
            </w:tabs>
            <w:spacing w:line="276" w:lineRule="auto"/>
            <w:jc w:val="both"/>
            <w:rPr>
              <w:rFonts w:cstheme="minorHAnsi"/>
              <w:noProof/>
            </w:rPr>
          </w:pPr>
          <w:hyperlink w:anchor="_Toc215092988" w:history="1">
            <w:r w:rsidRPr="00393773">
              <w:rPr>
                <w:rStyle w:val="Hyperlink"/>
                <w:rFonts w:cstheme="minorHAnsi"/>
                <w:noProof/>
              </w:rPr>
              <w:t>CHAPTER 2: BACKGROUND / LITERATURE REVIEW</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_Toc215092988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5</w:t>
            </w:r>
            <w:r w:rsidRPr="00393773">
              <w:rPr>
                <w:rFonts w:cstheme="minorHAnsi"/>
                <w:noProof/>
                <w:webHidden/>
              </w:rPr>
              <w:fldChar w:fldCharType="end"/>
            </w:r>
          </w:hyperlink>
        </w:p>
        <w:p w14:paraId="047FC744" w14:textId="349A1B2F" w:rsidR="005E3402" w:rsidRPr="00393773" w:rsidRDefault="005E3402" w:rsidP="00393773">
          <w:pPr>
            <w:pStyle w:val="TOC2"/>
            <w:tabs>
              <w:tab w:val="right" w:leader="dot" w:pos="9350"/>
            </w:tabs>
            <w:spacing w:line="276" w:lineRule="auto"/>
            <w:jc w:val="both"/>
            <w:rPr>
              <w:rFonts w:cstheme="minorHAnsi"/>
              <w:noProof/>
            </w:rPr>
          </w:pPr>
          <w:hyperlink w:anchor="_Toc215092989" w:history="1">
            <w:r w:rsidRPr="00393773">
              <w:rPr>
                <w:rStyle w:val="Hyperlink"/>
                <w:rFonts w:cstheme="minorHAnsi"/>
                <w:noProof/>
              </w:rPr>
              <w:t>2.1 Introduction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_Toc215092989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5</w:t>
            </w:r>
            <w:r w:rsidRPr="00393773">
              <w:rPr>
                <w:rFonts w:cstheme="minorHAnsi"/>
                <w:noProof/>
                <w:webHidden/>
              </w:rPr>
              <w:fldChar w:fldCharType="end"/>
            </w:r>
          </w:hyperlink>
        </w:p>
        <w:p w14:paraId="350C2058" w14:textId="3441563F" w:rsidR="005E3402" w:rsidRPr="00393773" w:rsidRDefault="005E3402" w:rsidP="00393773">
          <w:pPr>
            <w:pStyle w:val="TOC2"/>
            <w:tabs>
              <w:tab w:val="right" w:leader="dot" w:pos="9350"/>
            </w:tabs>
            <w:spacing w:line="276" w:lineRule="auto"/>
            <w:jc w:val="both"/>
            <w:rPr>
              <w:rFonts w:cstheme="minorHAnsi"/>
              <w:noProof/>
            </w:rPr>
          </w:pPr>
          <w:hyperlink w:anchor="_Toc215092990" w:history="1">
            <w:r w:rsidRPr="00393773">
              <w:rPr>
                <w:rStyle w:val="Hyperlink"/>
                <w:rFonts w:cstheme="minorHAnsi"/>
                <w:noProof/>
              </w:rPr>
              <w:t>2.2 Defining Workforce Wellbeing in Health and Social Care</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_Toc215092990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6</w:t>
            </w:r>
            <w:r w:rsidRPr="00393773">
              <w:rPr>
                <w:rFonts w:cstheme="minorHAnsi"/>
                <w:noProof/>
                <w:webHidden/>
              </w:rPr>
              <w:fldChar w:fldCharType="end"/>
            </w:r>
          </w:hyperlink>
        </w:p>
        <w:p w14:paraId="2D41A2FE" w14:textId="12F57A09" w:rsidR="005E3402" w:rsidRPr="00393773" w:rsidRDefault="005E3402" w:rsidP="00393773">
          <w:pPr>
            <w:pStyle w:val="TOC2"/>
            <w:tabs>
              <w:tab w:val="right" w:leader="dot" w:pos="9350"/>
            </w:tabs>
            <w:spacing w:line="276" w:lineRule="auto"/>
            <w:jc w:val="both"/>
            <w:rPr>
              <w:rFonts w:cstheme="minorHAnsi"/>
              <w:noProof/>
            </w:rPr>
          </w:pPr>
          <w:hyperlink w:anchor="_Toc215092991" w:history="1">
            <w:r w:rsidRPr="00393773">
              <w:rPr>
                <w:rStyle w:val="Hyperlink"/>
                <w:rFonts w:cstheme="minorHAnsi"/>
                <w:noProof/>
              </w:rPr>
              <w:t>2.3 Theoretical Foundations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_Toc215092991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6</w:t>
            </w:r>
            <w:r w:rsidRPr="00393773">
              <w:rPr>
                <w:rFonts w:cstheme="minorHAnsi"/>
                <w:noProof/>
                <w:webHidden/>
              </w:rPr>
              <w:fldChar w:fldCharType="end"/>
            </w:r>
          </w:hyperlink>
        </w:p>
        <w:p w14:paraId="4A16A7A4" w14:textId="057B006A" w:rsidR="005E3402" w:rsidRPr="00393773" w:rsidRDefault="005E3402" w:rsidP="00393773">
          <w:pPr>
            <w:pStyle w:val="TOC3"/>
            <w:tabs>
              <w:tab w:val="right" w:leader="dot" w:pos="9350"/>
            </w:tabs>
            <w:spacing w:line="276" w:lineRule="auto"/>
            <w:jc w:val="both"/>
            <w:rPr>
              <w:rFonts w:cstheme="minorHAnsi"/>
              <w:noProof/>
            </w:rPr>
          </w:pPr>
          <w:hyperlink w:anchor="_Toc215092992" w:history="1">
            <w:r w:rsidRPr="00393773">
              <w:rPr>
                <w:rStyle w:val="Hyperlink"/>
                <w:rFonts w:cstheme="minorHAnsi"/>
                <w:noProof/>
              </w:rPr>
              <w:t>2.3.1 Maslow’s Hierarchy of Needs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_Toc215092992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6</w:t>
            </w:r>
            <w:r w:rsidRPr="00393773">
              <w:rPr>
                <w:rFonts w:cstheme="minorHAnsi"/>
                <w:noProof/>
                <w:webHidden/>
              </w:rPr>
              <w:fldChar w:fldCharType="end"/>
            </w:r>
          </w:hyperlink>
        </w:p>
        <w:p w14:paraId="622A0F59" w14:textId="71BC71B7" w:rsidR="005E3402" w:rsidRPr="00393773" w:rsidRDefault="005E3402" w:rsidP="00393773">
          <w:pPr>
            <w:pStyle w:val="TOC3"/>
            <w:tabs>
              <w:tab w:val="right" w:leader="dot" w:pos="9350"/>
            </w:tabs>
            <w:spacing w:line="276" w:lineRule="auto"/>
            <w:jc w:val="both"/>
            <w:rPr>
              <w:rFonts w:cstheme="minorHAnsi"/>
              <w:noProof/>
            </w:rPr>
          </w:pPr>
          <w:hyperlink w:anchor="_Toc215092993" w:history="1">
            <w:r w:rsidRPr="00393773">
              <w:rPr>
                <w:rStyle w:val="Hyperlink"/>
                <w:rFonts w:cstheme="minorHAnsi"/>
                <w:noProof/>
              </w:rPr>
              <w:t>2.3.2 Empowerment Theory</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_Toc215092993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6</w:t>
            </w:r>
            <w:r w:rsidRPr="00393773">
              <w:rPr>
                <w:rFonts w:cstheme="minorHAnsi"/>
                <w:noProof/>
                <w:webHidden/>
              </w:rPr>
              <w:fldChar w:fldCharType="end"/>
            </w:r>
          </w:hyperlink>
        </w:p>
        <w:p w14:paraId="029BC232" w14:textId="07EFCD35" w:rsidR="005E3402" w:rsidRPr="00393773" w:rsidRDefault="005E3402" w:rsidP="00393773">
          <w:pPr>
            <w:pStyle w:val="TOC3"/>
            <w:tabs>
              <w:tab w:val="right" w:leader="dot" w:pos="9350"/>
            </w:tabs>
            <w:spacing w:line="276" w:lineRule="auto"/>
            <w:jc w:val="both"/>
            <w:rPr>
              <w:rFonts w:cstheme="minorHAnsi"/>
              <w:noProof/>
            </w:rPr>
          </w:pPr>
          <w:hyperlink w:anchor="_Toc215092994" w:history="1">
            <w:r w:rsidRPr="00393773">
              <w:rPr>
                <w:rStyle w:val="Hyperlink"/>
                <w:rFonts w:cstheme="minorHAnsi"/>
                <w:noProof/>
              </w:rPr>
              <w:t>2.3.3 The Job Demands-Resources (JD-R) Model</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_Toc215092994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7</w:t>
            </w:r>
            <w:r w:rsidRPr="00393773">
              <w:rPr>
                <w:rFonts w:cstheme="minorHAnsi"/>
                <w:noProof/>
                <w:webHidden/>
              </w:rPr>
              <w:fldChar w:fldCharType="end"/>
            </w:r>
          </w:hyperlink>
        </w:p>
        <w:p w14:paraId="2C75AB1E" w14:textId="37410AB2" w:rsidR="005E3402" w:rsidRPr="00393773" w:rsidRDefault="005E3402" w:rsidP="00393773">
          <w:pPr>
            <w:pStyle w:val="TOC3"/>
            <w:tabs>
              <w:tab w:val="right" w:leader="dot" w:pos="9350"/>
            </w:tabs>
            <w:spacing w:line="276" w:lineRule="auto"/>
            <w:jc w:val="both"/>
            <w:rPr>
              <w:rFonts w:cstheme="minorHAnsi"/>
              <w:noProof/>
            </w:rPr>
          </w:pPr>
          <w:hyperlink w:anchor="_Toc215092995" w:history="1">
            <w:r w:rsidRPr="00393773">
              <w:rPr>
                <w:rStyle w:val="Hyperlink"/>
                <w:rFonts w:cstheme="minorHAnsi"/>
                <w:noProof/>
              </w:rPr>
              <w:t>2.3.4 NHS Workforce Wellbeing Framework</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_Toc215092995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7</w:t>
            </w:r>
            <w:r w:rsidRPr="00393773">
              <w:rPr>
                <w:rFonts w:cstheme="minorHAnsi"/>
                <w:noProof/>
                <w:webHidden/>
              </w:rPr>
              <w:fldChar w:fldCharType="end"/>
            </w:r>
          </w:hyperlink>
        </w:p>
        <w:p w14:paraId="39326529" w14:textId="3566563B" w:rsidR="005E3402" w:rsidRPr="00393773" w:rsidRDefault="005E3402" w:rsidP="00393773">
          <w:pPr>
            <w:pStyle w:val="TOC2"/>
            <w:tabs>
              <w:tab w:val="right" w:leader="dot" w:pos="9350"/>
            </w:tabs>
            <w:spacing w:line="276" w:lineRule="auto"/>
            <w:jc w:val="both"/>
            <w:rPr>
              <w:rFonts w:cstheme="minorHAnsi"/>
              <w:noProof/>
            </w:rPr>
          </w:pPr>
          <w:hyperlink w:anchor="_Toc215092996" w:history="1">
            <w:r w:rsidRPr="00393773">
              <w:rPr>
                <w:rStyle w:val="Hyperlink"/>
                <w:rFonts w:cstheme="minorHAnsi"/>
                <w:noProof/>
              </w:rPr>
              <w:t>2.4 Linking Workforce Wellbeing to Quality of Care</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_Toc215092996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7</w:t>
            </w:r>
            <w:r w:rsidRPr="00393773">
              <w:rPr>
                <w:rFonts w:cstheme="minorHAnsi"/>
                <w:noProof/>
                <w:webHidden/>
              </w:rPr>
              <w:fldChar w:fldCharType="end"/>
            </w:r>
          </w:hyperlink>
        </w:p>
        <w:p w14:paraId="5D5F9668" w14:textId="013709AF" w:rsidR="005E3402" w:rsidRPr="00393773" w:rsidRDefault="005E3402" w:rsidP="00393773">
          <w:pPr>
            <w:pStyle w:val="TOC2"/>
            <w:tabs>
              <w:tab w:val="right" w:leader="dot" w:pos="9350"/>
            </w:tabs>
            <w:spacing w:line="276" w:lineRule="auto"/>
            <w:jc w:val="both"/>
            <w:rPr>
              <w:rFonts w:cstheme="minorHAnsi"/>
              <w:noProof/>
            </w:rPr>
          </w:pPr>
          <w:hyperlink w:anchor="_Toc215092997" w:history="1">
            <w:r w:rsidRPr="00393773">
              <w:rPr>
                <w:rStyle w:val="Hyperlink"/>
                <w:rFonts w:cstheme="minorHAnsi"/>
                <w:noProof/>
              </w:rPr>
              <w:t>2.5 UK Policy and Legislative Context</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_Toc215092997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8</w:t>
            </w:r>
            <w:r w:rsidRPr="00393773">
              <w:rPr>
                <w:rFonts w:cstheme="minorHAnsi"/>
                <w:noProof/>
                <w:webHidden/>
              </w:rPr>
              <w:fldChar w:fldCharType="end"/>
            </w:r>
          </w:hyperlink>
        </w:p>
        <w:p w14:paraId="3719FCAF" w14:textId="7E24D478" w:rsidR="005E3402" w:rsidRPr="00393773" w:rsidRDefault="005E3402" w:rsidP="00393773">
          <w:pPr>
            <w:pStyle w:val="TOC2"/>
            <w:tabs>
              <w:tab w:val="right" w:leader="dot" w:pos="9350"/>
            </w:tabs>
            <w:spacing w:line="276" w:lineRule="auto"/>
            <w:jc w:val="both"/>
            <w:rPr>
              <w:rFonts w:cstheme="minorHAnsi"/>
              <w:noProof/>
            </w:rPr>
          </w:pPr>
          <w:hyperlink w:anchor="_Toc215092998" w:history="1">
            <w:r w:rsidRPr="00393773">
              <w:rPr>
                <w:rStyle w:val="Hyperlink"/>
                <w:rFonts w:cstheme="minorHAnsi"/>
                <w:noProof/>
              </w:rPr>
              <w:t>2.6 International Comparisons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_Toc215092998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8</w:t>
            </w:r>
            <w:r w:rsidRPr="00393773">
              <w:rPr>
                <w:rFonts w:cstheme="minorHAnsi"/>
                <w:noProof/>
                <w:webHidden/>
              </w:rPr>
              <w:fldChar w:fldCharType="end"/>
            </w:r>
          </w:hyperlink>
        </w:p>
        <w:p w14:paraId="7AFF8470" w14:textId="353C4882" w:rsidR="005E3402" w:rsidRPr="00393773" w:rsidRDefault="005E3402" w:rsidP="00393773">
          <w:pPr>
            <w:pStyle w:val="TOC2"/>
            <w:tabs>
              <w:tab w:val="right" w:leader="dot" w:pos="9350"/>
            </w:tabs>
            <w:spacing w:line="276" w:lineRule="auto"/>
            <w:jc w:val="both"/>
            <w:rPr>
              <w:rFonts w:cstheme="minorHAnsi"/>
              <w:noProof/>
            </w:rPr>
          </w:pPr>
          <w:hyperlink w:anchor="_Toc215092999" w:history="1">
            <w:r w:rsidRPr="00393773">
              <w:rPr>
                <w:rStyle w:val="Hyperlink"/>
                <w:rFonts w:cstheme="minorHAnsi"/>
                <w:noProof/>
              </w:rPr>
              <w:t>2.7 Key Gaps in the Literature</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_Toc215092999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9</w:t>
            </w:r>
            <w:r w:rsidRPr="00393773">
              <w:rPr>
                <w:rFonts w:cstheme="minorHAnsi"/>
                <w:noProof/>
                <w:webHidden/>
              </w:rPr>
              <w:fldChar w:fldCharType="end"/>
            </w:r>
          </w:hyperlink>
        </w:p>
        <w:p w14:paraId="3788A5BD" w14:textId="248B7B0B" w:rsidR="005E3402" w:rsidRPr="00393773" w:rsidRDefault="005E3402" w:rsidP="00393773">
          <w:pPr>
            <w:pStyle w:val="TOC2"/>
            <w:tabs>
              <w:tab w:val="right" w:leader="dot" w:pos="9350"/>
            </w:tabs>
            <w:spacing w:line="276" w:lineRule="auto"/>
            <w:jc w:val="both"/>
            <w:rPr>
              <w:rFonts w:cstheme="minorHAnsi"/>
              <w:noProof/>
            </w:rPr>
          </w:pPr>
          <w:hyperlink w:anchor="_Toc215093000" w:history="1">
            <w:r w:rsidRPr="00393773">
              <w:rPr>
                <w:rStyle w:val="Hyperlink"/>
                <w:rFonts w:cstheme="minorHAnsi"/>
                <w:noProof/>
              </w:rPr>
              <w:t>2.8 Conclusion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_Toc215093000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9</w:t>
            </w:r>
            <w:r w:rsidRPr="00393773">
              <w:rPr>
                <w:rFonts w:cstheme="minorHAnsi"/>
                <w:noProof/>
                <w:webHidden/>
              </w:rPr>
              <w:fldChar w:fldCharType="end"/>
            </w:r>
          </w:hyperlink>
        </w:p>
        <w:p w14:paraId="104B109D" w14:textId="3984F3C2" w:rsidR="005E3402" w:rsidRPr="00393773" w:rsidRDefault="005E3402" w:rsidP="00393773">
          <w:pPr>
            <w:pStyle w:val="TOC1"/>
            <w:tabs>
              <w:tab w:val="right" w:leader="dot" w:pos="9350"/>
            </w:tabs>
            <w:spacing w:line="276" w:lineRule="auto"/>
            <w:jc w:val="both"/>
            <w:rPr>
              <w:rFonts w:cstheme="minorHAnsi"/>
              <w:noProof/>
            </w:rPr>
          </w:pPr>
          <w:hyperlink w:anchor="_Toc215093001" w:history="1">
            <w:r w:rsidRPr="00393773">
              <w:rPr>
                <w:rStyle w:val="Hyperlink"/>
                <w:rFonts w:cstheme="minorHAnsi"/>
                <w:noProof/>
              </w:rPr>
              <w:t>CHAPTER 3: METHODS (Expanded Version)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_Toc215093001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9</w:t>
            </w:r>
            <w:r w:rsidRPr="00393773">
              <w:rPr>
                <w:rFonts w:cstheme="minorHAnsi"/>
                <w:noProof/>
                <w:webHidden/>
              </w:rPr>
              <w:fldChar w:fldCharType="end"/>
            </w:r>
          </w:hyperlink>
        </w:p>
        <w:p w14:paraId="2AC91F6B" w14:textId="0E4A4BF6" w:rsidR="005E3402" w:rsidRPr="00393773" w:rsidRDefault="005E3402" w:rsidP="00393773">
          <w:pPr>
            <w:pStyle w:val="TOC2"/>
            <w:tabs>
              <w:tab w:val="right" w:leader="dot" w:pos="9350"/>
            </w:tabs>
            <w:spacing w:line="276" w:lineRule="auto"/>
            <w:jc w:val="both"/>
            <w:rPr>
              <w:rFonts w:cstheme="minorHAnsi"/>
              <w:noProof/>
            </w:rPr>
          </w:pPr>
          <w:hyperlink w:anchor="_Toc215093002" w:history="1">
            <w:r w:rsidRPr="00393773">
              <w:rPr>
                <w:rStyle w:val="Hyperlink"/>
                <w:rFonts w:cstheme="minorHAnsi"/>
                <w:noProof/>
              </w:rPr>
              <w:t>3.1 Introduction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_Toc215093002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9</w:t>
            </w:r>
            <w:r w:rsidRPr="00393773">
              <w:rPr>
                <w:rFonts w:cstheme="minorHAnsi"/>
                <w:noProof/>
                <w:webHidden/>
              </w:rPr>
              <w:fldChar w:fldCharType="end"/>
            </w:r>
          </w:hyperlink>
        </w:p>
        <w:p w14:paraId="00C7112F" w14:textId="1DD8C5E2" w:rsidR="005E3402" w:rsidRPr="00393773" w:rsidRDefault="005E3402" w:rsidP="00393773">
          <w:pPr>
            <w:pStyle w:val="TOC2"/>
            <w:tabs>
              <w:tab w:val="right" w:leader="dot" w:pos="9350"/>
            </w:tabs>
            <w:spacing w:line="276" w:lineRule="auto"/>
            <w:jc w:val="both"/>
            <w:rPr>
              <w:rFonts w:cstheme="minorHAnsi"/>
              <w:noProof/>
            </w:rPr>
          </w:pPr>
          <w:hyperlink w:anchor="_Toc215093003" w:history="1">
            <w:r w:rsidRPr="00393773">
              <w:rPr>
                <w:rStyle w:val="Hyperlink"/>
                <w:rFonts w:cstheme="minorHAnsi"/>
                <w:noProof/>
              </w:rPr>
              <w:t>3.2 Research Questions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_Toc215093003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10</w:t>
            </w:r>
            <w:r w:rsidRPr="00393773">
              <w:rPr>
                <w:rFonts w:cstheme="minorHAnsi"/>
                <w:noProof/>
                <w:webHidden/>
              </w:rPr>
              <w:fldChar w:fldCharType="end"/>
            </w:r>
          </w:hyperlink>
        </w:p>
        <w:p w14:paraId="6FEAEC39" w14:textId="37AE2775" w:rsidR="005E3402" w:rsidRPr="00393773" w:rsidRDefault="005E3402" w:rsidP="00393773">
          <w:pPr>
            <w:pStyle w:val="TOC2"/>
            <w:tabs>
              <w:tab w:val="right" w:leader="dot" w:pos="9350"/>
            </w:tabs>
            <w:spacing w:line="276" w:lineRule="auto"/>
            <w:jc w:val="both"/>
            <w:rPr>
              <w:rFonts w:cstheme="minorHAnsi"/>
              <w:noProof/>
            </w:rPr>
          </w:pPr>
          <w:hyperlink w:anchor="_Toc215093004" w:history="1">
            <w:r w:rsidRPr="00393773">
              <w:rPr>
                <w:rStyle w:val="Hyperlink"/>
                <w:rFonts w:cstheme="minorHAnsi"/>
                <w:noProof/>
              </w:rPr>
              <w:t>3.3 Eligibility Criteria</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_Toc215093004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10</w:t>
            </w:r>
            <w:r w:rsidRPr="00393773">
              <w:rPr>
                <w:rFonts w:cstheme="minorHAnsi"/>
                <w:noProof/>
                <w:webHidden/>
              </w:rPr>
              <w:fldChar w:fldCharType="end"/>
            </w:r>
          </w:hyperlink>
        </w:p>
        <w:p w14:paraId="227530BC" w14:textId="6B08F26A" w:rsidR="005E3402" w:rsidRPr="00393773" w:rsidRDefault="005E3402" w:rsidP="00393773">
          <w:pPr>
            <w:pStyle w:val="TOC2"/>
            <w:tabs>
              <w:tab w:val="right" w:leader="dot" w:pos="9350"/>
            </w:tabs>
            <w:spacing w:line="276" w:lineRule="auto"/>
            <w:jc w:val="both"/>
            <w:rPr>
              <w:rFonts w:cstheme="minorHAnsi"/>
              <w:noProof/>
            </w:rPr>
          </w:pPr>
          <w:hyperlink w:anchor="_Toc215093005" w:history="1">
            <w:r w:rsidRPr="00393773">
              <w:rPr>
                <w:rStyle w:val="Hyperlink"/>
                <w:rFonts w:cstheme="minorHAnsi"/>
                <w:noProof/>
              </w:rPr>
              <w:t>3.4 Search Strategy</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_Toc215093005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11</w:t>
            </w:r>
            <w:r w:rsidRPr="00393773">
              <w:rPr>
                <w:rFonts w:cstheme="minorHAnsi"/>
                <w:noProof/>
                <w:webHidden/>
              </w:rPr>
              <w:fldChar w:fldCharType="end"/>
            </w:r>
          </w:hyperlink>
        </w:p>
        <w:p w14:paraId="04DB5C37" w14:textId="588D116B" w:rsidR="005E3402" w:rsidRPr="00393773" w:rsidRDefault="005E3402" w:rsidP="00393773">
          <w:pPr>
            <w:pStyle w:val="TOC2"/>
            <w:tabs>
              <w:tab w:val="right" w:leader="dot" w:pos="9350"/>
            </w:tabs>
            <w:spacing w:line="276" w:lineRule="auto"/>
            <w:jc w:val="both"/>
            <w:rPr>
              <w:rFonts w:cstheme="minorHAnsi"/>
              <w:noProof/>
            </w:rPr>
          </w:pPr>
          <w:hyperlink w:anchor="_Toc215093006" w:history="1">
            <w:r w:rsidRPr="00393773">
              <w:rPr>
                <w:rStyle w:val="Hyperlink"/>
                <w:rFonts w:cstheme="minorHAnsi"/>
                <w:noProof/>
              </w:rPr>
              <w:t>3.5 Study Selection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_Toc215093006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11</w:t>
            </w:r>
            <w:r w:rsidRPr="00393773">
              <w:rPr>
                <w:rFonts w:cstheme="minorHAnsi"/>
                <w:noProof/>
                <w:webHidden/>
              </w:rPr>
              <w:fldChar w:fldCharType="end"/>
            </w:r>
          </w:hyperlink>
        </w:p>
        <w:p w14:paraId="6E6D5B22" w14:textId="13043126" w:rsidR="005E3402" w:rsidRPr="00393773" w:rsidRDefault="005E3402" w:rsidP="00393773">
          <w:pPr>
            <w:pStyle w:val="TOC2"/>
            <w:tabs>
              <w:tab w:val="right" w:leader="dot" w:pos="9350"/>
            </w:tabs>
            <w:spacing w:line="276" w:lineRule="auto"/>
            <w:jc w:val="both"/>
            <w:rPr>
              <w:rFonts w:cstheme="minorHAnsi"/>
              <w:noProof/>
            </w:rPr>
          </w:pPr>
          <w:hyperlink w:anchor="_Toc215093007" w:history="1">
            <w:r w:rsidRPr="00393773">
              <w:rPr>
                <w:rStyle w:val="Hyperlink"/>
                <w:rFonts w:cstheme="minorHAnsi"/>
                <w:noProof/>
              </w:rPr>
              <w:t>3.6 Data Charting</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_Toc215093007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11</w:t>
            </w:r>
            <w:r w:rsidRPr="00393773">
              <w:rPr>
                <w:rFonts w:cstheme="minorHAnsi"/>
                <w:noProof/>
                <w:webHidden/>
              </w:rPr>
              <w:fldChar w:fldCharType="end"/>
            </w:r>
          </w:hyperlink>
        </w:p>
        <w:p w14:paraId="744E072F" w14:textId="6EDDF5C1" w:rsidR="005E3402" w:rsidRPr="00393773" w:rsidRDefault="005E3402" w:rsidP="00393773">
          <w:pPr>
            <w:pStyle w:val="TOC2"/>
            <w:tabs>
              <w:tab w:val="right" w:leader="dot" w:pos="9350"/>
            </w:tabs>
            <w:spacing w:line="276" w:lineRule="auto"/>
            <w:jc w:val="both"/>
            <w:rPr>
              <w:rFonts w:cstheme="minorHAnsi"/>
              <w:noProof/>
            </w:rPr>
          </w:pPr>
          <w:hyperlink w:anchor="_Toc215093008" w:history="1">
            <w:r w:rsidRPr="00393773">
              <w:rPr>
                <w:rStyle w:val="Hyperlink"/>
                <w:rFonts w:cstheme="minorHAnsi"/>
                <w:noProof/>
              </w:rPr>
              <w:t>3.7 Data Synthesis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_Toc215093008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12</w:t>
            </w:r>
            <w:r w:rsidRPr="00393773">
              <w:rPr>
                <w:rFonts w:cstheme="minorHAnsi"/>
                <w:noProof/>
                <w:webHidden/>
              </w:rPr>
              <w:fldChar w:fldCharType="end"/>
            </w:r>
          </w:hyperlink>
        </w:p>
        <w:p w14:paraId="70767C33" w14:textId="2A556E2F" w:rsidR="005E3402" w:rsidRPr="00393773" w:rsidRDefault="005E3402" w:rsidP="00393773">
          <w:pPr>
            <w:pStyle w:val="TOC2"/>
            <w:tabs>
              <w:tab w:val="right" w:leader="dot" w:pos="9350"/>
            </w:tabs>
            <w:spacing w:line="276" w:lineRule="auto"/>
            <w:jc w:val="both"/>
            <w:rPr>
              <w:rFonts w:cstheme="minorHAnsi"/>
              <w:noProof/>
            </w:rPr>
          </w:pPr>
          <w:hyperlink w:anchor="_Toc215093009" w:history="1">
            <w:r w:rsidRPr="00393773">
              <w:rPr>
                <w:rStyle w:val="Hyperlink"/>
                <w:rFonts w:cstheme="minorHAnsi"/>
                <w:noProof/>
              </w:rPr>
              <w:t>3.8 Ethical Considerations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_Toc215093009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12</w:t>
            </w:r>
            <w:r w:rsidRPr="00393773">
              <w:rPr>
                <w:rFonts w:cstheme="minorHAnsi"/>
                <w:noProof/>
                <w:webHidden/>
              </w:rPr>
              <w:fldChar w:fldCharType="end"/>
            </w:r>
          </w:hyperlink>
        </w:p>
        <w:p w14:paraId="0C87A08C" w14:textId="173DD7C0" w:rsidR="005E3402" w:rsidRPr="00393773" w:rsidRDefault="005E3402" w:rsidP="00393773">
          <w:pPr>
            <w:pStyle w:val="TOC2"/>
            <w:tabs>
              <w:tab w:val="right" w:leader="dot" w:pos="9350"/>
            </w:tabs>
            <w:spacing w:line="276" w:lineRule="auto"/>
            <w:jc w:val="both"/>
            <w:rPr>
              <w:rFonts w:cstheme="minorHAnsi"/>
              <w:noProof/>
            </w:rPr>
          </w:pPr>
          <w:hyperlink w:anchor="_Toc215093010" w:history="1">
            <w:r w:rsidRPr="00393773">
              <w:rPr>
                <w:rStyle w:val="Hyperlink"/>
                <w:rFonts w:cstheme="minorHAnsi"/>
                <w:noProof/>
              </w:rPr>
              <w:t>3.9 Limitations of the Method</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_Toc215093010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12</w:t>
            </w:r>
            <w:r w:rsidRPr="00393773">
              <w:rPr>
                <w:rFonts w:cstheme="minorHAnsi"/>
                <w:noProof/>
                <w:webHidden/>
              </w:rPr>
              <w:fldChar w:fldCharType="end"/>
            </w:r>
          </w:hyperlink>
        </w:p>
        <w:p w14:paraId="4A26E39D" w14:textId="05691F39" w:rsidR="005E3402" w:rsidRPr="00393773" w:rsidRDefault="005E3402" w:rsidP="00393773">
          <w:pPr>
            <w:pStyle w:val="TOC2"/>
            <w:tabs>
              <w:tab w:val="right" w:leader="dot" w:pos="9350"/>
            </w:tabs>
            <w:spacing w:line="276" w:lineRule="auto"/>
            <w:jc w:val="both"/>
            <w:rPr>
              <w:rFonts w:cstheme="minorHAnsi"/>
              <w:noProof/>
            </w:rPr>
          </w:pPr>
          <w:hyperlink w:anchor="_Toc215093011" w:history="1">
            <w:r w:rsidRPr="00393773">
              <w:rPr>
                <w:rStyle w:val="Hyperlink"/>
                <w:rFonts w:cstheme="minorHAnsi"/>
                <w:noProof/>
              </w:rPr>
              <w:t>3.10 Conclusion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_Toc215093011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13</w:t>
            </w:r>
            <w:r w:rsidRPr="00393773">
              <w:rPr>
                <w:rFonts w:cstheme="minorHAnsi"/>
                <w:noProof/>
                <w:webHidden/>
              </w:rPr>
              <w:fldChar w:fldCharType="end"/>
            </w:r>
          </w:hyperlink>
        </w:p>
        <w:p w14:paraId="50F6E62F" w14:textId="60A53033" w:rsidR="005E3402" w:rsidRPr="00393773" w:rsidRDefault="005E3402" w:rsidP="00393773">
          <w:pPr>
            <w:pStyle w:val="TOC3"/>
            <w:tabs>
              <w:tab w:val="right" w:leader="dot" w:pos="9350"/>
            </w:tabs>
            <w:spacing w:line="276" w:lineRule="auto"/>
            <w:jc w:val="both"/>
            <w:rPr>
              <w:rFonts w:cstheme="minorHAnsi"/>
              <w:noProof/>
            </w:rPr>
          </w:pPr>
          <w:hyperlink w:anchor="_Toc215093012" w:history="1">
            <w:r w:rsidRPr="00393773">
              <w:rPr>
                <w:rStyle w:val="Hyperlink"/>
                <w:rFonts w:cstheme="minorHAnsi"/>
                <w:noProof/>
              </w:rPr>
              <w:t>CHAPTER 4: RESULTS AND DISCUSSION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_Toc215093012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13</w:t>
            </w:r>
            <w:r w:rsidRPr="00393773">
              <w:rPr>
                <w:rFonts w:cstheme="minorHAnsi"/>
                <w:noProof/>
                <w:webHidden/>
              </w:rPr>
              <w:fldChar w:fldCharType="end"/>
            </w:r>
          </w:hyperlink>
        </w:p>
        <w:p w14:paraId="2AE98559" w14:textId="7BBF9B47" w:rsidR="005E3402" w:rsidRPr="00393773" w:rsidRDefault="005E3402" w:rsidP="00393773">
          <w:pPr>
            <w:pStyle w:val="TOC2"/>
            <w:tabs>
              <w:tab w:val="right" w:leader="dot" w:pos="9350"/>
            </w:tabs>
            <w:spacing w:line="276" w:lineRule="auto"/>
            <w:jc w:val="both"/>
            <w:rPr>
              <w:rFonts w:cstheme="minorHAnsi"/>
              <w:noProof/>
            </w:rPr>
          </w:pPr>
          <w:hyperlink w:anchor="_Toc215093013" w:history="1">
            <w:r w:rsidRPr="00393773">
              <w:rPr>
                <w:rStyle w:val="Hyperlink"/>
                <w:rFonts w:cstheme="minorHAnsi"/>
                <w:noProof/>
              </w:rPr>
              <w:t>4.1 Introduction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_Toc215093013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13</w:t>
            </w:r>
            <w:r w:rsidRPr="00393773">
              <w:rPr>
                <w:rFonts w:cstheme="minorHAnsi"/>
                <w:noProof/>
                <w:webHidden/>
              </w:rPr>
              <w:fldChar w:fldCharType="end"/>
            </w:r>
          </w:hyperlink>
        </w:p>
        <w:p w14:paraId="5BAD6CDD" w14:textId="2170BB4E" w:rsidR="005E3402" w:rsidRPr="00393773" w:rsidRDefault="005E3402" w:rsidP="00393773">
          <w:pPr>
            <w:pStyle w:val="TOC2"/>
            <w:tabs>
              <w:tab w:val="right" w:leader="dot" w:pos="9350"/>
            </w:tabs>
            <w:spacing w:line="276" w:lineRule="auto"/>
            <w:jc w:val="both"/>
            <w:rPr>
              <w:rFonts w:cstheme="minorHAnsi"/>
              <w:noProof/>
            </w:rPr>
          </w:pPr>
          <w:hyperlink w:anchor="_Toc215093014" w:history="1">
            <w:r w:rsidRPr="00393773">
              <w:rPr>
                <w:rStyle w:val="Hyperlink"/>
                <w:rFonts w:cstheme="minorHAnsi"/>
                <w:noProof/>
              </w:rPr>
              <w:t>4.2 Burnout and Its Impact on Care Quality</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_Toc215093014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14</w:t>
            </w:r>
            <w:r w:rsidRPr="00393773">
              <w:rPr>
                <w:rFonts w:cstheme="minorHAnsi"/>
                <w:noProof/>
                <w:webHidden/>
              </w:rPr>
              <w:fldChar w:fldCharType="end"/>
            </w:r>
          </w:hyperlink>
        </w:p>
        <w:p w14:paraId="273649B5" w14:textId="3FE07293" w:rsidR="005E3402" w:rsidRPr="00393773" w:rsidRDefault="005E3402" w:rsidP="00393773">
          <w:pPr>
            <w:pStyle w:val="TOC2"/>
            <w:tabs>
              <w:tab w:val="right" w:leader="dot" w:pos="9350"/>
            </w:tabs>
            <w:spacing w:line="276" w:lineRule="auto"/>
            <w:jc w:val="both"/>
            <w:rPr>
              <w:rFonts w:cstheme="minorHAnsi"/>
              <w:noProof/>
            </w:rPr>
          </w:pPr>
          <w:hyperlink w:anchor="_Toc215093015" w:history="1">
            <w:r w:rsidRPr="00393773">
              <w:rPr>
                <w:rStyle w:val="Hyperlink"/>
                <w:rFonts w:cstheme="minorHAnsi"/>
                <w:noProof/>
              </w:rPr>
              <w:t>CHAPTER 4: RESULTS AND DISCUSSION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_Toc215093015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15</w:t>
            </w:r>
            <w:r w:rsidRPr="00393773">
              <w:rPr>
                <w:rFonts w:cstheme="minorHAnsi"/>
                <w:noProof/>
                <w:webHidden/>
              </w:rPr>
              <w:fldChar w:fldCharType="end"/>
            </w:r>
          </w:hyperlink>
        </w:p>
        <w:p w14:paraId="68B65C0D" w14:textId="501D3C4D" w:rsidR="005E3402" w:rsidRPr="00393773" w:rsidRDefault="005E3402" w:rsidP="00393773">
          <w:pPr>
            <w:pStyle w:val="TOC3"/>
            <w:tabs>
              <w:tab w:val="right" w:leader="dot" w:pos="9350"/>
            </w:tabs>
            <w:spacing w:line="276" w:lineRule="auto"/>
            <w:jc w:val="both"/>
            <w:rPr>
              <w:rFonts w:cstheme="minorHAnsi"/>
              <w:noProof/>
            </w:rPr>
          </w:pPr>
          <w:hyperlink w:anchor="_Toc215093016" w:history="1">
            <w:r w:rsidRPr="00393773">
              <w:rPr>
                <w:rStyle w:val="Hyperlink"/>
                <w:rFonts w:cstheme="minorHAnsi"/>
                <w:noProof/>
              </w:rPr>
              <w:t>4.3 Psychological Safety and Team Functioning</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_Toc215093016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15</w:t>
            </w:r>
            <w:r w:rsidRPr="00393773">
              <w:rPr>
                <w:rFonts w:cstheme="minorHAnsi"/>
                <w:noProof/>
                <w:webHidden/>
              </w:rPr>
              <w:fldChar w:fldCharType="end"/>
            </w:r>
          </w:hyperlink>
        </w:p>
        <w:p w14:paraId="36F63A83" w14:textId="53FA212C" w:rsidR="005E3402" w:rsidRPr="00393773" w:rsidRDefault="005E3402" w:rsidP="00393773">
          <w:pPr>
            <w:pStyle w:val="TOC3"/>
            <w:tabs>
              <w:tab w:val="right" w:leader="dot" w:pos="9350"/>
            </w:tabs>
            <w:spacing w:line="276" w:lineRule="auto"/>
            <w:jc w:val="both"/>
            <w:rPr>
              <w:rFonts w:cstheme="minorHAnsi"/>
              <w:noProof/>
            </w:rPr>
          </w:pPr>
          <w:hyperlink w:anchor="_Toc215093017" w:history="1">
            <w:r w:rsidRPr="00393773">
              <w:rPr>
                <w:rStyle w:val="Hyperlink"/>
                <w:rFonts w:cstheme="minorHAnsi"/>
                <w:noProof/>
              </w:rPr>
              <w:t>4.4 Empowerment, Autonomy, and Job Satisfaction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_Toc215093017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16</w:t>
            </w:r>
            <w:r w:rsidRPr="00393773">
              <w:rPr>
                <w:rFonts w:cstheme="minorHAnsi"/>
                <w:noProof/>
                <w:webHidden/>
              </w:rPr>
              <w:fldChar w:fldCharType="end"/>
            </w:r>
          </w:hyperlink>
        </w:p>
        <w:p w14:paraId="1F2F7AA0" w14:textId="63EE5CB2" w:rsidR="005E3402" w:rsidRPr="00393773" w:rsidRDefault="005E3402" w:rsidP="00393773">
          <w:pPr>
            <w:pStyle w:val="TOC3"/>
            <w:tabs>
              <w:tab w:val="right" w:leader="dot" w:pos="9350"/>
            </w:tabs>
            <w:spacing w:line="276" w:lineRule="auto"/>
            <w:jc w:val="both"/>
            <w:rPr>
              <w:rFonts w:cstheme="minorHAnsi"/>
              <w:noProof/>
            </w:rPr>
          </w:pPr>
          <w:hyperlink w:anchor="_Toc215093018" w:history="1">
            <w:r w:rsidRPr="00393773">
              <w:rPr>
                <w:rStyle w:val="Hyperlink"/>
                <w:rFonts w:cstheme="minorHAnsi"/>
                <w:noProof/>
              </w:rPr>
              <w:t>4.5 Organisational Culture and Leadership</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_Toc215093018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18</w:t>
            </w:r>
            <w:r w:rsidRPr="00393773">
              <w:rPr>
                <w:rFonts w:cstheme="minorHAnsi"/>
                <w:noProof/>
                <w:webHidden/>
              </w:rPr>
              <w:fldChar w:fldCharType="end"/>
            </w:r>
          </w:hyperlink>
        </w:p>
        <w:p w14:paraId="7B800717" w14:textId="6E2B1265" w:rsidR="005E3402" w:rsidRPr="00393773" w:rsidRDefault="005E3402" w:rsidP="00393773">
          <w:pPr>
            <w:pStyle w:val="TOC3"/>
            <w:tabs>
              <w:tab w:val="right" w:leader="dot" w:pos="9350"/>
            </w:tabs>
            <w:spacing w:line="276" w:lineRule="auto"/>
            <w:jc w:val="both"/>
            <w:rPr>
              <w:rFonts w:cstheme="minorHAnsi"/>
              <w:noProof/>
            </w:rPr>
          </w:pPr>
          <w:hyperlink w:anchor="_Toc215093019" w:history="1">
            <w:r w:rsidRPr="00393773">
              <w:rPr>
                <w:rStyle w:val="Hyperlink"/>
                <w:rFonts w:cstheme="minorHAnsi"/>
                <w:noProof/>
              </w:rPr>
              <w:t>4.6 Policy-Practice Gaps and Systemic Constraints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_Toc215093019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20</w:t>
            </w:r>
            <w:r w:rsidRPr="00393773">
              <w:rPr>
                <w:rFonts w:cstheme="minorHAnsi"/>
                <w:noProof/>
                <w:webHidden/>
              </w:rPr>
              <w:fldChar w:fldCharType="end"/>
            </w:r>
          </w:hyperlink>
        </w:p>
        <w:p w14:paraId="16704C02" w14:textId="4066E27C" w:rsidR="005E3402" w:rsidRPr="00393773" w:rsidRDefault="005E3402" w:rsidP="00393773">
          <w:pPr>
            <w:pStyle w:val="TOC2"/>
            <w:tabs>
              <w:tab w:val="right" w:leader="dot" w:pos="9350"/>
            </w:tabs>
            <w:spacing w:line="276" w:lineRule="auto"/>
            <w:jc w:val="both"/>
            <w:rPr>
              <w:rFonts w:cstheme="minorHAnsi"/>
              <w:noProof/>
            </w:rPr>
          </w:pPr>
          <w:hyperlink w:anchor="_Toc215093021" w:history="1">
            <w:r w:rsidRPr="00393773">
              <w:rPr>
                <w:rStyle w:val="Hyperlink"/>
                <w:rFonts w:cstheme="minorHAnsi"/>
                <w:noProof/>
              </w:rPr>
              <w:t xml:space="preserve"> CHAPTER 5: RECOMMENDATIONS AND CONCLUSION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_Toc215093021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22</w:t>
            </w:r>
            <w:r w:rsidRPr="00393773">
              <w:rPr>
                <w:rFonts w:cstheme="minorHAnsi"/>
                <w:noProof/>
                <w:webHidden/>
              </w:rPr>
              <w:fldChar w:fldCharType="end"/>
            </w:r>
          </w:hyperlink>
        </w:p>
        <w:p w14:paraId="6D209DB3" w14:textId="5EA09A7A" w:rsidR="005E3402" w:rsidRPr="00393773" w:rsidRDefault="005E3402" w:rsidP="00393773">
          <w:pPr>
            <w:pStyle w:val="TOC3"/>
            <w:tabs>
              <w:tab w:val="right" w:leader="dot" w:pos="9350"/>
            </w:tabs>
            <w:spacing w:line="276" w:lineRule="auto"/>
            <w:jc w:val="both"/>
            <w:rPr>
              <w:rFonts w:cstheme="minorHAnsi"/>
              <w:noProof/>
            </w:rPr>
          </w:pPr>
          <w:hyperlink w:anchor="_Toc215093022" w:history="1">
            <w:r w:rsidRPr="00393773">
              <w:rPr>
                <w:rStyle w:val="Hyperlink"/>
                <w:rFonts w:cstheme="minorHAnsi"/>
                <w:noProof/>
              </w:rPr>
              <w:t>5.1 Overview of Key Findings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_Toc215093022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23</w:t>
            </w:r>
            <w:r w:rsidRPr="00393773">
              <w:rPr>
                <w:rFonts w:cstheme="minorHAnsi"/>
                <w:noProof/>
                <w:webHidden/>
              </w:rPr>
              <w:fldChar w:fldCharType="end"/>
            </w:r>
          </w:hyperlink>
        </w:p>
        <w:p w14:paraId="174EC5FB" w14:textId="703EFF1B" w:rsidR="005E3402" w:rsidRPr="00393773" w:rsidRDefault="005E3402" w:rsidP="00393773">
          <w:pPr>
            <w:pStyle w:val="TOC3"/>
            <w:tabs>
              <w:tab w:val="right" w:leader="dot" w:pos="9350"/>
            </w:tabs>
            <w:spacing w:line="276" w:lineRule="auto"/>
            <w:jc w:val="both"/>
            <w:rPr>
              <w:rFonts w:cstheme="minorHAnsi"/>
              <w:noProof/>
            </w:rPr>
          </w:pPr>
          <w:hyperlink w:anchor="_Toc215093023" w:history="1">
            <w:r w:rsidRPr="00393773">
              <w:rPr>
                <w:rStyle w:val="Hyperlink"/>
                <w:rFonts w:cstheme="minorHAnsi"/>
                <w:noProof/>
              </w:rPr>
              <w:t>5.2 Recommendations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_Toc215093023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23</w:t>
            </w:r>
            <w:r w:rsidRPr="00393773">
              <w:rPr>
                <w:rFonts w:cstheme="minorHAnsi"/>
                <w:noProof/>
                <w:webHidden/>
              </w:rPr>
              <w:fldChar w:fldCharType="end"/>
            </w:r>
          </w:hyperlink>
        </w:p>
        <w:p w14:paraId="440DDBAA" w14:textId="43FED0B5" w:rsidR="005E3402" w:rsidRPr="00393773" w:rsidRDefault="005E3402" w:rsidP="00393773">
          <w:pPr>
            <w:pStyle w:val="TOC3"/>
            <w:tabs>
              <w:tab w:val="right" w:leader="dot" w:pos="9350"/>
            </w:tabs>
            <w:spacing w:line="276" w:lineRule="auto"/>
            <w:jc w:val="both"/>
            <w:rPr>
              <w:rFonts w:cstheme="minorHAnsi"/>
              <w:noProof/>
            </w:rPr>
          </w:pPr>
          <w:hyperlink w:anchor="_Toc215093024" w:history="1">
            <w:r w:rsidRPr="00393773">
              <w:rPr>
                <w:rStyle w:val="Hyperlink"/>
                <w:rFonts w:cstheme="minorHAnsi"/>
                <w:noProof/>
              </w:rPr>
              <w:t>5.3 Strengths and Limitations of the Study</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_Toc215093024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25</w:t>
            </w:r>
            <w:r w:rsidRPr="00393773">
              <w:rPr>
                <w:rFonts w:cstheme="minorHAnsi"/>
                <w:noProof/>
                <w:webHidden/>
              </w:rPr>
              <w:fldChar w:fldCharType="end"/>
            </w:r>
          </w:hyperlink>
        </w:p>
        <w:p w14:paraId="62B0EC69" w14:textId="71465E5B" w:rsidR="005E3402" w:rsidRPr="00393773" w:rsidRDefault="005E3402" w:rsidP="00393773">
          <w:pPr>
            <w:pStyle w:val="TOC3"/>
            <w:tabs>
              <w:tab w:val="right" w:leader="dot" w:pos="9350"/>
            </w:tabs>
            <w:spacing w:line="276" w:lineRule="auto"/>
            <w:jc w:val="both"/>
            <w:rPr>
              <w:rFonts w:cstheme="minorHAnsi"/>
              <w:noProof/>
            </w:rPr>
          </w:pPr>
          <w:hyperlink w:anchor="_Toc215093025" w:history="1">
            <w:r w:rsidRPr="00393773">
              <w:rPr>
                <w:rStyle w:val="Hyperlink"/>
                <w:rFonts w:cstheme="minorHAnsi"/>
                <w:noProof/>
              </w:rPr>
              <w:t>5.4 Conclusion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_Toc215093025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25</w:t>
            </w:r>
            <w:r w:rsidRPr="00393773">
              <w:rPr>
                <w:rFonts w:cstheme="minorHAnsi"/>
                <w:noProof/>
                <w:webHidden/>
              </w:rPr>
              <w:fldChar w:fldCharType="end"/>
            </w:r>
          </w:hyperlink>
        </w:p>
        <w:p w14:paraId="386A6850" w14:textId="4FC0A645" w:rsidR="005E3402" w:rsidRPr="00393773" w:rsidRDefault="005E3402" w:rsidP="00393773">
          <w:pPr>
            <w:pStyle w:val="TOC3"/>
            <w:tabs>
              <w:tab w:val="right" w:leader="dot" w:pos="9350"/>
            </w:tabs>
            <w:spacing w:line="276" w:lineRule="auto"/>
            <w:jc w:val="both"/>
            <w:rPr>
              <w:rFonts w:cstheme="minorHAnsi"/>
              <w:noProof/>
            </w:rPr>
          </w:pPr>
          <w:hyperlink w:anchor="_Toc215093026" w:history="1">
            <w:r w:rsidRPr="00393773">
              <w:rPr>
                <w:rStyle w:val="Hyperlink"/>
                <w:rFonts w:cstheme="minorHAnsi"/>
                <w:noProof/>
              </w:rPr>
              <w:t>5.4 Expanded Conclusion</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_Toc215093026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25</w:t>
            </w:r>
            <w:r w:rsidRPr="00393773">
              <w:rPr>
                <w:rFonts w:cstheme="minorHAnsi"/>
                <w:noProof/>
                <w:webHidden/>
              </w:rPr>
              <w:fldChar w:fldCharType="end"/>
            </w:r>
          </w:hyperlink>
        </w:p>
        <w:p w14:paraId="65309BAD" w14:textId="72921A5C" w:rsidR="005E3402" w:rsidRPr="00393773" w:rsidRDefault="005E3402" w:rsidP="00393773">
          <w:pPr>
            <w:pStyle w:val="TOC2"/>
            <w:tabs>
              <w:tab w:val="right" w:leader="dot" w:pos="9350"/>
            </w:tabs>
            <w:spacing w:line="276" w:lineRule="auto"/>
            <w:jc w:val="both"/>
            <w:rPr>
              <w:rFonts w:cstheme="minorHAnsi"/>
              <w:noProof/>
            </w:rPr>
          </w:pPr>
          <w:hyperlink w:anchor="_Toc215093027" w:history="1">
            <w:r w:rsidRPr="00393773">
              <w:rPr>
                <w:rStyle w:val="Hyperlink"/>
                <w:rFonts w:cstheme="minorHAnsi"/>
                <w:noProof/>
              </w:rPr>
              <w:t>References</w:t>
            </w:r>
            <w:r w:rsidRPr="00393773">
              <w:rPr>
                <w:rFonts w:cstheme="minorHAnsi"/>
                <w:noProof/>
                <w:webHidden/>
              </w:rPr>
              <w:tab/>
            </w:r>
            <w:r w:rsidRPr="00393773">
              <w:rPr>
                <w:rFonts w:cstheme="minorHAnsi"/>
                <w:noProof/>
                <w:webHidden/>
              </w:rPr>
              <w:fldChar w:fldCharType="begin"/>
            </w:r>
            <w:r w:rsidRPr="00393773">
              <w:rPr>
                <w:rFonts w:cstheme="minorHAnsi"/>
                <w:noProof/>
                <w:webHidden/>
              </w:rPr>
              <w:instrText xml:space="preserve"> PAGEREF _Toc215093027 \h </w:instrText>
            </w:r>
            <w:r w:rsidRPr="00393773">
              <w:rPr>
                <w:rFonts w:cstheme="minorHAnsi"/>
                <w:noProof/>
                <w:webHidden/>
              </w:rPr>
            </w:r>
            <w:r w:rsidRPr="00393773">
              <w:rPr>
                <w:rFonts w:cstheme="minorHAnsi"/>
                <w:noProof/>
                <w:webHidden/>
              </w:rPr>
              <w:fldChar w:fldCharType="separate"/>
            </w:r>
            <w:r w:rsidRPr="00393773">
              <w:rPr>
                <w:rFonts w:cstheme="minorHAnsi"/>
                <w:noProof/>
                <w:webHidden/>
              </w:rPr>
              <w:t>27</w:t>
            </w:r>
            <w:r w:rsidRPr="00393773">
              <w:rPr>
                <w:rFonts w:cstheme="minorHAnsi"/>
                <w:noProof/>
                <w:webHidden/>
              </w:rPr>
              <w:fldChar w:fldCharType="end"/>
            </w:r>
          </w:hyperlink>
        </w:p>
        <w:p w14:paraId="13FB4A98" w14:textId="460B93D3" w:rsidR="005E3402" w:rsidRPr="00393773" w:rsidRDefault="005E3402" w:rsidP="00393773">
          <w:pPr>
            <w:spacing w:line="276" w:lineRule="auto"/>
            <w:jc w:val="both"/>
            <w:rPr>
              <w:rFonts w:cstheme="minorHAnsi"/>
            </w:rPr>
          </w:pPr>
          <w:r w:rsidRPr="00393773">
            <w:rPr>
              <w:rFonts w:cstheme="minorHAnsi"/>
              <w:b/>
              <w:bCs/>
              <w:noProof/>
            </w:rPr>
            <w:fldChar w:fldCharType="end"/>
          </w:r>
        </w:p>
      </w:sdtContent>
    </w:sdt>
    <w:p w14:paraId="30FD56DB" w14:textId="77777777" w:rsidR="005E3402" w:rsidRPr="00393773" w:rsidRDefault="005E3402" w:rsidP="00393773">
      <w:pPr>
        <w:pStyle w:val="Heading2"/>
        <w:spacing w:line="276" w:lineRule="auto"/>
        <w:jc w:val="both"/>
        <w:rPr>
          <w:rFonts w:asciiTheme="minorHAnsi" w:hAnsiTheme="minorHAnsi" w:cstheme="minorHAnsi"/>
        </w:rPr>
      </w:pPr>
      <w:bookmarkStart w:id="1" w:name="_Toc215092981"/>
      <w:r w:rsidRPr="00393773">
        <w:rPr>
          <w:rStyle w:val="Strong"/>
          <w:rFonts w:asciiTheme="minorHAnsi" w:hAnsiTheme="minorHAnsi" w:cstheme="minorHAnsi"/>
          <w:b w:val="0"/>
          <w:bCs w:val="0"/>
        </w:rPr>
        <w:t>Abstract</w:t>
      </w:r>
      <w:bookmarkEnd w:id="1"/>
    </w:p>
    <w:p w14:paraId="47EA8412" w14:textId="77777777" w:rsidR="00393773" w:rsidRPr="00393773" w:rsidRDefault="00393773" w:rsidP="00393773">
      <w:pPr>
        <w:spacing w:before="100" w:beforeAutospacing="1" w:after="100" w:afterAutospacing="1" w:line="276" w:lineRule="auto"/>
        <w:jc w:val="both"/>
        <w:outlineLvl w:val="0"/>
        <w:rPr>
          <w:rFonts w:eastAsia="Times New Roman" w:cstheme="minorHAnsi"/>
          <w:sz w:val="24"/>
          <w:szCs w:val="24"/>
        </w:rPr>
      </w:pPr>
      <w:bookmarkStart w:id="2" w:name="_Toc215092982"/>
      <w:r w:rsidRPr="00393773">
        <w:rPr>
          <w:rFonts w:eastAsia="Times New Roman" w:cstheme="minorHAnsi"/>
          <w:sz w:val="24"/>
          <w:szCs w:val="24"/>
        </w:rPr>
        <w:t>The issue of workforce wellbeing has become a vital issue in health and social care, especially given the growing demands of services, and staffing gaps, as well as long-term consequences of the COVID-19 pandemic. The study presented in this dissertation seeks to address the association between workforce wellbeing and quality of care by conducting a scoping review of the literature published after 2020. The purpose of the study was to chart the main factors that impact the wellbeing of staff and to assess how these, in their turn, impact care outcomes in different health and social care organizations in the UK, with few international comparisons selected.</w:t>
      </w:r>
    </w:p>
    <w:p w14:paraId="0AD9882D" w14:textId="77777777" w:rsidR="00393773" w:rsidRPr="00393773" w:rsidRDefault="00393773" w:rsidP="00393773">
      <w:pPr>
        <w:spacing w:before="100" w:beforeAutospacing="1" w:after="100" w:afterAutospacing="1" w:line="276" w:lineRule="auto"/>
        <w:jc w:val="both"/>
        <w:outlineLvl w:val="0"/>
        <w:rPr>
          <w:rFonts w:eastAsia="Times New Roman" w:cstheme="minorHAnsi"/>
          <w:sz w:val="24"/>
          <w:szCs w:val="24"/>
        </w:rPr>
      </w:pPr>
      <w:r w:rsidRPr="00393773">
        <w:rPr>
          <w:rFonts w:eastAsia="Times New Roman" w:cstheme="minorHAnsi"/>
          <w:sz w:val="24"/>
          <w:szCs w:val="24"/>
        </w:rPr>
        <w:t xml:space="preserve">Empirical research, grey literature and policy documents were </w:t>
      </w:r>
      <w:proofErr w:type="spellStart"/>
      <w:r w:rsidRPr="00393773">
        <w:rPr>
          <w:rFonts w:eastAsia="Times New Roman" w:cstheme="minorHAnsi"/>
          <w:sz w:val="24"/>
          <w:szCs w:val="24"/>
        </w:rPr>
        <w:t>analysed</w:t>
      </w:r>
      <w:proofErr w:type="spellEnd"/>
      <w:r w:rsidRPr="00393773">
        <w:rPr>
          <w:rFonts w:eastAsia="Times New Roman" w:cstheme="minorHAnsi"/>
          <w:sz w:val="24"/>
          <w:szCs w:val="24"/>
        </w:rPr>
        <w:t xml:space="preserve"> based on seventy-four sources. It was a thematic review that was interpreted through a mixture of theoretical frameworks: the Hierarchy of Needs of Maslow, the Empowerment Theory, the Job Demands-Resources(JD-R) model, and the NHS Workforce Wellbeing Framework. Five main themes were determined; burnout and its effects on care quality; psychological safety and team functioning; empowerment, autonomy, and job-satisfaction;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culture and leadership; and policy-practice gaps and systemic constraints.</w:t>
      </w:r>
    </w:p>
    <w:p w14:paraId="5649CD76" w14:textId="77777777" w:rsidR="00393773" w:rsidRPr="00393773" w:rsidRDefault="00393773" w:rsidP="00393773">
      <w:pPr>
        <w:spacing w:before="100" w:beforeAutospacing="1" w:after="100" w:afterAutospacing="1" w:line="276" w:lineRule="auto"/>
        <w:jc w:val="both"/>
        <w:outlineLvl w:val="0"/>
        <w:rPr>
          <w:rFonts w:eastAsia="Times New Roman" w:cstheme="minorHAnsi"/>
          <w:sz w:val="24"/>
          <w:szCs w:val="24"/>
        </w:rPr>
      </w:pPr>
      <w:r w:rsidRPr="00393773">
        <w:rPr>
          <w:rFonts w:eastAsia="Times New Roman" w:cstheme="minorHAnsi"/>
          <w:sz w:val="24"/>
          <w:szCs w:val="24"/>
        </w:rPr>
        <w:t xml:space="preserve">Results show that workforce wellbeing is not only a personal issue but a systemic factor that determines the quality of care. Negative care outcomes such as patient satisfaction, clinical errors, and staff turnover were always associated with high levels of burnout, poor psychological </w:t>
      </w:r>
      <w:r w:rsidRPr="00393773">
        <w:rPr>
          <w:rFonts w:eastAsia="Times New Roman" w:cstheme="minorHAnsi"/>
          <w:sz w:val="24"/>
          <w:szCs w:val="24"/>
        </w:rPr>
        <w:lastRenderedPageBreak/>
        <w:t xml:space="preserve">safety and lack of empowerment. On the other hand, inclusive leadership, enabling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cultures, and policy implementation of meaning were identified to enhance the staff experience and effectiveness of care.</w:t>
      </w:r>
    </w:p>
    <w:p w14:paraId="0B9F945A" w14:textId="77777777" w:rsidR="00393773" w:rsidRPr="00393773" w:rsidRDefault="00393773" w:rsidP="00393773">
      <w:pPr>
        <w:spacing w:before="100" w:beforeAutospacing="1" w:after="100" w:afterAutospacing="1" w:line="276" w:lineRule="auto"/>
        <w:jc w:val="both"/>
        <w:outlineLvl w:val="0"/>
        <w:rPr>
          <w:rFonts w:eastAsia="Times New Roman" w:cstheme="minorHAnsi"/>
          <w:sz w:val="24"/>
          <w:szCs w:val="24"/>
        </w:rPr>
      </w:pPr>
      <w:r w:rsidRPr="00393773">
        <w:rPr>
          <w:rFonts w:eastAsia="Times New Roman" w:cstheme="minorHAnsi"/>
          <w:sz w:val="24"/>
          <w:szCs w:val="24"/>
        </w:rPr>
        <w:t xml:space="preserve">The report finds that long-term commitment to workforce health is the key to providing high-quality, caring care. These have been recommended to be embedded in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strategy, enhanced staffing and funding, inclusive leadership, and structural inequalities. The study makes a contribution to the evidence-based informing workforce planning, policy development, and leadership practice in the health and social care field.</w:t>
      </w:r>
    </w:p>
    <w:p w14:paraId="271B30A1" w14:textId="1443E472" w:rsidR="005E3402" w:rsidRPr="00393773" w:rsidRDefault="005E3402" w:rsidP="00393773">
      <w:pPr>
        <w:spacing w:before="100" w:beforeAutospacing="1" w:after="100" w:afterAutospacing="1" w:line="276" w:lineRule="auto"/>
        <w:jc w:val="both"/>
        <w:outlineLvl w:val="0"/>
        <w:rPr>
          <w:rFonts w:eastAsia="Times New Roman" w:cstheme="minorHAnsi"/>
          <w:b/>
          <w:bCs/>
          <w:kern w:val="36"/>
          <w:sz w:val="48"/>
          <w:szCs w:val="48"/>
        </w:rPr>
      </w:pPr>
      <w:r w:rsidRPr="00393773">
        <w:rPr>
          <w:rFonts w:eastAsia="Times New Roman" w:cstheme="minorHAnsi"/>
          <w:b/>
          <w:bCs/>
          <w:kern w:val="36"/>
          <w:sz w:val="48"/>
          <w:szCs w:val="48"/>
        </w:rPr>
        <w:t>CHAPTER 1: INTRODUCTION</w:t>
      </w:r>
      <w:bookmarkEnd w:id="2"/>
    </w:p>
    <w:p w14:paraId="59254875" w14:textId="77777777" w:rsidR="005E3402" w:rsidRPr="00393773" w:rsidRDefault="005E3402" w:rsidP="00393773">
      <w:pPr>
        <w:spacing w:before="100" w:beforeAutospacing="1" w:after="100" w:afterAutospacing="1" w:line="276" w:lineRule="auto"/>
        <w:jc w:val="both"/>
        <w:outlineLvl w:val="2"/>
        <w:rPr>
          <w:rFonts w:eastAsia="Times New Roman" w:cstheme="minorHAnsi"/>
          <w:b/>
          <w:bCs/>
          <w:sz w:val="27"/>
          <w:szCs w:val="27"/>
        </w:rPr>
      </w:pPr>
      <w:bookmarkStart w:id="3" w:name="_Toc215092983"/>
      <w:r w:rsidRPr="00393773">
        <w:rPr>
          <w:rFonts w:eastAsia="Times New Roman" w:cstheme="minorHAnsi"/>
          <w:b/>
          <w:bCs/>
          <w:sz w:val="27"/>
          <w:szCs w:val="27"/>
        </w:rPr>
        <w:t>1.1 Introduction</w:t>
      </w:r>
      <w:bookmarkEnd w:id="3"/>
    </w:p>
    <w:p w14:paraId="0EC17B00" w14:textId="77777777" w:rsidR="00393773" w:rsidRPr="00393773" w:rsidRDefault="00393773" w:rsidP="00393773">
      <w:pPr>
        <w:spacing w:before="0" w:after="0" w:line="276" w:lineRule="auto"/>
        <w:jc w:val="both"/>
        <w:rPr>
          <w:rFonts w:eastAsia="Times New Roman" w:cstheme="minorHAnsi"/>
          <w:sz w:val="24"/>
          <w:szCs w:val="24"/>
        </w:rPr>
      </w:pPr>
      <w:bookmarkStart w:id="4" w:name="_Toc215092988"/>
      <w:r w:rsidRPr="00393773">
        <w:rPr>
          <w:rFonts w:eastAsia="Times New Roman" w:cstheme="minorHAnsi"/>
          <w:sz w:val="24"/>
          <w:szCs w:val="24"/>
        </w:rPr>
        <w:t xml:space="preserve">The effectiveness, resilience, and wellbeing of workforce are critical to health and social care systems. Over the past few years, workforce wellbeing has become a pressing issue in healthcare policy and studies, especially as healthcare systems are faced with rising demand, resource limitations, and lasting consequences of the COVID-19 pandemic. There is evidence that the quality and safety of care provided to patients and service users are tightly connected with the wellbeing of healthcare professionals (West et al., 2020; </w:t>
      </w:r>
      <w:proofErr w:type="spellStart"/>
      <w:r w:rsidRPr="00393773">
        <w:rPr>
          <w:rFonts w:eastAsia="Times New Roman" w:cstheme="minorHAnsi"/>
          <w:sz w:val="24"/>
          <w:szCs w:val="24"/>
        </w:rPr>
        <w:t>Shanafelt</w:t>
      </w:r>
      <w:proofErr w:type="spellEnd"/>
      <w:r w:rsidRPr="00393773">
        <w:rPr>
          <w:rFonts w:eastAsia="Times New Roman" w:cstheme="minorHAnsi"/>
          <w:sz w:val="24"/>
          <w:szCs w:val="24"/>
        </w:rPr>
        <w:t xml:space="preserve"> et al., 2021). As healthcare workers encounter burnout, chronic stress or emotional burnout, the effects may not only limit to individual health but may also spread to patient safety,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performance and overall health system sustainability.</w:t>
      </w:r>
    </w:p>
    <w:p w14:paraId="2F986ED7"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The national health service (NHS) and social care providers in the United Kingdom are experiencing escalating workforce demands, such as shortage of staff, work overload, and increasing instances of psychological distress among healthcare workers (The King’s Fund, 2023). NHS Digital (2023) reports that over 110,000 vacancies in the NHS workforce are presently vacant in England, and that the nursing, mental health, and community care specialties are the most severely understaffed ones. These staffing issues have increased in the aftermath of the COVID-19 pandemic that put unparalleled physical and emotional pressure on health and social care professionals (Hall et al., 2022).</w:t>
      </w:r>
    </w:p>
    <w:p w14:paraId="05E0FEA8"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The concept of workforce wellbeing has a wide scope and entails such aspects as psychological health, job satisfaction, workplace support, work-life balance, and professional autonomy (</w:t>
      </w:r>
      <w:proofErr w:type="spellStart"/>
      <w:r w:rsidRPr="00393773">
        <w:rPr>
          <w:rFonts w:eastAsia="Times New Roman" w:cstheme="minorHAnsi"/>
          <w:sz w:val="24"/>
          <w:szCs w:val="24"/>
        </w:rPr>
        <w:t>Kinman</w:t>
      </w:r>
      <w:proofErr w:type="spellEnd"/>
      <w:r w:rsidRPr="00393773">
        <w:rPr>
          <w:rFonts w:eastAsia="Times New Roman" w:cstheme="minorHAnsi"/>
          <w:sz w:val="24"/>
          <w:szCs w:val="24"/>
        </w:rPr>
        <w:t xml:space="preserve"> and </w:t>
      </w:r>
      <w:proofErr w:type="spellStart"/>
      <w:r w:rsidRPr="00393773">
        <w:rPr>
          <w:rFonts w:eastAsia="Times New Roman" w:cstheme="minorHAnsi"/>
          <w:sz w:val="24"/>
          <w:szCs w:val="24"/>
        </w:rPr>
        <w:t>Teoh</w:t>
      </w:r>
      <w:proofErr w:type="spellEnd"/>
      <w:r w:rsidRPr="00393773">
        <w:rPr>
          <w:rFonts w:eastAsia="Times New Roman" w:cstheme="minorHAnsi"/>
          <w:sz w:val="24"/>
          <w:szCs w:val="24"/>
        </w:rPr>
        <w:t xml:space="preserve">, 2021). Staff wellbeing in a healthcare setting that is </w:t>
      </w:r>
      <w:proofErr w:type="spellStart"/>
      <w:r w:rsidRPr="00393773">
        <w:rPr>
          <w:rFonts w:eastAsia="Times New Roman" w:cstheme="minorHAnsi"/>
          <w:sz w:val="24"/>
          <w:szCs w:val="24"/>
        </w:rPr>
        <w:t>characterised</w:t>
      </w:r>
      <w:proofErr w:type="spellEnd"/>
      <w:r w:rsidRPr="00393773">
        <w:rPr>
          <w:rFonts w:eastAsia="Times New Roman" w:cstheme="minorHAnsi"/>
          <w:sz w:val="24"/>
          <w:szCs w:val="24"/>
        </w:rPr>
        <w:t xml:space="preserve"> by high emotional labour, extended work hours, and intricate decision-making is especially difficult to maintain in such settings. Yet, recent literature indicates that staff wellbeing support is not only a beneficial factor to the employees but also the key to safe, effective, and compassionate care provision (Boamah et al., 2020).</w:t>
      </w:r>
    </w:p>
    <w:p w14:paraId="239630A0"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lastRenderedPageBreak/>
        <w:t xml:space="preserve">The systemic significance of workforce wellbeing is also noted in international studies. Clinician burnout has been recognized by the National Academy of Medicine in the United States as a significant risk to patient safety and sustainability of a healthcare system (NAM, 2022). Similarly, reports of Australian workforce indicate that employee wellbeing has a direct impact on retention, quality of service, and patient outcomes (Australian Institute of Health and Welfare, 2022). These results indicate that the workforce wellbeing is not a single personal problem but a structural one and has to be addressed by both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and policy efforts.</w:t>
      </w:r>
    </w:p>
    <w:p w14:paraId="53D42970"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 xml:space="preserve">To address these issues, a number of policy measures have been generated in the UK to enhance the wellbeing of staff and sustainability of the workforce. Both the NHS People Plan (NHS England, 2020) and the NHS Workforce Wellbeing Framework (NHS Improvement, 2021) highlight the significance of establishing </w:t>
      </w:r>
      <w:proofErr w:type="spellStart"/>
      <w:r w:rsidRPr="00393773">
        <w:rPr>
          <w:rFonts w:eastAsia="Times New Roman" w:cstheme="minorHAnsi"/>
          <w:sz w:val="24"/>
          <w:szCs w:val="24"/>
        </w:rPr>
        <w:t>favourable</w:t>
      </w:r>
      <w:proofErr w:type="spellEnd"/>
      <w:r w:rsidRPr="00393773">
        <w:rPr>
          <w:rFonts w:eastAsia="Times New Roman" w:cstheme="minorHAnsi"/>
          <w:sz w:val="24"/>
          <w:szCs w:val="24"/>
        </w:rPr>
        <w:t xml:space="preserve"> working conditions, fostering caring leadership, and psychological safety in medical teams. Although such policies show a high level of concern towards the wellbeing of the workforce, there is evidence that there are still considerable gaps between the intentions of the policies and how they are implemented in healthcare </w:t>
      </w:r>
      <w:proofErr w:type="spellStart"/>
      <w:r w:rsidRPr="00393773">
        <w:rPr>
          <w:rFonts w:eastAsia="Times New Roman" w:cstheme="minorHAnsi"/>
          <w:sz w:val="24"/>
          <w:szCs w:val="24"/>
        </w:rPr>
        <w:t>organisations</w:t>
      </w:r>
      <w:proofErr w:type="spellEnd"/>
      <w:r w:rsidRPr="00393773">
        <w:rPr>
          <w:rFonts w:eastAsia="Times New Roman" w:cstheme="minorHAnsi"/>
          <w:sz w:val="24"/>
          <w:szCs w:val="24"/>
        </w:rPr>
        <w:t xml:space="preserve"> (The King’s Fund, 2023).</w:t>
      </w:r>
    </w:p>
    <w:p w14:paraId="6895D783" w14:textId="7EEA6569"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 xml:space="preserve">As the growing importance of workforce wellbeing as a predictor of care quality is becoming more apparent, it is necessary to </w:t>
      </w:r>
      <w:proofErr w:type="spellStart"/>
      <w:r w:rsidRPr="00393773">
        <w:rPr>
          <w:rFonts w:eastAsia="Times New Roman" w:cstheme="minorHAnsi"/>
          <w:sz w:val="24"/>
          <w:szCs w:val="24"/>
        </w:rPr>
        <w:t>synthesise</w:t>
      </w:r>
      <w:proofErr w:type="spellEnd"/>
      <w:r w:rsidRPr="00393773">
        <w:rPr>
          <w:rFonts w:eastAsia="Times New Roman" w:cstheme="minorHAnsi"/>
          <w:sz w:val="24"/>
          <w:szCs w:val="24"/>
        </w:rPr>
        <w:t xml:space="preserve"> the available literature to gain a clearer insight into the role of these factors interacting. Although many studies have been conducted on the issue of burnout, job satisfaction, leadership and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culture, limited studies have determined the collective impact that these factors have on care outcomes in various health and social care contexts. The use of a scoping review approach will thus be suitable to map the existing evidence base and determine key themes in the literature.</w:t>
      </w:r>
    </w:p>
    <w:p w14:paraId="57799FA5"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1.2 Study Rationale.</w:t>
      </w:r>
    </w:p>
    <w:p w14:paraId="6FEE5BB9"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The justification of the proposed work is due to the increasing understanding that the wellbeing of the workforce is closely connected to the quality of healthcare and system resilience. Although more policies are paying attention to the welfare of staff members in the NHS, numerous medical practitioners still express extreme cases of stress, burnout, and unhappiness with their working conditions (BMA, 2023). Such issues cast doubt on the viability of the health and social care workforce and the impact this could have on patient safety and service provision.</w:t>
      </w:r>
    </w:p>
    <w:p w14:paraId="2641BFCB"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The literature has proven that there are definite links between wellbeing of the workforce and healthcare outcomes. As an illustration, researchers have discovered that an increased rate of staff engagement and job satisfaction correlates with a reduced death rate of patients, better safety rates, and increased patient satisfaction (West et al., 2020). On the contrary, work settings with burnout and low morale among staff members, as well as low leadership, are linked to more medical errors, less patient trust, and staff turnover (</w:t>
      </w:r>
      <w:proofErr w:type="spellStart"/>
      <w:r w:rsidRPr="00393773">
        <w:rPr>
          <w:rFonts w:eastAsia="Times New Roman" w:cstheme="minorHAnsi"/>
          <w:sz w:val="24"/>
          <w:szCs w:val="24"/>
        </w:rPr>
        <w:t>Shanafelt</w:t>
      </w:r>
      <w:proofErr w:type="spellEnd"/>
      <w:r w:rsidRPr="00393773">
        <w:rPr>
          <w:rFonts w:eastAsia="Times New Roman" w:cstheme="minorHAnsi"/>
          <w:sz w:val="24"/>
          <w:szCs w:val="24"/>
        </w:rPr>
        <w:t xml:space="preserve"> et al., 2021).</w:t>
      </w:r>
    </w:p>
    <w:p w14:paraId="4367A4B0" w14:textId="77777777" w:rsidR="00393773"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lastRenderedPageBreak/>
        <w:t xml:space="preserve">Although this is accumulating evidence, the correlation between care quality and workforce wellbeing is still multifaceted. Various studies also focus on various dimensions of wellbeing, such as psychological safety,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culture, leadership, and professional autonomy. Moreover, most of the current research concentrates on a particular professional population, including nurses or doctors, but not the wellbeing of the workforce in the overall health and social care environment.</w:t>
      </w:r>
    </w:p>
    <w:p w14:paraId="24F44EFE" w14:textId="194B2656" w:rsidR="00E20816" w:rsidRPr="00393773" w:rsidRDefault="00393773" w:rsidP="00393773">
      <w:pPr>
        <w:spacing w:before="0" w:after="0" w:line="276" w:lineRule="auto"/>
        <w:jc w:val="both"/>
        <w:rPr>
          <w:rFonts w:eastAsia="Times New Roman" w:cstheme="minorHAnsi"/>
          <w:sz w:val="24"/>
          <w:szCs w:val="24"/>
        </w:rPr>
      </w:pPr>
      <w:r w:rsidRPr="00393773">
        <w:rPr>
          <w:rFonts w:eastAsia="Times New Roman" w:cstheme="minorHAnsi"/>
          <w:sz w:val="24"/>
          <w:szCs w:val="24"/>
        </w:rPr>
        <w:t>The following study thus seeks to offer an in-depth synthesis of recent studies that have explored the linkage between workforce wellbeing and quality of care. Through a scoping review of current literature, the research aims to determine the main themes, theoretical views and policy implications that apply to workforce wellbeing in health and social care systems.</w:t>
      </w:r>
    </w:p>
    <w:p w14:paraId="730A6C0F" w14:textId="77777777" w:rsidR="00393773" w:rsidRPr="00393773" w:rsidRDefault="00393773" w:rsidP="00393773">
      <w:pPr>
        <w:spacing w:before="0" w:after="0" w:line="276" w:lineRule="auto"/>
        <w:jc w:val="both"/>
        <w:rPr>
          <w:rFonts w:eastAsia="Times New Roman" w:cstheme="minorHAnsi"/>
          <w:sz w:val="24"/>
          <w:szCs w:val="24"/>
        </w:rPr>
      </w:pPr>
    </w:p>
    <w:p w14:paraId="4B8730D4" w14:textId="77777777" w:rsidR="00E20816" w:rsidRPr="00393773" w:rsidRDefault="00E20816" w:rsidP="00393773">
      <w:pPr>
        <w:spacing w:before="100" w:beforeAutospacing="1" w:after="100" w:afterAutospacing="1" w:line="276" w:lineRule="auto"/>
        <w:jc w:val="both"/>
        <w:outlineLvl w:val="2"/>
        <w:rPr>
          <w:rFonts w:eastAsia="Times New Roman" w:cstheme="minorHAnsi"/>
          <w:b/>
          <w:bCs/>
          <w:sz w:val="27"/>
          <w:szCs w:val="27"/>
        </w:rPr>
      </w:pPr>
      <w:r w:rsidRPr="00393773">
        <w:rPr>
          <w:rFonts w:eastAsia="Times New Roman" w:cstheme="minorHAnsi"/>
          <w:b/>
          <w:bCs/>
          <w:sz w:val="27"/>
          <w:szCs w:val="27"/>
        </w:rPr>
        <w:t>1.3 Research Aim and Objectives</w:t>
      </w:r>
    </w:p>
    <w:p w14:paraId="1C690498" w14:textId="77777777" w:rsidR="00E20816" w:rsidRPr="00393773" w:rsidRDefault="00E20816"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b/>
          <w:bCs/>
          <w:sz w:val="24"/>
          <w:szCs w:val="24"/>
        </w:rPr>
        <w:t>Aim</w:t>
      </w:r>
    </w:p>
    <w:p w14:paraId="03E1EAF4" w14:textId="77777777" w:rsidR="00E20816" w:rsidRPr="00393773" w:rsidRDefault="00E20816"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To explore the relationship between workforce wellbeing and quality of care in health and social care settings through a scoping review of contemporary academic and policy literature.</w:t>
      </w:r>
    </w:p>
    <w:p w14:paraId="0CFF3ACE" w14:textId="77777777" w:rsidR="00E20816" w:rsidRPr="00393773" w:rsidRDefault="00E20816"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b/>
          <w:bCs/>
          <w:sz w:val="24"/>
          <w:szCs w:val="24"/>
        </w:rPr>
        <w:t>Objectives</w:t>
      </w:r>
    </w:p>
    <w:p w14:paraId="367FB219" w14:textId="77777777" w:rsidR="00E20816" w:rsidRPr="00393773" w:rsidRDefault="00E20816" w:rsidP="00393773">
      <w:pPr>
        <w:numPr>
          <w:ilvl w:val="0"/>
          <w:numId w:val="4"/>
        </w:num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To identify key components of workforce wellbeing discussed in the literature, including burnout, psychological safety, job satisfaction, and empowerment.</w:t>
      </w:r>
    </w:p>
    <w:p w14:paraId="5BE04AF0" w14:textId="77777777" w:rsidR="00E20816" w:rsidRPr="00393773" w:rsidRDefault="00E20816" w:rsidP="00393773">
      <w:pPr>
        <w:numPr>
          <w:ilvl w:val="0"/>
          <w:numId w:val="4"/>
        </w:num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To examine how workforce wellbeing influences indicators of care quality such as patient safety, service effectiveness, and patient satisfaction.</w:t>
      </w:r>
    </w:p>
    <w:p w14:paraId="46A7BB91" w14:textId="77777777" w:rsidR="00E20816" w:rsidRPr="00393773" w:rsidRDefault="00E20816" w:rsidP="00393773">
      <w:pPr>
        <w:numPr>
          <w:ilvl w:val="0"/>
          <w:numId w:val="4"/>
        </w:num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To </w:t>
      </w:r>
      <w:proofErr w:type="spellStart"/>
      <w:r w:rsidRPr="00393773">
        <w:rPr>
          <w:rFonts w:eastAsia="Times New Roman" w:cstheme="minorHAnsi"/>
          <w:sz w:val="24"/>
          <w:szCs w:val="24"/>
        </w:rPr>
        <w:t>analyse</w:t>
      </w:r>
      <w:proofErr w:type="spellEnd"/>
      <w:r w:rsidRPr="00393773">
        <w:rPr>
          <w:rFonts w:eastAsia="Times New Roman" w:cstheme="minorHAnsi"/>
          <w:sz w:val="24"/>
          <w:szCs w:val="24"/>
        </w:rPr>
        <w:t xml:space="preserve"> the role of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culture, leadership, and systemic factors in shaping workforce wellbeing.</w:t>
      </w:r>
    </w:p>
    <w:p w14:paraId="6F406FE7" w14:textId="15832235" w:rsidR="00E20816" w:rsidRPr="00393773" w:rsidRDefault="00E20816" w:rsidP="00393773">
      <w:pPr>
        <w:numPr>
          <w:ilvl w:val="0"/>
          <w:numId w:val="4"/>
        </w:num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To </w:t>
      </w:r>
      <w:proofErr w:type="spellStart"/>
      <w:r w:rsidRPr="00393773">
        <w:rPr>
          <w:rFonts w:eastAsia="Times New Roman" w:cstheme="minorHAnsi"/>
          <w:sz w:val="24"/>
          <w:szCs w:val="24"/>
        </w:rPr>
        <w:t>synthesise</w:t>
      </w:r>
      <w:proofErr w:type="spellEnd"/>
      <w:r w:rsidRPr="00393773">
        <w:rPr>
          <w:rFonts w:eastAsia="Times New Roman" w:cstheme="minorHAnsi"/>
          <w:sz w:val="24"/>
          <w:szCs w:val="24"/>
        </w:rPr>
        <w:t xml:space="preserve"> findings to inform recommendations for improving workforce wellbeing and care quality within health and social care systems.</w:t>
      </w:r>
    </w:p>
    <w:p w14:paraId="1611E9DB" w14:textId="77777777" w:rsidR="00E20816" w:rsidRPr="00393773" w:rsidRDefault="00E20816" w:rsidP="00393773">
      <w:pPr>
        <w:spacing w:before="100" w:beforeAutospacing="1" w:after="100" w:afterAutospacing="1" w:line="276" w:lineRule="auto"/>
        <w:jc w:val="both"/>
        <w:outlineLvl w:val="2"/>
        <w:rPr>
          <w:rFonts w:eastAsia="Times New Roman" w:cstheme="minorHAnsi"/>
          <w:b/>
          <w:bCs/>
          <w:sz w:val="27"/>
          <w:szCs w:val="27"/>
        </w:rPr>
      </w:pPr>
      <w:r w:rsidRPr="00393773">
        <w:rPr>
          <w:rFonts w:eastAsia="Times New Roman" w:cstheme="minorHAnsi"/>
          <w:b/>
          <w:bCs/>
          <w:sz w:val="27"/>
          <w:szCs w:val="27"/>
        </w:rPr>
        <w:t>1.4 Theoretical Framework</w:t>
      </w:r>
    </w:p>
    <w:p w14:paraId="1CB1E3DB" w14:textId="77777777" w:rsidR="00393773" w:rsidRPr="00393773" w:rsidRDefault="00393773"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This research relies on a number of theoretical approaches in the quest to comprehend the association between wellbeing of workforce and quality of care.</w:t>
      </w:r>
    </w:p>
    <w:p w14:paraId="6F7F13A2" w14:textId="77777777" w:rsidR="00393773" w:rsidRPr="00393773" w:rsidRDefault="00393773"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The Hierarchy of Needs offered by Maslow (Maslow, 1943) offers a starting point to explain how human motivation works. In healthcare contexts, the model indicates that professionals should not be able to reach higher levels of professional fulfilment and compassionate care delivery unless their basic physiological and psychological needs have been met, that is, they must first feel secure, belong and be </w:t>
      </w:r>
      <w:proofErr w:type="spellStart"/>
      <w:r w:rsidRPr="00393773">
        <w:rPr>
          <w:rFonts w:eastAsia="Times New Roman" w:cstheme="minorHAnsi"/>
          <w:sz w:val="24"/>
          <w:szCs w:val="24"/>
        </w:rPr>
        <w:t>recognised</w:t>
      </w:r>
      <w:proofErr w:type="spellEnd"/>
      <w:r w:rsidRPr="00393773">
        <w:rPr>
          <w:rFonts w:eastAsia="Times New Roman" w:cstheme="minorHAnsi"/>
          <w:sz w:val="24"/>
          <w:szCs w:val="24"/>
        </w:rPr>
        <w:t>.</w:t>
      </w:r>
    </w:p>
    <w:p w14:paraId="79212E33" w14:textId="77777777" w:rsidR="00393773" w:rsidRPr="00393773" w:rsidRDefault="00393773"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This research is also informed by the Empowerment Theory (Zimmerman, 2000) which highlights the significance of autonomy, participation, and access to resources in developing employee wellbeing and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performance. Empowerment in healthcare is linked to job satisfaction, enhanced teamwork, and improved patient outcomes (</w:t>
      </w:r>
      <w:proofErr w:type="spellStart"/>
      <w:r w:rsidRPr="00393773">
        <w:rPr>
          <w:rFonts w:eastAsia="Times New Roman" w:cstheme="minorHAnsi"/>
          <w:sz w:val="24"/>
          <w:szCs w:val="24"/>
        </w:rPr>
        <w:t>Laschinger</w:t>
      </w:r>
      <w:proofErr w:type="spellEnd"/>
      <w:r w:rsidRPr="00393773">
        <w:rPr>
          <w:rFonts w:eastAsia="Times New Roman" w:cstheme="minorHAnsi"/>
          <w:sz w:val="24"/>
          <w:szCs w:val="24"/>
        </w:rPr>
        <w:t xml:space="preserve"> et al., 2021).</w:t>
      </w:r>
    </w:p>
    <w:p w14:paraId="08F66094" w14:textId="77777777" w:rsidR="00393773" w:rsidRPr="00393773" w:rsidRDefault="00393773"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Another theory that can be used to </w:t>
      </w:r>
      <w:proofErr w:type="spellStart"/>
      <w:r w:rsidRPr="00393773">
        <w:rPr>
          <w:rFonts w:eastAsia="Times New Roman" w:cstheme="minorHAnsi"/>
          <w:sz w:val="24"/>
          <w:szCs w:val="24"/>
        </w:rPr>
        <w:t>analyse</w:t>
      </w:r>
      <w:proofErr w:type="spellEnd"/>
      <w:r w:rsidRPr="00393773">
        <w:rPr>
          <w:rFonts w:eastAsia="Times New Roman" w:cstheme="minorHAnsi"/>
          <w:sz w:val="24"/>
          <w:szCs w:val="24"/>
        </w:rPr>
        <w:t xml:space="preserve"> the wellbeing in the workplace is the Job Demands-Resources (JD-R) model (Bakker and Demerouti, 2017). This model is that burnout takes place when workload, emotional labour and time pressure are higher than the resources available to employees. However, in cases where </w:t>
      </w:r>
      <w:proofErr w:type="spellStart"/>
      <w:r w:rsidRPr="00393773">
        <w:rPr>
          <w:rFonts w:eastAsia="Times New Roman" w:cstheme="minorHAnsi"/>
          <w:sz w:val="24"/>
          <w:szCs w:val="24"/>
        </w:rPr>
        <w:t>organisations</w:t>
      </w:r>
      <w:proofErr w:type="spellEnd"/>
      <w:r w:rsidRPr="00393773">
        <w:rPr>
          <w:rFonts w:eastAsia="Times New Roman" w:cstheme="minorHAnsi"/>
          <w:sz w:val="24"/>
          <w:szCs w:val="24"/>
        </w:rPr>
        <w:t xml:space="preserve"> have adequate resources such as supportive leaders, professional development, and autonomy, employees will be more prone to engagement and wellbeing.</w:t>
      </w:r>
    </w:p>
    <w:p w14:paraId="6EE3BF97" w14:textId="77777777" w:rsidR="00393773" w:rsidRPr="00393773" w:rsidRDefault="00393773"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Lastly, NHS Workforce Wellbeing Framework (NHS Improvement, 2021) provides a policy-specific insight into defining the main </w:t>
      </w:r>
      <w:proofErr w:type="spellStart"/>
      <w:r w:rsidRPr="00393773">
        <w:rPr>
          <w:rFonts w:eastAsia="Times New Roman" w:cstheme="minorHAnsi"/>
          <w:sz w:val="24"/>
          <w:szCs w:val="24"/>
        </w:rPr>
        <w:t>organisational</w:t>
      </w:r>
      <w:proofErr w:type="spellEnd"/>
      <w:r w:rsidRPr="00393773">
        <w:rPr>
          <w:rFonts w:eastAsia="Times New Roman" w:cstheme="minorHAnsi"/>
          <w:sz w:val="24"/>
          <w:szCs w:val="24"/>
        </w:rPr>
        <w:t xml:space="preserve"> factors that promote staff wellbeing, such as leadership, inclusion, communication, and mental health access support.</w:t>
      </w:r>
    </w:p>
    <w:p w14:paraId="7586F2F5"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1.5 Structure of the Dissertation</w:t>
      </w:r>
    </w:p>
    <w:p w14:paraId="55238D59" w14:textId="77777777" w:rsidR="00393773" w:rsidRPr="00393773" w:rsidRDefault="00393773" w:rsidP="00393773">
      <w:pPr>
        <w:spacing w:before="100" w:beforeAutospacing="1" w:after="100" w:afterAutospacing="1" w:line="276" w:lineRule="auto"/>
        <w:jc w:val="both"/>
        <w:rPr>
          <w:rFonts w:eastAsia="Times New Roman" w:cstheme="minorHAnsi"/>
          <w:sz w:val="24"/>
          <w:szCs w:val="24"/>
        </w:rPr>
      </w:pPr>
      <w:r w:rsidRPr="00393773">
        <w:rPr>
          <w:rFonts w:eastAsia="Times New Roman" w:cstheme="minorHAnsi"/>
          <w:sz w:val="24"/>
          <w:szCs w:val="24"/>
        </w:rPr>
        <w:t xml:space="preserve">This dissertation is </w:t>
      </w:r>
      <w:proofErr w:type="spellStart"/>
      <w:r w:rsidRPr="00393773">
        <w:rPr>
          <w:rFonts w:eastAsia="Times New Roman" w:cstheme="minorHAnsi"/>
          <w:sz w:val="24"/>
          <w:szCs w:val="24"/>
        </w:rPr>
        <w:t>organised</w:t>
      </w:r>
      <w:proofErr w:type="spellEnd"/>
      <w:r w:rsidRPr="00393773">
        <w:rPr>
          <w:rFonts w:eastAsia="Times New Roman" w:cstheme="minorHAnsi"/>
          <w:sz w:val="24"/>
          <w:szCs w:val="24"/>
        </w:rPr>
        <w:t xml:space="preserve"> into five chapters.</w:t>
      </w:r>
    </w:p>
    <w:p w14:paraId="4FF28259" w14:textId="77777777" w:rsidR="00393773" w:rsidRPr="00393773" w:rsidRDefault="00393773" w:rsidP="00393773">
      <w:pPr>
        <w:spacing w:before="100" w:beforeAutospacing="1" w:after="100" w:afterAutospacing="1" w:line="276" w:lineRule="auto"/>
        <w:ind w:left="360"/>
        <w:jc w:val="both"/>
        <w:rPr>
          <w:rFonts w:eastAsia="Times New Roman" w:cstheme="minorHAnsi"/>
          <w:sz w:val="24"/>
          <w:szCs w:val="24"/>
        </w:rPr>
      </w:pPr>
      <w:r w:rsidRPr="00393773">
        <w:rPr>
          <w:rFonts w:eastAsia="Times New Roman" w:cstheme="minorHAnsi"/>
          <w:sz w:val="24"/>
          <w:szCs w:val="24"/>
        </w:rPr>
        <w:t>1. Chapter one defines the topic of the research, the purpose of the research and describes the reason behind the research study and the aims and objectives of the research and also the theoretical framework of the research.</w:t>
      </w:r>
    </w:p>
    <w:p w14:paraId="257F6334" w14:textId="77777777" w:rsidR="00393773" w:rsidRPr="00393773" w:rsidRDefault="00393773" w:rsidP="00393773">
      <w:pPr>
        <w:spacing w:before="100" w:beforeAutospacing="1" w:after="100" w:afterAutospacing="1" w:line="276" w:lineRule="auto"/>
        <w:ind w:left="360"/>
        <w:jc w:val="both"/>
        <w:rPr>
          <w:rFonts w:eastAsia="Times New Roman" w:cstheme="minorHAnsi"/>
          <w:sz w:val="24"/>
          <w:szCs w:val="24"/>
        </w:rPr>
      </w:pPr>
      <w:r w:rsidRPr="00393773">
        <w:rPr>
          <w:rFonts w:eastAsia="Times New Roman" w:cstheme="minorHAnsi"/>
          <w:sz w:val="24"/>
          <w:szCs w:val="24"/>
        </w:rPr>
        <w:t>2. Chapter two critically discusses the available literature on workforce wellbeing and care quality, considering theoretical approaches, empirical findings, and supporting policy systems.</w:t>
      </w:r>
    </w:p>
    <w:p w14:paraId="230D97B0" w14:textId="77777777" w:rsidR="00393773" w:rsidRPr="00393773" w:rsidRDefault="00393773" w:rsidP="00393773">
      <w:pPr>
        <w:spacing w:before="100" w:beforeAutospacing="1" w:after="100" w:afterAutospacing="1" w:line="276" w:lineRule="auto"/>
        <w:ind w:left="360"/>
        <w:jc w:val="both"/>
        <w:rPr>
          <w:rFonts w:eastAsia="Times New Roman" w:cstheme="minorHAnsi"/>
          <w:sz w:val="24"/>
          <w:szCs w:val="24"/>
        </w:rPr>
      </w:pPr>
      <w:r w:rsidRPr="00393773">
        <w:rPr>
          <w:rFonts w:eastAsia="Times New Roman" w:cstheme="minorHAnsi"/>
          <w:sz w:val="24"/>
          <w:szCs w:val="24"/>
        </w:rPr>
        <w:t>3. Chapter Three summarizes the research methodology that will be employed in the study, which includes the scoping review method, search strategy, inclusion criteria, and data analysis approach.</w:t>
      </w:r>
    </w:p>
    <w:p w14:paraId="5B80ED96" w14:textId="77777777" w:rsidR="00393773" w:rsidRPr="00393773" w:rsidRDefault="00393773" w:rsidP="00393773">
      <w:pPr>
        <w:spacing w:before="100" w:beforeAutospacing="1" w:after="100" w:afterAutospacing="1" w:line="276" w:lineRule="auto"/>
        <w:ind w:left="360"/>
        <w:jc w:val="both"/>
        <w:rPr>
          <w:rFonts w:eastAsia="Times New Roman" w:cstheme="minorHAnsi"/>
          <w:sz w:val="24"/>
          <w:szCs w:val="24"/>
        </w:rPr>
      </w:pPr>
      <w:r w:rsidRPr="00393773">
        <w:rPr>
          <w:rFonts w:eastAsia="Times New Roman" w:cstheme="minorHAnsi"/>
          <w:sz w:val="24"/>
          <w:szCs w:val="24"/>
        </w:rPr>
        <w:t>4.</w:t>
      </w:r>
      <w:r w:rsidRPr="00393773">
        <w:rPr>
          <w:rFonts w:eastAsia="Times New Roman" w:cstheme="minorHAnsi"/>
          <w:sz w:val="24"/>
          <w:szCs w:val="24"/>
        </w:rPr>
        <w:tab/>
        <w:t>Chapter Four outlines and reports the results of the scoping review and is structured on major themes found in the literature.</w:t>
      </w:r>
    </w:p>
    <w:p w14:paraId="49E0704B" w14:textId="73E376D8" w:rsidR="00E20816" w:rsidRPr="00393773" w:rsidRDefault="00393773" w:rsidP="00393773">
      <w:pPr>
        <w:spacing w:before="100" w:beforeAutospacing="1" w:after="100" w:afterAutospacing="1" w:line="276" w:lineRule="auto"/>
        <w:ind w:left="360"/>
        <w:jc w:val="both"/>
        <w:rPr>
          <w:rFonts w:eastAsia="Times New Roman" w:cstheme="minorHAnsi"/>
          <w:sz w:val="24"/>
          <w:szCs w:val="24"/>
        </w:rPr>
      </w:pPr>
      <w:r w:rsidRPr="00393773">
        <w:rPr>
          <w:rFonts w:eastAsia="Times New Roman" w:cstheme="minorHAnsi"/>
          <w:sz w:val="24"/>
          <w:szCs w:val="24"/>
        </w:rPr>
        <w:t xml:space="preserve">5. Chapter Five </w:t>
      </w:r>
      <w:proofErr w:type="spellStart"/>
      <w:r w:rsidRPr="00393773">
        <w:rPr>
          <w:rFonts w:eastAsia="Times New Roman" w:cstheme="minorHAnsi"/>
          <w:sz w:val="24"/>
          <w:szCs w:val="24"/>
        </w:rPr>
        <w:t>summarises</w:t>
      </w:r>
      <w:proofErr w:type="spellEnd"/>
      <w:r w:rsidRPr="00393773">
        <w:rPr>
          <w:rFonts w:eastAsia="Times New Roman" w:cstheme="minorHAnsi"/>
          <w:sz w:val="24"/>
          <w:szCs w:val="24"/>
        </w:rPr>
        <w:t xml:space="preserve"> the key findings of the study, gives policy and practice recommendations and discusses the limitations and implications of the research.</w:t>
      </w:r>
    </w:p>
    <w:p w14:paraId="05F66D5F" w14:textId="77777777" w:rsidR="00E20816" w:rsidRPr="00393773" w:rsidRDefault="00E20816" w:rsidP="00393773">
      <w:pPr>
        <w:pStyle w:val="Heading1"/>
        <w:spacing w:line="276" w:lineRule="auto"/>
        <w:jc w:val="both"/>
        <w:rPr>
          <w:rFonts w:asciiTheme="minorHAnsi" w:hAnsiTheme="minorHAnsi" w:cstheme="minorHAnsi"/>
        </w:rPr>
      </w:pPr>
      <w:bookmarkStart w:id="5" w:name="_Toc215093001"/>
      <w:bookmarkEnd w:id="4"/>
      <w:r w:rsidRPr="00393773">
        <w:rPr>
          <w:rFonts w:asciiTheme="minorHAnsi" w:hAnsiTheme="minorHAnsi" w:cstheme="minorHAnsi"/>
        </w:rPr>
        <w:t>CHAPTER 2: BACKGROUND AND LITERATURE REVIEW</w:t>
      </w:r>
    </w:p>
    <w:p w14:paraId="59CE99FF" w14:textId="77777777" w:rsidR="00E20816" w:rsidRPr="00393773" w:rsidRDefault="00E20816" w:rsidP="00393773">
      <w:pPr>
        <w:pStyle w:val="Heading2"/>
        <w:spacing w:line="276" w:lineRule="auto"/>
        <w:jc w:val="both"/>
        <w:rPr>
          <w:rFonts w:asciiTheme="minorHAnsi" w:hAnsiTheme="minorHAnsi" w:cstheme="minorHAnsi"/>
        </w:rPr>
      </w:pPr>
      <w:r w:rsidRPr="00393773">
        <w:rPr>
          <w:rFonts w:asciiTheme="minorHAnsi" w:hAnsiTheme="minorHAnsi" w:cstheme="minorHAnsi"/>
        </w:rPr>
        <w:t>2.1 Introduction</w:t>
      </w:r>
    </w:p>
    <w:p w14:paraId="62FB717D"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Health and social care professional wellbeing has emerged as a more and more salient topic in healthcare research and policy discourse, especially following the COVID-19 pandemic. It is well-known that workforce wellbeing is a vital element that impacts not only employee satisfaction and retention but also the safety, effectiveness, and quality of provided care to patients and service users (West et al., 2020; </w:t>
      </w:r>
      <w:proofErr w:type="spellStart"/>
      <w:r w:rsidRPr="00393773">
        <w:rPr>
          <w:rFonts w:asciiTheme="minorHAnsi" w:hAnsiTheme="minorHAnsi" w:cstheme="minorHAnsi"/>
        </w:rPr>
        <w:t>Shanafelt</w:t>
      </w:r>
      <w:proofErr w:type="spellEnd"/>
      <w:r w:rsidRPr="00393773">
        <w:rPr>
          <w:rFonts w:asciiTheme="minorHAnsi" w:hAnsiTheme="minorHAnsi" w:cstheme="minorHAnsi"/>
        </w:rPr>
        <w:t xml:space="preserve"> et al., 2021). With the increasing demand on healthcare systems, staff shortages, and financial constraints, the role of staff wellbeing on the outcome of care has emerged as a pressing issue.</w:t>
      </w:r>
    </w:p>
    <w:p w14:paraId="633DBBCC"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Recent evidence indicates that burnout, stress, or lack of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support among healthcare professionals reduces their capacity to provide safe, caring, and </w:t>
      </w:r>
      <w:proofErr w:type="spellStart"/>
      <w:r w:rsidRPr="00393773">
        <w:rPr>
          <w:rFonts w:asciiTheme="minorHAnsi" w:hAnsiTheme="minorHAnsi" w:cstheme="minorHAnsi"/>
        </w:rPr>
        <w:t>patient-centred</w:t>
      </w:r>
      <w:proofErr w:type="spellEnd"/>
      <w:r w:rsidRPr="00393773">
        <w:rPr>
          <w:rFonts w:asciiTheme="minorHAnsi" w:hAnsiTheme="minorHAnsi" w:cstheme="minorHAnsi"/>
        </w:rPr>
        <w:t xml:space="preserve"> care (Hall et al., 2022). On the other hand, workplaces with a higher staff wellbeing are likely to report positive patient satisfaction, safety outcomes, and workforce engagement (Boamah et al., 2020). Although there is an emerging consensus on this, the link between workforce wellbeing and quality of care is complicated and is affected by various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cultural, and systemic factors.</w:t>
      </w:r>
    </w:p>
    <w:p w14:paraId="738D3DD6" w14:textId="26EC4D8D"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The chapter is a critical review of literature that is currently available concerning workforce wellbeing in a health and social care context. It starts with a definition of workforce wellbeing and explores its most important dimensions. The next section in the chapter examines the pertinent theoretical frameworks, such as the Hierarchy of Needs by Maslow, the Empowerment Theory, and the Job Demands-Resources (JD-R) model. Subsequently, the chapter reviews empirical studies that have established workforce wellbeing-care quality relationships, then it proceeds to comment on the UK policy background and comparisons with other countries. The chapter closes with determining the major gaps in the current literature that justifies the current study.</w:t>
      </w:r>
    </w:p>
    <w:p w14:paraId="0C8A3BFF"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2.2 What is Workforce Wellbeing in Health and Social Care?</w:t>
      </w:r>
    </w:p>
    <w:p w14:paraId="2E2C65DA"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Workforce wellbeing is the physical, psychological and emotional health of workers in the workplace. This notion includes job satisfaction, workload,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support, autonomy, and the work-life balance in the healthcare context (</w:t>
      </w:r>
      <w:proofErr w:type="spellStart"/>
      <w:r w:rsidRPr="00393773">
        <w:rPr>
          <w:rFonts w:asciiTheme="minorHAnsi" w:hAnsiTheme="minorHAnsi" w:cstheme="minorHAnsi"/>
        </w:rPr>
        <w:t>Kinman</w:t>
      </w:r>
      <w:proofErr w:type="spellEnd"/>
      <w:r w:rsidRPr="00393773">
        <w:rPr>
          <w:rFonts w:asciiTheme="minorHAnsi" w:hAnsiTheme="minorHAnsi" w:cstheme="minorHAnsi"/>
        </w:rPr>
        <w:t xml:space="preserve"> and </w:t>
      </w:r>
      <w:proofErr w:type="spellStart"/>
      <w:r w:rsidRPr="00393773">
        <w:rPr>
          <w:rFonts w:asciiTheme="minorHAnsi" w:hAnsiTheme="minorHAnsi" w:cstheme="minorHAnsi"/>
        </w:rPr>
        <w:t>Teoh</w:t>
      </w:r>
      <w:proofErr w:type="spellEnd"/>
      <w:r w:rsidRPr="00393773">
        <w:rPr>
          <w:rFonts w:asciiTheme="minorHAnsi" w:hAnsiTheme="minorHAnsi" w:cstheme="minorHAnsi"/>
        </w:rPr>
        <w:t>, 2021). In contrast to the majority of other occupations, healthcare professionals tend to work under the stress of highly tense conditions, with emotional labour, complex decision-making, and regular contact with human suffering being some of its main features. Due to this, the wellbeing of staff can be challenging.</w:t>
      </w:r>
    </w:p>
    <w:p w14:paraId="784C2938"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growing body of research acknowledges that workforce wellbeing is a multidimensional concept that is affected by personal and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factors. Coping, resilience and personal health are considered as individual factors, whereas leadership, staffing, workplace culture and access to professional development opportunities are regarded as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factors (</w:t>
      </w:r>
      <w:proofErr w:type="spellStart"/>
      <w:r w:rsidRPr="00393773">
        <w:rPr>
          <w:rFonts w:asciiTheme="minorHAnsi" w:hAnsiTheme="minorHAnsi" w:cstheme="minorHAnsi"/>
        </w:rPr>
        <w:t>Shanafelt</w:t>
      </w:r>
      <w:proofErr w:type="spellEnd"/>
      <w:r w:rsidRPr="00393773">
        <w:rPr>
          <w:rFonts w:asciiTheme="minorHAnsi" w:hAnsiTheme="minorHAnsi" w:cstheme="minorHAnsi"/>
        </w:rPr>
        <w:t xml:space="preserve"> et al., 2021). Notably, the current body of research has highlighted that workforce wellbeing is not an individual issue but a systemic one that is determined by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structures and policies.</w:t>
      </w:r>
    </w:p>
    <w:p w14:paraId="1CD63F0F"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Burnout has become one of the most popular areas of research in the wellbeing of the workforce in healthcare. Burnout was initially </w:t>
      </w:r>
      <w:proofErr w:type="spellStart"/>
      <w:r w:rsidRPr="00393773">
        <w:rPr>
          <w:rFonts w:asciiTheme="minorHAnsi" w:hAnsiTheme="minorHAnsi" w:cstheme="minorHAnsi"/>
        </w:rPr>
        <w:t>theorised</w:t>
      </w:r>
      <w:proofErr w:type="spellEnd"/>
      <w:r w:rsidRPr="00393773">
        <w:rPr>
          <w:rFonts w:asciiTheme="minorHAnsi" w:hAnsiTheme="minorHAnsi" w:cstheme="minorHAnsi"/>
        </w:rPr>
        <w:t xml:space="preserve"> by </w:t>
      </w:r>
      <w:proofErr w:type="spellStart"/>
      <w:r w:rsidRPr="00393773">
        <w:rPr>
          <w:rFonts w:asciiTheme="minorHAnsi" w:hAnsiTheme="minorHAnsi" w:cstheme="minorHAnsi"/>
        </w:rPr>
        <w:t>Maslach</w:t>
      </w:r>
      <w:proofErr w:type="spellEnd"/>
      <w:r w:rsidRPr="00393773">
        <w:rPr>
          <w:rFonts w:asciiTheme="minorHAnsi" w:hAnsiTheme="minorHAnsi" w:cstheme="minorHAnsi"/>
        </w:rPr>
        <w:t xml:space="preserve"> and Jackson (1981) and is defined as emotional exhaustion, </w:t>
      </w:r>
      <w:proofErr w:type="spellStart"/>
      <w:r w:rsidRPr="00393773">
        <w:rPr>
          <w:rFonts w:asciiTheme="minorHAnsi" w:hAnsiTheme="minorHAnsi" w:cstheme="minorHAnsi"/>
        </w:rPr>
        <w:t>depersonalisation</w:t>
      </w:r>
      <w:proofErr w:type="spellEnd"/>
      <w:r w:rsidRPr="00393773">
        <w:rPr>
          <w:rFonts w:asciiTheme="minorHAnsi" w:hAnsiTheme="minorHAnsi" w:cstheme="minorHAnsi"/>
        </w:rPr>
        <w:t>, and a decrease in personal accomplishment. The literature has always shown that burnout is very high amongst healthcare practitioners. Indicatively, in a study by Hall et al. (2022), healthcare workers with burnout had a higher probability to report a lack of empathy with patients, medical errors, and job dissatisfaction.</w:t>
      </w:r>
    </w:p>
    <w:p w14:paraId="623DE3B6"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Nevertheless, by concentrating on burnout, one could be simplifying the notion of wellbeing. The modern studies focus on the significance of positive indicators of wellbeing, including engagement, empowerment, and psychological safety (West et al., 2020). Such factors indicate the wider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circumstances that allow employees to work well and have professional satisfaction.</w:t>
      </w:r>
    </w:p>
    <w:p w14:paraId="7B559EF8" w14:textId="77777777" w:rsidR="00393773" w:rsidRPr="00393773" w:rsidRDefault="00393773" w:rsidP="00393773">
      <w:pPr>
        <w:pStyle w:val="NormalWeb"/>
        <w:spacing w:line="276" w:lineRule="auto"/>
        <w:jc w:val="both"/>
        <w:rPr>
          <w:rFonts w:asciiTheme="minorHAnsi" w:hAnsiTheme="minorHAnsi" w:cstheme="minorHAnsi"/>
        </w:rPr>
      </w:pPr>
    </w:p>
    <w:p w14:paraId="1EC098D7"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2.3 Theoretical Basis of Workforce Wellbeing.</w:t>
      </w:r>
    </w:p>
    <w:p w14:paraId="5DB4369D"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To determine the correlation between workforce wellbeing and care quality, it is necessary to communicate with the theoretical frameworks related to the issue and understand the ways in which the workplace environments can impact employee </w:t>
      </w:r>
      <w:proofErr w:type="spellStart"/>
      <w:r w:rsidRPr="00393773">
        <w:rPr>
          <w:rFonts w:asciiTheme="minorHAnsi" w:hAnsiTheme="minorHAnsi" w:cstheme="minorHAnsi"/>
        </w:rPr>
        <w:t>behaviour</w:t>
      </w:r>
      <w:proofErr w:type="spellEnd"/>
      <w:r w:rsidRPr="00393773">
        <w:rPr>
          <w:rFonts w:asciiTheme="minorHAnsi" w:hAnsiTheme="minorHAnsi" w:cstheme="minorHAnsi"/>
        </w:rPr>
        <w:t xml:space="preserve"> and performance.</w:t>
      </w:r>
    </w:p>
    <w:p w14:paraId="659FFBF3"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 xml:space="preserve">2.3.1 </w:t>
      </w:r>
      <w:proofErr w:type="spellStart"/>
      <w:r w:rsidRPr="00393773">
        <w:rPr>
          <w:rFonts w:asciiTheme="minorHAnsi" w:hAnsiTheme="minorHAnsi" w:cstheme="minorHAnsi"/>
        </w:rPr>
        <w:t>Maslows</w:t>
      </w:r>
      <w:proofErr w:type="spellEnd"/>
      <w:r w:rsidRPr="00393773">
        <w:rPr>
          <w:rFonts w:asciiTheme="minorHAnsi" w:hAnsiTheme="minorHAnsi" w:cstheme="minorHAnsi"/>
        </w:rPr>
        <w:t xml:space="preserve"> Hierarchy of Needs.</w:t>
      </w:r>
    </w:p>
    <w:p w14:paraId="45918E17"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One of the first models of human motivation and wellbeing is </w:t>
      </w:r>
      <w:proofErr w:type="spellStart"/>
      <w:r w:rsidRPr="00393773">
        <w:rPr>
          <w:rFonts w:asciiTheme="minorHAnsi" w:hAnsiTheme="minorHAnsi" w:cstheme="minorHAnsi"/>
        </w:rPr>
        <w:t>Maslows</w:t>
      </w:r>
      <w:proofErr w:type="spellEnd"/>
      <w:r w:rsidRPr="00393773">
        <w:rPr>
          <w:rFonts w:asciiTheme="minorHAnsi" w:hAnsiTheme="minorHAnsi" w:cstheme="minorHAnsi"/>
        </w:rPr>
        <w:t xml:space="preserve"> Hierarchy of Needs (Maslow, 1943). According to the theory, people should fulfil a set of hierarchical needs, i.e. starting with the physiological and safety needs, continuing with the belonging, esteem, and </w:t>
      </w:r>
      <w:proofErr w:type="spellStart"/>
      <w:r w:rsidRPr="00393773">
        <w:rPr>
          <w:rFonts w:asciiTheme="minorHAnsi" w:hAnsiTheme="minorHAnsi" w:cstheme="minorHAnsi"/>
        </w:rPr>
        <w:t>self-actualisation</w:t>
      </w:r>
      <w:proofErr w:type="spellEnd"/>
      <w:r w:rsidRPr="00393773">
        <w:rPr>
          <w:rFonts w:asciiTheme="minorHAnsi" w:hAnsiTheme="minorHAnsi" w:cstheme="minorHAnsi"/>
        </w:rPr>
        <w:t xml:space="preserve"> needs to be fulfilled to have optimal functioning.</w:t>
      </w:r>
    </w:p>
    <w:p w14:paraId="40FEB442" w14:textId="77777777" w:rsidR="00393773" w:rsidRPr="00393773" w:rsidRDefault="00393773" w:rsidP="00393773">
      <w:pPr>
        <w:pStyle w:val="NormalWeb"/>
        <w:spacing w:line="276" w:lineRule="auto"/>
        <w:jc w:val="both"/>
        <w:rPr>
          <w:rFonts w:asciiTheme="minorHAnsi" w:hAnsiTheme="minorHAnsi" w:cstheme="minorHAnsi"/>
        </w:rPr>
      </w:pPr>
      <w:r w:rsidRPr="00393773">
        <w:rPr>
          <w:rFonts w:asciiTheme="minorHAnsi" w:hAnsiTheme="minorHAnsi" w:cstheme="minorHAnsi"/>
        </w:rPr>
        <w:t>In the medical context, this model by Maslow implies that healthcare professionals cannot offer effective and caring services when their fundamental needs are not addressed. As an example, the insufficiency of staffing, the overload of work, and unsafe working conditions might deny healthcare workers the possibility to attain psychological security and job satisfaction (Shuck et al., 2022). Failure to meet these base needs can lead to stress, disengagement or burnout among staff and eventually, the quality of care provided.</w:t>
      </w:r>
    </w:p>
    <w:p w14:paraId="1A47238F" w14:textId="065D9BED"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Critics have, however, observed that the Maslow theory can fail to take into account the multifaceted nature of workplace wellbeing by presuming a sequential nature of needs (Wahba and Bridwell, 1976). Practically, even when personal needs are unmet, healthcare professionals could still provide caring services especially when there are good professional ethics and patient welfare. However, the framework by Maslow can still be helpful in the </w:t>
      </w:r>
      <w:proofErr w:type="spellStart"/>
      <w:r w:rsidRPr="00393773">
        <w:rPr>
          <w:rFonts w:asciiTheme="minorHAnsi" w:hAnsiTheme="minorHAnsi" w:cstheme="minorHAnsi"/>
          <w:b w:val="0"/>
          <w:bCs w:val="0"/>
          <w:kern w:val="0"/>
          <w:sz w:val="24"/>
          <w:szCs w:val="24"/>
        </w:rPr>
        <w:t>conceptualisation</w:t>
      </w:r>
      <w:proofErr w:type="spellEnd"/>
      <w:r w:rsidRPr="00393773">
        <w:rPr>
          <w:rFonts w:asciiTheme="minorHAnsi" w:hAnsiTheme="minorHAnsi" w:cstheme="minorHAnsi"/>
          <w:b w:val="0"/>
          <w:bCs w:val="0"/>
          <w:kern w:val="0"/>
          <w:sz w:val="24"/>
          <w:szCs w:val="24"/>
        </w:rPr>
        <w:t xml:space="preserve"> of the nature of the essential connection between the staff wellbeing and conditions at the workplace.</w:t>
      </w:r>
    </w:p>
    <w:p w14:paraId="362BEE9B"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2.3.2 Empowerment Theory</w:t>
      </w:r>
    </w:p>
    <w:p w14:paraId="4E6D78FD"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Another useful theory to </w:t>
      </w:r>
      <w:proofErr w:type="spellStart"/>
      <w:r w:rsidRPr="00393773">
        <w:rPr>
          <w:rFonts w:asciiTheme="minorHAnsi" w:hAnsiTheme="minorHAnsi" w:cstheme="minorHAnsi"/>
          <w:b w:val="0"/>
          <w:bCs w:val="0"/>
          <w:kern w:val="0"/>
          <w:sz w:val="24"/>
          <w:szCs w:val="24"/>
        </w:rPr>
        <w:t>analyse</w:t>
      </w:r>
      <w:proofErr w:type="spellEnd"/>
      <w:r w:rsidRPr="00393773">
        <w:rPr>
          <w:rFonts w:asciiTheme="minorHAnsi" w:hAnsiTheme="minorHAnsi" w:cstheme="minorHAnsi"/>
          <w:b w:val="0"/>
          <w:bCs w:val="0"/>
          <w:kern w:val="0"/>
          <w:sz w:val="24"/>
          <w:szCs w:val="24"/>
        </w:rPr>
        <w:t xml:space="preserve"> the wellbeing of the workforce is the Empowerment Theory. Zimmerman (2000) defines empowerment as a process whereby individuals acquire power to make decisions and resources that influence their working environment and work. The empowerment of healthcare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usually entails information access, involvement in the decision-making process, and professional growth.</w:t>
      </w:r>
    </w:p>
    <w:p w14:paraId="58C76317"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Studies have always proven that empowered medical personnel have an increased job satisfaction and engagement as well as professional commitment. </w:t>
      </w:r>
      <w:proofErr w:type="spellStart"/>
      <w:r w:rsidRPr="00393773">
        <w:rPr>
          <w:rFonts w:asciiTheme="minorHAnsi" w:hAnsiTheme="minorHAnsi" w:cstheme="minorHAnsi"/>
          <w:b w:val="0"/>
          <w:bCs w:val="0"/>
          <w:kern w:val="0"/>
          <w:sz w:val="24"/>
          <w:szCs w:val="24"/>
        </w:rPr>
        <w:t>Laschinger</w:t>
      </w:r>
      <w:proofErr w:type="spellEnd"/>
      <w:r w:rsidRPr="00393773">
        <w:rPr>
          <w:rFonts w:asciiTheme="minorHAnsi" w:hAnsiTheme="minorHAnsi" w:cstheme="minorHAnsi"/>
          <w:b w:val="0"/>
          <w:bCs w:val="0"/>
          <w:kern w:val="0"/>
          <w:sz w:val="24"/>
          <w:szCs w:val="24"/>
        </w:rPr>
        <w:t xml:space="preserve"> et al. (2021) discovered that nurses in settings that were typified by structural empowerment had much lower burnout levels and were much higher in </w:t>
      </w:r>
      <w:proofErr w:type="spellStart"/>
      <w:r w:rsidRPr="00393773">
        <w:rPr>
          <w:rFonts w:asciiTheme="minorHAnsi" w:hAnsiTheme="minorHAnsi" w:cstheme="minorHAnsi"/>
          <w:b w:val="0"/>
          <w:bCs w:val="0"/>
          <w:kern w:val="0"/>
          <w:sz w:val="24"/>
          <w:szCs w:val="24"/>
        </w:rPr>
        <w:t>patient-centred</w:t>
      </w:r>
      <w:proofErr w:type="spellEnd"/>
      <w:r w:rsidRPr="00393773">
        <w:rPr>
          <w:rFonts w:asciiTheme="minorHAnsi" w:hAnsiTheme="minorHAnsi" w:cstheme="minorHAnsi"/>
          <w:b w:val="0"/>
          <w:bCs w:val="0"/>
          <w:kern w:val="0"/>
          <w:sz w:val="24"/>
          <w:szCs w:val="24"/>
        </w:rPr>
        <w:t xml:space="preserve"> care </w:t>
      </w:r>
      <w:proofErr w:type="spellStart"/>
      <w:r w:rsidRPr="00393773">
        <w:rPr>
          <w:rFonts w:asciiTheme="minorHAnsi" w:hAnsiTheme="minorHAnsi" w:cstheme="minorHAnsi"/>
          <w:b w:val="0"/>
          <w:bCs w:val="0"/>
          <w:kern w:val="0"/>
          <w:sz w:val="24"/>
          <w:szCs w:val="24"/>
        </w:rPr>
        <w:t>behaviours</w:t>
      </w:r>
      <w:proofErr w:type="spellEnd"/>
      <w:r w:rsidRPr="00393773">
        <w:rPr>
          <w:rFonts w:asciiTheme="minorHAnsi" w:hAnsiTheme="minorHAnsi" w:cstheme="minorHAnsi"/>
          <w:b w:val="0"/>
          <w:bCs w:val="0"/>
          <w:kern w:val="0"/>
          <w:sz w:val="24"/>
          <w:szCs w:val="24"/>
        </w:rPr>
        <w:t>. On the same note, Boamah et al. (2020) also found empowerment to be a vital aspect connecting leadership practice with a better patient safety outcome.</w:t>
      </w:r>
    </w:p>
    <w:p w14:paraId="244CDFE9" w14:textId="0FBDFB4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Although such are the advantages, in many healthcare systems, empowerment programs are hampered by structural impediments. The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design can limit the involvement of staff in the governance and policy formulation due to the hierarchical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structure, strict professional boundaries, and lack of autonomy in making decisions (Mannion and Davies, 2018). Consequently, the empowerment strategies should be buttressed by wider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changes to be </w:t>
      </w:r>
      <w:proofErr w:type="spellStart"/>
      <w:r w:rsidRPr="00393773">
        <w:rPr>
          <w:rFonts w:asciiTheme="minorHAnsi" w:hAnsiTheme="minorHAnsi" w:cstheme="minorHAnsi"/>
          <w:b w:val="0"/>
          <w:bCs w:val="0"/>
          <w:kern w:val="0"/>
          <w:sz w:val="24"/>
          <w:szCs w:val="24"/>
        </w:rPr>
        <w:t>realised</w:t>
      </w:r>
      <w:proofErr w:type="spellEnd"/>
      <w:r w:rsidRPr="00393773">
        <w:rPr>
          <w:rFonts w:asciiTheme="minorHAnsi" w:hAnsiTheme="minorHAnsi" w:cstheme="minorHAnsi"/>
          <w:b w:val="0"/>
          <w:bCs w:val="0"/>
          <w:kern w:val="0"/>
          <w:sz w:val="24"/>
          <w:szCs w:val="24"/>
        </w:rPr>
        <w:t xml:space="preserve"> in terms of significant enhancement of the workforce wellbeing.</w:t>
      </w:r>
    </w:p>
    <w:p w14:paraId="3436BA4C"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2.3.3 Job Demands resources (JD-R) Model.</w:t>
      </w:r>
    </w:p>
    <w:p w14:paraId="3295C87B"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One of the most popular models in occupational psychology is the Job Demands-Resources (JD-R) model that was introduced by Bakker and Demerouti (2017) to explain the factors that lead to employee burnout and engagement. The model suggests that the balance between job demands and job resources determines workplace wellbeing.</w:t>
      </w:r>
    </w:p>
    <w:p w14:paraId="3738EC7A"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Job demands are factors of work that involve physical or psychological workload, e.g. workload, emotional load, time load, and role conflict. The demands are especially intense in the context of healthcare since patient care is a complex and emotional process (</w:t>
      </w:r>
      <w:proofErr w:type="spellStart"/>
      <w:r w:rsidRPr="00393773">
        <w:rPr>
          <w:rFonts w:asciiTheme="minorHAnsi" w:hAnsiTheme="minorHAnsi" w:cstheme="minorHAnsi"/>
          <w:b w:val="0"/>
          <w:bCs w:val="0"/>
          <w:kern w:val="0"/>
          <w:sz w:val="24"/>
          <w:szCs w:val="24"/>
        </w:rPr>
        <w:t>Kinman</w:t>
      </w:r>
      <w:proofErr w:type="spellEnd"/>
      <w:r w:rsidRPr="00393773">
        <w:rPr>
          <w:rFonts w:asciiTheme="minorHAnsi" w:hAnsiTheme="minorHAnsi" w:cstheme="minorHAnsi"/>
          <w:b w:val="0"/>
          <w:bCs w:val="0"/>
          <w:kern w:val="0"/>
          <w:sz w:val="24"/>
          <w:szCs w:val="24"/>
        </w:rPr>
        <w:t xml:space="preserve"> and </w:t>
      </w:r>
      <w:proofErr w:type="spellStart"/>
      <w:r w:rsidRPr="00393773">
        <w:rPr>
          <w:rFonts w:asciiTheme="minorHAnsi" w:hAnsiTheme="minorHAnsi" w:cstheme="minorHAnsi"/>
          <w:b w:val="0"/>
          <w:bCs w:val="0"/>
          <w:kern w:val="0"/>
          <w:sz w:val="24"/>
          <w:szCs w:val="24"/>
        </w:rPr>
        <w:t>Teoh</w:t>
      </w:r>
      <w:proofErr w:type="spellEnd"/>
      <w:r w:rsidRPr="00393773">
        <w:rPr>
          <w:rFonts w:asciiTheme="minorHAnsi" w:hAnsiTheme="minorHAnsi" w:cstheme="minorHAnsi"/>
          <w:b w:val="0"/>
          <w:bCs w:val="0"/>
          <w:kern w:val="0"/>
          <w:sz w:val="24"/>
          <w:szCs w:val="24"/>
        </w:rPr>
        <w:t>, 2021). Employees tend to be more susceptible to burnout and stress when job demands surpass the available resources.</w:t>
      </w:r>
    </w:p>
    <w:p w14:paraId="1DD4DD56"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Job resources on the other hand entail those factors that assist the employees to deal with the demands and to meet the work objectives. These can be supportive leadership, professional autonomy, development opportunities, and positive team relationships. Studies indicate that employees are more prone to work engagement and job satisfaction when the healthcare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avail adequate resources (Bakker and Demerouti, 2017).</w:t>
      </w:r>
    </w:p>
    <w:p w14:paraId="3A8BB345" w14:textId="222565C5"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JD-R model is specifically relevant to the healthcare setting, where employees are often under heavy workload and experience emotional labour. The model also focuses on the role of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support and resources in defining the workforce wellbeing not only through the personal resilience but through the systemic working conditions.</w:t>
      </w:r>
    </w:p>
    <w:p w14:paraId="1C69282C"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2.4 The Interconnection between Workforce Wellbeing and Quality of Care.</w:t>
      </w:r>
    </w:p>
    <w:p w14:paraId="0936EC1D"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There is a significant amount of literature that has shown a strong connection between wellbeing of the workforce and the healthcare outcomes. Research always demonstrates that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that are more highly staff engaged and well perform better in providing patient outcomes and greater quality of care.</w:t>
      </w:r>
    </w:p>
    <w:p w14:paraId="1B0CDCFE"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Indicatively, West et al. (2020) conducted an analysis based on NHS staff surveys and discovered that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with a higher score on staff engagement had lower patient mortality and better patient satisfaction. In the same vein, Boamah et al. (2020) have found the direct correlation between nurse job satisfaction and patient safety outcomes, which implies that the wellbeing of staff can affect clinical decision-making and adherence to the care guidelines.</w:t>
      </w:r>
    </w:p>
    <w:p w14:paraId="5786C88D"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The adverse effects of poor workforce wellbeing are also noted in research. A meta-synthesis of research on healthcare burnout by Hall et al. (2022) revealed that burnout was linked to higher rates of medical errors, lower patient satisfaction, and staff turnover. These findings suggest that workforce wellbeing should be considered a key determinant of healthcare quality.</w:t>
      </w:r>
    </w:p>
    <w:p w14:paraId="73A0346E" w14:textId="5E208F46"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Nevertheless, researchers warn about the possible oversimplified cause-effect correlation between the wellbeing of staff and the outcomes of care. As an illustration, Mannion and Davies (2018) state that the quality of healthcare depends on the broad scope of factors, such as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governance, financial resources, and regulatory frameworks. Although workforce wellbeing is certainly a significant factor, it must be seen in conjunction with these more significant structural factors.</w:t>
      </w:r>
    </w:p>
    <w:p w14:paraId="64085D77"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2.5 UK Policy and Legislative Environment.</w:t>
      </w:r>
    </w:p>
    <w:p w14:paraId="2FF681A9"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In the United Kingdom, some policy measures have been brought about to deal with the wellbeing of the workforce and workforce sustainability. The NHS People Plan (NHS England, 2020) </w:t>
      </w:r>
      <w:proofErr w:type="spellStart"/>
      <w:r w:rsidRPr="00393773">
        <w:rPr>
          <w:rFonts w:asciiTheme="minorHAnsi" w:hAnsiTheme="minorHAnsi" w:cstheme="minorHAnsi"/>
          <w:b w:val="0"/>
          <w:bCs w:val="0"/>
          <w:kern w:val="0"/>
          <w:sz w:val="24"/>
          <w:szCs w:val="24"/>
        </w:rPr>
        <w:t>emphasises</w:t>
      </w:r>
      <w:proofErr w:type="spellEnd"/>
      <w:r w:rsidRPr="00393773">
        <w:rPr>
          <w:rFonts w:asciiTheme="minorHAnsi" w:hAnsiTheme="minorHAnsi" w:cstheme="minorHAnsi"/>
          <w:b w:val="0"/>
          <w:bCs w:val="0"/>
          <w:kern w:val="0"/>
          <w:sz w:val="24"/>
          <w:szCs w:val="24"/>
        </w:rPr>
        <w:t xml:space="preserve"> the importance of creating supportive and inclusive workplaces where staff feel valued and respected. On the same note, the NHS Workforce Wellbeing Framework (NHS Improvement, 2021) lists six enablers of the staff wellbeing, such as leadership, inclusion, communication, and mental health support.</w:t>
      </w:r>
    </w:p>
    <w:p w14:paraId="1ED90BA9"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CQC has also </w:t>
      </w:r>
      <w:proofErr w:type="spellStart"/>
      <w:r w:rsidRPr="00393773">
        <w:rPr>
          <w:rFonts w:asciiTheme="minorHAnsi" w:hAnsiTheme="minorHAnsi" w:cstheme="minorHAnsi"/>
          <w:b w:val="0"/>
          <w:bCs w:val="0"/>
          <w:kern w:val="0"/>
          <w:sz w:val="24"/>
          <w:szCs w:val="24"/>
        </w:rPr>
        <w:t>realised</w:t>
      </w:r>
      <w:proofErr w:type="spellEnd"/>
      <w:r w:rsidRPr="00393773">
        <w:rPr>
          <w:rFonts w:asciiTheme="minorHAnsi" w:hAnsiTheme="minorHAnsi" w:cstheme="minorHAnsi"/>
          <w:b w:val="0"/>
          <w:bCs w:val="0"/>
          <w:kern w:val="0"/>
          <w:sz w:val="24"/>
          <w:szCs w:val="24"/>
        </w:rPr>
        <w:t xml:space="preserve"> the relevance of staff wellbeing in its regulation. The inspection criteria of the CQC are moving towards more and more evaluation of the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culture and leadership as well as the engagement of staff as the predictors of the quality of the services (CQC, 2021). This is indicative of increased awareness that patient experience and workforce experience are interrelated.</w:t>
      </w:r>
    </w:p>
    <w:p w14:paraId="7E87429F"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In spite of these policy developments, there are still huge challenges. Staffing issues, rising patient need, and financial constraints keep restricting the capacity of numerous healthcare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to entirely carry out wellbeing programs (The King’s Fund, 2023). Consequently, critics suggest that workforce wellbeing policy promises have not consistently resulted in significant benefits to frontline employees.</w:t>
      </w:r>
    </w:p>
    <w:p w14:paraId="46F9BCD9" w14:textId="48C9BDE8" w:rsidR="00E20816" w:rsidRPr="00393773" w:rsidRDefault="00E20816" w:rsidP="00393773">
      <w:pPr>
        <w:pStyle w:val="Heading1"/>
        <w:spacing w:line="276" w:lineRule="auto"/>
        <w:jc w:val="both"/>
        <w:rPr>
          <w:rFonts w:asciiTheme="minorHAnsi" w:hAnsiTheme="minorHAnsi" w:cstheme="minorHAnsi"/>
        </w:rPr>
      </w:pPr>
      <w:r w:rsidRPr="00393773">
        <w:rPr>
          <w:rFonts w:asciiTheme="minorHAnsi" w:hAnsiTheme="minorHAnsi" w:cstheme="minorHAnsi"/>
        </w:rPr>
        <w:t>2.6 International Comparisons</w:t>
      </w:r>
    </w:p>
    <w:p w14:paraId="14AB71E9"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Wellbeing of the workforce is not a UK issue only but a worldwide problem that impacts the healthcare systems. Clinician burnout has been noted as a significant healthcare quality and patient safety hazard in the United States by the National Academy of Medicine (NAM, 2022). To overcome these problems, several healthcare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have implemented interventions like resilience training, wellbeing officers, and flexible working.</w:t>
      </w:r>
    </w:p>
    <w:p w14:paraId="103DB05E"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Equally, Australia has introduced national policies that are targeted at enhancing workforce wellbeing and retention. According to the Australian Institute of Health and Welfare (2022), the programs addressing the leadership development, workload management, and mental health support have demonstrated positive outcomes in terms of staff morale and retention.</w:t>
      </w:r>
    </w:p>
    <w:p w14:paraId="0BF7BF90" w14:textId="0B087296"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Nevertheless, the structural character of workforce wellbeing issues is also pointed at by international comparisons. The variation in healthcare funding models, workforce policy and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structures has an impact on the effectiveness of wellbeing initiatives implementation and evaluation. These differences imply that an international experience can be used to learn but solutions need to be localized to the healthcare setting.</w:t>
      </w:r>
    </w:p>
    <w:p w14:paraId="3A7CB966"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2.7 Literary gaps.</w:t>
      </w:r>
    </w:p>
    <w:p w14:paraId="5DE15FD6"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Although there is an increasing literature on the subject of workforce wellbeing, there are still a number of critical gaps. To begin with, a lot of literature is limited to individual professional groups, especially nurses and physicians, whereas relatively little research has also been done to consider wellbeing among the broader health and social care workforce.</w:t>
      </w:r>
    </w:p>
    <w:p w14:paraId="2A267028"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Second, numerous studies use cross-sectional survey data, which does not permit drawing causal relationship between the wellbeing of the workforce and care quality. Research studies that compare the effects of wellbeing interventions on care outcomes in the long run are relatively scarce.</w:t>
      </w:r>
    </w:p>
    <w:p w14:paraId="43971091" w14:textId="7B29BB6E"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Lastly, although policy contexts are starting to focus more on workforce wellbeing, little research exists to investigate how these policies are applied in practice and whether they yield any quantifiable benefits in workforce wellbeing or patient outcomes.</w:t>
      </w:r>
    </w:p>
    <w:p w14:paraId="156360C5" w14:textId="77777777" w:rsidR="00393773" w:rsidRPr="00393773" w:rsidRDefault="00393773" w:rsidP="00393773">
      <w:pPr>
        <w:pStyle w:val="Heading3"/>
        <w:spacing w:line="276" w:lineRule="auto"/>
        <w:jc w:val="both"/>
        <w:rPr>
          <w:rFonts w:asciiTheme="minorHAnsi" w:hAnsiTheme="minorHAnsi" w:cstheme="minorHAnsi"/>
        </w:rPr>
      </w:pPr>
      <w:r w:rsidRPr="00393773">
        <w:rPr>
          <w:rFonts w:asciiTheme="minorHAnsi" w:hAnsiTheme="minorHAnsi" w:cstheme="minorHAnsi"/>
        </w:rPr>
        <w:t>2.8 Conclusion</w:t>
      </w:r>
    </w:p>
    <w:p w14:paraId="20843418"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The chapter has critically examined the literature that has been associated with the wellbeing of the workforce and their connection with quality of care in health and social care environments. The evidence indicates that the wellbeing of workforce is a complex interaction between personal, </w:t>
      </w:r>
      <w:proofErr w:type="spellStart"/>
      <w:r w:rsidRPr="00393773">
        <w:rPr>
          <w:rFonts w:asciiTheme="minorHAnsi" w:hAnsiTheme="minorHAnsi" w:cstheme="minorHAnsi"/>
          <w:b w:val="0"/>
          <w:bCs w:val="0"/>
          <w:kern w:val="0"/>
          <w:sz w:val="24"/>
          <w:szCs w:val="24"/>
        </w:rPr>
        <w:t>organisational</w:t>
      </w:r>
      <w:proofErr w:type="spellEnd"/>
      <w:r w:rsidRPr="00393773">
        <w:rPr>
          <w:rFonts w:asciiTheme="minorHAnsi" w:hAnsiTheme="minorHAnsi" w:cstheme="minorHAnsi"/>
          <w:b w:val="0"/>
          <w:bCs w:val="0"/>
          <w:kern w:val="0"/>
          <w:sz w:val="24"/>
          <w:szCs w:val="24"/>
        </w:rPr>
        <w:t xml:space="preserve"> and systemic factors. Maslow Hierarchy of Needs, the Empowerment Theory, and Job Demands Resources theoretical frameworks are very useful in understanding how the workplace conditions can influence workers wellbeing and performance.</w:t>
      </w:r>
    </w:p>
    <w:p w14:paraId="0ACF3DFC"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 xml:space="preserve">Indeed, empirical studies have repeatedly shown that workforce wellbeing is strongly linked with healthcare quality, and </w:t>
      </w:r>
      <w:proofErr w:type="spellStart"/>
      <w:r w:rsidRPr="00393773">
        <w:rPr>
          <w:rFonts w:asciiTheme="minorHAnsi" w:hAnsiTheme="minorHAnsi" w:cstheme="minorHAnsi"/>
          <w:b w:val="0"/>
          <w:bCs w:val="0"/>
          <w:kern w:val="0"/>
          <w:sz w:val="24"/>
          <w:szCs w:val="24"/>
        </w:rPr>
        <w:t>organisations</w:t>
      </w:r>
      <w:proofErr w:type="spellEnd"/>
      <w:r w:rsidRPr="00393773">
        <w:rPr>
          <w:rFonts w:asciiTheme="minorHAnsi" w:hAnsiTheme="minorHAnsi" w:cstheme="minorHAnsi"/>
          <w:b w:val="0"/>
          <w:bCs w:val="0"/>
          <w:kern w:val="0"/>
          <w:sz w:val="24"/>
          <w:szCs w:val="24"/>
        </w:rPr>
        <w:t xml:space="preserve"> reporting increased staff engagement tend to have better patient outcomes. Nevertheless, wellbeing initiatives are still constrained by their structural challenges like a shortage of workforce and resource constraints.</w:t>
      </w:r>
    </w:p>
    <w:p w14:paraId="6A1B798C" w14:textId="77777777" w:rsidR="00393773" w:rsidRPr="00393773" w:rsidRDefault="00393773" w:rsidP="00393773">
      <w:pPr>
        <w:pStyle w:val="Heading1"/>
        <w:spacing w:line="276" w:lineRule="auto"/>
        <w:jc w:val="both"/>
        <w:rPr>
          <w:rFonts w:asciiTheme="minorHAnsi" w:hAnsiTheme="minorHAnsi" w:cstheme="minorHAnsi"/>
          <w:b w:val="0"/>
          <w:bCs w:val="0"/>
          <w:kern w:val="0"/>
          <w:sz w:val="24"/>
          <w:szCs w:val="24"/>
        </w:rPr>
      </w:pPr>
      <w:r w:rsidRPr="00393773">
        <w:rPr>
          <w:rFonts w:asciiTheme="minorHAnsi" w:hAnsiTheme="minorHAnsi" w:cstheme="minorHAnsi"/>
          <w:b w:val="0"/>
          <w:bCs w:val="0"/>
          <w:kern w:val="0"/>
          <w:sz w:val="24"/>
          <w:szCs w:val="24"/>
        </w:rPr>
        <w:t>The second chapter presents the methodological approach in this study to investigate the connection between workforce wellbeing and care quality by scoping the existing literature.</w:t>
      </w:r>
    </w:p>
    <w:p w14:paraId="554EF9B0" w14:textId="040C6215" w:rsidR="005E3402" w:rsidRPr="00393773" w:rsidRDefault="005E3402" w:rsidP="00393773">
      <w:pPr>
        <w:pStyle w:val="Heading1"/>
        <w:spacing w:line="276" w:lineRule="auto"/>
        <w:jc w:val="both"/>
        <w:rPr>
          <w:rFonts w:asciiTheme="minorHAnsi" w:hAnsiTheme="minorHAnsi" w:cstheme="minorHAnsi"/>
        </w:rPr>
      </w:pPr>
      <w:r w:rsidRPr="00393773">
        <w:rPr>
          <w:rFonts w:asciiTheme="minorHAnsi" w:hAnsiTheme="minorHAnsi" w:cstheme="minorHAnsi"/>
        </w:rPr>
        <w:t>CHAPTER 3: METHOD</w:t>
      </w:r>
      <w:bookmarkStart w:id="6" w:name="_Toc215093002"/>
      <w:bookmarkEnd w:id="5"/>
      <w:r w:rsidRPr="00393773">
        <w:rPr>
          <w:rFonts w:asciiTheme="minorHAnsi" w:hAnsiTheme="minorHAnsi" w:cstheme="minorHAnsi"/>
        </w:rPr>
        <w:t>OLOGY</w:t>
      </w:r>
    </w:p>
    <w:p w14:paraId="69B0230A" w14:textId="1E80FBF7" w:rsidR="005E3402" w:rsidRPr="00393773" w:rsidRDefault="005E3402" w:rsidP="00393773">
      <w:pPr>
        <w:pStyle w:val="Heading1"/>
        <w:spacing w:line="276" w:lineRule="auto"/>
        <w:jc w:val="both"/>
        <w:rPr>
          <w:rFonts w:asciiTheme="minorHAnsi" w:hAnsiTheme="minorHAnsi" w:cstheme="minorHAnsi"/>
        </w:rPr>
      </w:pPr>
      <w:r w:rsidRPr="00393773">
        <w:rPr>
          <w:rFonts w:asciiTheme="minorHAnsi" w:hAnsiTheme="minorHAnsi" w:cstheme="minorHAnsi"/>
        </w:rPr>
        <w:t>3.1 Introduction</w:t>
      </w:r>
      <w:bookmarkEnd w:id="6"/>
    </w:p>
    <w:p w14:paraId="36487A1E" w14:textId="5ACAF90F"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chapter outlines the methodological approach adopted to address the aim of this dissertation: to explore the relationship between workforce wellbeing and quality of care in health and social care settings. Given the breadth and complexity of this topic, a </w:t>
      </w:r>
      <w:r w:rsidRPr="00393773">
        <w:rPr>
          <w:rStyle w:val="Strong"/>
          <w:rFonts w:asciiTheme="minorHAnsi" w:eastAsiaTheme="majorEastAsia" w:hAnsiTheme="minorHAnsi" w:cstheme="minorHAnsi"/>
        </w:rPr>
        <w:t>scoping review methodology</w:t>
      </w:r>
      <w:r w:rsidRPr="00393773">
        <w:rPr>
          <w:rFonts w:asciiTheme="minorHAnsi" w:hAnsiTheme="minorHAnsi" w:cstheme="minorHAnsi"/>
        </w:rPr>
        <w:t xml:space="preserve"> was chosen. Scoping reviews are particularly suitable for examining complex concepts, clarifying definitions, and identifying gaps in existing literature. Unlike systematic reviews, which focus on answering specific questions often using quantitative evidence, scoping reviews are more exploratory. They allow for the inclusion of diverse sources and study designs, making them appropriate for topics spanning policy, practice, and academic inquiry (Munn et al., 2018). The methodological framework employed in this review is based on the five-stage process proposed by Arksey and O’Malley (2005), later refined by </w:t>
      </w:r>
      <w:proofErr w:type="spellStart"/>
      <w:r w:rsidRPr="00393773">
        <w:rPr>
          <w:rFonts w:asciiTheme="minorHAnsi" w:hAnsiTheme="minorHAnsi" w:cstheme="minorHAnsi"/>
        </w:rPr>
        <w:t>Levac</w:t>
      </w:r>
      <w:proofErr w:type="spellEnd"/>
      <w:r w:rsidRPr="00393773">
        <w:rPr>
          <w:rFonts w:asciiTheme="minorHAnsi" w:hAnsiTheme="minorHAnsi" w:cstheme="minorHAnsi"/>
        </w:rPr>
        <w:t xml:space="preserve"> et al. (2010) and Peters et al. (2020). This process includes identifying the research question, identifying relevant studies, selecting the studies, charting the data, and </w:t>
      </w:r>
      <w:proofErr w:type="spellStart"/>
      <w:r w:rsidRPr="00393773">
        <w:rPr>
          <w:rFonts w:asciiTheme="minorHAnsi" w:hAnsiTheme="minorHAnsi" w:cstheme="minorHAnsi"/>
        </w:rPr>
        <w:t>summarising</w:t>
      </w:r>
      <w:proofErr w:type="spellEnd"/>
      <w:r w:rsidRPr="00393773">
        <w:rPr>
          <w:rFonts w:asciiTheme="minorHAnsi" w:hAnsiTheme="minorHAnsi" w:cstheme="minorHAnsi"/>
        </w:rPr>
        <w:t xml:space="preserve"> and reporting the results. To ensure transparency and replicability, the Preferred Reporting Items for Systematic Reviews and Meta-Analyses extension for Scoping Reviews (</w:t>
      </w:r>
      <w:r w:rsidRPr="00393773">
        <w:rPr>
          <w:rStyle w:val="Strong"/>
          <w:rFonts w:asciiTheme="minorHAnsi" w:eastAsiaTheme="majorEastAsia" w:hAnsiTheme="minorHAnsi" w:cstheme="minorHAnsi"/>
        </w:rPr>
        <w:t>PRISMA-ScR</w:t>
      </w:r>
      <w:r w:rsidRPr="00393773">
        <w:rPr>
          <w:rFonts w:asciiTheme="minorHAnsi" w:hAnsiTheme="minorHAnsi" w:cstheme="minorHAnsi"/>
        </w:rPr>
        <w:t>) checklist was followed (</w:t>
      </w:r>
      <w:proofErr w:type="spellStart"/>
      <w:r w:rsidRPr="00393773">
        <w:rPr>
          <w:rFonts w:asciiTheme="minorHAnsi" w:hAnsiTheme="minorHAnsi" w:cstheme="minorHAnsi"/>
        </w:rPr>
        <w:t>Tricco</w:t>
      </w:r>
      <w:proofErr w:type="spellEnd"/>
      <w:r w:rsidRPr="00393773">
        <w:rPr>
          <w:rFonts w:asciiTheme="minorHAnsi" w:hAnsiTheme="minorHAnsi" w:cstheme="minorHAnsi"/>
        </w:rPr>
        <w:t xml:space="preserve"> et al., 2018).</w:t>
      </w:r>
    </w:p>
    <w:p w14:paraId="158197C9" w14:textId="77777777" w:rsidR="005E3402" w:rsidRPr="00393773" w:rsidRDefault="005E3402" w:rsidP="00393773">
      <w:pPr>
        <w:pStyle w:val="Heading2"/>
        <w:spacing w:line="276" w:lineRule="auto"/>
        <w:jc w:val="both"/>
        <w:rPr>
          <w:rFonts w:asciiTheme="minorHAnsi" w:hAnsiTheme="minorHAnsi" w:cstheme="minorHAnsi"/>
        </w:rPr>
      </w:pPr>
      <w:bookmarkStart w:id="7" w:name="_Toc215093003"/>
      <w:r w:rsidRPr="00393773">
        <w:rPr>
          <w:rFonts w:asciiTheme="minorHAnsi" w:hAnsiTheme="minorHAnsi" w:cstheme="minorHAnsi"/>
        </w:rPr>
        <w:t>3.2 Research Questions</w:t>
      </w:r>
      <w:bookmarkEnd w:id="7"/>
    </w:p>
    <w:p w14:paraId="0C1D7DEF" w14:textId="18D84EE9"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scoping review was guided by one central research question: </w:t>
      </w:r>
      <w:r w:rsidRPr="00393773">
        <w:rPr>
          <w:rStyle w:val="Strong"/>
          <w:rFonts w:asciiTheme="minorHAnsi" w:eastAsiaTheme="majorEastAsia" w:hAnsiTheme="minorHAnsi" w:cstheme="minorHAnsi"/>
        </w:rPr>
        <w:t>What is the relationship between workforce wellbeing and quality of care in health and social care settings?</w:t>
      </w:r>
      <w:r w:rsidRPr="00393773">
        <w:rPr>
          <w:rFonts w:asciiTheme="minorHAnsi" w:hAnsiTheme="minorHAnsi" w:cstheme="minorHAnsi"/>
        </w:rPr>
        <w:t xml:space="preserve"> This overarching question was designed to direct the identification and synthesis of relevant evidence across various care settings and professional groups. To support this primary inquiry, three sub-questions were developed to deepen the analysis and inform the thematic structure of the findings. First, the review sought to determine </w:t>
      </w:r>
      <w:r w:rsidRPr="00393773">
        <w:rPr>
          <w:rStyle w:val="Strong"/>
          <w:rFonts w:asciiTheme="minorHAnsi" w:eastAsiaTheme="majorEastAsia" w:hAnsiTheme="minorHAnsi" w:cstheme="minorHAnsi"/>
        </w:rPr>
        <w:t>what components of workforce wellbeing</w:t>
      </w:r>
      <w:r w:rsidRPr="00393773">
        <w:rPr>
          <w:rFonts w:asciiTheme="minorHAnsi" w:hAnsiTheme="minorHAnsi" w:cstheme="minorHAnsi"/>
        </w:rPr>
        <w:t xml:space="preserve">—such as burnout, psychological safety, job satisfaction, and empowerment—are most frequently associated with care quality in the literature. Second, the review examined </w:t>
      </w:r>
      <w:r w:rsidRPr="00393773">
        <w:rPr>
          <w:rStyle w:val="Strong"/>
          <w:rFonts w:asciiTheme="minorHAnsi" w:eastAsiaTheme="majorEastAsia" w:hAnsiTheme="minorHAnsi" w:cstheme="minorHAnsi"/>
        </w:rPr>
        <w:t xml:space="preserve">how </w:t>
      </w:r>
      <w:proofErr w:type="spellStart"/>
      <w:r w:rsidRPr="00393773">
        <w:rPr>
          <w:rStyle w:val="Strong"/>
          <w:rFonts w:asciiTheme="minorHAnsi" w:eastAsiaTheme="majorEastAsia" w:hAnsiTheme="minorHAnsi" w:cstheme="minorHAnsi"/>
        </w:rPr>
        <w:t>organisational</w:t>
      </w:r>
      <w:proofErr w:type="spellEnd"/>
      <w:r w:rsidRPr="00393773">
        <w:rPr>
          <w:rStyle w:val="Strong"/>
          <w:rFonts w:asciiTheme="minorHAnsi" w:eastAsiaTheme="majorEastAsia" w:hAnsiTheme="minorHAnsi" w:cstheme="minorHAnsi"/>
        </w:rPr>
        <w:t xml:space="preserve"> and systemic factors</w:t>
      </w:r>
      <w:r w:rsidRPr="00393773">
        <w:rPr>
          <w:rFonts w:asciiTheme="minorHAnsi" w:hAnsiTheme="minorHAnsi" w:cstheme="minorHAnsi"/>
        </w:rPr>
        <w:t xml:space="preserve">, such as leadership, staffing levels, and workplace culture, influence this relationship. Finally, the review aimed to identify </w:t>
      </w:r>
      <w:r w:rsidRPr="00393773">
        <w:rPr>
          <w:rStyle w:val="Strong"/>
          <w:rFonts w:asciiTheme="minorHAnsi" w:eastAsiaTheme="majorEastAsia" w:hAnsiTheme="minorHAnsi" w:cstheme="minorHAnsi"/>
        </w:rPr>
        <w:t>interventions or strategies</w:t>
      </w:r>
      <w:r w:rsidRPr="00393773">
        <w:rPr>
          <w:rFonts w:asciiTheme="minorHAnsi" w:hAnsiTheme="minorHAnsi" w:cstheme="minorHAnsi"/>
        </w:rPr>
        <w:t xml:space="preserve"> that have been proposed or implemented to improve both workforce wellbeing and care outcomes. These questions were deliberately broad, aligning with the exploratory and mapping goals of a scoping review.</w:t>
      </w:r>
    </w:p>
    <w:p w14:paraId="6274F5FD" w14:textId="77777777" w:rsidR="005E3402" w:rsidRPr="00393773" w:rsidRDefault="005E3402" w:rsidP="00393773">
      <w:pPr>
        <w:pStyle w:val="Heading2"/>
        <w:spacing w:line="276" w:lineRule="auto"/>
        <w:jc w:val="both"/>
        <w:rPr>
          <w:rFonts w:asciiTheme="minorHAnsi" w:hAnsiTheme="minorHAnsi" w:cstheme="minorHAnsi"/>
        </w:rPr>
      </w:pPr>
      <w:bookmarkStart w:id="8" w:name="_Toc215093004"/>
      <w:r w:rsidRPr="00393773">
        <w:rPr>
          <w:rFonts w:asciiTheme="minorHAnsi" w:hAnsiTheme="minorHAnsi" w:cstheme="minorHAnsi"/>
        </w:rPr>
        <w:t>3.3 Eligibility Criteria</w:t>
      </w:r>
      <w:bookmarkEnd w:id="8"/>
    </w:p>
    <w:p w14:paraId="7C2FB2A5" w14:textId="722EBB94"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inclusion and exclusion criteria for this review were developed using the </w:t>
      </w:r>
      <w:r w:rsidRPr="00393773">
        <w:rPr>
          <w:rStyle w:val="Strong"/>
          <w:rFonts w:asciiTheme="minorHAnsi" w:eastAsiaTheme="majorEastAsia" w:hAnsiTheme="minorHAnsi" w:cstheme="minorHAnsi"/>
        </w:rPr>
        <w:t>Population, Concept, Context (PCC)</w:t>
      </w:r>
      <w:r w:rsidRPr="00393773">
        <w:rPr>
          <w:rFonts w:asciiTheme="minorHAnsi" w:hAnsiTheme="minorHAnsi" w:cstheme="minorHAnsi"/>
        </w:rPr>
        <w:t xml:space="preserve"> framework, as recommended by the Joanna Briggs Institute for scoping reviews. In terms of population, the review focused on studies involving health and social care professionals, including but not limited to nurses, doctors, allied health professionals, and care workers. Studies that focused solely on students, administrative staff, or professionals outside of the healthcare sector were excluded to maintain relevance. The conceptual focus was on workforce wellbeing, broadly defined to include psychological, emotional, and physical health, job satisfaction, engagement, burnout, and empowerment. Only studies that linked these aspects to measurable or observable </w:t>
      </w:r>
      <w:r w:rsidRPr="00393773">
        <w:rPr>
          <w:rStyle w:val="Strong"/>
          <w:rFonts w:asciiTheme="minorHAnsi" w:eastAsiaTheme="majorEastAsia" w:hAnsiTheme="minorHAnsi" w:cstheme="minorHAnsi"/>
        </w:rPr>
        <w:t>quality of care indicators</w:t>
      </w:r>
      <w:r w:rsidRPr="00393773">
        <w:rPr>
          <w:rFonts w:asciiTheme="minorHAnsi" w:hAnsiTheme="minorHAnsi" w:cstheme="minorHAnsi"/>
        </w:rPr>
        <w:t xml:space="preserve">—such as patient safety, satisfaction, effectiveness of care, or adverse event rates—were included. Studies that explored workforce wellbeing in isolation, without reference to care outcomes, were excluded. The context was limited to health and social care settings, such as hospitals, general practices, community health services, and residential care homes. Studies from non-care sectors, such as education or general business, were not considered. To ensure the review’s currency and relevance, only English-language literature published between </w:t>
      </w:r>
      <w:r w:rsidRPr="00393773">
        <w:rPr>
          <w:rStyle w:val="Strong"/>
          <w:rFonts w:asciiTheme="minorHAnsi" w:eastAsiaTheme="majorEastAsia" w:hAnsiTheme="minorHAnsi" w:cstheme="minorHAnsi"/>
        </w:rPr>
        <w:t>January 2020 and October 2025</w:t>
      </w:r>
      <w:r w:rsidRPr="00393773">
        <w:rPr>
          <w:rFonts w:asciiTheme="minorHAnsi" w:hAnsiTheme="minorHAnsi" w:cstheme="minorHAnsi"/>
        </w:rPr>
        <w:t xml:space="preserve"> was included. Seminal works published prior to 2020 were reviewed for context but excluded from the main synthesis unless deemed critical to theory development.</w:t>
      </w:r>
    </w:p>
    <w:p w14:paraId="4CE55DA0" w14:textId="77777777" w:rsidR="005E3402" w:rsidRPr="00393773" w:rsidRDefault="005E3402" w:rsidP="00393773">
      <w:pPr>
        <w:pStyle w:val="Heading2"/>
        <w:spacing w:line="276" w:lineRule="auto"/>
        <w:jc w:val="both"/>
        <w:rPr>
          <w:rFonts w:asciiTheme="minorHAnsi" w:hAnsiTheme="minorHAnsi" w:cstheme="minorHAnsi"/>
        </w:rPr>
      </w:pPr>
      <w:bookmarkStart w:id="9" w:name="_Toc215093005"/>
      <w:r w:rsidRPr="00393773">
        <w:rPr>
          <w:rFonts w:asciiTheme="minorHAnsi" w:hAnsiTheme="minorHAnsi" w:cstheme="minorHAnsi"/>
        </w:rPr>
        <w:t>3.4 Search Strategy</w:t>
      </w:r>
      <w:bookmarkEnd w:id="9"/>
    </w:p>
    <w:p w14:paraId="16459C5E"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A comprehensive and systematic search of the literature was conducted across five academic databases: </w:t>
      </w:r>
      <w:r w:rsidRPr="00393773">
        <w:rPr>
          <w:rStyle w:val="Strong"/>
          <w:rFonts w:asciiTheme="minorHAnsi" w:eastAsiaTheme="majorEastAsia" w:hAnsiTheme="minorHAnsi" w:cstheme="minorHAnsi"/>
        </w:rPr>
        <w:t>MEDLINE via PubMed, CINAHL, PsycINFO, Web of Science, and Scopus</w:t>
      </w:r>
      <w:r w:rsidRPr="00393773">
        <w:rPr>
          <w:rFonts w:asciiTheme="minorHAnsi" w:hAnsiTheme="minorHAnsi" w:cstheme="minorHAnsi"/>
        </w:rPr>
        <w:t xml:space="preserve">. These databases were selected to ensure a wide disciplinary coverage spanning health, psychology, social care, and policy research. The search was supplemented by grey literature from reputable sources including </w:t>
      </w:r>
      <w:r w:rsidRPr="00393773">
        <w:rPr>
          <w:rStyle w:val="Strong"/>
          <w:rFonts w:asciiTheme="minorHAnsi" w:eastAsiaTheme="majorEastAsia" w:hAnsiTheme="minorHAnsi" w:cstheme="minorHAnsi"/>
        </w:rPr>
        <w:t>NHS England, The King’s Fund, the Care Quality Commission (CQC), the British Medical Association (BMA), the Australian Medical Association, and the US National Academy of Medicine</w:t>
      </w:r>
      <w:r w:rsidRPr="00393773">
        <w:rPr>
          <w:rFonts w:asciiTheme="minorHAnsi" w:hAnsiTheme="minorHAnsi" w:cstheme="minorHAnsi"/>
        </w:rPr>
        <w:t>. These sources were deemed necessary to capture insights from policy documents, workforce reports, and sector evaluations that might not appear in peer-reviewed academic journals.</w:t>
      </w:r>
    </w:p>
    <w:p w14:paraId="3474D6AF" w14:textId="58ACA731"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Keywords and subject headings were developed through an iterative process and included terms related to staff wellbeing (“workforce wellbeing,” “staff wellbeing,” “burnout,” “psychological safety”), care outcomes (“quality of care,” “patient satisfaction,” “clinical effectiveness”), and professional setting (“healthcare,” “social care,” “NHS”). Boolean operators and truncation symbols were used to ensure flexibility in matching article titles and abstracts. Search filters were applied to limit the results to </w:t>
      </w:r>
      <w:r w:rsidRPr="00393773">
        <w:rPr>
          <w:rStyle w:val="Strong"/>
          <w:rFonts w:asciiTheme="minorHAnsi" w:eastAsiaTheme="majorEastAsia" w:hAnsiTheme="minorHAnsi" w:cstheme="minorHAnsi"/>
        </w:rPr>
        <w:t>English-language studies published between 2020 and 2025</w:t>
      </w:r>
      <w:r w:rsidRPr="00393773">
        <w:rPr>
          <w:rFonts w:asciiTheme="minorHAnsi" w:hAnsiTheme="minorHAnsi" w:cstheme="minorHAnsi"/>
        </w:rPr>
        <w:t xml:space="preserve">. All retrieved citations were exported into </w:t>
      </w:r>
      <w:r w:rsidRPr="00393773">
        <w:rPr>
          <w:rStyle w:val="Strong"/>
          <w:rFonts w:asciiTheme="minorHAnsi" w:eastAsiaTheme="majorEastAsia" w:hAnsiTheme="minorHAnsi" w:cstheme="minorHAnsi"/>
        </w:rPr>
        <w:t>EndNote</w:t>
      </w:r>
      <w:r w:rsidRPr="00393773">
        <w:rPr>
          <w:rFonts w:asciiTheme="minorHAnsi" w:hAnsiTheme="minorHAnsi" w:cstheme="minorHAnsi"/>
        </w:rPr>
        <w:t xml:space="preserve"> for reference management and de-duplication.</w:t>
      </w:r>
    </w:p>
    <w:p w14:paraId="015CC2CE" w14:textId="77777777" w:rsidR="005E3402" w:rsidRPr="00393773" w:rsidRDefault="005E3402" w:rsidP="00393773">
      <w:pPr>
        <w:pStyle w:val="Heading2"/>
        <w:spacing w:line="276" w:lineRule="auto"/>
        <w:jc w:val="both"/>
        <w:rPr>
          <w:rFonts w:asciiTheme="minorHAnsi" w:hAnsiTheme="minorHAnsi" w:cstheme="minorHAnsi"/>
        </w:rPr>
      </w:pPr>
      <w:bookmarkStart w:id="10" w:name="_Toc215093006"/>
      <w:r w:rsidRPr="00393773">
        <w:rPr>
          <w:rFonts w:asciiTheme="minorHAnsi" w:hAnsiTheme="minorHAnsi" w:cstheme="minorHAnsi"/>
        </w:rPr>
        <w:t>3.5 Study Selection</w:t>
      </w:r>
      <w:bookmarkEnd w:id="10"/>
    </w:p>
    <w:p w14:paraId="3EC3926C" w14:textId="21226B2D"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Following the literature search, </w:t>
      </w:r>
      <w:r w:rsidRPr="00393773">
        <w:rPr>
          <w:rStyle w:val="Strong"/>
          <w:rFonts w:asciiTheme="minorHAnsi" w:eastAsiaTheme="majorEastAsia" w:hAnsiTheme="minorHAnsi" w:cstheme="minorHAnsi"/>
        </w:rPr>
        <w:t>3,286 records</w:t>
      </w:r>
      <w:r w:rsidRPr="00393773">
        <w:rPr>
          <w:rFonts w:asciiTheme="minorHAnsi" w:hAnsiTheme="minorHAnsi" w:cstheme="minorHAnsi"/>
        </w:rPr>
        <w:t xml:space="preserve"> were initially retrieved across all sources. After removing </w:t>
      </w:r>
      <w:r w:rsidRPr="00393773">
        <w:rPr>
          <w:rStyle w:val="Strong"/>
          <w:rFonts w:asciiTheme="minorHAnsi" w:eastAsiaTheme="majorEastAsia" w:hAnsiTheme="minorHAnsi" w:cstheme="minorHAnsi"/>
        </w:rPr>
        <w:t>847 duplicates</w:t>
      </w:r>
      <w:r w:rsidRPr="00393773">
        <w:rPr>
          <w:rFonts w:asciiTheme="minorHAnsi" w:hAnsiTheme="minorHAnsi" w:cstheme="minorHAnsi"/>
        </w:rPr>
        <w:t xml:space="preserve">, </w:t>
      </w:r>
      <w:r w:rsidRPr="00393773">
        <w:rPr>
          <w:rStyle w:val="Strong"/>
          <w:rFonts w:asciiTheme="minorHAnsi" w:eastAsiaTheme="majorEastAsia" w:hAnsiTheme="minorHAnsi" w:cstheme="minorHAnsi"/>
        </w:rPr>
        <w:t>2,439 records</w:t>
      </w:r>
      <w:r w:rsidRPr="00393773">
        <w:rPr>
          <w:rFonts w:asciiTheme="minorHAnsi" w:hAnsiTheme="minorHAnsi" w:cstheme="minorHAnsi"/>
        </w:rPr>
        <w:t xml:space="preserve"> remained for screening. The selection process was conducted in two stages. First, a </w:t>
      </w:r>
      <w:r w:rsidRPr="00393773">
        <w:rPr>
          <w:rStyle w:val="Strong"/>
          <w:rFonts w:asciiTheme="minorHAnsi" w:eastAsiaTheme="majorEastAsia" w:hAnsiTheme="minorHAnsi" w:cstheme="minorHAnsi"/>
        </w:rPr>
        <w:t>title and abstract screening</w:t>
      </w:r>
      <w:r w:rsidRPr="00393773">
        <w:rPr>
          <w:rFonts w:asciiTheme="minorHAnsi" w:hAnsiTheme="minorHAnsi" w:cstheme="minorHAnsi"/>
        </w:rPr>
        <w:t xml:space="preserve"> was performed independently by two reviewers to eliminate studies that clearly did not meet the inclusion criteria. In cases where eligibility was unclear, the study was retained for full-text review. After this stage, </w:t>
      </w:r>
      <w:r w:rsidRPr="00393773">
        <w:rPr>
          <w:rStyle w:val="Strong"/>
          <w:rFonts w:asciiTheme="minorHAnsi" w:eastAsiaTheme="majorEastAsia" w:hAnsiTheme="minorHAnsi" w:cstheme="minorHAnsi"/>
        </w:rPr>
        <w:t>184 studies</w:t>
      </w:r>
      <w:r w:rsidRPr="00393773">
        <w:rPr>
          <w:rFonts w:asciiTheme="minorHAnsi" w:hAnsiTheme="minorHAnsi" w:cstheme="minorHAnsi"/>
        </w:rPr>
        <w:t xml:space="preserve"> were selected for further examination. In the second stage, full-text articles were reviewed in depth. A final set of </w:t>
      </w:r>
      <w:r w:rsidRPr="00393773">
        <w:rPr>
          <w:rStyle w:val="Strong"/>
          <w:rFonts w:asciiTheme="minorHAnsi" w:eastAsiaTheme="majorEastAsia" w:hAnsiTheme="minorHAnsi" w:cstheme="minorHAnsi"/>
        </w:rPr>
        <w:t>74 studies</w:t>
      </w:r>
      <w:r w:rsidRPr="00393773">
        <w:rPr>
          <w:rFonts w:asciiTheme="minorHAnsi" w:hAnsiTheme="minorHAnsi" w:cstheme="minorHAnsi"/>
        </w:rPr>
        <w:t xml:space="preserve"> met all inclusion criteria and were included in the scoping review. Discrepancies between reviewers were resolved through discussion, and a third reviewer was consulted when consensus could not be reached. The study selection process is documented using a </w:t>
      </w:r>
      <w:r w:rsidRPr="00393773">
        <w:rPr>
          <w:rStyle w:val="Strong"/>
          <w:rFonts w:asciiTheme="minorHAnsi" w:eastAsiaTheme="majorEastAsia" w:hAnsiTheme="minorHAnsi" w:cstheme="minorHAnsi"/>
        </w:rPr>
        <w:t>PRISMA-ScR flow diagram</w:t>
      </w:r>
      <w:r w:rsidRPr="00393773">
        <w:rPr>
          <w:rFonts w:asciiTheme="minorHAnsi" w:hAnsiTheme="minorHAnsi" w:cstheme="minorHAnsi"/>
        </w:rPr>
        <w:t xml:space="preserve">, which can be found in </w:t>
      </w:r>
      <w:r w:rsidRPr="00393773">
        <w:rPr>
          <w:rStyle w:val="Strong"/>
          <w:rFonts w:asciiTheme="minorHAnsi" w:eastAsiaTheme="majorEastAsia" w:hAnsiTheme="minorHAnsi" w:cstheme="minorHAnsi"/>
        </w:rPr>
        <w:t>Appendix A</w:t>
      </w:r>
      <w:r w:rsidRPr="00393773">
        <w:rPr>
          <w:rFonts w:asciiTheme="minorHAnsi" w:hAnsiTheme="minorHAnsi" w:cstheme="minorHAnsi"/>
        </w:rPr>
        <w:t>.</w:t>
      </w:r>
    </w:p>
    <w:p w14:paraId="6FD51698" w14:textId="77777777" w:rsidR="005E3402" w:rsidRPr="00393773" w:rsidRDefault="005E3402" w:rsidP="00393773">
      <w:pPr>
        <w:pStyle w:val="Heading2"/>
        <w:spacing w:line="276" w:lineRule="auto"/>
        <w:jc w:val="both"/>
        <w:rPr>
          <w:rFonts w:asciiTheme="minorHAnsi" w:hAnsiTheme="minorHAnsi" w:cstheme="minorHAnsi"/>
        </w:rPr>
      </w:pPr>
      <w:bookmarkStart w:id="11" w:name="_Toc215093007"/>
      <w:r w:rsidRPr="00393773">
        <w:rPr>
          <w:rFonts w:asciiTheme="minorHAnsi" w:hAnsiTheme="minorHAnsi" w:cstheme="minorHAnsi"/>
        </w:rPr>
        <w:t>3.6 Data Charting</w:t>
      </w:r>
      <w:bookmarkEnd w:id="11"/>
    </w:p>
    <w:p w14:paraId="4C4FFEBA" w14:textId="15B14435"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Once the eligible studies were selected, relevant information was extracted and entered into a </w:t>
      </w:r>
      <w:proofErr w:type="spellStart"/>
      <w:r w:rsidRPr="00393773">
        <w:rPr>
          <w:rFonts w:asciiTheme="minorHAnsi" w:hAnsiTheme="minorHAnsi" w:cstheme="minorHAnsi"/>
        </w:rPr>
        <w:t>standardised</w:t>
      </w:r>
      <w:proofErr w:type="spellEnd"/>
      <w:r w:rsidRPr="00393773">
        <w:rPr>
          <w:rFonts w:asciiTheme="minorHAnsi" w:hAnsiTheme="minorHAnsi" w:cstheme="minorHAnsi"/>
        </w:rPr>
        <w:t xml:space="preserve"> data charting template created in </w:t>
      </w:r>
      <w:r w:rsidRPr="00393773">
        <w:rPr>
          <w:rStyle w:val="Strong"/>
          <w:rFonts w:asciiTheme="minorHAnsi" w:eastAsiaTheme="majorEastAsia" w:hAnsiTheme="minorHAnsi" w:cstheme="minorHAnsi"/>
        </w:rPr>
        <w:t>Microsoft Excel</w:t>
      </w:r>
      <w:r w:rsidRPr="00393773">
        <w:rPr>
          <w:rFonts w:asciiTheme="minorHAnsi" w:hAnsiTheme="minorHAnsi" w:cstheme="minorHAnsi"/>
        </w:rPr>
        <w:t xml:space="preserve">. This template included the following variables: author(s), year of publication, country of origin, healthcare setting, study design (e.g., qualitative, quantitative, mixed methods), professional population (e.g., nurses, care assistants), </w:t>
      </w:r>
      <w:proofErr w:type="spellStart"/>
      <w:r w:rsidRPr="00393773">
        <w:rPr>
          <w:rFonts w:asciiTheme="minorHAnsi" w:hAnsiTheme="minorHAnsi" w:cstheme="minorHAnsi"/>
        </w:rPr>
        <w:t>conceptualisation</w:t>
      </w:r>
      <w:proofErr w:type="spellEnd"/>
      <w:r w:rsidRPr="00393773">
        <w:rPr>
          <w:rFonts w:asciiTheme="minorHAnsi" w:hAnsiTheme="minorHAnsi" w:cstheme="minorHAnsi"/>
        </w:rPr>
        <w:t xml:space="preserve"> of wellbeing, care quality outcomes, and key findings. Special attention was paid to how each study defined and measured “workforce wellbeing” and “quality of care,” as well as the contextual factors influencing the relationship between them. The charting process was iterative, and the form was refined to accommodate newly emerging data categories. This flexibility ensured that the synthesis would reflect the nuances and multidimensional nature of the topic.</w:t>
      </w:r>
    </w:p>
    <w:p w14:paraId="33EC0C5F" w14:textId="77777777" w:rsidR="005E3402" w:rsidRPr="00393773" w:rsidRDefault="005E3402" w:rsidP="00393773">
      <w:pPr>
        <w:pStyle w:val="Heading2"/>
        <w:spacing w:line="276" w:lineRule="auto"/>
        <w:jc w:val="both"/>
        <w:rPr>
          <w:rFonts w:asciiTheme="minorHAnsi" w:hAnsiTheme="minorHAnsi" w:cstheme="minorHAnsi"/>
        </w:rPr>
      </w:pPr>
      <w:bookmarkStart w:id="12" w:name="_Toc215093008"/>
      <w:r w:rsidRPr="00393773">
        <w:rPr>
          <w:rFonts w:asciiTheme="minorHAnsi" w:hAnsiTheme="minorHAnsi" w:cstheme="minorHAnsi"/>
        </w:rPr>
        <w:t>3.7 Data Synthesis</w:t>
      </w:r>
      <w:bookmarkEnd w:id="12"/>
    </w:p>
    <w:p w14:paraId="779D2A66" w14:textId="269941A4"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To </w:t>
      </w:r>
      <w:proofErr w:type="spellStart"/>
      <w:r w:rsidRPr="00393773">
        <w:rPr>
          <w:rFonts w:asciiTheme="minorHAnsi" w:hAnsiTheme="minorHAnsi" w:cstheme="minorHAnsi"/>
        </w:rPr>
        <w:t>synthesise</w:t>
      </w:r>
      <w:proofErr w:type="spellEnd"/>
      <w:r w:rsidRPr="00393773">
        <w:rPr>
          <w:rFonts w:asciiTheme="minorHAnsi" w:hAnsiTheme="minorHAnsi" w:cstheme="minorHAnsi"/>
        </w:rPr>
        <w:t xml:space="preserve"> the data, a </w:t>
      </w:r>
      <w:r w:rsidRPr="00393773">
        <w:rPr>
          <w:rStyle w:val="Strong"/>
          <w:rFonts w:asciiTheme="minorHAnsi" w:eastAsiaTheme="majorEastAsia" w:hAnsiTheme="minorHAnsi" w:cstheme="minorHAnsi"/>
        </w:rPr>
        <w:t>thematic analysis</w:t>
      </w:r>
      <w:r w:rsidRPr="00393773">
        <w:rPr>
          <w:rFonts w:asciiTheme="minorHAnsi" w:hAnsiTheme="minorHAnsi" w:cstheme="minorHAnsi"/>
        </w:rPr>
        <w:t xml:space="preserve"> approach was used, following the six-step method outlined by </w:t>
      </w:r>
      <w:r w:rsidRPr="00393773">
        <w:rPr>
          <w:rStyle w:val="Strong"/>
          <w:rFonts w:asciiTheme="minorHAnsi" w:eastAsiaTheme="majorEastAsia" w:hAnsiTheme="minorHAnsi" w:cstheme="minorHAnsi"/>
        </w:rPr>
        <w:t>Braun and Clarke (2006)</w:t>
      </w:r>
      <w:r w:rsidRPr="00393773">
        <w:rPr>
          <w:rFonts w:asciiTheme="minorHAnsi" w:hAnsiTheme="minorHAnsi" w:cstheme="minorHAnsi"/>
        </w:rPr>
        <w:t xml:space="preserve">. First, all extracted data were reviewed repeatedly to </w:t>
      </w:r>
      <w:proofErr w:type="spellStart"/>
      <w:r w:rsidRPr="00393773">
        <w:rPr>
          <w:rFonts w:asciiTheme="minorHAnsi" w:hAnsiTheme="minorHAnsi" w:cstheme="minorHAnsi"/>
        </w:rPr>
        <w:t>familiarise</w:t>
      </w:r>
      <w:proofErr w:type="spellEnd"/>
      <w:r w:rsidRPr="00393773">
        <w:rPr>
          <w:rFonts w:asciiTheme="minorHAnsi" w:hAnsiTheme="minorHAnsi" w:cstheme="minorHAnsi"/>
        </w:rPr>
        <w:t xml:space="preserve"> the researcher with the content. Initial codes were then generated to identify meaningful patterns across the studies. These codes were grouped into preliminary themes, which were reviewed and refined through multiple iterations. Particular attention was paid to how themes related to the research questions and theoretical models described in Chapter 1, including Maslow’s Hierarchy of Needs, Empowerment Theory, and the Job Demands-Resources (JD-R) model. The final themes were defined, named, and structured to support the </w:t>
      </w:r>
      <w:proofErr w:type="spellStart"/>
      <w:r w:rsidRPr="00393773">
        <w:rPr>
          <w:rFonts w:asciiTheme="minorHAnsi" w:hAnsiTheme="minorHAnsi" w:cstheme="minorHAnsi"/>
        </w:rPr>
        <w:t>organisation</w:t>
      </w:r>
      <w:proofErr w:type="spellEnd"/>
      <w:r w:rsidRPr="00393773">
        <w:rPr>
          <w:rFonts w:asciiTheme="minorHAnsi" w:hAnsiTheme="minorHAnsi" w:cstheme="minorHAnsi"/>
        </w:rPr>
        <w:t xml:space="preserve"> of Chapter 4. Examples of emergent themes included “burnout and clinical errors,” “psychological safety and teamwork,” “empowerment and autonomy,”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and compassionate leadership,” and “disparities between policy and practice.” These thematic categories provided the analytical foundation for the next chapter, which presents and discusses the findings in depth.</w:t>
      </w:r>
    </w:p>
    <w:p w14:paraId="637073BB" w14:textId="77777777" w:rsidR="005E3402" w:rsidRPr="00393773" w:rsidRDefault="005E3402" w:rsidP="00393773">
      <w:pPr>
        <w:pStyle w:val="Heading2"/>
        <w:spacing w:line="276" w:lineRule="auto"/>
        <w:jc w:val="both"/>
        <w:rPr>
          <w:rFonts w:asciiTheme="minorHAnsi" w:hAnsiTheme="minorHAnsi" w:cstheme="minorHAnsi"/>
        </w:rPr>
      </w:pPr>
      <w:bookmarkStart w:id="13" w:name="_Toc215093009"/>
      <w:r w:rsidRPr="00393773">
        <w:rPr>
          <w:rFonts w:asciiTheme="minorHAnsi" w:hAnsiTheme="minorHAnsi" w:cstheme="minorHAnsi"/>
        </w:rPr>
        <w:t>3.8 Ethical Considerations</w:t>
      </w:r>
      <w:bookmarkEnd w:id="13"/>
    </w:p>
    <w:p w14:paraId="6F9F47FA" w14:textId="74ADE526"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As the study did not involve human participants or primary data collection, </w:t>
      </w:r>
      <w:r w:rsidRPr="00393773">
        <w:rPr>
          <w:rStyle w:val="Strong"/>
          <w:rFonts w:asciiTheme="minorHAnsi" w:eastAsiaTheme="majorEastAsia" w:hAnsiTheme="minorHAnsi" w:cstheme="minorHAnsi"/>
        </w:rPr>
        <w:t>formal ethical approval was not required</w:t>
      </w:r>
      <w:r w:rsidRPr="00393773">
        <w:rPr>
          <w:rFonts w:asciiTheme="minorHAnsi" w:hAnsiTheme="minorHAnsi" w:cstheme="minorHAnsi"/>
        </w:rPr>
        <w:t>. Nevertheless, all ethical guidelines for secondary research were followed, including proper citation of sources, responsible handling of data, and transparency in reporting the review process. Every effort was made to ensure the credibility and authenticity of the findings. In line with the principles of academic integrity, only publicly accessible and reputable sources were used. The review adhered to the ethical standards established by the university’s research ethics policy and relevant scoping review guidance.</w:t>
      </w:r>
    </w:p>
    <w:p w14:paraId="4C99416C" w14:textId="77777777" w:rsidR="005E3402" w:rsidRPr="00393773" w:rsidRDefault="005E3402" w:rsidP="00393773">
      <w:pPr>
        <w:pStyle w:val="Heading2"/>
        <w:spacing w:line="276" w:lineRule="auto"/>
        <w:jc w:val="both"/>
        <w:rPr>
          <w:rFonts w:asciiTheme="minorHAnsi" w:hAnsiTheme="minorHAnsi" w:cstheme="minorHAnsi"/>
        </w:rPr>
      </w:pPr>
      <w:bookmarkStart w:id="14" w:name="_Toc215093010"/>
      <w:r w:rsidRPr="00393773">
        <w:rPr>
          <w:rFonts w:asciiTheme="minorHAnsi" w:hAnsiTheme="minorHAnsi" w:cstheme="minorHAnsi"/>
        </w:rPr>
        <w:t>3.9 Limitations of the Method</w:t>
      </w:r>
      <w:bookmarkEnd w:id="14"/>
    </w:p>
    <w:p w14:paraId="0E316255" w14:textId="0F3FA819"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Several limitations of the methodological approach must be acknowledged. First, restricting the review to </w:t>
      </w:r>
      <w:r w:rsidRPr="00393773">
        <w:rPr>
          <w:rStyle w:val="Strong"/>
          <w:rFonts w:asciiTheme="minorHAnsi" w:eastAsiaTheme="majorEastAsia" w:hAnsiTheme="minorHAnsi" w:cstheme="minorHAnsi"/>
        </w:rPr>
        <w:t>English-language studies</w:t>
      </w:r>
      <w:r w:rsidRPr="00393773">
        <w:rPr>
          <w:rFonts w:asciiTheme="minorHAnsi" w:hAnsiTheme="minorHAnsi" w:cstheme="minorHAnsi"/>
        </w:rPr>
        <w:t xml:space="preserve"> may have excluded relevant research published in other languages, particularly from non-Anglophone health systems that might offer alternative insights. Second, despite the breadth of the search strategy, some relevant studies may have been missed due to variations in terminology or indexing inconsistencies in the databases. Third, while thematic analysis provides rich insights, it is inherently interpretive and may be subject to researcher bias. To mitigate this, cross-checking and peer feedback were employed where possible. Finally, as a scoping review, the study does not include quality appraisal or meta-analysis, meaning that the strength of the evidence cannot be quantified. However, given the exploratory objectives of the research, the chosen method remains appropriate and robust.</w:t>
      </w:r>
    </w:p>
    <w:p w14:paraId="17961DFD" w14:textId="77777777" w:rsidR="005E3402" w:rsidRPr="00393773" w:rsidRDefault="005E3402" w:rsidP="00393773">
      <w:pPr>
        <w:pStyle w:val="Heading2"/>
        <w:spacing w:line="276" w:lineRule="auto"/>
        <w:jc w:val="both"/>
        <w:rPr>
          <w:rFonts w:asciiTheme="minorHAnsi" w:hAnsiTheme="minorHAnsi" w:cstheme="minorHAnsi"/>
        </w:rPr>
      </w:pPr>
      <w:bookmarkStart w:id="15" w:name="_Toc215093011"/>
      <w:r w:rsidRPr="00393773">
        <w:rPr>
          <w:rFonts w:asciiTheme="minorHAnsi" w:hAnsiTheme="minorHAnsi" w:cstheme="minorHAnsi"/>
        </w:rPr>
        <w:t>3.10 Conclusion</w:t>
      </w:r>
      <w:bookmarkEnd w:id="15"/>
    </w:p>
    <w:p w14:paraId="750934D8"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chapter has described the methodology adopted for conducting a scoping review on the relationship between workforce wellbeing and quality of care. By following a </w:t>
      </w:r>
      <w:proofErr w:type="spellStart"/>
      <w:r w:rsidRPr="00393773">
        <w:rPr>
          <w:rFonts w:asciiTheme="minorHAnsi" w:hAnsiTheme="minorHAnsi" w:cstheme="minorHAnsi"/>
        </w:rPr>
        <w:t>recognised</w:t>
      </w:r>
      <w:proofErr w:type="spellEnd"/>
      <w:r w:rsidRPr="00393773">
        <w:rPr>
          <w:rFonts w:asciiTheme="minorHAnsi" w:hAnsiTheme="minorHAnsi" w:cstheme="minorHAnsi"/>
        </w:rPr>
        <w:t xml:space="preserve"> five-stage process and adhering to PRISMA-ScR reporting guidelines, the review ensured transparency, replicability, and academic </w:t>
      </w:r>
      <w:proofErr w:type="spellStart"/>
      <w:r w:rsidRPr="00393773">
        <w:rPr>
          <w:rFonts w:asciiTheme="minorHAnsi" w:hAnsiTheme="minorHAnsi" w:cstheme="minorHAnsi"/>
        </w:rPr>
        <w:t>rigour</w:t>
      </w:r>
      <w:proofErr w:type="spellEnd"/>
      <w:r w:rsidRPr="00393773">
        <w:rPr>
          <w:rFonts w:asciiTheme="minorHAnsi" w:hAnsiTheme="minorHAnsi" w:cstheme="minorHAnsi"/>
        </w:rPr>
        <w:t xml:space="preserve">. The use of thematic analysis allowed for a flexible yet structured synthesis of a diverse body of literature. The next chapter presents the findings from this review, </w:t>
      </w:r>
      <w:proofErr w:type="spellStart"/>
      <w:r w:rsidRPr="00393773">
        <w:rPr>
          <w:rFonts w:asciiTheme="minorHAnsi" w:hAnsiTheme="minorHAnsi" w:cstheme="minorHAnsi"/>
        </w:rPr>
        <w:t>organised</w:t>
      </w:r>
      <w:proofErr w:type="spellEnd"/>
      <w:r w:rsidRPr="00393773">
        <w:rPr>
          <w:rFonts w:asciiTheme="minorHAnsi" w:hAnsiTheme="minorHAnsi" w:cstheme="minorHAnsi"/>
        </w:rPr>
        <w:t xml:space="preserve"> according to the key themes that emerged during data synthesis.</w:t>
      </w:r>
    </w:p>
    <w:p w14:paraId="34B759D4" w14:textId="18209310" w:rsidR="005E3402" w:rsidRPr="00393773" w:rsidRDefault="005E3402" w:rsidP="00393773">
      <w:pPr>
        <w:pStyle w:val="Heading3"/>
        <w:spacing w:line="276" w:lineRule="auto"/>
        <w:jc w:val="both"/>
        <w:rPr>
          <w:rFonts w:asciiTheme="minorHAnsi" w:hAnsiTheme="minorHAnsi" w:cstheme="minorHAnsi"/>
        </w:rPr>
      </w:pPr>
      <w:bookmarkStart w:id="16" w:name="_Toc215093012"/>
      <w:r w:rsidRPr="00393773">
        <w:rPr>
          <w:rFonts w:asciiTheme="minorHAnsi" w:hAnsiTheme="minorHAnsi" w:cstheme="minorHAnsi"/>
        </w:rPr>
        <w:t>CHAPTER 4: RESULTS AND DISCUSSION</w:t>
      </w:r>
      <w:bookmarkEnd w:id="16"/>
    </w:p>
    <w:p w14:paraId="78FDE7CA" w14:textId="77777777" w:rsidR="005E3402" w:rsidRPr="00393773" w:rsidRDefault="005E3402" w:rsidP="00393773">
      <w:pPr>
        <w:pStyle w:val="Heading2"/>
        <w:spacing w:line="276" w:lineRule="auto"/>
        <w:jc w:val="both"/>
        <w:rPr>
          <w:rFonts w:asciiTheme="minorHAnsi" w:hAnsiTheme="minorHAnsi" w:cstheme="minorHAnsi"/>
        </w:rPr>
      </w:pPr>
      <w:bookmarkStart w:id="17" w:name="_Toc215093013"/>
      <w:r w:rsidRPr="00393773">
        <w:rPr>
          <w:rFonts w:asciiTheme="minorHAnsi" w:hAnsiTheme="minorHAnsi" w:cstheme="minorHAnsi"/>
        </w:rPr>
        <w:t>4.1 Introduction</w:t>
      </w:r>
      <w:bookmarkEnd w:id="17"/>
    </w:p>
    <w:p w14:paraId="3FB21F0D"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The findings of this scoping review are presented and discussed thematically in this chapter, drawing upon a synthesis of 74 sources that met the eligibility criteria outlined in Chapter 3. The analysis revealed a set of recurring themes that illustrate the complex and bidirectional relationship between workforce wellbeing and the quality of care in health and social care settings. These themes were derived from both empirical studies and grey literature and are interpreted through the lens of theoretical frameworks including Maslow’s Hierarchy of Needs, Empowerment Theory, the Job Demands-Resources (JD-R) model, and the NHS Workforce Wellbeing Framework.</w:t>
      </w:r>
    </w:p>
    <w:p w14:paraId="2F5E1A81"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The results are structured into five core thematic areas:</w:t>
      </w:r>
    </w:p>
    <w:p w14:paraId="482B861A" w14:textId="77777777" w:rsidR="005E3402" w:rsidRPr="00393773" w:rsidRDefault="005E3402" w:rsidP="00393773">
      <w:pPr>
        <w:pStyle w:val="NormalWeb"/>
        <w:numPr>
          <w:ilvl w:val="0"/>
          <w:numId w:val="2"/>
        </w:numPr>
        <w:spacing w:line="276" w:lineRule="auto"/>
        <w:jc w:val="both"/>
        <w:rPr>
          <w:rFonts w:asciiTheme="minorHAnsi" w:hAnsiTheme="minorHAnsi" w:cstheme="minorHAnsi"/>
        </w:rPr>
      </w:pPr>
      <w:r w:rsidRPr="00393773">
        <w:rPr>
          <w:rStyle w:val="Strong"/>
          <w:rFonts w:asciiTheme="minorHAnsi" w:hAnsiTheme="minorHAnsi" w:cstheme="minorHAnsi"/>
        </w:rPr>
        <w:t>Burnout and Its Impact on Care Quality</w:t>
      </w:r>
    </w:p>
    <w:p w14:paraId="48C478F9" w14:textId="77777777" w:rsidR="005E3402" w:rsidRPr="00393773" w:rsidRDefault="005E3402" w:rsidP="00393773">
      <w:pPr>
        <w:pStyle w:val="NormalWeb"/>
        <w:numPr>
          <w:ilvl w:val="0"/>
          <w:numId w:val="2"/>
        </w:numPr>
        <w:spacing w:line="276" w:lineRule="auto"/>
        <w:jc w:val="both"/>
        <w:rPr>
          <w:rFonts w:asciiTheme="minorHAnsi" w:hAnsiTheme="minorHAnsi" w:cstheme="minorHAnsi"/>
        </w:rPr>
      </w:pPr>
      <w:r w:rsidRPr="00393773">
        <w:rPr>
          <w:rStyle w:val="Strong"/>
          <w:rFonts w:asciiTheme="minorHAnsi" w:hAnsiTheme="minorHAnsi" w:cstheme="minorHAnsi"/>
        </w:rPr>
        <w:t>Psychological Safety and Team Functioning</w:t>
      </w:r>
    </w:p>
    <w:p w14:paraId="3461C704" w14:textId="77777777" w:rsidR="005E3402" w:rsidRPr="00393773" w:rsidRDefault="005E3402" w:rsidP="00393773">
      <w:pPr>
        <w:pStyle w:val="NormalWeb"/>
        <w:numPr>
          <w:ilvl w:val="0"/>
          <w:numId w:val="2"/>
        </w:numPr>
        <w:spacing w:line="276" w:lineRule="auto"/>
        <w:jc w:val="both"/>
        <w:rPr>
          <w:rFonts w:asciiTheme="minorHAnsi" w:hAnsiTheme="minorHAnsi" w:cstheme="minorHAnsi"/>
        </w:rPr>
      </w:pPr>
      <w:r w:rsidRPr="00393773">
        <w:rPr>
          <w:rStyle w:val="Strong"/>
          <w:rFonts w:asciiTheme="minorHAnsi" w:hAnsiTheme="minorHAnsi" w:cstheme="minorHAnsi"/>
        </w:rPr>
        <w:t>Empowerment, Autonomy, and Job Satisfaction</w:t>
      </w:r>
    </w:p>
    <w:p w14:paraId="261CC723" w14:textId="77777777" w:rsidR="005E3402" w:rsidRPr="00393773" w:rsidRDefault="005E3402" w:rsidP="00393773">
      <w:pPr>
        <w:pStyle w:val="NormalWeb"/>
        <w:numPr>
          <w:ilvl w:val="0"/>
          <w:numId w:val="2"/>
        </w:numPr>
        <w:spacing w:line="276" w:lineRule="auto"/>
        <w:jc w:val="both"/>
        <w:rPr>
          <w:rFonts w:asciiTheme="minorHAnsi" w:hAnsiTheme="minorHAnsi" w:cstheme="minorHAnsi"/>
        </w:rPr>
      </w:pPr>
      <w:proofErr w:type="spellStart"/>
      <w:r w:rsidRPr="00393773">
        <w:rPr>
          <w:rStyle w:val="Strong"/>
          <w:rFonts w:asciiTheme="minorHAnsi" w:hAnsiTheme="minorHAnsi" w:cstheme="minorHAnsi"/>
        </w:rPr>
        <w:t>Organisational</w:t>
      </w:r>
      <w:proofErr w:type="spellEnd"/>
      <w:r w:rsidRPr="00393773">
        <w:rPr>
          <w:rStyle w:val="Strong"/>
          <w:rFonts w:asciiTheme="minorHAnsi" w:hAnsiTheme="minorHAnsi" w:cstheme="minorHAnsi"/>
        </w:rPr>
        <w:t xml:space="preserve"> Culture and Leadership</w:t>
      </w:r>
    </w:p>
    <w:p w14:paraId="391045A9" w14:textId="77777777" w:rsidR="005E3402" w:rsidRPr="00393773" w:rsidRDefault="005E3402" w:rsidP="00393773">
      <w:pPr>
        <w:pStyle w:val="NormalWeb"/>
        <w:numPr>
          <w:ilvl w:val="0"/>
          <w:numId w:val="2"/>
        </w:numPr>
        <w:spacing w:line="276" w:lineRule="auto"/>
        <w:jc w:val="both"/>
        <w:rPr>
          <w:rFonts w:asciiTheme="minorHAnsi" w:hAnsiTheme="minorHAnsi" w:cstheme="minorHAnsi"/>
        </w:rPr>
      </w:pPr>
      <w:r w:rsidRPr="00393773">
        <w:rPr>
          <w:rStyle w:val="Strong"/>
          <w:rFonts w:asciiTheme="minorHAnsi" w:hAnsiTheme="minorHAnsi" w:cstheme="minorHAnsi"/>
        </w:rPr>
        <w:t>Policy-Practice Gaps and Systemic Constraints</w:t>
      </w:r>
    </w:p>
    <w:p w14:paraId="6A6582FD" w14:textId="59729C66"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Each theme is critically examined, with attention paid to the interplay between staff wellbeing and care outcomes such as patient satisfaction, safety, continuity, and clinical effectiveness. Where appropriate, international comparisons (Australia and the United States) are incorporated to </w:t>
      </w:r>
      <w:proofErr w:type="spellStart"/>
      <w:r w:rsidRPr="00393773">
        <w:rPr>
          <w:rFonts w:asciiTheme="minorHAnsi" w:hAnsiTheme="minorHAnsi" w:cstheme="minorHAnsi"/>
        </w:rPr>
        <w:t>contextualise</w:t>
      </w:r>
      <w:proofErr w:type="spellEnd"/>
      <w:r w:rsidRPr="00393773">
        <w:rPr>
          <w:rFonts w:asciiTheme="minorHAnsi" w:hAnsiTheme="minorHAnsi" w:cstheme="minorHAnsi"/>
        </w:rPr>
        <w:t xml:space="preserve"> the UK experience. The chapter concludes by </w:t>
      </w:r>
      <w:proofErr w:type="spellStart"/>
      <w:r w:rsidRPr="00393773">
        <w:rPr>
          <w:rFonts w:asciiTheme="minorHAnsi" w:hAnsiTheme="minorHAnsi" w:cstheme="minorHAnsi"/>
        </w:rPr>
        <w:t>synthesising</w:t>
      </w:r>
      <w:proofErr w:type="spellEnd"/>
      <w:r w:rsidRPr="00393773">
        <w:rPr>
          <w:rFonts w:asciiTheme="minorHAnsi" w:hAnsiTheme="minorHAnsi" w:cstheme="minorHAnsi"/>
        </w:rPr>
        <w:t xml:space="preserve"> these themes and reflecting on their implications for workforce wellbeing strategies and service delivery improvements.</w:t>
      </w:r>
    </w:p>
    <w:p w14:paraId="535F1C78" w14:textId="77777777" w:rsidR="005E3402" w:rsidRPr="00393773" w:rsidRDefault="005E3402" w:rsidP="00393773">
      <w:pPr>
        <w:pStyle w:val="Heading2"/>
        <w:spacing w:line="276" w:lineRule="auto"/>
        <w:jc w:val="both"/>
        <w:rPr>
          <w:rFonts w:asciiTheme="minorHAnsi" w:hAnsiTheme="minorHAnsi" w:cstheme="minorHAnsi"/>
        </w:rPr>
      </w:pPr>
      <w:bookmarkStart w:id="18" w:name="_Toc215093014"/>
      <w:r w:rsidRPr="00393773">
        <w:rPr>
          <w:rFonts w:asciiTheme="minorHAnsi" w:hAnsiTheme="minorHAnsi" w:cstheme="minorHAnsi"/>
        </w:rPr>
        <w:t>4.2 Burnout and Its Impact on Care Quality</w:t>
      </w:r>
      <w:bookmarkEnd w:id="18"/>
    </w:p>
    <w:p w14:paraId="02D40B6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A dominant theme across the literature is the high prevalence of </w:t>
      </w:r>
      <w:r w:rsidRPr="00393773">
        <w:rPr>
          <w:rStyle w:val="Strong"/>
          <w:rFonts w:asciiTheme="minorHAnsi" w:hAnsiTheme="minorHAnsi" w:cstheme="minorHAnsi"/>
        </w:rPr>
        <w:t>burnout</w:t>
      </w:r>
      <w:r w:rsidRPr="00393773">
        <w:rPr>
          <w:rFonts w:asciiTheme="minorHAnsi" w:hAnsiTheme="minorHAnsi" w:cstheme="minorHAnsi"/>
        </w:rPr>
        <w:t xml:space="preserve"> among health and social care staff and its detrimental effect on care quality. Burnout, typically </w:t>
      </w:r>
      <w:proofErr w:type="spellStart"/>
      <w:r w:rsidRPr="00393773">
        <w:rPr>
          <w:rFonts w:asciiTheme="minorHAnsi" w:hAnsiTheme="minorHAnsi" w:cstheme="minorHAnsi"/>
        </w:rPr>
        <w:t>characterised</w:t>
      </w:r>
      <w:proofErr w:type="spellEnd"/>
      <w:r w:rsidRPr="00393773">
        <w:rPr>
          <w:rFonts w:asciiTheme="minorHAnsi" w:hAnsiTheme="minorHAnsi" w:cstheme="minorHAnsi"/>
        </w:rPr>
        <w:t xml:space="preserve"> by emotional exhaustion, </w:t>
      </w:r>
      <w:proofErr w:type="spellStart"/>
      <w:r w:rsidRPr="00393773">
        <w:rPr>
          <w:rFonts w:asciiTheme="minorHAnsi" w:hAnsiTheme="minorHAnsi" w:cstheme="minorHAnsi"/>
        </w:rPr>
        <w:t>depersonalisation</w:t>
      </w:r>
      <w:proofErr w:type="spellEnd"/>
      <w:r w:rsidRPr="00393773">
        <w:rPr>
          <w:rFonts w:asciiTheme="minorHAnsi" w:hAnsiTheme="minorHAnsi" w:cstheme="minorHAnsi"/>
        </w:rPr>
        <w:t>, and a reduced sense of personal accomplishment (Maslach et al., 2001), has become a defining concern in post-pandemic healthcare contexts. Numerous studies, including those by Montgomery et al. (2021) and Hall et al. (2022), demonstrate that staff experiencing burnout are significantly more likely to commit errors, engage less with patients, and report lower levels of job satisfaction and professional efficacy.</w:t>
      </w:r>
    </w:p>
    <w:p w14:paraId="1BC61FCC"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In a large-scale survey conducted by the British Medical Association (BMA, 2023), over 67% of UK healthcare workers reported moderate to severe burnout symptoms, with nurses and junior doctors particularly affected. Burnout was directly correlated with increased absenteeism, patient safety incidents, and staff turnover. These findings are echoed in Australian research, where hospital wards with high staff burnout reported higher rates of adverse events and lower patient satisfaction scores (Australian Medical Association, 2021).</w:t>
      </w:r>
    </w:p>
    <w:p w14:paraId="1ABEA37D"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theoretical foundations of this theme align closely with the </w:t>
      </w:r>
      <w:r w:rsidRPr="00393773">
        <w:rPr>
          <w:rStyle w:val="Strong"/>
          <w:rFonts w:asciiTheme="minorHAnsi" w:hAnsiTheme="minorHAnsi" w:cstheme="minorHAnsi"/>
        </w:rPr>
        <w:t>Job Demands-Resources (JD-R) model</w:t>
      </w:r>
      <w:r w:rsidRPr="00393773">
        <w:rPr>
          <w:rFonts w:asciiTheme="minorHAnsi" w:hAnsiTheme="minorHAnsi" w:cstheme="minorHAnsi"/>
        </w:rPr>
        <w:t>, which posits that when high demands—such as emotional labour, excessive workloads, and time pressures—are not counterbalanced by adequate resources (e.g. managerial support, team cohesion, flexible scheduling), burnout is an inevitable outcome (Bakker &amp; Demerouti, 2017). In several UK NHS Trusts, limited staffing and pandemic-related backlogs have created chronic demand-resource imbalances, contributing to unsustainable work environments (NHS Digital, 2023).</w:t>
      </w:r>
    </w:p>
    <w:p w14:paraId="1E92BCBE"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Burnout not only affects individual clinicians but also compromises team function and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 study by West et al. (2020) found that high-burnout environments are more likely to experience communication breakdowns, decreased compassion in care, and higher patient dissatisfaction. Moreover, the downstream impact of burnout includes reduced continuity of care, as staff disengagement leads to higher reliance on agency workers and less effective multidisciplinary collaboration.</w:t>
      </w:r>
    </w:p>
    <w:p w14:paraId="7E5F7FB0"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w:t>
      </w:r>
      <w:r w:rsidRPr="00393773">
        <w:rPr>
          <w:rStyle w:val="Strong"/>
          <w:rFonts w:asciiTheme="minorHAnsi" w:hAnsiTheme="minorHAnsi" w:cstheme="minorHAnsi"/>
        </w:rPr>
        <w:t>NHS Workforce Wellbeing Framework</w:t>
      </w:r>
      <w:r w:rsidRPr="00393773">
        <w:rPr>
          <w:rFonts w:asciiTheme="minorHAnsi" w:hAnsiTheme="minorHAnsi" w:cstheme="minorHAnsi"/>
        </w:rPr>
        <w:t xml:space="preserve"> acknowledges the importance of mitigating burnout but offers limited mechanisms for enforcement or accountability. While wellbeing champions and peer support networks have been implemented in some Trusts, evaluations suggest that these measures often lack the systemic backing—such as protected time, caseload adjustments, or mental health services—needed to have meaningful impact (NHS Improvement, 2021).</w:t>
      </w:r>
    </w:p>
    <w:p w14:paraId="30B28BC2"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From a psychological perspective, </w:t>
      </w:r>
      <w:r w:rsidRPr="00393773">
        <w:rPr>
          <w:rStyle w:val="Strong"/>
          <w:rFonts w:asciiTheme="minorHAnsi" w:hAnsiTheme="minorHAnsi" w:cstheme="minorHAnsi"/>
        </w:rPr>
        <w:t>Maslow’s Hierarchy of Needs</w:t>
      </w:r>
      <w:r w:rsidRPr="00393773">
        <w:rPr>
          <w:rFonts w:asciiTheme="minorHAnsi" w:hAnsiTheme="minorHAnsi" w:cstheme="minorHAnsi"/>
        </w:rPr>
        <w:t xml:space="preserve"> provides a helpful lens to understand burnout. When staff’s basic physiological and safety needs—such as manageable workloads, job security, and physical safety—are not met, it becomes virtually impossible for them to reach the higher-order levels of esteem and </w:t>
      </w:r>
      <w:proofErr w:type="spellStart"/>
      <w:r w:rsidRPr="00393773">
        <w:rPr>
          <w:rFonts w:asciiTheme="minorHAnsi" w:hAnsiTheme="minorHAnsi" w:cstheme="minorHAnsi"/>
        </w:rPr>
        <w:t>self-actualisation</w:t>
      </w:r>
      <w:proofErr w:type="spellEnd"/>
      <w:r w:rsidRPr="00393773">
        <w:rPr>
          <w:rFonts w:asciiTheme="minorHAnsi" w:hAnsiTheme="minorHAnsi" w:cstheme="minorHAnsi"/>
        </w:rPr>
        <w:t xml:space="preserve"> associated with professional fulfilment and compassionate caregiving (Shuck et al., 2022).</w:t>
      </w:r>
    </w:p>
    <w:p w14:paraId="4CA85F0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 conclusion, burnout emerges as both a cause and consequence of deteriorating care quality. Addressing burnout requires moving beyond individual resilience training to systemic reform that reconfigures workloads, improves staffing ratios, and embeds supportive practices into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cultures. Without such measures, burnout will remain an entrenched barrier to high-quality, </w:t>
      </w:r>
      <w:proofErr w:type="spellStart"/>
      <w:r w:rsidRPr="00393773">
        <w:rPr>
          <w:rFonts w:asciiTheme="minorHAnsi" w:hAnsiTheme="minorHAnsi" w:cstheme="minorHAnsi"/>
        </w:rPr>
        <w:t>patient-centred</w:t>
      </w:r>
      <w:proofErr w:type="spellEnd"/>
      <w:r w:rsidRPr="00393773">
        <w:rPr>
          <w:rFonts w:asciiTheme="minorHAnsi" w:hAnsiTheme="minorHAnsi" w:cstheme="minorHAnsi"/>
        </w:rPr>
        <w:t xml:space="preserve"> care.</w:t>
      </w:r>
    </w:p>
    <w:p w14:paraId="45451966" w14:textId="77777777" w:rsidR="005E3402" w:rsidRPr="00393773" w:rsidRDefault="005E3402" w:rsidP="00393773">
      <w:pPr>
        <w:pStyle w:val="Heading2"/>
        <w:spacing w:line="276" w:lineRule="auto"/>
        <w:jc w:val="both"/>
        <w:rPr>
          <w:rFonts w:asciiTheme="minorHAnsi" w:hAnsiTheme="minorHAnsi" w:cstheme="minorHAnsi"/>
        </w:rPr>
      </w:pPr>
      <w:bookmarkStart w:id="19" w:name="_Toc215093015"/>
      <w:r w:rsidRPr="00393773">
        <w:rPr>
          <w:rFonts w:asciiTheme="minorHAnsi" w:hAnsiTheme="minorHAnsi" w:cstheme="minorHAnsi"/>
        </w:rPr>
        <w:t>CHAPTER 4: RESULTS AND DISCUSSION</w:t>
      </w:r>
      <w:bookmarkEnd w:id="19"/>
    </w:p>
    <w:p w14:paraId="06EC3ABF" w14:textId="77777777" w:rsidR="005E3402" w:rsidRPr="00393773" w:rsidRDefault="005E3402" w:rsidP="00393773">
      <w:pPr>
        <w:pStyle w:val="Heading3"/>
        <w:spacing w:line="276" w:lineRule="auto"/>
        <w:jc w:val="both"/>
        <w:rPr>
          <w:rFonts w:asciiTheme="minorHAnsi" w:hAnsiTheme="minorHAnsi" w:cstheme="minorHAnsi"/>
        </w:rPr>
      </w:pPr>
      <w:bookmarkStart w:id="20" w:name="_Toc215093016"/>
      <w:r w:rsidRPr="00393773">
        <w:rPr>
          <w:rFonts w:asciiTheme="minorHAnsi" w:hAnsiTheme="minorHAnsi" w:cstheme="minorHAnsi"/>
        </w:rPr>
        <w:t>4.3 Psychological Safety and Team Functioning</w:t>
      </w:r>
      <w:bookmarkEnd w:id="20"/>
    </w:p>
    <w:p w14:paraId="2F9658F3"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One of the most consistent findings in the reviewed literature is the critical role of </w:t>
      </w:r>
      <w:r w:rsidRPr="00393773">
        <w:rPr>
          <w:rStyle w:val="Strong"/>
          <w:rFonts w:asciiTheme="minorHAnsi" w:eastAsiaTheme="majorEastAsia" w:hAnsiTheme="minorHAnsi" w:cstheme="minorHAnsi"/>
        </w:rPr>
        <w:t>psychological safety</w:t>
      </w:r>
      <w:r w:rsidRPr="00393773">
        <w:rPr>
          <w:rFonts w:asciiTheme="minorHAnsi" w:hAnsiTheme="minorHAnsi" w:cstheme="minorHAnsi"/>
        </w:rPr>
        <w:t xml:space="preserve"> in enabling effective teamwork and delivering high-quality, safe care. Psychological safety, as defined by Edmondson (1999), refers to a shared belief that a team is safe for interpersonal risk-taking, where individuals feel comfortable speaking up with ideas, questions, or concerns without fear of embarrassment or punishment. In health and social care environments, particularly in high-pressure settings such as emergency care, intensive care, and mental health services, this concept has emerged as essential to fostering open communication, learning from errors, and staff engagement (</w:t>
      </w:r>
      <w:proofErr w:type="spellStart"/>
      <w:r w:rsidRPr="00393773">
        <w:rPr>
          <w:rFonts w:asciiTheme="minorHAnsi" w:hAnsiTheme="minorHAnsi" w:cstheme="minorHAnsi"/>
        </w:rPr>
        <w:t>Shanafelt</w:t>
      </w:r>
      <w:proofErr w:type="spellEnd"/>
      <w:r w:rsidRPr="00393773">
        <w:rPr>
          <w:rFonts w:asciiTheme="minorHAnsi" w:hAnsiTheme="minorHAnsi" w:cstheme="minorHAnsi"/>
        </w:rPr>
        <w:t xml:space="preserve"> et al., 2021).</w:t>
      </w:r>
    </w:p>
    <w:p w14:paraId="35DF3885"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Numerous empirical studies underscore the connection between psychological safety and improved care outcomes. A UK-based study by Morrison et al. (2021) found that hospital teams with high psychological safety scores reported fewer adverse patient events, better incident reporting rates, and stronger interdisciplinary collaboration. Similarly, a 2022 multi-site evaluation by The King’s Fund revealed that psychological safety predicted higher team morale, enhanced innovation, and more compassionate care delivery. These outcomes are particularly relevant in the NHS context, where hierarchical structures, staff shortages, and time constraints often undermine safe communication practices (CQC, 2021).</w:t>
      </w:r>
    </w:p>
    <w:p w14:paraId="4F8822C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theme of psychological safety aligns with several elements of the </w:t>
      </w:r>
      <w:r w:rsidRPr="00393773">
        <w:rPr>
          <w:rStyle w:val="Strong"/>
          <w:rFonts w:asciiTheme="minorHAnsi" w:eastAsiaTheme="majorEastAsia" w:hAnsiTheme="minorHAnsi" w:cstheme="minorHAnsi"/>
        </w:rPr>
        <w:t>NHS Workforce Wellbeing Framework</w:t>
      </w:r>
      <w:r w:rsidRPr="00393773">
        <w:rPr>
          <w:rFonts w:asciiTheme="minorHAnsi" w:hAnsiTheme="minorHAnsi" w:cstheme="minorHAnsi"/>
        </w:rPr>
        <w:t xml:space="preserve">, particularly those related to supportive leadership, peer connection, and inclusive workplace cultures (NHS Improvement, 2021). However, implementation remains variable. While some Trusts have successfully embedded Schwartz Rounds, reflective practice groups, and team debriefings into regular practice, others report limited uptake due to lack of time, leadership engagement, or perceived stigma around vulnerability (The King’s Fund, 2023). This inconsistency suggests that psychological safety must be seen not only as an interpersonal phenomenon but as a </w:t>
      </w:r>
      <w:r w:rsidRPr="00393773">
        <w:rPr>
          <w:rStyle w:val="Strong"/>
          <w:rFonts w:asciiTheme="minorHAnsi" w:eastAsiaTheme="majorEastAsia" w:hAnsiTheme="minorHAnsi" w:cstheme="minorHAnsi"/>
        </w:rPr>
        <w:t xml:space="preserve">systemic </w:t>
      </w:r>
      <w:proofErr w:type="spellStart"/>
      <w:r w:rsidRPr="00393773">
        <w:rPr>
          <w:rStyle w:val="Strong"/>
          <w:rFonts w:asciiTheme="minorHAnsi" w:eastAsiaTheme="majorEastAsia" w:hAnsiTheme="minorHAnsi" w:cstheme="minorHAnsi"/>
        </w:rPr>
        <w:t>organisational</w:t>
      </w:r>
      <w:proofErr w:type="spellEnd"/>
      <w:r w:rsidRPr="00393773">
        <w:rPr>
          <w:rStyle w:val="Strong"/>
          <w:rFonts w:asciiTheme="minorHAnsi" w:eastAsiaTheme="majorEastAsia" w:hAnsiTheme="minorHAnsi" w:cstheme="minorHAnsi"/>
        </w:rPr>
        <w:t xml:space="preserve"> feature</w:t>
      </w:r>
      <w:r w:rsidRPr="00393773">
        <w:rPr>
          <w:rFonts w:asciiTheme="minorHAnsi" w:hAnsiTheme="minorHAnsi" w:cstheme="minorHAnsi"/>
        </w:rPr>
        <w:t>, reinforced through training, policies, and modelling by senior staff.</w:t>
      </w:r>
    </w:p>
    <w:p w14:paraId="34AB0BAD"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From a theoretical standpoint, psychological safety also intersects with </w:t>
      </w:r>
      <w:r w:rsidRPr="00393773">
        <w:rPr>
          <w:rStyle w:val="Strong"/>
          <w:rFonts w:asciiTheme="minorHAnsi" w:eastAsiaTheme="majorEastAsia" w:hAnsiTheme="minorHAnsi" w:cstheme="minorHAnsi"/>
        </w:rPr>
        <w:t>Empowerment Theory</w:t>
      </w:r>
      <w:r w:rsidRPr="00393773">
        <w:rPr>
          <w:rFonts w:asciiTheme="minorHAnsi" w:hAnsiTheme="minorHAnsi" w:cstheme="minorHAnsi"/>
        </w:rPr>
        <w:t xml:space="preserve">, which posits that individuals who feel heard, valued, and respected in their workplace are more likely to participate in decision-making and deliver </w:t>
      </w:r>
      <w:proofErr w:type="spellStart"/>
      <w:r w:rsidRPr="00393773">
        <w:rPr>
          <w:rFonts w:asciiTheme="minorHAnsi" w:hAnsiTheme="minorHAnsi" w:cstheme="minorHAnsi"/>
        </w:rPr>
        <w:t>patient-centred</w:t>
      </w:r>
      <w:proofErr w:type="spellEnd"/>
      <w:r w:rsidRPr="00393773">
        <w:rPr>
          <w:rFonts w:asciiTheme="minorHAnsi" w:hAnsiTheme="minorHAnsi" w:cstheme="minorHAnsi"/>
        </w:rPr>
        <w:t xml:space="preserve"> care (Zimmerman, 2000). Empowered teams, in turn, tend to cultivate environments where psychological safety thrives. </w:t>
      </w:r>
      <w:proofErr w:type="spellStart"/>
      <w:r w:rsidRPr="00393773">
        <w:rPr>
          <w:rFonts w:asciiTheme="minorHAnsi" w:hAnsiTheme="minorHAnsi" w:cstheme="minorHAnsi"/>
        </w:rPr>
        <w:t>Laschinger</w:t>
      </w:r>
      <w:proofErr w:type="spellEnd"/>
      <w:r w:rsidRPr="00393773">
        <w:rPr>
          <w:rFonts w:asciiTheme="minorHAnsi" w:hAnsiTheme="minorHAnsi" w:cstheme="minorHAnsi"/>
        </w:rPr>
        <w:t xml:space="preserve"> et al. (2021) </w:t>
      </w:r>
      <w:proofErr w:type="spellStart"/>
      <w:r w:rsidRPr="00393773">
        <w:rPr>
          <w:rFonts w:asciiTheme="minorHAnsi" w:hAnsiTheme="minorHAnsi" w:cstheme="minorHAnsi"/>
        </w:rPr>
        <w:t>emphasise</w:t>
      </w:r>
      <w:proofErr w:type="spellEnd"/>
      <w:r w:rsidRPr="00393773">
        <w:rPr>
          <w:rFonts w:asciiTheme="minorHAnsi" w:hAnsiTheme="minorHAnsi" w:cstheme="minorHAnsi"/>
        </w:rPr>
        <w:t xml:space="preserve"> that when staff perceive they have access to information, resources, and support, they are more inclined to speak up about risks, contribute innovative solutions, and support one another during crises.</w:t>
      </w:r>
    </w:p>
    <w:p w14:paraId="20EBCE75"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Furthermore, the </w:t>
      </w:r>
      <w:r w:rsidRPr="00393773">
        <w:rPr>
          <w:rStyle w:val="Strong"/>
          <w:rFonts w:asciiTheme="minorHAnsi" w:eastAsiaTheme="majorEastAsia" w:hAnsiTheme="minorHAnsi" w:cstheme="minorHAnsi"/>
        </w:rPr>
        <w:t>Job Demands-Resources (JD-R) model</w:t>
      </w:r>
      <w:r w:rsidRPr="00393773">
        <w:rPr>
          <w:rFonts w:asciiTheme="minorHAnsi" w:hAnsiTheme="minorHAnsi" w:cstheme="minorHAnsi"/>
        </w:rPr>
        <w:t xml:space="preserve"> offers insight into how psychological safety operates as a “resource” that buffers the impact of high emotional demands. In a comparative study across NHS Trusts, </w:t>
      </w:r>
      <w:proofErr w:type="spellStart"/>
      <w:r w:rsidRPr="00393773">
        <w:rPr>
          <w:rFonts w:asciiTheme="minorHAnsi" w:hAnsiTheme="minorHAnsi" w:cstheme="minorHAnsi"/>
        </w:rPr>
        <w:t>Kinman</w:t>
      </w:r>
      <w:proofErr w:type="spellEnd"/>
      <w:r w:rsidRPr="00393773">
        <w:rPr>
          <w:rFonts w:asciiTheme="minorHAnsi" w:hAnsiTheme="minorHAnsi" w:cstheme="minorHAnsi"/>
        </w:rPr>
        <w:t xml:space="preserve"> and </w:t>
      </w:r>
      <w:proofErr w:type="spellStart"/>
      <w:r w:rsidRPr="00393773">
        <w:rPr>
          <w:rFonts w:asciiTheme="minorHAnsi" w:hAnsiTheme="minorHAnsi" w:cstheme="minorHAnsi"/>
        </w:rPr>
        <w:t>Teoh</w:t>
      </w:r>
      <w:proofErr w:type="spellEnd"/>
      <w:r w:rsidRPr="00393773">
        <w:rPr>
          <w:rFonts w:asciiTheme="minorHAnsi" w:hAnsiTheme="minorHAnsi" w:cstheme="minorHAnsi"/>
        </w:rPr>
        <w:t xml:space="preserve"> (2021) found that psychological safety reduced the likelihood of burnout and emotional exhaustion even in settings with heavy caseloads and complex clinical duties. This protective function underscores its role in sustaining both workforce wellbeing and care quality under pressure.</w:t>
      </w:r>
    </w:p>
    <w:p w14:paraId="115C137B"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Cross-national comparisons offer additional insights. In Australia, the National Health Workforce Strategy </w:t>
      </w:r>
      <w:proofErr w:type="spellStart"/>
      <w:r w:rsidRPr="00393773">
        <w:rPr>
          <w:rFonts w:asciiTheme="minorHAnsi" w:hAnsiTheme="minorHAnsi" w:cstheme="minorHAnsi"/>
        </w:rPr>
        <w:t>prioritises</w:t>
      </w:r>
      <w:proofErr w:type="spellEnd"/>
      <w:r w:rsidRPr="00393773">
        <w:rPr>
          <w:rFonts w:asciiTheme="minorHAnsi" w:hAnsiTheme="minorHAnsi" w:cstheme="minorHAnsi"/>
        </w:rPr>
        <w:t xml:space="preserve"> “safe team cultures” as a pillar of workforce sustainability, with initiatives such as “Speak Up for Safety” campaigns and multidisciplinary simulation training showing early success (Australian Government, 2021). In the US, the Veterans Health Administration has integrated psychological safety metrics into staff appraisals and quality improvement processes, resulting in improved care coordination and decreased staff turnover (NAM, 2022). These examples suggest that when psychological safety is </w:t>
      </w:r>
      <w:proofErr w:type="spellStart"/>
      <w:r w:rsidRPr="00393773">
        <w:rPr>
          <w:rFonts w:asciiTheme="minorHAnsi" w:hAnsiTheme="minorHAnsi" w:cstheme="minorHAnsi"/>
        </w:rPr>
        <w:t>institutionalised</w:t>
      </w:r>
      <w:proofErr w:type="spellEnd"/>
      <w:r w:rsidRPr="00393773">
        <w:rPr>
          <w:rFonts w:asciiTheme="minorHAnsi" w:hAnsiTheme="minorHAnsi" w:cstheme="minorHAnsi"/>
        </w:rPr>
        <w:t xml:space="preserve"> rather than treated as an optional cultural feature, it can significantly improve both staff and patient outcomes.</w:t>
      </w:r>
    </w:p>
    <w:p w14:paraId="1464194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However, psychological safety is not without challenges. It is highly context-dependent and can be undermined by structural inequalities, racial discrimination, or toxic leadership </w:t>
      </w:r>
      <w:proofErr w:type="spellStart"/>
      <w:r w:rsidRPr="00393773">
        <w:rPr>
          <w:rFonts w:asciiTheme="minorHAnsi" w:hAnsiTheme="minorHAnsi" w:cstheme="minorHAnsi"/>
        </w:rPr>
        <w:t>behaviours</w:t>
      </w:r>
      <w:proofErr w:type="spellEnd"/>
      <w:r w:rsidRPr="00393773">
        <w:rPr>
          <w:rFonts w:asciiTheme="minorHAnsi" w:hAnsiTheme="minorHAnsi" w:cstheme="minorHAnsi"/>
        </w:rPr>
        <w:t>. Research by West et al. (2020) found that ethnic minority staff were significantly less likely to feel psychologically safe in the NHS, highlighting the need for equity-sensitive wellbeing strategies. Addressing these disparities requires proactive inclusion policies, anti-racism training, and accountability mechanisms that go beyond general wellbeing rhetoric.</w:t>
      </w:r>
    </w:p>
    <w:p w14:paraId="5F2A3FC2"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 summary, psychological safety is a foundational driver of high-functioning teams and quality care. Its presence enables open dialogue, shared learning, and emotional resilience; its absence contributes to fear, silence, and compromised safety. To </w:t>
      </w:r>
      <w:proofErr w:type="spellStart"/>
      <w:r w:rsidRPr="00393773">
        <w:rPr>
          <w:rFonts w:asciiTheme="minorHAnsi" w:hAnsiTheme="minorHAnsi" w:cstheme="minorHAnsi"/>
        </w:rPr>
        <w:t>realise</w:t>
      </w:r>
      <w:proofErr w:type="spellEnd"/>
      <w:r w:rsidRPr="00393773">
        <w:rPr>
          <w:rFonts w:asciiTheme="minorHAnsi" w:hAnsiTheme="minorHAnsi" w:cstheme="minorHAnsi"/>
        </w:rPr>
        <w:t xml:space="preserve"> its full potential, healthcare </w:t>
      </w:r>
      <w:proofErr w:type="spellStart"/>
      <w:r w:rsidRPr="00393773">
        <w:rPr>
          <w:rFonts w:asciiTheme="minorHAnsi" w:hAnsiTheme="minorHAnsi" w:cstheme="minorHAnsi"/>
        </w:rPr>
        <w:t>organisations</w:t>
      </w:r>
      <w:proofErr w:type="spellEnd"/>
      <w:r w:rsidRPr="00393773">
        <w:rPr>
          <w:rFonts w:asciiTheme="minorHAnsi" w:hAnsiTheme="minorHAnsi" w:cstheme="minorHAnsi"/>
        </w:rPr>
        <w:t xml:space="preserve"> must embed psychological safety into leadership development, team structures, and cultural norms—ensuring that every staff member, regardless of role or identity, feels safe to speak and thrive.</w:t>
      </w:r>
    </w:p>
    <w:p w14:paraId="3E0FFC75" w14:textId="77777777" w:rsidR="005E3402" w:rsidRPr="00393773" w:rsidRDefault="005E3402" w:rsidP="00393773">
      <w:pPr>
        <w:pStyle w:val="Heading3"/>
        <w:spacing w:line="276" w:lineRule="auto"/>
        <w:jc w:val="both"/>
        <w:rPr>
          <w:rFonts w:asciiTheme="minorHAnsi" w:hAnsiTheme="minorHAnsi" w:cstheme="minorHAnsi"/>
        </w:rPr>
      </w:pPr>
      <w:bookmarkStart w:id="21" w:name="_Toc215093017"/>
      <w:r w:rsidRPr="00393773">
        <w:rPr>
          <w:rFonts w:asciiTheme="minorHAnsi" w:hAnsiTheme="minorHAnsi" w:cstheme="minorHAnsi"/>
        </w:rPr>
        <w:t>4.4 Empowerment, Autonomy, and Job Satisfaction</w:t>
      </w:r>
      <w:bookmarkEnd w:id="21"/>
    </w:p>
    <w:p w14:paraId="0654E3DB"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third key theme identified in this review is the importance of </w:t>
      </w:r>
      <w:r w:rsidRPr="00393773">
        <w:rPr>
          <w:rStyle w:val="Strong"/>
          <w:rFonts w:asciiTheme="minorHAnsi" w:hAnsiTheme="minorHAnsi" w:cstheme="minorHAnsi"/>
        </w:rPr>
        <w:t>empowerment and professional autonomy</w:t>
      </w:r>
      <w:r w:rsidRPr="00393773">
        <w:rPr>
          <w:rFonts w:asciiTheme="minorHAnsi" w:hAnsiTheme="minorHAnsi" w:cstheme="minorHAnsi"/>
        </w:rPr>
        <w:t xml:space="preserve"> in enhancing workforce wellbeing and ensuring the delivery of high-quality care. Empowerment in the context of health and social care refers to the extent to which staff feel they have control over their work environment, the ability to influence decision-making, and access to the resources needed to perform their roles effectively (Zimmerman, 2000). Closely tied to empowerment is </w:t>
      </w:r>
      <w:r w:rsidRPr="00393773">
        <w:rPr>
          <w:rStyle w:val="Strong"/>
          <w:rFonts w:asciiTheme="minorHAnsi" w:hAnsiTheme="minorHAnsi" w:cstheme="minorHAnsi"/>
        </w:rPr>
        <w:t>autonomy</w:t>
      </w:r>
      <w:r w:rsidRPr="00393773">
        <w:rPr>
          <w:rFonts w:asciiTheme="minorHAnsi" w:hAnsiTheme="minorHAnsi" w:cstheme="minorHAnsi"/>
        </w:rPr>
        <w:t xml:space="preserve">, or the perceived freedom to act according to one’s professional judgement without unnecessary oversight or constraint. When these elements are present, they significantly contribute to </w:t>
      </w:r>
      <w:r w:rsidRPr="00393773">
        <w:rPr>
          <w:rStyle w:val="Strong"/>
          <w:rFonts w:asciiTheme="minorHAnsi" w:hAnsiTheme="minorHAnsi" w:cstheme="minorHAnsi"/>
        </w:rPr>
        <w:t>job satisfaction</w:t>
      </w:r>
      <w:r w:rsidRPr="00393773">
        <w:rPr>
          <w:rFonts w:asciiTheme="minorHAnsi" w:hAnsiTheme="minorHAnsi" w:cstheme="minorHAnsi"/>
        </w:rPr>
        <w:t xml:space="preserve">, morale, and employee engagement—all of which are </w:t>
      </w:r>
      <w:proofErr w:type="spellStart"/>
      <w:r w:rsidRPr="00393773">
        <w:rPr>
          <w:rFonts w:asciiTheme="minorHAnsi" w:hAnsiTheme="minorHAnsi" w:cstheme="minorHAnsi"/>
        </w:rPr>
        <w:t>recognised</w:t>
      </w:r>
      <w:proofErr w:type="spellEnd"/>
      <w:r w:rsidRPr="00393773">
        <w:rPr>
          <w:rFonts w:asciiTheme="minorHAnsi" w:hAnsiTheme="minorHAnsi" w:cstheme="minorHAnsi"/>
        </w:rPr>
        <w:t xml:space="preserve"> drivers of care quality.</w:t>
      </w:r>
    </w:p>
    <w:p w14:paraId="01B609C0"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A large body of literature reviewed for this dissertation supports the link between empowerment and improved care outcomes. For instance, Jennings et al. (2022) conducted a longitudinal study in UK acute care hospitals and found that nurses who perceived higher levels of autonomy reported greater job satisfaction and were more likely to engage in patient advocacy and evidence-based care practices. Similarly, Boamah et al. (2020) found that empowered teams demonstrated higher patient satisfaction ratings, more effective interdisciplinary collaboration, and better adherence to care protocols.</w:t>
      </w:r>
    </w:p>
    <w:p w14:paraId="3FA0BF4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relationship between empowerment and job satisfaction is well-explained by </w:t>
      </w:r>
      <w:r w:rsidRPr="00393773">
        <w:rPr>
          <w:rStyle w:val="Strong"/>
          <w:rFonts w:asciiTheme="minorHAnsi" w:hAnsiTheme="minorHAnsi" w:cstheme="minorHAnsi"/>
        </w:rPr>
        <w:t>Empowerment Theory</w:t>
      </w:r>
      <w:r w:rsidRPr="00393773">
        <w:rPr>
          <w:rFonts w:asciiTheme="minorHAnsi" w:hAnsiTheme="minorHAnsi" w:cstheme="minorHAnsi"/>
        </w:rPr>
        <w:t>, which posits that individuals who have access to information, support, and decision-making authority are more likely to feel valued and invested in their work (Zimmerman, 2000). In health and social care settings, structural empowerment—such as participatory governance, professional development opportunities, and role clarity—has been shown to improve psychological wellbeing and reduce turnover intentions (</w:t>
      </w:r>
      <w:proofErr w:type="spellStart"/>
      <w:r w:rsidRPr="00393773">
        <w:rPr>
          <w:rFonts w:asciiTheme="minorHAnsi" w:hAnsiTheme="minorHAnsi" w:cstheme="minorHAnsi"/>
        </w:rPr>
        <w:t>Laschinger</w:t>
      </w:r>
      <w:proofErr w:type="spellEnd"/>
      <w:r w:rsidRPr="00393773">
        <w:rPr>
          <w:rFonts w:asciiTheme="minorHAnsi" w:hAnsiTheme="minorHAnsi" w:cstheme="minorHAnsi"/>
        </w:rPr>
        <w:t xml:space="preserve"> et al., 2021). These findings are echoed in the UK’s </w:t>
      </w:r>
      <w:r w:rsidRPr="00393773">
        <w:rPr>
          <w:rStyle w:val="Strong"/>
          <w:rFonts w:asciiTheme="minorHAnsi" w:hAnsiTheme="minorHAnsi" w:cstheme="minorHAnsi"/>
        </w:rPr>
        <w:t>NHS People Plan (2020)</w:t>
      </w:r>
      <w:r w:rsidRPr="00393773">
        <w:rPr>
          <w:rFonts w:asciiTheme="minorHAnsi" w:hAnsiTheme="minorHAnsi" w:cstheme="minorHAnsi"/>
        </w:rPr>
        <w:t>, which calls for inclusive leadership, shared decision-making, and staff-led innovation as means of improving retention and patient outcomes.</w:t>
      </w:r>
    </w:p>
    <w:p w14:paraId="14D6C6F0"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From the perspective of </w:t>
      </w:r>
      <w:r w:rsidRPr="00393773">
        <w:rPr>
          <w:rStyle w:val="Strong"/>
          <w:rFonts w:asciiTheme="minorHAnsi" w:hAnsiTheme="minorHAnsi" w:cstheme="minorHAnsi"/>
        </w:rPr>
        <w:t>Maslow’s Hierarchy of Needs</w:t>
      </w:r>
      <w:r w:rsidRPr="00393773">
        <w:rPr>
          <w:rFonts w:asciiTheme="minorHAnsi" w:hAnsiTheme="minorHAnsi" w:cstheme="minorHAnsi"/>
        </w:rPr>
        <w:t xml:space="preserve">, empowerment and autonomy satisfy higher-order psychological needs, including esteem and </w:t>
      </w:r>
      <w:proofErr w:type="spellStart"/>
      <w:r w:rsidRPr="00393773">
        <w:rPr>
          <w:rFonts w:asciiTheme="minorHAnsi" w:hAnsiTheme="minorHAnsi" w:cstheme="minorHAnsi"/>
        </w:rPr>
        <w:t>self-actualisation</w:t>
      </w:r>
      <w:proofErr w:type="spellEnd"/>
      <w:r w:rsidRPr="00393773">
        <w:rPr>
          <w:rFonts w:asciiTheme="minorHAnsi" w:hAnsiTheme="minorHAnsi" w:cstheme="minorHAnsi"/>
        </w:rPr>
        <w:t>. When staff feel that their expertise is trusted and their voice is respected, they are more likely to achieve a sense of purpose and professional fulfilment—factors strongly linked to intrinsic motivation and compassionate care (Shuck et al., 2022). By contrast, when these needs are neglected, staff may experience “learned helplessness,” disengagement, or moral distress, particularly in ethically complex situations such as end-of-life care or safeguarding concerns.</w:t>
      </w:r>
    </w:p>
    <w:p w14:paraId="0E9A9BE3"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w:t>
      </w:r>
      <w:r w:rsidRPr="00393773">
        <w:rPr>
          <w:rStyle w:val="Strong"/>
          <w:rFonts w:asciiTheme="minorHAnsi" w:hAnsiTheme="minorHAnsi" w:cstheme="minorHAnsi"/>
        </w:rPr>
        <w:t>Job Demands-Resources (JD-R) model</w:t>
      </w:r>
      <w:r w:rsidRPr="00393773">
        <w:rPr>
          <w:rFonts w:asciiTheme="minorHAnsi" w:hAnsiTheme="minorHAnsi" w:cstheme="minorHAnsi"/>
        </w:rPr>
        <w:t xml:space="preserve"> also reinforces the importance of empowerment as a resource that can buffer the negative effects of high job demands. </w:t>
      </w:r>
      <w:proofErr w:type="spellStart"/>
      <w:r w:rsidRPr="00393773">
        <w:rPr>
          <w:rFonts w:asciiTheme="minorHAnsi" w:hAnsiTheme="minorHAnsi" w:cstheme="minorHAnsi"/>
        </w:rPr>
        <w:t>Kinman</w:t>
      </w:r>
      <w:proofErr w:type="spellEnd"/>
      <w:r w:rsidRPr="00393773">
        <w:rPr>
          <w:rFonts w:asciiTheme="minorHAnsi" w:hAnsiTheme="minorHAnsi" w:cstheme="minorHAnsi"/>
        </w:rPr>
        <w:t xml:space="preserve"> and </w:t>
      </w:r>
      <w:proofErr w:type="spellStart"/>
      <w:r w:rsidRPr="00393773">
        <w:rPr>
          <w:rFonts w:asciiTheme="minorHAnsi" w:hAnsiTheme="minorHAnsi" w:cstheme="minorHAnsi"/>
        </w:rPr>
        <w:t>Teoh</w:t>
      </w:r>
      <w:proofErr w:type="spellEnd"/>
      <w:r w:rsidRPr="00393773">
        <w:rPr>
          <w:rFonts w:asciiTheme="minorHAnsi" w:hAnsiTheme="minorHAnsi" w:cstheme="minorHAnsi"/>
        </w:rPr>
        <w:t xml:space="preserve"> (2021) found that empowered NHS staff were better able to cope with emotional labour, workload pressures, and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change. Autonomy, in particular, emerged as a protective factor against burnout and an enabler of resilience. However, the authors also noted that without structural support, empowerment strategies risk becoming tokenistic, particularly when frontline staff are given responsibility without authority or resources.</w:t>
      </w:r>
    </w:p>
    <w:p w14:paraId="5C5B1DDE"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Despite these positive associations, the review also identified significant </w:t>
      </w:r>
      <w:r w:rsidRPr="00393773">
        <w:rPr>
          <w:rStyle w:val="Strong"/>
          <w:rFonts w:asciiTheme="minorHAnsi" w:hAnsiTheme="minorHAnsi" w:cstheme="minorHAnsi"/>
        </w:rPr>
        <w:t>barriers to empowerment</w:t>
      </w:r>
      <w:r w:rsidRPr="00393773">
        <w:rPr>
          <w:rFonts w:asciiTheme="minorHAnsi" w:hAnsiTheme="minorHAnsi" w:cstheme="minorHAnsi"/>
        </w:rPr>
        <w:t xml:space="preserve"> in many UK health and social care settings. A recent CQC (2021) report highlighted widespread concerns among nurses and care assistants about lack of voice in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decisions, rigid hierarchical structures, and punitive management styles. These concerns were especially pronounced in under-resourced settings such as residential care homes, where staffing shortages and regulatory pressures often limit opportunities for autonomy or innovation.</w:t>
      </w:r>
    </w:p>
    <w:p w14:paraId="2E95B5A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Comparative insights from </w:t>
      </w:r>
      <w:r w:rsidRPr="00393773">
        <w:rPr>
          <w:rStyle w:val="Strong"/>
          <w:rFonts w:asciiTheme="minorHAnsi" w:hAnsiTheme="minorHAnsi" w:cstheme="minorHAnsi"/>
        </w:rPr>
        <w:t>Australia and the United States</w:t>
      </w:r>
      <w:r w:rsidRPr="00393773">
        <w:rPr>
          <w:rFonts w:asciiTheme="minorHAnsi" w:hAnsiTheme="minorHAnsi" w:cstheme="minorHAnsi"/>
        </w:rPr>
        <w:t xml:space="preserve"> suggest that targeted empowerment interventions can be effective. In Australia, the implementation of “nurse-led models of care” in remote and Indigenous communities has improved both staff satisfaction and community health outcomes (AIHW, 2022). In the US, shared governance models in Magnet hospitals have been associated with lower turnover, improved patient outcomes, and higher levels of professional autonomy (NAM, 2022). These international models demonstrate that with institutional support and cultural alignment, empowerment can be </w:t>
      </w:r>
      <w:proofErr w:type="spellStart"/>
      <w:r w:rsidRPr="00393773">
        <w:rPr>
          <w:rFonts w:asciiTheme="minorHAnsi" w:hAnsiTheme="minorHAnsi" w:cstheme="minorHAnsi"/>
        </w:rPr>
        <w:t>operationalised</w:t>
      </w:r>
      <w:proofErr w:type="spellEnd"/>
      <w:r w:rsidRPr="00393773">
        <w:rPr>
          <w:rFonts w:asciiTheme="minorHAnsi" w:hAnsiTheme="minorHAnsi" w:cstheme="minorHAnsi"/>
        </w:rPr>
        <w:t xml:space="preserve"> into practice—not just policy.</w:t>
      </w:r>
    </w:p>
    <w:p w14:paraId="40667FA4"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However, empowerment is not experienced uniformly across all groups. West et al. (2020) and The King’s Fund (2023) both highlight the ongoing disparities faced by minority ethnic staff, women, and internationally educated professionals, who are less likely to report feeling empowered or included in decision-making. Structural discrimination, unconscious bias, and microaggressions continue to undermine inclusive empowerment, highlighting the need for intersectional approaches to workforce wellbeing.</w:t>
      </w:r>
    </w:p>
    <w:p w14:paraId="373B845B"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 conclusion, empowerment and autonomy are foundational to both workforce wellbeing and care quality. When staff are empowered, they are more motivated, resilient, and patient-focused. However, empowerment must be supported by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structures, inclusive cultures, and leadership practices that truly value staff contributions. Without these, attempts at empowerment may remain superficial and fail to impact care quality meaningfully.</w:t>
      </w:r>
    </w:p>
    <w:p w14:paraId="7D3BCFD7" w14:textId="77777777" w:rsidR="005E3402" w:rsidRPr="00393773" w:rsidRDefault="005E3402" w:rsidP="00393773">
      <w:pPr>
        <w:pStyle w:val="Heading3"/>
        <w:spacing w:line="276" w:lineRule="auto"/>
        <w:jc w:val="both"/>
        <w:rPr>
          <w:rFonts w:asciiTheme="minorHAnsi" w:hAnsiTheme="minorHAnsi" w:cstheme="minorHAnsi"/>
        </w:rPr>
      </w:pPr>
      <w:bookmarkStart w:id="22" w:name="_Toc215093018"/>
      <w:r w:rsidRPr="00393773">
        <w:rPr>
          <w:rFonts w:asciiTheme="minorHAnsi" w:hAnsiTheme="minorHAnsi" w:cstheme="minorHAnsi"/>
        </w:rPr>
        <w:t xml:space="preserve">4.5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and Leadership</w:t>
      </w:r>
      <w:bookmarkEnd w:id="22"/>
    </w:p>
    <w:p w14:paraId="7AA16C21"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role of </w:t>
      </w:r>
      <w:proofErr w:type="spellStart"/>
      <w:r w:rsidRPr="00393773">
        <w:rPr>
          <w:rStyle w:val="Strong"/>
          <w:rFonts w:asciiTheme="minorHAnsi" w:hAnsiTheme="minorHAnsi" w:cstheme="minorHAnsi"/>
        </w:rPr>
        <w:t>organisational</w:t>
      </w:r>
      <w:proofErr w:type="spellEnd"/>
      <w:r w:rsidRPr="00393773">
        <w:rPr>
          <w:rStyle w:val="Strong"/>
          <w:rFonts w:asciiTheme="minorHAnsi" w:hAnsiTheme="minorHAnsi" w:cstheme="minorHAnsi"/>
        </w:rPr>
        <w:t xml:space="preserve"> culture</w:t>
      </w:r>
      <w:r w:rsidRPr="00393773">
        <w:rPr>
          <w:rFonts w:asciiTheme="minorHAnsi" w:hAnsiTheme="minorHAnsi" w:cstheme="minorHAnsi"/>
        </w:rPr>
        <w:t xml:space="preserve"> and </w:t>
      </w:r>
      <w:r w:rsidRPr="00393773">
        <w:rPr>
          <w:rStyle w:val="Strong"/>
          <w:rFonts w:asciiTheme="minorHAnsi" w:hAnsiTheme="minorHAnsi" w:cstheme="minorHAnsi"/>
        </w:rPr>
        <w:t>leadership</w:t>
      </w:r>
      <w:r w:rsidRPr="00393773">
        <w:rPr>
          <w:rFonts w:asciiTheme="minorHAnsi" w:hAnsiTheme="minorHAnsi" w:cstheme="minorHAnsi"/>
        </w:rPr>
        <w:t xml:space="preserve"> emerged as one of the most influential factors shaping the relationship between workforce wellbeing and quality of care.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in the context of health and social care, refers to the shared values, beliefs, and norms that influence </w:t>
      </w:r>
      <w:proofErr w:type="spellStart"/>
      <w:r w:rsidRPr="00393773">
        <w:rPr>
          <w:rFonts w:asciiTheme="minorHAnsi" w:hAnsiTheme="minorHAnsi" w:cstheme="minorHAnsi"/>
        </w:rPr>
        <w:t>behaviours</w:t>
      </w:r>
      <w:proofErr w:type="spellEnd"/>
      <w:r w:rsidRPr="00393773">
        <w:rPr>
          <w:rFonts w:asciiTheme="minorHAnsi" w:hAnsiTheme="minorHAnsi" w:cstheme="minorHAnsi"/>
        </w:rPr>
        <w:t xml:space="preserve"> within the workplace (Mannion &amp; Davies, 2018). Leadership, particularly at team and executive levels, sets the tone for this culture, shaping how staff experience their work environment, how support is delivered, and how care quality is </w:t>
      </w:r>
      <w:proofErr w:type="spellStart"/>
      <w:r w:rsidRPr="00393773">
        <w:rPr>
          <w:rFonts w:asciiTheme="minorHAnsi" w:hAnsiTheme="minorHAnsi" w:cstheme="minorHAnsi"/>
        </w:rPr>
        <w:t>prioritised</w:t>
      </w:r>
      <w:proofErr w:type="spellEnd"/>
      <w:r w:rsidRPr="00393773">
        <w:rPr>
          <w:rFonts w:asciiTheme="minorHAnsi" w:hAnsiTheme="minorHAnsi" w:cstheme="minorHAnsi"/>
        </w:rPr>
        <w:t>.</w:t>
      </w:r>
    </w:p>
    <w:p w14:paraId="1DBE261A"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literature consistently supports the notion that a </w:t>
      </w:r>
      <w:r w:rsidRPr="00393773">
        <w:rPr>
          <w:rStyle w:val="Strong"/>
          <w:rFonts w:asciiTheme="minorHAnsi" w:hAnsiTheme="minorHAnsi" w:cstheme="minorHAnsi"/>
        </w:rPr>
        <w:t>supportive, inclusive, and compassionate workplace culture</w:t>
      </w:r>
      <w:r w:rsidRPr="00393773">
        <w:rPr>
          <w:rFonts w:asciiTheme="minorHAnsi" w:hAnsiTheme="minorHAnsi" w:cstheme="minorHAnsi"/>
        </w:rPr>
        <w:t xml:space="preserve"> enhances both staff wellbeing and care outcomes. According to West et al. (2020), NHS Trusts </w:t>
      </w:r>
      <w:proofErr w:type="spellStart"/>
      <w:r w:rsidRPr="00393773">
        <w:rPr>
          <w:rFonts w:asciiTheme="minorHAnsi" w:hAnsiTheme="minorHAnsi" w:cstheme="minorHAnsi"/>
        </w:rPr>
        <w:t>characterised</w:t>
      </w:r>
      <w:proofErr w:type="spellEnd"/>
      <w:r w:rsidRPr="00393773">
        <w:rPr>
          <w:rFonts w:asciiTheme="minorHAnsi" w:hAnsiTheme="minorHAnsi" w:cstheme="minorHAnsi"/>
        </w:rPr>
        <w:t xml:space="preserve"> by high levels of staff engagement, inclusive decision-making, and visible leadership tend to report better patient satisfaction scores, lower mortality rates, and improved staff retention. Conversely, cultures marked by blame, hierarchy, or operational rigidity are associated with higher levels of burnout, clinical errors, and staff turnover (The King’s Fund, 2023).</w:t>
      </w:r>
    </w:p>
    <w:p w14:paraId="22C86D84"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One central framework in this discussion is the </w:t>
      </w:r>
      <w:r w:rsidRPr="00393773">
        <w:rPr>
          <w:rStyle w:val="Strong"/>
          <w:rFonts w:asciiTheme="minorHAnsi" w:hAnsiTheme="minorHAnsi" w:cstheme="minorHAnsi"/>
        </w:rPr>
        <w:t>NHS Workforce Wellbeing Framework</w:t>
      </w:r>
      <w:r w:rsidRPr="00393773">
        <w:rPr>
          <w:rFonts w:asciiTheme="minorHAnsi" w:hAnsiTheme="minorHAnsi" w:cstheme="minorHAnsi"/>
        </w:rPr>
        <w:t xml:space="preserve">, which identifies “culture and leadership” as one of six core enablers of sustainable wellbeing (NHS Improvement, 2021). The framework highlights compassionate leadership, effective communication, and psychological safety as essential components of a healthy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Yet, while the policy guidance is robust, its implementation across NHS Trusts has been inconsistent. A 2023 NHS Confederation review revealed significant variation in the adoption of wellbeing leadership roles, with some </w:t>
      </w:r>
      <w:proofErr w:type="spellStart"/>
      <w:r w:rsidRPr="00393773">
        <w:rPr>
          <w:rFonts w:asciiTheme="minorHAnsi" w:hAnsiTheme="minorHAnsi" w:cstheme="minorHAnsi"/>
        </w:rPr>
        <w:t>organisations</w:t>
      </w:r>
      <w:proofErr w:type="spellEnd"/>
      <w:r w:rsidRPr="00393773">
        <w:rPr>
          <w:rFonts w:asciiTheme="minorHAnsi" w:hAnsiTheme="minorHAnsi" w:cstheme="minorHAnsi"/>
        </w:rPr>
        <w:t xml:space="preserve"> embedding them at board level, and others delegating them to unsupported mid-tier managers with limited authority.</w:t>
      </w:r>
    </w:p>
    <w:p w14:paraId="7E1E320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Leadership style is also a key determinant of cultural tone. </w:t>
      </w:r>
      <w:r w:rsidRPr="00393773">
        <w:rPr>
          <w:rStyle w:val="Strong"/>
          <w:rFonts w:asciiTheme="minorHAnsi" w:hAnsiTheme="minorHAnsi" w:cstheme="minorHAnsi"/>
        </w:rPr>
        <w:t>Transformational leadership</w:t>
      </w:r>
      <w:r w:rsidRPr="00393773">
        <w:rPr>
          <w:rFonts w:asciiTheme="minorHAnsi" w:hAnsiTheme="minorHAnsi" w:cstheme="minorHAnsi"/>
        </w:rPr>
        <w:t xml:space="preserve">, which </w:t>
      </w:r>
      <w:proofErr w:type="spellStart"/>
      <w:r w:rsidRPr="00393773">
        <w:rPr>
          <w:rFonts w:asciiTheme="minorHAnsi" w:hAnsiTheme="minorHAnsi" w:cstheme="minorHAnsi"/>
        </w:rPr>
        <w:t>emphasises</w:t>
      </w:r>
      <w:proofErr w:type="spellEnd"/>
      <w:r w:rsidRPr="00393773">
        <w:rPr>
          <w:rFonts w:asciiTheme="minorHAnsi" w:hAnsiTheme="minorHAnsi" w:cstheme="minorHAnsi"/>
        </w:rPr>
        <w:t xml:space="preserve"> vision, inspiration, and individual consideration, has been positively correlated with staff satisfaction and patient safety (Boamah et al., 2021). Leaders who demonstrate emotional intelligence, support reflective practice, and model resilience foster environments where staff feel valued and safe to raise concerns. In contrast, </w:t>
      </w:r>
      <w:r w:rsidRPr="00393773">
        <w:rPr>
          <w:rStyle w:val="Strong"/>
          <w:rFonts w:asciiTheme="minorHAnsi" w:hAnsiTheme="minorHAnsi" w:cstheme="minorHAnsi"/>
        </w:rPr>
        <w:t>transactional or authoritarian leadership styles</w:t>
      </w:r>
      <w:r w:rsidRPr="00393773">
        <w:rPr>
          <w:rFonts w:asciiTheme="minorHAnsi" w:hAnsiTheme="minorHAnsi" w:cstheme="minorHAnsi"/>
        </w:rPr>
        <w:t xml:space="preserve">, which </w:t>
      </w:r>
      <w:proofErr w:type="spellStart"/>
      <w:r w:rsidRPr="00393773">
        <w:rPr>
          <w:rFonts w:asciiTheme="minorHAnsi" w:hAnsiTheme="minorHAnsi" w:cstheme="minorHAnsi"/>
        </w:rPr>
        <w:t>prioritise</w:t>
      </w:r>
      <w:proofErr w:type="spellEnd"/>
      <w:r w:rsidRPr="00393773">
        <w:rPr>
          <w:rFonts w:asciiTheme="minorHAnsi" w:hAnsiTheme="minorHAnsi" w:cstheme="minorHAnsi"/>
        </w:rPr>
        <w:t xml:space="preserve"> compliance and output over empathy and development, are more likely to suppress psychological safety and reduce staff morale (Henderson et al., 2022).</w:t>
      </w:r>
    </w:p>
    <w:p w14:paraId="6771FE8C"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theme also links closely with </w:t>
      </w:r>
      <w:r w:rsidRPr="00393773">
        <w:rPr>
          <w:rStyle w:val="Strong"/>
          <w:rFonts w:asciiTheme="minorHAnsi" w:hAnsiTheme="minorHAnsi" w:cstheme="minorHAnsi"/>
        </w:rPr>
        <w:t>Empowerment Theory</w:t>
      </w:r>
      <w:r w:rsidRPr="00393773">
        <w:rPr>
          <w:rFonts w:asciiTheme="minorHAnsi" w:hAnsiTheme="minorHAnsi" w:cstheme="minorHAnsi"/>
        </w:rPr>
        <w:t xml:space="preserve">, as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cultures that value staff input and provide access to decision-making foster empowerment, trust, and mutual respect. Empowered leadership contributes to the conditions necessary for effective team performance and resilience, which in turn enhances care quality. </w:t>
      </w:r>
      <w:proofErr w:type="spellStart"/>
      <w:r w:rsidRPr="00393773">
        <w:rPr>
          <w:rFonts w:asciiTheme="minorHAnsi" w:hAnsiTheme="minorHAnsi" w:cstheme="minorHAnsi"/>
        </w:rPr>
        <w:t>Laschinger</w:t>
      </w:r>
      <w:proofErr w:type="spellEnd"/>
      <w:r w:rsidRPr="00393773">
        <w:rPr>
          <w:rFonts w:asciiTheme="minorHAnsi" w:hAnsiTheme="minorHAnsi" w:cstheme="minorHAnsi"/>
        </w:rPr>
        <w:t xml:space="preserve"> et al. (2021) assert that empowered environments are not merely those where individuals feel confident but where systems actively distribute power through inclusive governance, transparent communication, and equitable resource allocation.</w:t>
      </w:r>
    </w:p>
    <w:p w14:paraId="1B3F3021"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From a resource-based lens, the </w:t>
      </w:r>
      <w:r w:rsidRPr="00393773">
        <w:rPr>
          <w:rStyle w:val="Strong"/>
          <w:rFonts w:asciiTheme="minorHAnsi" w:hAnsiTheme="minorHAnsi" w:cstheme="minorHAnsi"/>
        </w:rPr>
        <w:t>Job Demands-Resources (JD-R) model</w:t>
      </w:r>
      <w:r w:rsidRPr="00393773">
        <w:rPr>
          <w:rFonts w:asciiTheme="minorHAnsi" w:hAnsiTheme="minorHAnsi" w:cstheme="minorHAnsi"/>
        </w:rPr>
        <w:t xml:space="preserve"> </w:t>
      </w:r>
      <w:proofErr w:type="spellStart"/>
      <w:r w:rsidRPr="00393773">
        <w:rPr>
          <w:rFonts w:asciiTheme="minorHAnsi" w:hAnsiTheme="minorHAnsi" w:cstheme="minorHAnsi"/>
        </w:rPr>
        <w:t>conceptualises</w:t>
      </w:r>
      <w:proofErr w:type="spellEnd"/>
      <w:r w:rsidRPr="00393773">
        <w:rPr>
          <w:rFonts w:asciiTheme="minorHAnsi" w:hAnsiTheme="minorHAnsi" w:cstheme="minorHAnsi"/>
        </w:rPr>
        <w:t xml:space="preserve"> leadership and culture as pivotal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resources that buffer the negative effects of job demands. A study by </w:t>
      </w:r>
      <w:proofErr w:type="spellStart"/>
      <w:r w:rsidRPr="00393773">
        <w:rPr>
          <w:rFonts w:asciiTheme="minorHAnsi" w:hAnsiTheme="minorHAnsi" w:cstheme="minorHAnsi"/>
        </w:rPr>
        <w:t>Kinman</w:t>
      </w:r>
      <w:proofErr w:type="spellEnd"/>
      <w:r w:rsidRPr="00393773">
        <w:rPr>
          <w:rFonts w:asciiTheme="minorHAnsi" w:hAnsiTheme="minorHAnsi" w:cstheme="minorHAnsi"/>
        </w:rPr>
        <w:t xml:space="preserve"> and </w:t>
      </w:r>
      <w:proofErr w:type="spellStart"/>
      <w:r w:rsidRPr="00393773">
        <w:rPr>
          <w:rFonts w:asciiTheme="minorHAnsi" w:hAnsiTheme="minorHAnsi" w:cstheme="minorHAnsi"/>
        </w:rPr>
        <w:t>Teoh</w:t>
      </w:r>
      <w:proofErr w:type="spellEnd"/>
      <w:r w:rsidRPr="00393773">
        <w:rPr>
          <w:rFonts w:asciiTheme="minorHAnsi" w:hAnsiTheme="minorHAnsi" w:cstheme="minorHAnsi"/>
        </w:rPr>
        <w:t xml:space="preserve"> (2021) found that Trusts with strong wellbeing-focused leadership experienced fewer instances of staff stress, even in high-demand environments such as emergency departments and intensive care units. This suggests that culture is not just a backdrop but a functional moderator of workforce wellbeing outcomes.</w:t>
      </w:r>
    </w:p>
    <w:p w14:paraId="622631B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International comparisons further reinforce the importance of culture and leadership. In Australia, the development of “wellbeing charters” co-designed with staff has helped embed shared values into hospital governance, while in the United States, health systems such as Kaiser Permanente and the Mayo Clinic have </w:t>
      </w:r>
      <w:proofErr w:type="spellStart"/>
      <w:r w:rsidRPr="00393773">
        <w:rPr>
          <w:rFonts w:asciiTheme="minorHAnsi" w:hAnsiTheme="minorHAnsi" w:cstheme="minorHAnsi"/>
        </w:rPr>
        <w:t>institutionalised</w:t>
      </w:r>
      <w:proofErr w:type="spellEnd"/>
      <w:r w:rsidRPr="00393773">
        <w:rPr>
          <w:rFonts w:asciiTheme="minorHAnsi" w:hAnsiTheme="minorHAnsi" w:cstheme="minorHAnsi"/>
        </w:rPr>
        <w:t xml:space="preserve"> wellbeing as a strategic leadership priority, tracking its progress alongside clinical performance indicators (NAM, 2022). These initiatives demonstrate that where wellbeing is a board-level concern, culture shifts can occur at scale, resulting in measurable improvements in both staff experience and patient outcomes.</w:t>
      </w:r>
    </w:p>
    <w:p w14:paraId="6E4DF725"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However, the UK health and social care sector continues to face challenges in developing and sustaining positive cultures. A 2022 CQC report identified ongoing concerns about “toxic microcultures” within certain NHS departments, where bullying, discrimination, or managerial neglect were reported by staff, particularly among those from minority ethnic backgrounds. These microcultures often exist despite the presence of overarching wellbeing policies, indicating a disconnect between strategic intent and lived experience. Addressing these disparities requires not only cultural reform but also structural interventions, including leadership training, accountability mechanisms, and diversity-focused policy enforcement.</w:t>
      </w:r>
    </w:p>
    <w:p w14:paraId="400F331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Moreover, </w:t>
      </w:r>
      <w:r w:rsidRPr="00393773">
        <w:rPr>
          <w:rStyle w:val="Strong"/>
          <w:rFonts w:asciiTheme="minorHAnsi" w:hAnsiTheme="minorHAnsi" w:cstheme="minorHAnsi"/>
        </w:rPr>
        <w:t>Maslow’s Hierarchy of Needs</w:t>
      </w:r>
      <w:r w:rsidRPr="00393773">
        <w:rPr>
          <w:rFonts w:asciiTheme="minorHAnsi" w:hAnsiTheme="minorHAnsi" w:cstheme="minorHAnsi"/>
        </w:rPr>
        <w:t xml:space="preserve"> suggests that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directly influences whether staff can meet their needs for belonging, esteem, and </w:t>
      </w:r>
      <w:proofErr w:type="spellStart"/>
      <w:r w:rsidRPr="00393773">
        <w:rPr>
          <w:rFonts w:asciiTheme="minorHAnsi" w:hAnsiTheme="minorHAnsi" w:cstheme="minorHAnsi"/>
        </w:rPr>
        <w:t>self-actualisation</w:t>
      </w:r>
      <w:proofErr w:type="spellEnd"/>
      <w:r w:rsidRPr="00393773">
        <w:rPr>
          <w:rFonts w:asciiTheme="minorHAnsi" w:hAnsiTheme="minorHAnsi" w:cstheme="minorHAnsi"/>
        </w:rPr>
        <w:t xml:space="preserve"> within the workplace. Cultures that promote inclusion, recognition, and purpose allow staff to thrive, while those </w:t>
      </w:r>
      <w:proofErr w:type="spellStart"/>
      <w:r w:rsidRPr="00393773">
        <w:rPr>
          <w:rFonts w:asciiTheme="minorHAnsi" w:hAnsiTheme="minorHAnsi" w:cstheme="minorHAnsi"/>
        </w:rPr>
        <w:t>characterised</w:t>
      </w:r>
      <w:proofErr w:type="spellEnd"/>
      <w:r w:rsidRPr="00393773">
        <w:rPr>
          <w:rFonts w:asciiTheme="minorHAnsi" w:hAnsiTheme="minorHAnsi" w:cstheme="minorHAnsi"/>
        </w:rPr>
        <w:t xml:space="preserve"> by isolation, fear, or neglect inhibit not only individual wellbeing but also team cohesion and care quality.</w:t>
      </w:r>
    </w:p>
    <w:p w14:paraId="2227BB85"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 summary,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and leadership are critical mediators of both staff wellbeing and care quality. Cultures that embody compassion, transparency, and empowerment enhance not only the working lives of staff but also the safety and effectiveness of the care they provide. While national frameworks such as the NHS Workforce Wellbeing Framework offer valuable guidance, the challenge lies in their consistent and authentic implementation. Leadership development, inclusive governance, and cultural accountability must therefore remain central to any strategy aimed at improving care through workforce wellbeing.</w:t>
      </w:r>
    </w:p>
    <w:p w14:paraId="6DD137DB" w14:textId="77777777" w:rsidR="005E3402" w:rsidRPr="00393773" w:rsidRDefault="005E3402" w:rsidP="00393773">
      <w:pPr>
        <w:pStyle w:val="Heading3"/>
        <w:spacing w:line="276" w:lineRule="auto"/>
        <w:jc w:val="both"/>
        <w:rPr>
          <w:rFonts w:asciiTheme="minorHAnsi" w:hAnsiTheme="minorHAnsi" w:cstheme="minorHAnsi"/>
        </w:rPr>
      </w:pPr>
      <w:bookmarkStart w:id="23" w:name="_Toc215093019"/>
      <w:r w:rsidRPr="00393773">
        <w:rPr>
          <w:rFonts w:asciiTheme="minorHAnsi" w:hAnsiTheme="minorHAnsi" w:cstheme="minorHAnsi"/>
        </w:rPr>
        <w:t>4.6 Policy-Practice Gaps and Systemic Constraints</w:t>
      </w:r>
      <w:bookmarkEnd w:id="23"/>
    </w:p>
    <w:p w14:paraId="0E58AD5F"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While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and leadership provide the internal scaffolding for workforce wellbeing, broader </w:t>
      </w:r>
      <w:r w:rsidRPr="00393773">
        <w:rPr>
          <w:rStyle w:val="Strong"/>
          <w:rFonts w:asciiTheme="minorHAnsi" w:hAnsiTheme="minorHAnsi" w:cstheme="minorHAnsi"/>
        </w:rPr>
        <w:t>structural and systemic issues</w:t>
      </w:r>
      <w:r w:rsidRPr="00393773">
        <w:rPr>
          <w:rFonts w:asciiTheme="minorHAnsi" w:hAnsiTheme="minorHAnsi" w:cstheme="minorHAnsi"/>
        </w:rPr>
        <w:t xml:space="preserve"> significantly constrain the ability of health and social care settings to deliver both staff support and high-quality care. The theme of </w:t>
      </w:r>
      <w:r w:rsidRPr="00393773">
        <w:rPr>
          <w:rStyle w:val="Strong"/>
          <w:rFonts w:asciiTheme="minorHAnsi" w:hAnsiTheme="minorHAnsi" w:cstheme="minorHAnsi"/>
        </w:rPr>
        <w:t>policy-practice disconnects</w:t>
      </w:r>
      <w:r w:rsidRPr="00393773">
        <w:rPr>
          <w:rFonts w:asciiTheme="minorHAnsi" w:hAnsiTheme="minorHAnsi" w:cstheme="minorHAnsi"/>
        </w:rPr>
        <w:t xml:space="preserve"> emerged strongly across the literature, particularly in relation to national frameworks such as the </w:t>
      </w:r>
      <w:r w:rsidRPr="00393773">
        <w:rPr>
          <w:rStyle w:val="Strong"/>
          <w:rFonts w:asciiTheme="minorHAnsi" w:hAnsiTheme="minorHAnsi" w:cstheme="minorHAnsi"/>
        </w:rPr>
        <w:t>NHS Workforce Wellbeing Framework</w:t>
      </w:r>
      <w:r w:rsidRPr="00393773">
        <w:rPr>
          <w:rFonts w:asciiTheme="minorHAnsi" w:hAnsiTheme="minorHAnsi" w:cstheme="minorHAnsi"/>
        </w:rPr>
        <w:t xml:space="preserve">, the </w:t>
      </w:r>
      <w:r w:rsidRPr="00393773">
        <w:rPr>
          <w:rStyle w:val="Strong"/>
          <w:rFonts w:asciiTheme="minorHAnsi" w:hAnsiTheme="minorHAnsi" w:cstheme="minorHAnsi"/>
        </w:rPr>
        <w:t>People Plan (2020/21)</w:t>
      </w:r>
      <w:r w:rsidRPr="00393773">
        <w:rPr>
          <w:rFonts w:asciiTheme="minorHAnsi" w:hAnsiTheme="minorHAnsi" w:cstheme="minorHAnsi"/>
        </w:rPr>
        <w:t xml:space="preserve">, and the </w:t>
      </w:r>
      <w:r w:rsidRPr="00393773">
        <w:rPr>
          <w:rStyle w:val="Strong"/>
          <w:rFonts w:asciiTheme="minorHAnsi" w:hAnsiTheme="minorHAnsi" w:cstheme="minorHAnsi"/>
        </w:rPr>
        <w:t>Interim NHS Workforce Plan (2023)</w:t>
      </w:r>
      <w:r w:rsidRPr="00393773">
        <w:rPr>
          <w:rFonts w:asciiTheme="minorHAnsi" w:hAnsiTheme="minorHAnsi" w:cstheme="minorHAnsi"/>
        </w:rPr>
        <w:t xml:space="preserve">. These documents articulate a strong rhetorical commitment to staff wellbeing and </w:t>
      </w:r>
      <w:proofErr w:type="spellStart"/>
      <w:r w:rsidRPr="00393773">
        <w:rPr>
          <w:rFonts w:asciiTheme="minorHAnsi" w:hAnsiTheme="minorHAnsi" w:cstheme="minorHAnsi"/>
        </w:rPr>
        <w:t>patient-centred</w:t>
      </w:r>
      <w:proofErr w:type="spellEnd"/>
      <w:r w:rsidRPr="00393773">
        <w:rPr>
          <w:rFonts w:asciiTheme="minorHAnsi" w:hAnsiTheme="minorHAnsi" w:cstheme="minorHAnsi"/>
        </w:rPr>
        <w:t xml:space="preserve"> care, yet their translation into daily practice remains uneven, under-resourced, and frequently undermined by operational pressures.</w:t>
      </w:r>
    </w:p>
    <w:p w14:paraId="7AFFBCB2"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One of the most pressing systemic challenges is </w:t>
      </w:r>
      <w:r w:rsidRPr="00393773">
        <w:rPr>
          <w:rStyle w:val="Strong"/>
          <w:rFonts w:asciiTheme="minorHAnsi" w:hAnsiTheme="minorHAnsi" w:cstheme="minorHAnsi"/>
        </w:rPr>
        <w:t>chronic understaffing</w:t>
      </w:r>
      <w:r w:rsidRPr="00393773">
        <w:rPr>
          <w:rFonts w:asciiTheme="minorHAnsi" w:hAnsiTheme="minorHAnsi" w:cstheme="minorHAnsi"/>
        </w:rPr>
        <w:t>, a problem that has intensified since the COVID-19 pandemic. According to NHS Digital (2023), there were over 110,000 unfilled posts in the NHS in England alone, with shortages most acute in nursing, mental health, and social care roles. Staff shortages not only increase workloads but also reduce opportunities for rest, reflection, and support—undermining any attempts to promote wellbeing at a structural level. Several studies, including the work of Buchan et al. (2022), highlight a direct correlation between staff-to-patient ratios and care quality indicators, such as infection control, medication errors, and patient satisfaction.</w:t>
      </w:r>
    </w:p>
    <w:p w14:paraId="3FF6F8CB"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crisis is compounded by </w:t>
      </w:r>
      <w:r w:rsidRPr="00393773">
        <w:rPr>
          <w:rStyle w:val="Strong"/>
          <w:rFonts w:asciiTheme="minorHAnsi" w:hAnsiTheme="minorHAnsi" w:cstheme="minorHAnsi"/>
        </w:rPr>
        <w:t>underfunding</w:t>
      </w:r>
      <w:r w:rsidRPr="00393773">
        <w:rPr>
          <w:rFonts w:asciiTheme="minorHAnsi" w:hAnsiTheme="minorHAnsi" w:cstheme="minorHAnsi"/>
        </w:rPr>
        <w:t xml:space="preserve"> and </w:t>
      </w:r>
      <w:r w:rsidRPr="00393773">
        <w:rPr>
          <w:rStyle w:val="Strong"/>
          <w:rFonts w:asciiTheme="minorHAnsi" w:hAnsiTheme="minorHAnsi" w:cstheme="minorHAnsi"/>
        </w:rPr>
        <w:t>fragmented commissioning</w:t>
      </w:r>
      <w:r w:rsidRPr="00393773">
        <w:rPr>
          <w:rFonts w:asciiTheme="minorHAnsi" w:hAnsiTheme="minorHAnsi" w:cstheme="minorHAnsi"/>
        </w:rPr>
        <w:t>, particularly in social care, where local authorities operate under severe budgetary constraints. The King’s Fund (2023) notes that despite multiple reviews and policy recommendations, long-term sustainable funding for social care remains elusive. Care providers are often forced to make trade-offs between staffing levels, training investment, and basic care provision. This environment creates conditions in which both staff wellbeing and care standards deteriorate simultaneously.</w:t>
      </w:r>
    </w:p>
    <w:p w14:paraId="00B34E9B"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Another barrier to effective policy implementation is the </w:t>
      </w:r>
      <w:r w:rsidRPr="00393773">
        <w:rPr>
          <w:rStyle w:val="Strong"/>
          <w:rFonts w:asciiTheme="minorHAnsi" w:hAnsiTheme="minorHAnsi" w:cstheme="minorHAnsi"/>
        </w:rPr>
        <w:t>disconnect between national strategy and local operational realities</w:t>
      </w:r>
      <w:r w:rsidRPr="00393773">
        <w:rPr>
          <w:rFonts w:asciiTheme="minorHAnsi" w:hAnsiTheme="minorHAnsi" w:cstheme="minorHAnsi"/>
        </w:rPr>
        <w:t xml:space="preserve">. While the NHS People Plan promotes flexible working, inclusion, and wellbeing champions, many frontline staff report that these initiatives are inaccessible or inconsistently applied. A survey by the BMA (2023) found that only 22% of respondents felt their </w:t>
      </w:r>
      <w:proofErr w:type="spellStart"/>
      <w:r w:rsidRPr="00393773">
        <w:rPr>
          <w:rFonts w:asciiTheme="minorHAnsi" w:hAnsiTheme="minorHAnsi" w:cstheme="minorHAnsi"/>
        </w:rPr>
        <w:t>organisation</w:t>
      </w:r>
      <w:proofErr w:type="spellEnd"/>
      <w:r w:rsidRPr="00393773">
        <w:rPr>
          <w:rFonts w:asciiTheme="minorHAnsi" w:hAnsiTheme="minorHAnsi" w:cstheme="minorHAnsi"/>
        </w:rPr>
        <w:t xml:space="preserve"> “actively implemented” the wellbeing strategies outlined in national policy. This gap between strategic intent and operational delivery is often attributed to a lack of managerial capacity, competing targets, and insufficient performance accountability mechanisms.</w:t>
      </w:r>
    </w:p>
    <w:p w14:paraId="79DB2F0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These policy-practice tensions are not unique to the UK. Comparative research from Australia and the United States reveals similar implementation challenges, despite high-level policy commitments to staff wellbeing. In Australia, the National Clinical Governance Framework </w:t>
      </w:r>
      <w:proofErr w:type="spellStart"/>
      <w:r w:rsidRPr="00393773">
        <w:rPr>
          <w:rFonts w:asciiTheme="minorHAnsi" w:hAnsiTheme="minorHAnsi" w:cstheme="minorHAnsi"/>
        </w:rPr>
        <w:t>prioritises</w:t>
      </w:r>
      <w:proofErr w:type="spellEnd"/>
      <w:r w:rsidRPr="00393773">
        <w:rPr>
          <w:rFonts w:asciiTheme="minorHAnsi" w:hAnsiTheme="minorHAnsi" w:cstheme="minorHAnsi"/>
        </w:rPr>
        <w:t xml:space="preserve"> workforce health, yet local audits found that most services lacked embedded wellbeing metrics (AIHW, 2022). In the US, the National Academy of Medicine (NAM, 2022) called for wellbeing to be treated as a “system-level imperative,” but noted that fee-for-service funding models and short-term cost pressures often </w:t>
      </w:r>
      <w:proofErr w:type="spellStart"/>
      <w:r w:rsidRPr="00393773">
        <w:rPr>
          <w:rFonts w:asciiTheme="minorHAnsi" w:hAnsiTheme="minorHAnsi" w:cstheme="minorHAnsi"/>
        </w:rPr>
        <w:t>deprioritise</w:t>
      </w:r>
      <w:proofErr w:type="spellEnd"/>
      <w:r w:rsidRPr="00393773">
        <w:rPr>
          <w:rFonts w:asciiTheme="minorHAnsi" w:hAnsiTheme="minorHAnsi" w:cstheme="minorHAnsi"/>
        </w:rPr>
        <w:t xml:space="preserve"> long-term wellbeing investments. These international parallels highlight the structural nature of the wellbeing-care quality challenge.</w:t>
      </w:r>
    </w:p>
    <w:p w14:paraId="68A80B83"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Theoretical models reinforce the centrality of structural issues. According to the </w:t>
      </w:r>
      <w:r w:rsidRPr="00393773">
        <w:rPr>
          <w:rStyle w:val="Strong"/>
          <w:rFonts w:asciiTheme="minorHAnsi" w:hAnsiTheme="minorHAnsi" w:cstheme="minorHAnsi"/>
        </w:rPr>
        <w:t>Job Demands-Resources (JD-R) model</w:t>
      </w:r>
      <w:r w:rsidRPr="00393773">
        <w:rPr>
          <w:rFonts w:asciiTheme="minorHAnsi" w:hAnsiTheme="minorHAnsi" w:cstheme="minorHAnsi"/>
        </w:rPr>
        <w:t xml:space="preserve">, chronic under-resourcing and policy inconsistency deplete essential job resources, increasing the risk of burnout and disengagement. Without systemic resources—such as adequate staffing, fair remuneration, professional development, and clear strategic direction—staff are left vulnerable to emotional exhaustion and moral distress (Bakker &amp; Demerouti, 2017). Similarly, </w:t>
      </w:r>
      <w:r w:rsidRPr="00393773">
        <w:rPr>
          <w:rStyle w:val="Strong"/>
          <w:rFonts w:asciiTheme="minorHAnsi" w:hAnsiTheme="minorHAnsi" w:cstheme="minorHAnsi"/>
        </w:rPr>
        <w:t>Maslow’s Hierarchy of Needs</w:t>
      </w:r>
      <w:r w:rsidRPr="00393773">
        <w:rPr>
          <w:rFonts w:asciiTheme="minorHAnsi" w:hAnsiTheme="minorHAnsi" w:cstheme="minorHAnsi"/>
        </w:rPr>
        <w:t xml:space="preserve"> implies that basic needs such as job security, safety, and rest must be met before higher-order professional fulfilment and compassionate care can be achieved.</w:t>
      </w:r>
    </w:p>
    <w:p w14:paraId="11CEA298"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 terms of </w:t>
      </w:r>
      <w:r w:rsidRPr="00393773">
        <w:rPr>
          <w:rStyle w:val="Strong"/>
          <w:rFonts w:asciiTheme="minorHAnsi" w:hAnsiTheme="minorHAnsi" w:cstheme="minorHAnsi"/>
        </w:rPr>
        <w:t>empowerment</w:t>
      </w:r>
      <w:r w:rsidRPr="00393773">
        <w:rPr>
          <w:rFonts w:asciiTheme="minorHAnsi" w:hAnsiTheme="minorHAnsi" w:cstheme="minorHAnsi"/>
        </w:rPr>
        <w:t>, inconsistent implementation of staff-led governance and fragmented feedback loops often render staff voices ineffective in influencing change. Several qualitative studies reviewed (e.g., Morrison et al., 2021; CQC, 2022) report that staff often feel “consulted but not heard,” with decision-making power retained at senior or external commissioning levels. This lack of genuine influence undermines both morale and innovation, restricting local capacity to tailor wellbeing interventions to specific staff and service needs.</w:t>
      </w:r>
    </w:p>
    <w:p w14:paraId="3F405A51"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Addressing these systemic barriers requires policy alignment, investment, and cultural change. There is growing consensus that wellbeing must be treated not as an adjunct to operational planning, but as a </w:t>
      </w:r>
      <w:r w:rsidRPr="00393773">
        <w:rPr>
          <w:rStyle w:val="Strong"/>
          <w:rFonts w:asciiTheme="minorHAnsi" w:hAnsiTheme="minorHAnsi" w:cstheme="minorHAnsi"/>
        </w:rPr>
        <w:t>core strategic objective</w:t>
      </w:r>
      <w:r w:rsidRPr="00393773">
        <w:rPr>
          <w:rFonts w:asciiTheme="minorHAnsi" w:hAnsiTheme="minorHAnsi" w:cstheme="minorHAnsi"/>
        </w:rPr>
        <w:t xml:space="preserve"> with dedicated budgets, metrics, and accountability structures (West et al., 2020). Recent pilots, such as NHS England’s Integrated Care Systems (ICSs), show promise in linking workforce planning with service outcomes, but robust evaluation is needed to determine their scalability and equity of impact.</w:t>
      </w:r>
    </w:p>
    <w:p w14:paraId="22D598A3"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In conclusion, the effectiveness of any wellbeing initiative is constrained or enabled by the broader policy and structural context in which it is embedded. Without sustained attention to staffing, funding, implementation fidelity, and system-wide alignment, wellbeing frameworks risk remaining symbolic rather than transformative. Bridging the policy-practice divide is therefore essential to advancing both workforce health and care quality.</w:t>
      </w:r>
    </w:p>
    <w:p w14:paraId="364C2AC5"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chapter presented the thematic findings from the scoping review, illustrating the multifaceted relationship between workforce wellbeing and quality of care in health and social care settings. Five core themes were explored: burnout, psychological safety, empowerment,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and policy-practice gaps. These were critically </w:t>
      </w:r>
      <w:proofErr w:type="spellStart"/>
      <w:r w:rsidRPr="00393773">
        <w:rPr>
          <w:rFonts w:asciiTheme="minorHAnsi" w:hAnsiTheme="minorHAnsi" w:cstheme="minorHAnsi"/>
        </w:rPr>
        <w:t>analysed</w:t>
      </w:r>
      <w:proofErr w:type="spellEnd"/>
      <w:r w:rsidRPr="00393773">
        <w:rPr>
          <w:rFonts w:asciiTheme="minorHAnsi" w:hAnsiTheme="minorHAnsi" w:cstheme="minorHAnsi"/>
        </w:rPr>
        <w:t xml:space="preserve"> through the lens of established theories and frameworks, including Maslow’s Hierarchy of Needs, the Job Demands-Resources model, Empowerment Theory, and the NHS Workforce Wellbeing Framework.</w:t>
      </w:r>
    </w:p>
    <w:p w14:paraId="23118FB9"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Collectively, the findings affirm that workforce wellbeing is not only a matter of individual resilience or workplace amenities, but a structural and systemic concern that demands leadership commitment, cultural transformation, and policy coherence. The next chapter will translate these insights into actionable </w:t>
      </w:r>
      <w:r w:rsidRPr="00393773">
        <w:rPr>
          <w:rStyle w:val="Strong"/>
          <w:rFonts w:asciiTheme="minorHAnsi" w:hAnsiTheme="minorHAnsi" w:cstheme="minorHAnsi"/>
        </w:rPr>
        <w:t>recommendations and conclusions</w:t>
      </w:r>
      <w:r w:rsidRPr="00393773">
        <w:rPr>
          <w:rFonts w:asciiTheme="minorHAnsi" w:hAnsiTheme="minorHAnsi" w:cstheme="minorHAnsi"/>
        </w:rPr>
        <w:t xml:space="preserve">, </w:t>
      </w:r>
      <w:proofErr w:type="spellStart"/>
      <w:r w:rsidRPr="00393773">
        <w:rPr>
          <w:rFonts w:asciiTheme="minorHAnsi" w:hAnsiTheme="minorHAnsi" w:cstheme="minorHAnsi"/>
        </w:rPr>
        <w:t>synthesising</w:t>
      </w:r>
      <w:proofErr w:type="spellEnd"/>
      <w:r w:rsidRPr="00393773">
        <w:rPr>
          <w:rFonts w:asciiTheme="minorHAnsi" w:hAnsiTheme="minorHAnsi" w:cstheme="minorHAnsi"/>
        </w:rPr>
        <w:t xml:space="preserve"> how health and social care providers—and policy makers—can move from understanding to implementation.</w:t>
      </w:r>
    </w:p>
    <w:p w14:paraId="34F0B096" w14:textId="7946BFE1" w:rsidR="005E3402" w:rsidRPr="00393773" w:rsidRDefault="005E3402" w:rsidP="00393773">
      <w:pPr>
        <w:pStyle w:val="Heading3"/>
        <w:spacing w:line="276" w:lineRule="auto"/>
        <w:jc w:val="both"/>
        <w:rPr>
          <w:rFonts w:asciiTheme="minorHAnsi" w:hAnsiTheme="minorHAnsi" w:cstheme="minorHAnsi"/>
        </w:rPr>
      </w:pPr>
      <w:bookmarkStart w:id="24" w:name="_Toc215093021"/>
      <w:r w:rsidRPr="00393773">
        <w:rPr>
          <w:rFonts w:asciiTheme="minorHAnsi" w:hAnsiTheme="minorHAnsi" w:cstheme="minorHAnsi"/>
        </w:rPr>
        <w:t>CHAPTER 5: RECOMMENDATIONS AND CONCLUSION</w:t>
      </w:r>
      <w:bookmarkEnd w:id="24"/>
    </w:p>
    <w:p w14:paraId="10B345D5" w14:textId="77777777" w:rsidR="005E3402" w:rsidRPr="00393773" w:rsidRDefault="005E3402" w:rsidP="00393773">
      <w:pPr>
        <w:pStyle w:val="Heading3"/>
        <w:spacing w:line="276" w:lineRule="auto"/>
        <w:jc w:val="both"/>
        <w:rPr>
          <w:rFonts w:asciiTheme="minorHAnsi" w:hAnsiTheme="minorHAnsi" w:cstheme="minorHAnsi"/>
        </w:rPr>
      </w:pPr>
      <w:bookmarkStart w:id="25" w:name="_Toc215093022"/>
      <w:r w:rsidRPr="00393773">
        <w:rPr>
          <w:rFonts w:asciiTheme="minorHAnsi" w:hAnsiTheme="minorHAnsi" w:cstheme="minorHAnsi"/>
        </w:rPr>
        <w:t>5.1 Overview of Key Findings</w:t>
      </w:r>
      <w:bookmarkEnd w:id="25"/>
    </w:p>
    <w:p w14:paraId="488ABFF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dissertation set out to explore the relationship between </w:t>
      </w:r>
      <w:r w:rsidRPr="00393773">
        <w:rPr>
          <w:rStyle w:val="Strong"/>
          <w:rFonts w:asciiTheme="minorHAnsi" w:hAnsiTheme="minorHAnsi" w:cstheme="minorHAnsi"/>
        </w:rPr>
        <w:t>workforce wellbeing</w:t>
      </w:r>
      <w:r w:rsidRPr="00393773">
        <w:rPr>
          <w:rFonts w:asciiTheme="minorHAnsi" w:hAnsiTheme="minorHAnsi" w:cstheme="minorHAnsi"/>
        </w:rPr>
        <w:t xml:space="preserve"> and </w:t>
      </w:r>
      <w:r w:rsidRPr="00393773">
        <w:rPr>
          <w:rStyle w:val="Strong"/>
          <w:rFonts w:asciiTheme="minorHAnsi" w:hAnsiTheme="minorHAnsi" w:cstheme="minorHAnsi"/>
        </w:rPr>
        <w:t>quality of care</w:t>
      </w:r>
      <w:r w:rsidRPr="00393773">
        <w:rPr>
          <w:rFonts w:asciiTheme="minorHAnsi" w:hAnsiTheme="minorHAnsi" w:cstheme="minorHAnsi"/>
        </w:rPr>
        <w:t xml:space="preserve"> in health and social care settings, using a scoping review methodology grounded in post-2020 literature and policy analysis. The findings revealed that workforce wellbeing is not only a significant determinant of care quality but also a complex, systemic issue influenced by multiple factors, including leadership, empowerment, psychological safety, and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w:t>
      </w:r>
    </w:p>
    <w:p w14:paraId="0DF33A6E"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Burnout emerged as one of the most prevalent threats to staff wellbeing, with strong evidence linking it to poorer patient outcomes, safety incidents, and reduced engagement. Psychological safety was identified as a critical enabler of effective teamwork, learning, and compassionate care, particularly when embedded through inclusive leadership and supportive structures. Empowerment and autonomy were shown to improve job satisfaction and professional fulfilment, while also enhancing care effectiveness.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and leadership set the tone for these dynamics, and their role was found to be essential in creating sustainable wellbeing conditions.</w:t>
      </w:r>
    </w:p>
    <w:p w14:paraId="14DE1E7A" w14:textId="72A21386"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Despite national frameworks such as the NHS Workforce Wellbeing Framework and the People Plan, the review found persistent </w:t>
      </w:r>
      <w:r w:rsidRPr="00393773">
        <w:rPr>
          <w:rStyle w:val="Strong"/>
          <w:rFonts w:asciiTheme="minorHAnsi" w:hAnsiTheme="minorHAnsi" w:cstheme="minorHAnsi"/>
        </w:rPr>
        <w:t>policy-practice gaps</w:t>
      </w:r>
      <w:r w:rsidRPr="00393773">
        <w:rPr>
          <w:rFonts w:asciiTheme="minorHAnsi" w:hAnsiTheme="minorHAnsi" w:cstheme="minorHAnsi"/>
        </w:rPr>
        <w:t xml:space="preserve"> due to systemic underfunding, staff shortages, and fragmented accountability. These structural issues present significant obstacles to implementing meaningful wellbeing strategies, especially in under-resourced care settings.</w:t>
      </w:r>
    </w:p>
    <w:p w14:paraId="2843DDD4" w14:textId="77777777" w:rsidR="005E3402" w:rsidRPr="00393773" w:rsidRDefault="005E3402" w:rsidP="00393773">
      <w:pPr>
        <w:pStyle w:val="Heading3"/>
        <w:spacing w:line="276" w:lineRule="auto"/>
        <w:jc w:val="both"/>
        <w:rPr>
          <w:rFonts w:asciiTheme="minorHAnsi" w:hAnsiTheme="minorHAnsi" w:cstheme="minorHAnsi"/>
        </w:rPr>
      </w:pPr>
      <w:bookmarkStart w:id="26" w:name="_Toc215093023"/>
      <w:r w:rsidRPr="00393773">
        <w:rPr>
          <w:rFonts w:asciiTheme="minorHAnsi" w:hAnsiTheme="minorHAnsi" w:cstheme="minorHAnsi"/>
        </w:rPr>
        <w:t>5.2 Recommendations</w:t>
      </w:r>
      <w:bookmarkEnd w:id="26"/>
    </w:p>
    <w:p w14:paraId="4EA1C7A3"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Drawing from the findings and theoretical frameworks employed, the following recommendations are proposed to improve workforce wellbeing and, by extension, the quality of care:</w:t>
      </w:r>
    </w:p>
    <w:p w14:paraId="2F7485D8"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1. </w:t>
      </w:r>
      <w:r w:rsidRPr="00393773">
        <w:rPr>
          <w:rStyle w:val="Strong"/>
          <w:rFonts w:asciiTheme="minorHAnsi" w:hAnsiTheme="minorHAnsi" w:cstheme="minorHAnsi"/>
          <w:b w:val="0"/>
          <w:bCs w:val="0"/>
        </w:rPr>
        <w:t xml:space="preserve">Embed Wellbeing in </w:t>
      </w:r>
      <w:proofErr w:type="spellStart"/>
      <w:r w:rsidRPr="00393773">
        <w:rPr>
          <w:rStyle w:val="Strong"/>
          <w:rFonts w:asciiTheme="minorHAnsi" w:hAnsiTheme="minorHAnsi" w:cstheme="minorHAnsi"/>
          <w:b w:val="0"/>
          <w:bCs w:val="0"/>
        </w:rPr>
        <w:t>Organisational</w:t>
      </w:r>
      <w:proofErr w:type="spellEnd"/>
      <w:r w:rsidRPr="00393773">
        <w:rPr>
          <w:rStyle w:val="Strong"/>
          <w:rFonts w:asciiTheme="minorHAnsi" w:hAnsiTheme="minorHAnsi" w:cstheme="minorHAnsi"/>
          <w:b w:val="0"/>
          <w:bCs w:val="0"/>
        </w:rPr>
        <w:t xml:space="preserve"> Strategy</w:t>
      </w:r>
    </w:p>
    <w:p w14:paraId="243F69D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Workforce wellbeing must be elevated to a strategic priority, embedded in board-level decisions and monitored with the same </w:t>
      </w:r>
      <w:proofErr w:type="spellStart"/>
      <w:r w:rsidRPr="00393773">
        <w:rPr>
          <w:rFonts w:asciiTheme="minorHAnsi" w:hAnsiTheme="minorHAnsi" w:cstheme="minorHAnsi"/>
        </w:rPr>
        <w:t>rigour</w:t>
      </w:r>
      <w:proofErr w:type="spellEnd"/>
      <w:r w:rsidRPr="00393773">
        <w:rPr>
          <w:rFonts w:asciiTheme="minorHAnsi" w:hAnsiTheme="minorHAnsi" w:cstheme="minorHAnsi"/>
        </w:rPr>
        <w:t xml:space="preserve"> as financial and clinical outcomes. NHS Trusts should adopt </w:t>
      </w:r>
      <w:r w:rsidRPr="00393773">
        <w:rPr>
          <w:rStyle w:val="Strong"/>
          <w:rFonts w:asciiTheme="minorHAnsi" w:hAnsiTheme="minorHAnsi" w:cstheme="minorHAnsi"/>
        </w:rPr>
        <w:t>dedicated wellbeing KPIs</w:t>
      </w:r>
      <w:r w:rsidRPr="00393773">
        <w:rPr>
          <w:rFonts w:asciiTheme="minorHAnsi" w:hAnsiTheme="minorHAnsi" w:cstheme="minorHAnsi"/>
        </w:rPr>
        <w:t xml:space="preserve"> linked to patient outcomes and staff retention, and ensure that these are reported publicly.</w:t>
      </w:r>
    </w:p>
    <w:p w14:paraId="2FCC23B0"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2. </w:t>
      </w:r>
      <w:r w:rsidRPr="00393773">
        <w:rPr>
          <w:rStyle w:val="Strong"/>
          <w:rFonts w:asciiTheme="minorHAnsi" w:hAnsiTheme="minorHAnsi" w:cstheme="minorHAnsi"/>
          <w:b w:val="0"/>
          <w:bCs w:val="0"/>
        </w:rPr>
        <w:t>Invest in Staffing and Resource Allocation</w:t>
      </w:r>
    </w:p>
    <w:p w14:paraId="4581F4D3"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Understaffing remains the most cited barrier to both wellbeing and safe care. Investment is urgently needed in recruitment, staff retention, and skill mix planning. The NHS Long Term Workforce Plan should be fully funded and supported by robust workforce modelling that aligns with service demand.</w:t>
      </w:r>
    </w:p>
    <w:p w14:paraId="259A0CFC"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3. </w:t>
      </w:r>
      <w:r w:rsidRPr="00393773">
        <w:rPr>
          <w:rStyle w:val="Strong"/>
          <w:rFonts w:asciiTheme="minorHAnsi" w:hAnsiTheme="minorHAnsi" w:cstheme="minorHAnsi"/>
          <w:b w:val="0"/>
          <w:bCs w:val="0"/>
        </w:rPr>
        <w:t>Foster Empowerment through Shared Governance</w:t>
      </w:r>
    </w:p>
    <w:p w14:paraId="21F0DA38"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Health and social care </w:t>
      </w:r>
      <w:proofErr w:type="spellStart"/>
      <w:r w:rsidRPr="00393773">
        <w:rPr>
          <w:rFonts w:asciiTheme="minorHAnsi" w:hAnsiTheme="minorHAnsi" w:cstheme="minorHAnsi"/>
        </w:rPr>
        <w:t>organisations</w:t>
      </w:r>
      <w:proofErr w:type="spellEnd"/>
      <w:r w:rsidRPr="00393773">
        <w:rPr>
          <w:rFonts w:asciiTheme="minorHAnsi" w:hAnsiTheme="minorHAnsi" w:cstheme="minorHAnsi"/>
        </w:rPr>
        <w:t xml:space="preserve"> should implement </w:t>
      </w:r>
      <w:r w:rsidRPr="00393773">
        <w:rPr>
          <w:rStyle w:val="Strong"/>
          <w:rFonts w:asciiTheme="minorHAnsi" w:hAnsiTheme="minorHAnsi" w:cstheme="minorHAnsi"/>
        </w:rPr>
        <w:t>shared governance models</w:t>
      </w:r>
      <w:r w:rsidRPr="00393773">
        <w:rPr>
          <w:rFonts w:asciiTheme="minorHAnsi" w:hAnsiTheme="minorHAnsi" w:cstheme="minorHAnsi"/>
        </w:rPr>
        <w:t>, where staff across all roles contribute to policy decisions, service improvement, and innovation. Empowered teams are more engaged, resilient, and patient-focused.</w:t>
      </w:r>
    </w:p>
    <w:p w14:paraId="2FF05270"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4. </w:t>
      </w:r>
      <w:r w:rsidRPr="00393773">
        <w:rPr>
          <w:rStyle w:val="Strong"/>
          <w:rFonts w:asciiTheme="minorHAnsi" w:hAnsiTheme="minorHAnsi" w:cstheme="minorHAnsi"/>
          <w:b w:val="0"/>
          <w:bCs w:val="0"/>
        </w:rPr>
        <w:t>Strengthen Inclusive Leadership and Psychological Safety</w:t>
      </w:r>
    </w:p>
    <w:p w14:paraId="31976017"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Mandatory training in </w:t>
      </w:r>
      <w:r w:rsidRPr="00393773">
        <w:rPr>
          <w:rStyle w:val="Strong"/>
          <w:rFonts w:asciiTheme="minorHAnsi" w:hAnsiTheme="minorHAnsi" w:cstheme="minorHAnsi"/>
        </w:rPr>
        <w:t>inclusive, compassionate leadership</w:t>
      </w:r>
      <w:r w:rsidRPr="00393773">
        <w:rPr>
          <w:rFonts w:asciiTheme="minorHAnsi" w:hAnsiTheme="minorHAnsi" w:cstheme="minorHAnsi"/>
        </w:rPr>
        <w:t xml:space="preserve"> should be introduced for all managers and senior leaders.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 audits and regular staff feedback mechanisms should be used to track psychological safety and leadership effectiveness.</w:t>
      </w:r>
    </w:p>
    <w:p w14:paraId="174E1E30"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5. </w:t>
      </w:r>
      <w:r w:rsidRPr="00393773">
        <w:rPr>
          <w:rStyle w:val="Strong"/>
          <w:rFonts w:asciiTheme="minorHAnsi" w:hAnsiTheme="minorHAnsi" w:cstheme="minorHAnsi"/>
          <w:b w:val="0"/>
          <w:bCs w:val="0"/>
        </w:rPr>
        <w:t>Tailor Wellbeing Interventions to Local Needs</w:t>
      </w:r>
    </w:p>
    <w:p w14:paraId="2AE8C405"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Wellbeing strategies must be context-specific. While national frameworks provide guidance, implementation must reflect local workforce demographics, service pressures, and cultural dynamics. Co-designing interventions with staff is essential for uptake and sustainability.</w:t>
      </w:r>
    </w:p>
    <w:p w14:paraId="3EB4D094"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6. </w:t>
      </w:r>
      <w:r w:rsidRPr="00393773">
        <w:rPr>
          <w:rStyle w:val="Strong"/>
          <w:rFonts w:asciiTheme="minorHAnsi" w:hAnsiTheme="minorHAnsi" w:cstheme="minorHAnsi"/>
          <w:b w:val="0"/>
          <w:bCs w:val="0"/>
        </w:rPr>
        <w:t>Develop Cross-Sector Workforce Collaboration</w:t>
      </w:r>
    </w:p>
    <w:p w14:paraId="39B292A9"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Closer integration between health and social care sectors, including joint training, supervision, and workforce planning, could reduce duplication, improve continuity, and increase morale across the system.</w:t>
      </w:r>
    </w:p>
    <w:p w14:paraId="12B12F85"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7. </w:t>
      </w:r>
      <w:r w:rsidRPr="00393773">
        <w:rPr>
          <w:rStyle w:val="Strong"/>
          <w:rFonts w:asciiTheme="minorHAnsi" w:hAnsiTheme="minorHAnsi" w:cstheme="minorHAnsi"/>
          <w:b w:val="0"/>
          <w:bCs w:val="0"/>
        </w:rPr>
        <w:t>Improve Data Infrastructure and Accountability</w:t>
      </w:r>
    </w:p>
    <w:p w14:paraId="3278B7CA"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Data collection on staff wellbeing should be </w:t>
      </w:r>
      <w:proofErr w:type="spellStart"/>
      <w:r w:rsidRPr="00393773">
        <w:rPr>
          <w:rFonts w:asciiTheme="minorHAnsi" w:hAnsiTheme="minorHAnsi" w:cstheme="minorHAnsi"/>
        </w:rPr>
        <w:t>centralised</w:t>
      </w:r>
      <w:proofErr w:type="spellEnd"/>
      <w:r w:rsidRPr="00393773">
        <w:rPr>
          <w:rFonts w:asciiTheme="minorHAnsi" w:hAnsiTheme="minorHAnsi" w:cstheme="minorHAnsi"/>
        </w:rPr>
        <w:t xml:space="preserve"> and </w:t>
      </w:r>
      <w:proofErr w:type="spellStart"/>
      <w:r w:rsidRPr="00393773">
        <w:rPr>
          <w:rFonts w:asciiTheme="minorHAnsi" w:hAnsiTheme="minorHAnsi" w:cstheme="minorHAnsi"/>
        </w:rPr>
        <w:t>standardised</w:t>
      </w:r>
      <w:proofErr w:type="spellEnd"/>
      <w:r w:rsidRPr="00393773">
        <w:rPr>
          <w:rFonts w:asciiTheme="minorHAnsi" w:hAnsiTheme="minorHAnsi" w:cstheme="minorHAnsi"/>
        </w:rPr>
        <w:t xml:space="preserve"> across the NHS and social care sector. Trusts and providers should be held accountable for improvements, not only via Care Quality Commission (CQC) ratings but through workforce-specific audits.</w:t>
      </w:r>
    </w:p>
    <w:p w14:paraId="5C2F9C3E" w14:textId="77777777" w:rsidR="005E3402" w:rsidRPr="00393773" w:rsidRDefault="005E3402" w:rsidP="00393773">
      <w:pPr>
        <w:pStyle w:val="Heading4"/>
        <w:spacing w:line="276" w:lineRule="auto"/>
        <w:jc w:val="both"/>
        <w:rPr>
          <w:rFonts w:asciiTheme="minorHAnsi" w:hAnsiTheme="minorHAnsi" w:cstheme="minorHAnsi"/>
        </w:rPr>
      </w:pPr>
      <w:r w:rsidRPr="00393773">
        <w:rPr>
          <w:rFonts w:asciiTheme="minorHAnsi" w:hAnsiTheme="minorHAnsi" w:cstheme="minorHAnsi"/>
        </w:rPr>
        <w:t xml:space="preserve">8. </w:t>
      </w:r>
      <w:proofErr w:type="spellStart"/>
      <w:r w:rsidRPr="00393773">
        <w:rPr>
          <w:rStyle w:val="Strong"/>
          <w:rFonts w:asciiTheme="minorHAnsi" w:hAnsiTheme="minorHAnsi" w:cstheme="minorHAnsi"/>
          <w:b w:val="0"/>
          <w:bCs w:val="0"/>
        </w:rPr>
        <w:t>Prioritise</w:t>
      </w:r>
      <w:proofErr w:type="spellEnd"/>
      <w:r w:rsidRPr="00393773">
        <w:rPr>
          <w:rStyle w:val="Strong"/>
          <w:rFonts w:asciiTheme="minorHAnsi" w:hAnsiTheme="minorHAnsi" w:cstheme="minorHAnsi"/>
          <w:b w:val="0"/>
          <w:bCs w:val="0"/>
        </w:rPr>
        <w:t xml:space="preserve"> Equity in Wellbeing Interventions</w:t>
      </w:r>
    </w:p>
    <w:p w14:paraId="2B04E3AD" w14:textId="5C17AA3B"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Special attention must be paid to the </w:t>
      </w:r>
      <w:r w:rsidRPr="00393773">
        <w:rPr>
          <w:rStyle w:val="Strong"/>
          <w:rFonts w:asciiTheme="minorHAnsi" w:hAnsiTheme="minorHAnsi" w:cstheme="minorHAnsi"/>
        </w:rPr>
        <w:t>differential experiences</w:t>
      </w:r>
      <w:r w:rsidRPr="00393773">
        <w:rPr>
          <w:rFonts w:asciiTheme="minorHAnsi" w:hAnsiTheme="minorHAnsi" w:cstheme="minorHAnsi"/>
        </w:rPr>
        <w:t xml:space="preserve"> of staff from minority ethnic backgrounds, women, LGBTQ+ staff, and internationally trained professionals. Anti-racism policies, inclusive leadership, and safe reporting systems are essential for equitable wellbeing.</w:t>
      </w:r>
    </w:p>
    <w:p w14:paraId="759F3C2F" w14:textId="77777777" w:rsidR="005E3402" w:rsidRPr="00393773" w:rsidRDefault="005E3402" w:rsidP="00393773">
      <w:pPr>
        <w:pStyle w:val="Heading3"/>
        <w:spacing w:line="276" w:lineRule="auto"/>
        <w:jc w:val="both"/>
        <w:rPr>
          <w:rFonts w:asciiTheme="minorHAnsi" w:hAnsiTheme="minorHAnsi" w:cstheme="minorHAnsi"/>
        </w:rPr>
      </w:pPr>
      <w:bookmarkStart w:id="27" w:name="_Toc215093024"/>
      <w:r w:rsidRPr="00393773">
        <w:rPr>
          <w:rFonts w:asciiTheme="minorHAnsi" w:hAnsiTheme="minorHAnsi" w:cstheme="minorHAnsi"/>
        </w:rPr>
        <w:t>5.3 Strengths and Limitations of the Study</w:t>
      </w:r>
      <w:bookmarkEnd w:id="27"/>
    </w:p>
    <w:p w14:paraId="78D4DD31"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study offers a comprehensive and timely synthesis of the literature on workforce wellbeing and care quality, drawing on both academic and grey literature post-2020. The use of a </w:t>
      </w:r>
      <w:r w:rsidRPr="00393773">
        <w:rPr>
          <w:rStyle w:val="Strong"/>
          <w:rFonts w:asciiTheme="minorHAnsi" w:hAnsiTheme="minorHAnsi" w:cstheme="minorHAnsi"/>
        </w:rPr>
        <w:t>scoping review</w:t>
      </w:r>
      <w:r w:rsidRPr="00393773">
        <w:rPr>
          <w:rFonts w:asciiTheme="minorHAnsi" w:hAnsiTheme="minorHAnsi" w:cstheme="minorHAnsi"/>
        </w:rPr>
        <w:t xml:space="preserve"> methodology allowed for the inclusion of diverse study types, capturing the multidimensional nature of the topic. Furthermore, the application of </w:t>
      </w:r>
      <w:r w:rsidRPr="00393773">
        <w:rPr>
          <w:rStyle w:val="Strong"/>
          <w:rFonts w:asciiTheme="minorHAnsi" w:hAnsiTheme="minorHAnsi" w:cstheme="minorHAnsi"/>
        </w:rPr>
        <w:t>Maslow’s Hierarchy of Needs</w:t>
      </w:r>
      <w:r w:rsidRPr="00393773">
        <w:rPr>
          <w:rFonts w:asciiTheme="minorHAnsi" w:hAnsiTheme="minorHAnsi" w:cstheme="minorHAnsi"/>
        </w:rPr>
        <w:t xml:space="preserve">, </w:t>
      </w:r>
      <w:r w:rsidRPr="00393773">
        <w:rPr>
          <w:rStyle w:val="Strong"/>
          <w:rFonts w:asciiTheme="minorHAnsi" w:hAnsiTheme="minorHAnsi" w:cstheme="minorHAnsi"/>
        </w:rPr>
        <w:t>Empowerment Theory</w:t>
      </w:r>
      <w:r w:rsidRPr="00393773">
        <w:rPr>
          <w:rFonts w:asciiTheme="minorHAnsi" w:hAnsiTheme="minorHAnsi" w:cstheme="minorHAnsi"/>
        </w:rPr>
        <w:t xml:space="preserve">, the </w:t>
      </w:r>
      <w:r w:rsidRPr="00393773">
        <w:rPr>
          <w:rStyle w:val="Strong"/>
          <w:rFonts w:asciiTheme="minorHAnsi" w:hAnsiTheme="minorHAnsi" w:cstheme="minorHAnsi"/>
        </w:rPr>
        <w:t>JD-R model</w:t>
      </w:r>
      <w:r w:rsidRPr="00393773">
        <w:rPr>
          <w:rFonts w:asciiTheme="minorHAnsi" w:hAnsiTheme="minorHAnsi" w:cstheme="minorHAnsi"/>
        </w:rPr>
        <w:t xml:space="preserve">, and the </w:t>
      </w:r>
      <w:r w:rsidRPr="00393773">
        <w:rPr>
          <w:rStyle w:val="Strong"/>
          <w:rFonts w:asciiTheme="minorHAnsi" w:hAnsiTheme="minorHAnsi" w:cstheme="minorHAnsi"/>
        </w:rPr>
        <w:t>NHS Workforce Wellbeing Framework</w:t>
      </w:r>
      <w:r w:rsidRPr="00393773">
        <w:rPr>
          <w:rFonts w:asciiTheme="minorHAnsi" w:hAnsiTheme="minorHAnsi" w:cstheme="minorHAnsi"/>
        </w:rPr>
        <w:t xml:space="preserve"> provided a robust theoretical foundation for analysis.</w:t>
      </w:r>
    </w:p>
    <w:p w14:paraId="609A6BCC" w14:textId="3EE3630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However, several limitations must be acknowledged. First, the review was limited to English-language sources, which may have excluded relevant international research. Second, due to the scoping nature of the review, no formal quality appraisal of included studies was conducted, limiting the ability to assess evidence strength. Finally, the synthesis was reliant on available published data, and may not fully reflect frontline experiences, particularly in under-researched or </w:t>
      </w:r>
      <w:proofErr w:type="spellStart"/>
      <w:r w:rsidRPr="00393773">
        <w:rPr>
          <w:rFonts w:asciiTheme="minorHAnsi" w:hAnsiTheme="minorHAnsi" w:cstheme="minorHAnsi"/>
        </w:rPr>
        <w:t>marginalised</w:t>
      </w:r>
      <w:proofErr w:type="spellEnd"/>
      <w:r w:rsidRPr="00393773">
        <w:rPr>
          <w:rFonts w:asciiTheme="minorHAnsi" w:hAnsiTheme="minorHAnsi" w:cstheme="minorHAnsi"/>
        </w:rPr>
        <w:t xml:space="preserve"> care settings.</w:t>
      </w:r>
    </w:p>
    <w:p w14:paraId="1F265BA9" w14:textId="77777777" w:rsidR="005E3402" w:rsidRPr="00393773" w:rsidRDefault="005E3402" w:rsidP="00393773">
      <w:pPr>
        <w:pStyle w:val="Heading3"/>
        <w:spacing w:line="276" w:lineRule="auto"/>
        <w:jc w:val="both"/>
        <w:rPr>
          <w:rFonts w:asciiTheme="minorHAnsi" w:hAnsiTheme="minorHAnsi" w:cstheme="minorHAnsi"/>
        </w:rPr>
      </w:pPr>
      <w:bookmarkStart w:id="28" w:name="_Toc215093025"/>
      <w:r w:rsidRPr="00393773">
        <w:rPr>
          <w:rFonts w:asciiTheme="minorHAnsi" w:hAnsiTheme="minorHAnsi" w:cstheme="minorHAnsi"/>
        </w:rPr>
        <w:t>5.4 Conclusion</w:t>
      </w:r>
      <w:bookmarkEnd w:id="28"/>
    </w:p>
    <w:p w14:paraId="1D97211D"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findings of this dissertation confirm that workforce wellbeing and quality of care are deeply intertwined. Wellbeing is not merely a moral or human resources concern—it is a </w:t>
      </w:r>
      <w:r w:rsidRPr="00393773">
        <w:rPr>
          <w:rStyle w:val="Strong"/>
          <w:rFonts w:asciiTheme="minorHAnsi" w:hAnsiTheme="minorHAnsi" w:cstheme="minorHAnsi"/>
        </w:rPr>
        <w:t>clinical and systemic imperative</w:t>
      </w:r>
      <w:r w:rsidRPr="00393773">
        <w:rPr>
          <w:rFonts w:asciiTheme="minorHAnsi" w:hAnsiTheme="minorHAnsi" w:cstheme="minorHAnsi"/>
        </w:rPr>
        <w:t>. Addressing burnout, fostering psychological safety, promoting empowerment, and nurturing inclusive leadership are not optional enhancements but essential components of safe and effective care.</w:t>
      </w:r>
    </w:p>
    <w:p w14:paraId="49DE0A49"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For the UK health and social care system to move forward, it must </w:t>
      </w:r>
      <w:proofErr w:type="spellStart"/>
      <w:r w:rsidRPr="00393773">
        <w:rPr>
          <w:rFonts w:asciiTheme="minorHAnsi" w:hAnsiTheme="minorHAnsi" w:cstheme="minorHAnsi"/>
        </w:rPr>
        <w:t>operationalise</w:t>
      </w:r>
      <w:proofErr w:type="spellEnd"/>
      <w:r w:rsidRPr="00393773">
        <w:rPr>
          <w:rFonts w:asciiTheme="minorHAnsi" w:hAnsiTheme="minorHAnsi" w:cstheme="minorHAnsi"/>
        </w:rPr>
        <w:t xml:space="preserve"> its policy commitments with sustainable investment, accountability mechanisms, and frontline engagement. Only then can workforce wellbeing be transformed from rhetoric into reality—and only then can high-quality, compassionate care be consistently delivered across the sector.</w:t>
      </w:r>
    </w:p>
    <w:p w14:paraId="42B9AB98" w14:textId="77777777" w:rsidR="005E3402" w:rsidRPr="00393773" w:rsidRDefault="005E3402" w:rsidP="00393773">
      <w:pPr>
        <w:pStyle w:val="Heading3"/>
        <w:spacing w:line="276" w:lineRule="auto"/>
        <w:jc w:val="both"/>
        <w:rPr>
          <w:rFonts w:asciiTheme="minorHAnsi" w:hAnsiTheme="minorHAnsi" w:cstheme="minorHAnsi"/>
        </w:rPr>
      </w:pPr>
      <w:bookmarkStart w:id="29" w:name="_Toc215093026"/>
      <w:r w:rsidRPr="00393773">
        <w:rPr>
          <w:rFonts w:asciiTheme="minorHAnsi" w:hAnsiTheme="minorHAnsi" w:cstheme="minorHAnsi"/>
        </w:rPr>
        <w:t>5.4 Expanded Conclusion</w:t>
      </w:r>
      <w:bookmarkEnd w:id="29"/>
    </w:p>
    <w:p w14:paraId="67F8C8AC"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This dissertation set out to examine the complex and multidimensional relationship between workforce wellbeing and quality of care within health and social care settings, using a scoping review methodology informed by post-2020 literature, UK policies, and global comparisons. The overarching conclusion is unequivocal: </w:t>
      </w:r>
      <w:r w:rsidRPr="00393773">
        <w:rPr>
          <w:rStyle w:val="Strong"/>
          <w:rFonts w:asciiTheme="minorHAnsi" w:hAnsiTheme="minorHAnsi" w:cstheme="minorHAnsi"/>
        </w:rPr>
        <w:t>the wellbeing of the health and social care workforce is intrinsically linked to the safety, effectiveness, and compassion of the care provided.</w:t>
      </w:r>
      <w:r w:rsidRPr="00393773">
        <w:rPr>
          <w:rFonts w:asciiTheme="minorHAnsi" w:hAnsiTheme="minorHAnsi" w:cstheme="minorHAnsi"/>
        </w:rPr>
        <w:t xml:space="preserve"> Where staff thrive, patients benefit—where staff are depleted, patients are at risk.</w:t>
      </w:r>
    </w:p>
    <w:p w14:paraId="4E37623F"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review found consistent evidence that workforce wellbeing is influenced by both micro-level factors (e.g., autonomy, team climate, leadership </w:t>
      </w:r>
      <w:proofErr w:type="spellStart"/>
      <w:r w:rsidRPr="00393773">
        <w:rPr>
          <w:rFonts w:asciiTheme="minorHAnsi" w:hAnsiTheme="minorHAnsi" w:cstheme="minorHAnsi"/>
        </w:rPr>
        <w:t>behaviours</w:t>
      </w:r>
      <w:proofErr w:type="spellEnd"/>
      <w:r w:rsidRPr="00393773">
        <w:rPr>
          <w:rFonts w:asciiTheme="minorHAnsi" w:hAnsiTheme="minorHAnsi" w:cstheme="minorHAnsi"/>
        </w:rPr>
        <w:t xml:space="preserve">) and macro-level forces (e.g., national funding policy, staffing infrastructure, regulatory environments). The experience of burnout, lack of psychological safety, disempowerment, and systemic inequities emerged not as isolated issues, but as </w:t>
      </w:r>
      <w:r w:rsidRPr="00393773">
        <w:rPr>
          <w:rStyle w:val="Strong"/>
          <w:rFonts w:asciiTheme="minorHAnsi" w:hAnsiTheme="minorHAnsi" w:cstheme="minorHAnsi"/>
        </w:rPr>
        <w:t xml:space="preserve">interconnected outcomes of broader </w:t>
      </w:r>
      <w:proofErr w:type="spellStart"/>
      <w:r w:rsidRPr="00393773">
        <w:rPr>
          <w:rStyle w:val="Strong"/>
          <w:rFonts w:asciiTheme="minorHAnsi" w:hAnsiTheme="minorHAnsi" w:cstheme="minorHAnsi"/>
        </w:rPr>
        <w:t>organisational</w:t>
      </w:r>
      <w:proofErr w:type="spellEnd"/>
      <w:r w:rsidRPr="00393773">
        <w:rPr>
          <w:rStyle w:val="Strong"/>
          <w:rFonts w:asciiTheme="minorHAnsi" w:hAnsiTheme="minorHAnsi" w:cstheme="minorHAnsi"/>
        </w:rPr>
        <w:t xml:space="preserve"> and policy contexts.</w:t>
      </w:r>
      <w:r w:rsidRPr="00393773">
        <w:rPr>
          <w:rFonts w:asciiTheme="minorHAnsi" w:hAnsiTheme="minorHAnsi" w:cstheme="minorHAnsi"/>
        </w:rPr>
        <w:t xml:space="preserve"> These stressors were found to compromise not only the individual health of professionals but also team dynamics, decision-making quality, patient safety, and continuity of care.</w:t>
      </w:r>
    </w:p>
    <w:p w14:paraId="3DC0FD14"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The application of </w:t>
      </w:r>
      <w:r w:rsidRPr="00393773">
        <w:rPr>
          <w:rStyle w:val="Strong"/>
          <w:rFonts w:asciiTheme="minorHAnsi" w:hAnsiTheme="minorHAnsi" w:cstheme="minorHAnsi"/>
        </w:rPr>
        <w:t>theoretical frameworks</w:t>
      </w:r>
      <w:r w:rsidRPr="00393773">
        <w:rPr>
          <w:rFonts w:asciiTheme="minorHAnsi" w:hAnsiTheme="minorHAnsi" w:cstheme="minorHAnsi"/>
        </w:rPr>
        <w:t xml:space="preserve"> added further depth to these findings. </w:t>
      </w:r>
      <w:r w:rsidRPr="00393773">
        <w:rPr>
          <w:rStyle w:val="Strong"/>
          <w:rFonts w:asciiTheme="minorHAnsi" w:hAnsiTheme="minorHAnsi" w:cstheme="minorHAnsi"/>
        </w:rPr>
        <w:t>Maslow’s Hierarchy of Needs</w:t>
      </w:r>
      <w:r w:rsidRPr="00393773">
        <w:rPr>
          <w:rFonts w:asciiTheme="minorHAnsi" w:hAnsiTheme="minorHAnsi" w:cstheme="minorHAnsi"/>
        </w:rPr>
        <w:t xml:space="preserve"> helped illuminate how unmet basic and psychological needs limit professionals’ ability to reach </w:t>
      </w:r>
      <w:proofErr w:type="spellStart"/>
      <w:r w:rsidRPr="00393773">
        <w:rPr>
          <w:rFonts w:asciiTheme="minorHAnsi" w:hAnsiTheme="minorHAnsi" w:cstheme="minorHAnsi"/>
        </w:rPr>
        <w:t>self-actualisation</w:t>
      </w:r>
      <w:proofErr w:type="spellEnd"/>
      <w:r w:rsidRPr="00393773">
        <w:rPr>
          <w:rFonts w:asciiTheme="minorHAnsi" w:hAnsiTheme="minorHAnsi" w:cstheme="minorHAnsi"/>
        </w:rPr>
        <w:t xml:space="preserve"> and provide compassionate care. </w:t>
      </w:r>
      <w:r w:rsidRPr="00393773">
        <w:rPr>
          <w:rStyle w:val="Strong"/>
          <w:rFonts w:asciiTheme="minorHAnsi" w:hAnsiTheme="minorHAnsi" w:cstheme="minorHAnsi"/>
        </w:rPr>
        <w:t>Empowerment Theory</w:t>
      </w:r>
      <w:r w:rsidRPr="00393773">
        <w:rPr>
          <w:rFonts w:asciiTheme="minorHAnsi" w:hAnsiTheme="minorHAnsi" w:cstheme="minorHAnsi"/>
        </w:rPr>
        <w:t xml:space="preserve"> framed how </w:t>
      </w:r>
      <w:proofErr w:type="spellStart"/>
      <w:r w:rsidRPr="00393773">
        <w:rPr>
          <w:rFonts w:asciiTheme="minorHAnsi" w:hAnsiTheme="minorHAnsi" w:cstheme="minorHAnsi"/>
        </w:rPr>
        <w:t>organisational</w:t>
      </w:r>
      <w:proofErr w:type="spellEnd"/>
      <w:r w:rsidRPr="00393773">
        <w:rPr>
          <w:rFonts w:asciiTheme="minorHAnsi" w:hAnsiTheme="minorHAnsi" w:cstheme="minorHAnsi"/>
        </w:rPr>
        <w:t xml:space="preserve"> cultures and structures that enable voice, autonomy, and control lead to greater engagement and care quality. The </w:t>
      </w:r>
      <w:r w:rsidRPr="00393773">
        <w:rPr>
          <w:rStyle w:val="Strong"/>
          <w:rFonts w:asciiTheme="minorHAnsi" w:hAnsiTheme="minorHAnsi" w:cstheme="minorHAnsi"/>
        </w:rPr>
        <w:t>Job Demands-Resources (JD-R) model</w:t>
      </w:r>
      <w:r w:rsidRPr="00393773">
        <w:rPr>
          <w:rFonts w:asciiTheme="minorHAnsi" w:hAnsiTheme="minorHAnsi" w:cstheme="minorHAnsi"/>
        </w:rPr>
        <w:t xml:space="preserve"> illustrated how staff burnout results from sustained imbalances between work demands and the resources available to mitigate them, while the </w:t>
      </w:r>
      <w:r w:rsidRPr="00393773">
        <w:rPr>
          <w:rStyle w:val="Strong"/>
          <w:rFonts w:asciiTheme="minorHAnsi" w:hAnsiTheme="minorHAnsi" w:cstheme="minorHAnsi"/>
        </w:rPr>
        <w:t>NHS Workforce Wellbeing Framework</w:t>
      </w:r>
      <w:r w:rsidRPr="00393773">
        <w:rPr>
          <w:rFonts w:asciiTheme="minorHAnsi" w:hAnsiTheme="minorHAnsi" w:cstheme="minorHAnsi"/>
        </w:rPr>
        <w:t xml:space="preserve"> offered a national benchmark for how wellbeing can be systemically approached—albeit with inconsistent local implementation.</w:t>
      </w:r>
    </w:p>
    <w:p w14:paraId="2FB9BB36"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Importantly, this dissertation’s findings reflect not just academic consensus but the lived realities of practitioners. Frontline workers’ testimonies in the reviewed literature revealed frustration with </w:t>
      </w:r>
      <w:proofErr w:type="spellStart"/>
      <w:r w:rsidRPr="00393773">
        <w:rPr>
          <w:rFonts w:asciiTheme="minorHAnsi" w:hAnsiTheme="minorHAnsi" w:cstheme="minorHAnsi"/>
        </w:rPr>
        <w:t>tokenistic</w:t>
      </w:r>
      <w:proofErr w:type="spellEnd"/>
      <w:r w:rsidRPr="00393773">
        <w:rPr>
          <w:rFonts w:asciiTheme="minorHAnsi" w:hAnsiTheme="minorHAnsi" w:cstheme="minorHAnsi"/>
        </w:rPr>
        <w:t xml:space="preserve"> wellbeing </w:t>
      </w:r>
      <w:proofErr w:type="spellStart"/>
      <w:r w:rsidRPr="00393773">
        <w:rPr>
          <w:rFonts w:asciiTheme="minorHAnsi" w:hAnsiTheme="minorHAnsi" w:cstheme="minorHAnsi"/>
        </w:rPr>
        <w:t>programmes</w:t>
      </w:r>
      <w:proofErr w:type="spellEnd"/>
      <w:r w:rsidRPr="00393773">
        <w:rPr>
          <w:rFonts w:asciiTheme="minorHAnsi" w:hAnsiTheme="minorHAnsi" w:cstheme="minorHAnsi"/>
        </w:rPr>
        <w:t xml:space="preserve">, reactive leadership, and policy commitments that often failed to </w:t>
      </w:r>
      <w:proofErr w:type="spellStart"/>
      <w:r w:rsidRPr="00393773">
        <w:rPr>
          <w:rFonts w:asciiTheme="minorHAnsi" w:hAnsiTheme="minorHAnsi" w:cstheme="minorHAnsi"/>
        </w:rPr>
        <w:t>materialise</w:t>
      </w:r>
      <w:proofErr w:type="spellEnd"/>
      <w:r w:rsidRPr="00393773">
        <w:rPr>
          <w:rFonts w:asciiTheme="minorHAnsi" w:hAnsiTheme="minorHAnsi" w:cstheme="minorHAnsi"/>
        </w:rPr>
        <w:t xml:space="preserve"> into tangible support. The gap between </w:t>
      </w:r>
      <w:r w:rsidRPr="00393773">
        <w:rPr>
          <w:rStyle w:val="Strong"/>
          <w:rFonts w:asciiTheme="minorHAnsi" w:hAnsiTheme="minorHAnsi" w:cstheme="minorHAnsi"/>
        </w:rPr>
        <w:t>wellbeing rhetoric and reality</w:t>
      </w:r>
      <w:r w:rsidRPr="00393773">
        <w:rPr>
          <w:rFonts w:asciiTheme="minorHAnsi" w:hAnsiTheme="minorHAnsi" w:cstheme="minorHAnsi"/>
        </w:rPr>
        <w:t xml:space="preserve"> remains a central challenge. Policy frameworks are only as effective as their </w:t>
      </w:r>
      <w:proofErr w:type="spellStart"/>
      <w:r w:rsidRPr="00393773">
        <w:rPr>
          <w:rFonts w:asciiTheme="minorHAnsi" w:hAnsiTheme="minorHAnsi" w:cstheme="minorHAnsi"/>
        </w:rPr>
        <w:t>operationalisation</w:t>
      </w:r>
      <w:proofErr w:type="spellEnd"/>
      <w:r w:rsidRPr="00393773">
        <w:rPr>
          <w:rFonts w:asciiTheme="minorHAnsi" w:hAnsiTheme="minorHAnsi" w:cstheme="minorHAnsi"/>
        </w:rPr>
        <w:t>, and without adequate staffing, funding, and leadership accountability, they risk becoming performative.</w:t>
      </w:r>
    </w:p>
    <w:p w14:paraId="034FE362"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However, this study also uncovered </w:t>
      </w:r>
      <w:r w:rsidRPr="00393773">
        <w:rPr>
          <w:rStyle w:val="Strong"/>
          <w:rFonts w:asciiTheme="minorHAnsi" w:hAnsiTheme="minorHAnsi" w:cstheme="minorHAnsi"/>
        </w:rPr>
        <w:t>examples of effective practice</w:t>
      </w:r>
      <w:r w:rsidRPr="00393773">
        <w:rPr>
          <w:rFonts w:asciiTheme="minorHAnsi" w:hAnsiTheme="minorHAnsi" w:cstheme="minorHAnsi"/>
        </w:rPr>
        <w:t>. Trusts and health systems that had embedded inclusive leadership, shared governance, flexible working, and protected time for reflection demonstrated measurable improvements in both staff morale and care quality. International models from Australia and the US further highlighted the value of treating wellbeing as a strategic and clinical priority, monitored alongside performance metrics. These insights point to a way forward that is evidence-informed, theoretically grounded, and achievable.</w:t>
      </w:r>
    </w:p>
    <w:p w14:paraId="2AD2D522"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Ultimately, improving workforce wellbeing is not a peripheral concern. It is foundational to the sustainability of the UK’s health and social care system. As the sector faces rising service demand, ageing populations, and post-pandemic recovery challenges, investment in the workforce must become a </w:t>
      </w:r>
      <w:r w:rsidRPr="00393773">
        <w:rPr>
          <w:rStyle w:val="Strong"/>
          <w:rFonts w:asciiTheme="minorHAnsi" w:hAnsiTheme="minorHAnsi" w:cstheme="minorHAnsi"/>
        </w:rPr>
        <w:t>non-negotiable pillar of system resilience.</w:t>
      </w:r>
      <w:r w:rsidRPr="00393773">
        <w:rPr>
          <w:rFonts w:asciiTheme="minorHAnsi" w:hAnsiTheme="minorHAnsi" w:cstheme="minorHAnsi"/>
        </w:rPr>
        <w:t xml:space="preserve"> This means moving beyond fragmented interventions toward an integrated, system-wide approach where wellbeing is embedded in leadership, measured in performance, reflected in funding, and lived in everyday practice.</w:t>
      </w:r>
    </w:p>
    <w:p w14:paraId="75474B79"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The implications of this study are far-reaching. For policymakers, it offers a roadmap for aligning national frameworks with frontline realities. For healthcare leaders, it underscores the need for inclusive, responsive, and empowering leadership. For practitioners and educators, it highlights the importance of embedding wellbeing literacy into professional development. And for researchers, it identifies a fertile area for continued inquiry—particularly around the lived experiences of underrepresented workforce groups and the long-term impacts of wellbeing interventions.</w:t>
      </w:r>
    </w:p>
    <w:p w14:paraId="4B2754CC" w14:textId="77777777" w:rsidR="005E3402" w:rsidRPr="00393773" w:rsidRDefault="005E3402" w:rsidP="00393773">
      <w:pPr>
        <w:pStyle w:val="NormalWeb"/>
        <w:spacing w:line="276" w:lineRule="auto"/>
        <w:jc w:val="both"/>
        <w:rPr>
          <w:rFonts w:asciiTheme="minorHAnsi" w:hAnsiTheme="minorHAnsi" w:cstheme="minorHAnsi"/>
        </w:rPr>
      </w:pPr>
      <w:r w:rsidRPr="00393773">
        <w:rPr>
          <w:rFonts w:asciiTheme="minorHAnsi" w:hAnsiTheme="minorHAnsi" w:cstheme="minorHAnsi"/>
        </w:rPr>
        <w:t xml:space="preserve">In conclusion, this dissertation reinforces the imperative that </w:t>
      </w:r>
      <w:r w:rsidRPr="00393773">
        <w:rPr>
          <w:rStyle w:val="Strong"/>
          <w:rFonts w:asciiTheme="minorHAnsi" w:hAnsiTheme="minorHAnsi" w:cstheme="minorHAnsi"/>
        </w:rPr>
        <w:t>“caring for carers” is not optional—it is essential.</w:t>
      </w:r>
      <w:r w:rsidRPr="00393773">
        <w:rPr>
          <w:rFonts w:asciiTheme="minorHAnsi" w:hAnsiTheme="minorHAnsi" w:cstheme="minorHAnsi"/>
        </w:rPr>
        <w:t xml:space="preserve"> The future of quality care in the UK and beyond depends not just on clinical innovations or digital strategies, but on </w:t>
      </w:r>
      <w:r w:rsidRPr="00393773">
        <w:rPr>
          <w:rStyle w:val="Strong"/>
          <w:rFonts w:asciiTheme="minorHAnsi" w:hAnsiTheme="minorHAnsi" w:cstheme="minorHAnsi"/>
        </w:rPr>
        <w:t>how health and social care systems treat their workforce.</w:t>
      </w:r>
      <w:r w:rsidRPr="00393773">
        <w:rPr>
          <w:rFonts w:asciiTheme="minorHAnsi" w:hAnsiTheme="minorHAnsi" w:cstheme="minorHAnsi"/>
        </w:rPr>
        <w:t xml:space="preserve"> By </w:t>
      </w:r>
      <w:proofErr w:type="spellStart"/>
      <w:r w:rsidRPr="00393773">
        <w:rPr>
          <w:rFonts w:asciiTheme="minorHAnsi" w:hAnsiTheme="minorHAnsi" w:cstheme="minorHAnsi"/>
        </w:rPr>
        <w:t>prioritising</w:t>
      </w:r>
      <w:proofErr w:type="spellEnd"/>
      <w:r w:rsidRPr="00393773">
        <w:rPr>
          <w:rFonts w:asciiTheme="minorHAnsi" w:hAnsiTheme="minorHAnsi" w:cstheme="minorHAnsi"/>
        </w:rPr>
        <w:t xml:space="preserve"> wellbeing as a strategic, ethical, and operational goal, </w:t>
      </w:r>
      <w:proofErr w:type="spellStart"/>
      <w:r w:rsidRPr="00393773">
        <w:rPr>
          <w:rFonts w:asciiTheme="minorHAnsi" w:hAnsiTheme="minorHAnsi" w:cstheme="minorHAnsi"/>
        </w:rPr>
        <w:t>organisations</w:t>
      </w:r>
      <w:proofErr w:type="spellEnd"/>
      <w:r w:rsidRPr="00393773">
        <w:rPr>
          <w:rFonts w:asciiTheme="minorHAnsi" w:hAnsiTheme="minorHAnsi" w:cstheme="minorHAnsi"/>
        </w:rPr>
        <w:t xml:space="preserve"> can ensure that those who care for others are equipped, empowered, and well enough to deliver the compassionate, high-quality care that every individual deserves.</w:t>
      </w:r>
    </w:p>
    <w:p w14:paraId="18835E49" w14:textId="7BECED63" w:rsidR="00393773" w:rsidRPr="00393773" w:rsidRDefault="00393773" w:rsidP="00393773">
      <w:pPr>
        <w:spacing w:before="100" w:beforeAutospacing="1" w:after="100" w:afterAutospacing="1" w:line="276" w:lineRule="auto"/>
        <w:jc w:val="both"/>
        <w:outlineLvl w:val="0"/>
        <w:rPr>
          <w:rFonts w:eastAsia="Times New Roman" w:cstheme="minorHAnsi"/>
          <w:b/>
          <w:bCs/>
          <w:kern w:val="36"/>
          <w:sz w:val="48"/>
          <w:szCs w:val="48"/>
          <w:lang w:val="en-GB" w:eastAsia="en-GB"/>
        </w:rPr>
      </w:pPr>
      <w:r w:rsidRPr="00393773">
        <w:rPr>
          <w:rFonts w:eastAsia="Times New Roman" w:cstheme="minorHAnsi"/>
          <w:b/>
          <w:bCs/>
          <w:kern w:val="36"/>
          <w:sz w:val="48"/>
          <w:szCs w:val="48"/>
          <w:lang w:val="en-GB" w:eastAsia="en-GB"/>
        </w:rPr>
        <w:t xml:space="preserve">Reference List </w:t>
      </w:r>
    </w:p>
    <w:p w14:paraId="02C4E5CC"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Australian Institute of Health and Welfare (AIHW), 2022. </w:t>
      </w:r>
      <w:r w:rsidRPr="00393773">
        <w:rPr>
          <w:rFonts w:eastAsia="Times New Roman" w:cstheme="minorHAnsi"/>
          <w:i/>
          <w:iCs/>
          <w:sz w:val="24"/>
          <w:szCs w:val="24"/>
          <w:lang w:val="en-GB" w:eastAsia="en-GB"/>
        </w:rPr>
        <w:t>Australia’s health 2022: workforce and wellbeing</w:t>
      </w:r>
      <w:r w:rsidRPr="00393773">
        <w:rPr>
          <w:rFonts w:eastAsia="Times New Roman" w:cstheme="minorHAnsi"/>
          <w:sz w:val="24"/>
          <w:szCs w:val="24"/>
          <w:lang w:val="en-GB" w:eastAsia="en-GB"/>
        </w:rPr>
        <w:t xml:space="preserve">. Canberra: AIHW. </w:t>
      </w:r>
    </w:p>
    <w:p w14:paraId="56B07D54"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Australian Medical Association, 2021. </w:t>
      </w:r>
      <w:r w:rsidRPr="00393773">
        <w:rPr>
          <w:rFonts w:eastAsia="Times New Roman" w:cstheme="minorHAnsi"/>
          <w:i/>
          <w:iCs/>
          <w:sz w:val="24"/>
          <w:szCs w:val="24"/>
          <w:lang w:val="en-GB" w:eastAsia="en-GB"/>
        </w:rPr>
        <w:t>Burnout in Australian healthcare: A crisis in the making</w:t>
      </w:r>
      <w:r w:rsidRPr="00393773">
        <w:rPr>
          <w:rFonts w:eastAsia="Times New Roman" w:cstheme="minorHAnsi"/>
          <w:sz w:val="24"/>
          <w:szCs w:val="24"/>
          <w:lang w:val="en-GB" w:eastAsia="en-GB"/>
        </w:rPr>
        <w:t xml:space="preserve">. </w:t>
      </w:r>
    </w:p>
    <w:p w14:paraId="4BC4DE87"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Bakker, A.B. and Demerouti, E., 2017. Job demands–resources theory: Taking stock and looking forward. </w:t>
      </w:r>
      <w:r w:rsidRPr="00393773">
        <w:rPr>
          <w:rFonts w:eastAsia="Times New Roman" w:cstheme="minorHAnsi"/>
          <w:i/>
          <w:iCs/>
          <w:sz w:val="24"/>
          <w:szCs w:val="24"/>
          <w:lang w:val="en-GB" w:eastAsia="en-GB"/>
        </w:rPr>
        <w:t>Journal of Occupational Health Psychology</w:t>
      </w:r>
      <w:r w:rsidRPr="00393773">
        <w:rPr>
          <w:rFonts w:eastAsia="Times New Roman" w:cstheme="minorHAnsi"/>
          <w:sz w:val="24"/>
          <w:szCs w:val="24"/>
          <w:lang w:val="en-GB" w:eastAsia="en-GB"/>
        </w:rPr>
        <w:t xml:space="preserve">, 22(3), pp.273–285. </w:t>
      </w:r>
    </w:p>
    <w:p w14:paraId="5A99B7CF"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Boamah</w:t>
      </w:r>
      <w:proofErr w:type="spellEnd"/>
      <w:r w:rsidRPr="00393773">
        <w:rPr>
          <w:rFonts w:eastAsia="Times New Roman" w:cstheme="minorHAnsi"/>
          <w:sz w:val="24"/>
          <w:szCs w:val="24"/>
          <w:lang w:val="en-GB" w:eastAsia="en-GB"/>
        </w:rPr>
        <w:t xml:space="preserve">, S.A., </w:t>
      </w:r>
      <w:proofErr w:type="spellStart"/>
      <w:r w:rsidRPr="00393773">
        <w:rPr>
          <w:rFonts w:eastAsia="Times New Roman" w:cstheme="minorHAnsi"/>
          <w:sz w:val="24"/>
          <w:szCs w:val="24"/>
          <w:lang w:val="en-GB" w:eastAsia="en-GB"/>
        </w:rPr>
        <w:t>Laschinger</w:t>
      </w:r>
      <w:proofErr w:type="spellEnd"/>
      <w:r w:rsidRPr="00393773">
        <w:rPr>
          <w:rFonts w:eastAsia="Times New Roman" w:cstheme="minorHAnsi"/>
          <w:sz w:val="24"/>
          <w:szCs w:val="24"/>
          <w:lang w:val="en-GB" w:eastAsia="en-GB"/>
        </w:rPr>
        <w:t xml:space="preserve">, H.K.S., Wong, C. and Clarke, S., 2020. Effect of transformational leadership on job satisfaction and patient safety outcomes. </w:t>
      </w:r>
      <w:r w:rsidRPr="00393773">
        <w:rPr>
          <w:rFonts w:eastAsia="Times New Roman" w:cstheme="minorHAnsi"/>
          <w:i/>
          <w:iCs/>
          <w:sz w:val="24"/>
          <w:szCs w:val="24"/>
          <w:lang w:val="en-GB" w:eastAsia="en-GB"/>
        </w:rPr>
        <w:t>Nursing Outlook</w:t>
      </w:r>
      <w:r w:rsidRPr="00393773">
        <w:rPr>
          <w:rFonts w:eastAsia="Times New Roman" w:cstheme="minorHAnsi"/>
          <w:sz w:val="24"/>
          <w:szCs w:val="24"/>
          <w:lang w:val="en-GB" w:eastAsia="en-GB"/>
        </w:rPr>
        <w:t xml:space="preserve">, 68(4), pp.388–398. </w:t>
      </w:r>
    </w:p>
    <w:p w14:paraId="562D671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Boamah</w:t>
      </w:r>
      <w:proofErr w:type="spellEnd"/>
      <w:r w:rsidRPr="00393773">
        <w:rPr>
          <w:rFonts w:eastAsia="Times New Roman" w:cstheme="minorHAnsi"/>
          <w:sz w:val="24"/>
          <w:szCs w:val="24"/>
          <w:lang w:val="en-GB" w:eastAsia="en-GB"/>
        </w:rPr>
        <w:t xml:space="preserve">, S.A., Spence </w:t>
      </w:r>
      <w:proofErr w:type="spellStart"/>
      <w:r w:rsidRPr="00393773">
        <w:rPr>
          <w:rFonts w:eastAsia="Times New Roman" w:cstheme="minorHAnsi"/>
          <w:sz w:val="24"/>
          <w:szCs w:val="24"/>
          <w:lang w:val="en-GB" w:eastAsia="en-GB"/>
        </w:rPr>
        <w:t>Laschinger</w:t>
      </w:r>
      <w:proofErr w:type="spellEnd"/>
      <w:r w:rsidRPr="00393773">
        <w:rPr>
          <w:rFonts w:eastAsia="Times New Roman" w:cstheme="minorHAnsi"/>
          <w:sz w:val="24"/>
          <w:szCs w:val="24"/>
          <w:lang w:val="en-GB" w:eastAsia="en-GB"/>
        </w:rPr>
        <w:t xml:space="preserve">, H.K. and Wong, C., 2021. Transformational leadership and patient safety culture. </w:t>
      </w:r>
      <w:r w:rsidRPr="00393773">
        <w:rPr>
          <w:rFonts w:eastAsia="Times New Roman" w:cstheme="minorHAnsi"/>
          <w:i/>
          <w:iCs/>
          <w:sz w:val="24"/>
          <w:szCs w:val="24"/>
          <w:lang w:val="en-GB" w:eastAsia="en-GB"/>
        </w:rPr>
        <w:t>Journal of Nursing Management</w:t>
      </w:r>
      <w:r w:rsidRPr="00393773">
        <w:rPr>
          <w:rFonts w:eastAsia="Times New Roman" w:cstheme="minorHAnsi"/>
          <w:sz w:val="24"/>
          <w:szCs w:val="24"/>
          <w:lang w:val="en-GB" w:eastAsia="en-GB"/>
        </w:rPr>
        <w:t xml:space="preserve">, 29(4), pp.897–906. </w:t>
      </w:r>
    </w:p>
    <w:p w14:paraId="26D82CCE"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British Medical Association (BMA), 2023. </w:t>
      </w:r>
      <w:r w:rsidRPr="00393773">
        <w:rPr>
          <w:rFonts w:eastAsia="Times New Roman" w:cstheme="minorHAnsi"/>
          <w:i/>
          <w:iCs/>
          <w:sz w:val="24"/>
          <w:szCs w:val="24"/>
          <w:lang w:val="en-GB" w:eastAsia="en-GB"/>
        </w:rPr>
        <w:t>Mental health and burnout in the NHS workforce</w:t>
      </w:r>
      <w:r w:rsidRPr="00393773">
        <w:rPr>
          <w:rFonts w:eastAsia="Times New Roman" w:cstheme="minorHAnsi"/>
          <w:sz w:val="24"/>
          <w:szCs w:val="24"/>
          <w:lang w:val="en-GB" w:eastAsia="en-GB"/>
        </w:rPr>
        <w:t xml:space="preserve">. </w:t>
      </w:r>
    </w:p>
    <w:p w14:paraId="4E3B99B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Buchan, J., </w:t>
      </w:r>
      <w:proofErr w:type="spellStart"/>
      <w:r w:rsidRPr="00393773">
        <w:rPr>
          <w:rFonts w:eastAsia="Times New Roman" w:cstheme="minorHAnsi"/>
          <w:sz w:val="24"/>
          <w:szCs w:val="24"/>
          <w:lang w:val="en-GB" w:eastAsia="en-GB"/>
        </w:rPr>
        <w:t>Shembavnekar</w:t>
      </w:r>
      <w:proofErr w:type="spellEnd"/>
      <w:r w:rsidRPr="00393773">
        <w:rPr>
          <w:rFonts w:eastAsia="Times New Roman" w:cstheme="minorHAnsi"/>
          <w:sz w:val="24"/>
          <w:szCs w:val="24"/>
          <w:lang w:val="en-GB" w:eastAsia="en-GB"/>
        </w:rPr>
        <w:t xml:space="preserve">, N., </w:t>
      </w:r>
      <w:proofErr w:type="spellStart"/>
      <w:r w:rsidRPr="00393773">
        <w:rPr>
          <w:rFonts w:eastAsia="Times New Roman" w:cstheme="minorHAnsi"/>
          <w:sz w:val="24"/>
          <w:szCs w:val="24"/>
          <w:lang w:val="en-GB" w:eastAsia="en-GB"/>
        </w:rPr>
        <w:t>Gershlick</w:t>
      </w:r>
      <w:proofErr w:type="spellEnd"/>
      <w:r w:rsidRPr="00393773">
        <w:rPr>
          <w:rFonts w:eastAsia="Times New Roman" w:cstheme="minorHAnsi"/>
          <w:sz w:val="24"/>
          <w:szCs w:val="24"/>
          <w:lang w:val="en-GB" w:eastAsia="en-GB"/>
        </w:rPr>
        <w:t xml:space="preserve">, B. and Charlesworth, A., 2022. </w:t>
      </w:r>
      <w:r w:rsidRPr="00393773">
        <w:rPr>
          <w:rFonts w:eastAsia="Times New Roman" w:cstheme="minorHAnsi"/>
          <w:i/>
          <w:iCs/>
          <w:sz w:val="24"/>
          <w:szCs w:val="24"/>
          <w:lang w:val="en-GB" w:eastAsia="en-GB"/>
        </w:rPr>
        <w:t>The NHS workforce in numbers</w:t>
      </w:r>
      <w:r w:rsidRPr="00393773">
        <w:rPr>
          <w:rFonts w:eastAsia="Times New Roman" w:cstheme="minorHAnsi"/>
          <w:sz w:val="24"/>
          <w:szCs w:val="24"/>
          <w:lang w:val="en-GB" w:eastAsia="en-GB"/>
        </w:rPr>
        <w:t xml:space="preserve">. London: The Health Foundation. </w:t>
      </w:r>
    </w:p>
    <w:p w14:paraId="5F84511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Care Quality Commission (CQC), 2021. </w:t>
      </w:r>
      <w:r w:rsidRPr="00393773">
        <w:rPr>
          <w:rFonts w:eastAsia="Times New Roman" w:cstheme="minorHAnsi"/>
          <w:i/>
          <w:iCs/>
          <w:sz w:val="24"/>
          <w:szCs w:val="24"/>
          <w:lang w:val="en-GB" w:eastAsia="en-GB"/>
        </w:rPr>
        <w:t>The state of care in NHS and adult social care 2020/21</w:t>
      </w:r>
      <w:r w:rsidRPr="00393773">
        <w:rPr>
          <w:rFonts w:eastAsia="Times New Roman" w:cstheme="minorHAnsi"/>
          <w:sz w:val="24"/>
          <w:szCs w:val="24"/>
          <w:lang w:val="en-GB" w:eastAsia="en-GB"/>
        </w:rPr>
        <w:t xml:space="preserve">. </w:t>
      </w:r>
    </w:p>
    <w:p w14:paraId="72273910"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Care Quality Commission (CQC), 2022. </w:t>
      </w:r>
      <w:r w:rsidRPr="00393773">
        <w:rPr>
          <w:rFonts w:eastAsia="Times New Roman" w:cstheme="minorHAnsi"/>
          <w:i/>
          <w:iCs/>
          <w:sz w:val="24"/>
          <w:szCs w:val="24"/>
          <w:lang w:val="en-GB" w:eastAsia="en-GB"/>
        </w:rPr>
        <w:t>Workforce wellbeing and care quality: frontline experiences</w:t>
      </w:r>
      <w:r w:rsidRPr="00393773">
        <w:rPr>
          <w:rFonts w:eastAsia="Times New Roman" w:cstheme="minorHAnsi"/>
          <w:sz w:val="24"/>
          <w:szCs w:val="24"/>
          <w:lang w:val="en-GB" w:eastAsia="en-GB"/>
        </w:rPr>
        <w:t xml:space="preserve">. </w:t>
      </w:r>
    </w:p>
    <w:p w14:paraId="65C521FB"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Demerouti, E., Bakker, A.B., </w:t>
      </w:r>
      <w:proofErr w:type="spellStart"/>
      <w:r w:rsidRPr="00393773">
        <w:rPr>
          <w:rFonts w:eastAsia="Times New Roman" w:cstheme="minorHAnsi"/>
          <w:sz w:val="24"/>
          <w:szCs w:val="24"/>
          <w:lang w:val="en-GB" w:eastAsia="en-GB"/>
        </w:rPr>
        <w:t>Nachreiner</w:t>
      </w:r>
      <w:proofErr w:type="spellEnd"/>
      <w:r w:rsidRPr="00393773">
        <w:rPr>
          <w:rFonts w:eastAsia="Times New Roman" w:cstheme="minorHAnsi"/>
          <w:sz w:val="24"/>
          <w:szCs w:val="24"/>
          <w:lang w:val="en-GB" w:eastAsia="en-GB"/>
        </w:rPr>
        <w:t xml:space="preserve">, F. and Schaufeli, W.B., 2001. The job demands-resources model of burnout. </w:t>
      </w:r>
      <w:r w:rsidRPr="00393773">
        <w:rPr>
          <w:rFonts w:eastAsia="Times New Roman" w:cstheme="minorHAnsi"/>
          <w:i/>
          <w:iCs/>
          <w:sz w:val="24"/>
          <w:szCs w:val="24"/>
          <w:lang w:val="en-GB" w:eastAsia="en-GB"/>
        </w:rPr>
        <w:t>Journal of Applied Psychology</w:t>
      </w:r>
      <w:r w:rsidRPr="00393773">
        <w:rPr>
          <w:rFonts w:eastAsia="Times New Roman" w:cstheme="minorHAnsi"/>
          <w:sz w:val="24"/>
          <w:szCs w:val="24"/>
          <w:lang w:val="en-GB" w:eastAsia="en-GB"/>
        </w:rPr>
        <w:t xml:space="preserve">, 86(3), pp.499–512. </w:t>
      </w:r>
    </w:p>
    <w:p w14:paraId="56B58E19"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Edmondson, A.C., 1999. Psychological safety and learning </w:t>
      </w:r>
      <w:proofErr w:type="spellStart"/>
      <w:r w:rsidRPr="00393773">
        <w:rPr>
          <w:rFonts w:eastAsia="Times New Roman" w:cstheme="minorHAnsi"/>
          <w:sz w:val="24"/>
          <w:szCs w:val="24"/>
          <w:lang w:val="en-GB" w:eastAsia="en-GB"/>
        </w:rPr>
        <w:t>behavior</w:t>
      </w:r>
      <w:proofErr w:type="spellEnd"/>
      <w:r w:rsidRPr="00393773">
        <w:rPr>
          <w:rFonts w:eastAsia="Times New Roman" w:cstheme="minorHAnsi"/>
          <w:sz w:val="24"/>
          <w:szCs w:val="24"/>
          <w:lang w:val="en-GB" w:eastAsia="en-GB"/>
        </w:rPr>
        <w:t xml:space="preserve"> in work teams. </w:t>
      </w:r>
      <w:r w:rsidRPr="00393773">
        <w:rPr>
          <w:rFonts w:eastAsia="Times New Roman" w:cstheme="minorHAnsi"/>
          <w:i/>
          <w:iCs/>
          <w:sz w:val="24"/>
          <w:szCs w:val="24"/>
          <w:lang w:val="en-GB" w:eastAsia="en-GB"/>
        </w:rPr>
        <w:t>Administrative Science Quarterly</w:t>
      </w:r>
      <w:r w:rsidRPr="00393773">
        <w:rPr>
          <w:rFonts w:eastAsia="Times New Roman" w:cstheme="minorHAnsi"/>
          <w:sz w:val="24"/>
          <w:szCs w:val="24"/>
          <w:lang w:val="en-GB" w:eastAsia="en-GB"/>
        </w:rPr>
        <w:t xml:space="preserve">, 44(2), pp.350–383. </w:t>
      </w:r>
    </w:p>
    <w:p w14:paraId="0E192ED9"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Hall, L.H., Johnson, J., Watt, I., </w:t>
      </w:r>
      <w:proofErr w:type="spellStart"/>
      <w:r w:rsidRPr="00393773">
        <w:rPr>
          <w:rFonts w:eastAsia="Times New Roman" w:cstheme="minorHAnsi"/>
          <w:sz w:val="24"/>
          <w:szCs w:val="24"/>
          <w:lang w:val="en-GB" w:eastAsia="en-GB"/>
        </w:rPr>
        <w:t>Tsipa</w:t>
      </w:r>
      <w:proofErr w:type="spellEnd"/>
      <w:r w:rsidRPr="00393773">
        <w:rPr>
          <w:rFonts w:eastAsia="Times New Roman" w:cstheme="minorHAnsi"/>
          <w:sz w:val="24"/>
          <w:szCs w:val="24"/>
          <w:lang w:val="en-GB" w:eastAsia="en-GB"/>
        </w:rPr>
        <w:t xml:space="preserve">, A. and O'Connor, D.B., 2022. Healthcare staff wellbeing and burnout. </w:t>
      </w:r>
      <w:r w:rsidRPr="00393773">
        <w:rPr>
          <w:rFonts w:eastAsia="Times New Roman" w:cstheme="minorHAnsi"/>
          <w:i/>
          <w:iCs/>
          <w:sz w:val="24"/>
          <w:szCs w:val="24"/>
          <w:lang w:val="en-GB" w:eastAsia="en-GB"/>
        </w:rPr>
        <w:t>BMC Health Services Research</w:t>
      </w:r>
      <w:r w:rsidRPr="00393773">
        <w:rPr>
          <w:rFonts w:eastAsia="Times New Roman" w:cstheme="minorHAnsi"/>
          <w:sz w:val="24"/>
          <w:szCs w:val="24"/>
          <w:lang w:val="en-GB" w:eastAsia="en-GB"/>
        </w:rPr>
        <w:t xml:space="preserve">, 22(1), p.345. </w:t>
      </w:r>
    </w:p>
    <w:p w14:paraId="77270588"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Henderson, M., Willis, R. and Davies, A., 2022. Leadership styles and psychological wellbeing in UK healthcare. </w:t>
      </w:r>
      <w:r w:rsidRPr="00393773">
        <w:rPr>
          <w:rFonts w:eastAsia="Times New Roman" w:cstheme="minorHAnsi"/>
          <w:i/>
          <w:iCs/>
          <w:sz w:val="24"/>
          <w:szCs w:val="24"/>
          <w:lang w:val="en-GB" w:eastAsia="en-GB"/>
        </w:rPr>
        <w:t>BMJ Leader</w:t>
      </w:r>
      <w:r w:rsidRPr="00393773">
        <w:rPr>
          <w:rFonts w:eastAsia="Times New Roman" w:cstheme="minorHAnsi"/>
          <w:sz w:val="24"/>
          <w:szCs w:val="24"/>
          <w:lang w:val="en-GB" w:eastAsia="en-GB"/>
        </w:rPr>
        <w:t xml:space="preserve">, 6(2), pp.56–63. </w:t>
      </w:r>
    </w:p>
    <w:p w14:paraId="2F0C3648"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Jennings, B.M., Boyle, D.K., Lindell, D.F. and Everett, L.Q., 2022. Autonomy and job satisfaction in nursing. </w:t>
      </w:r>
      <w:r w:rsidRPr="00393773">
        <w:rPr>
          <w:rFonts w:eastAsia="Times New Roman" w:cstheme="minorHAnsi"/>
          <w:i/>
          <w:iCs/>
          <w:sz w:val="24"/>
          <w:szCs w:val="24"/>
          <w:lang w:val="en-GB" w:eastAsia="en-GB"/>
        </w:rPr>
        <w:t>Journal of Advanced Nursing</w:t>
      </w:r>
      <w:r w:rsidRPr="00393773">
        <w:rPr>
          <w:rFonts w:eastAsia="Times New Roman" w:cstheme="minorHAnsi"/>
          <w:sz w:val="24"/>
          <w:szCs w:val="24"/>
          <w:lang w:val="en-GB" w:eastAsia="en-GB"/>
        </w:rPr>
        <w:t xml:space="preserve">, 78(5), pp.1299–1311. </w:t>
      </w:r>
    </w:p>
    <w:p w14:paraId="028B360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Kinman</w:t>
      </w:r>
      <w:proofErr w:type="spellEnd"/>
      <w:r w:rsidRPr="00393773">
        <w:rPr>
          <w:rFonts w:eastAsia="Times New Roman" w:cstheme="minorHAnsi"/>
          <w:sz w:val="24"/>
          <w:szCs w:val="24"/>
          <w:lang w:val="en-GB" w:eastAsia="en-GB"/>
        </w:rPr>
        <w:t xml:space="preserve">, G. and Teoh, K., 2021. </w:t>
      </w:r>
      <w:r w:rsidRPr="00393773">
        <w:rPr>
          <w:rFonts w:eastAsia="Times New Roman" w:cstheme="minorHAnsi"/>
          <w:i/>
          <w:iCs/>
          <w:sz w:val="24"/>
          <w:szCs w:val="24"/>
          <w:lang w:val="en-GB" w:eastAsia="en-GB"/>
        </w:rPr>
        <w:t>What could make a difference to the mental health of UK doctors?</w:t>
      </w:r>
      <w:r w:rsidRPr="00393773">
        <w:rPr>
          <w:rFonts w:eastAsia="Times New Roman" w:cstheme="minorHAnsi"/>
          <w:sz w:val="24"/>
          <w:szCs w:val="24"/>
          <w:lang w:val="en-GB" w:eastAsia="en-GB"/>
        </w:rPr>
        <w:t xml:space="preserve"> London: SOM. </w:t>
      </w:r>
    </w:p>
    <w:p w14:paraId="31A3BA00"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Laschinger</w:t>
      </w:r>
      <w:proofErr w:type="spellEnd"/>
      <w:r w:rsidRPr="00393773">
        <w:rPr>
          <w:rFonts w:eastAsia="Times New Roman" w:cstheme="minorHAnsi"/>
          <w:sz w:val="24"/>
          <w:szCs w:val="24"/>
          <w:lang w:val="en-GB" w:eastAsia="en-GB"/>
        </w:rPr>
        <w:t xml:space="preserve">, H.K.S., Wong, C.A. and Grau, A.L., 2021. Authentic leadership and burnout. </w:t>
      </w:r>
      <w:r w:rsidRPr="00393773">
        <w:rPr>
          <w:rFonts w:eastAsia="Times New Roman" w:cstheme="minorHAnsi"/>
          <w:i/>
          <w:iCs/>
          <w:sz w:val="24"/>
          <w:szCs w:val="24"/>
          <w:lang w:val="en-GB" w:eastAsia="en-GB"/>
        </w:rPr>
        <w:t>Journal of Nursing Management</w:t>
      </w:r>
      <w:r w:rsidRPr="00393773">
        <w:rPr>
          <w:rFonts w:eastAsia="Times New Roman" w:cstheme="minorHAnsi"/>
          <w:sz w:val="24"/>
          <w:szCs w:val="24"/>
          <w:lang w:val="en-GB" w:eastAsia="en-GB"/>
        </w:rPr>
        <w:t xml:space="preserve">, 29(6), pp.1195–1204. </w:t>
      </w:r>
    </w:p>
    <w:p w14:paraId="71237295"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Mannion, R. and Davies, H.T.O., 2018. Understanding organisational culture. </w:t>
      </w:r>
      <w:r w:rsidRPr="00393773">
        <w:rPr>
          <w:rFonts w:eastAsia="Times New Roman" w:cstheme="minorHAnsi"/>
          <w:i/>
          <w:iCs/>
          <w:sz w:val="24"/>
          <w:szCs w:val="24"/>
          <w:lang w:val="en-GB" w:eastAsia="en-GB"/>
        </w:rPr>
        <w:t>BMJ</w:t>
      </w:r>
      <w:r w:rsidRPr="00393773">
        <w:rPr>
          <w:rFonts w:eastAsia="Times New Roman" w:cstheme="minorHAnsi"/>
          <w:sz w:val="24"/>
          <w:szCs w:val="24"/>
          <w:lang w:val="en-GB" w:eastAsia="en-GB"/>
        </w:rPr>
        <w:t xml:space="preserve">, 363, k4907. </w:t>
      </w:r>
    </w:p>
    <w:p w14:paraId="77EFB42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Maslach, C. and Jackson, S.E., 1981. The measurement of experienced burnout. </w:t>
      </w:r>
      <w:r w:rsidRPr="00393773">
        <w:rPr>
          <w:rFonts w:eastAsia="Times New Roman" w:cstheme="minorHAnsi"/>
          <w:i/>
          <w:iCs/>
          <w:sz w:val="24"/>
          <w:szCs w:val="24"/>
          <w:lang w:val="en-GB" w:eastAsia="en-GB"/>
        </w:rPr>
        <w:t>Journal of Occupational Behaviour</w:t>
      </w:r>
      <w:r w:rsidRPr="00393773">
        <w:rPr>
          <w:rFonts w:eastAsia="Times New Roman" w:cstheme="minorHAnsi"/>
          <w:sz w:val="24"/>
          <w:szCs w:val="24"/>
          <w:lang w:val="en-GB" w:eastAsia="en-GB"/>
        </w:rPr>
        <w:t xml:space="preserve">, 2(2), pp.99–113. </w:t>
      </w:r>
    </w:p>
    <w:p w14:paraId="41DEA637"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Maslach, C., Schaufeli, W.B. and Leiter, M.P., 2001. Job burnout. </w:t>
      </w:r>
      <w:r w:rsidRPr="00393773">
        <w:rPr>
          <w:rFonts w:eastAsia="Times New Roman" w:cstheme="minorHAnsi"/>
          <w:i/>
          <w:iCs/>
          <w:sz w:val="24"/>
          <w:szCs w:val="24"/>
          <w:lang w:val="en-GB" w:eastAsia="en-GB"/>
        </w:rPr>
        <w:t>Annual Review of Psychology</w:t>
      </w:r>
      <w:r w:rsidRPr="00393773">
        <w:rPr>
          <w:rFonts w:eastAsia="Times New Roman" w:cstheme="minorHAnsi"/>
          <w:sz w:val="24"/>
          <w:szCs w:val="24"/>
          <w:lang w:val="en-GB" w:eastAsia="en-GB"/>
        </w:rPr>
        <w:t xml:space="preserve">, 52(1), pp.397–422. </w:t>
      </w:r>
    </w:p>
    <w:p w14:paraId="159B5D6E"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Montgomery, A., </w:t>
      </w:r>
      <w:proofErr w:type="spellStart"/>
      <w:r w:rsidRPr="00393773">
        <w:rPr>
          <w:rFonts w:eastAsia="Times New Roman" w:cstheme="minorHAnsi"/>
          <w:sz w:val="24"/>
          <w:szCs w:val="24"/>
          <w:lang w:val="en-GB" w:eastAsia="en-GB"/>
        </w:rPr>
        <w:t>Panagopoulou</w:t>
      </w:r>
      <w:proofErr w:type="spellEnd"/>
      <w:r w:rsidRPr="00393773">
        <w:rPr>
          <w:rFonts w:eastAsia="Times New Roman" w:cstheme="minorHAnsi"/>
          <w:sz w:val="24"/>
          <w:szCs w:val="24"/>
          <w:lang w:val="en-GB" w:eastAsia="en-GB"/>
        </w:rPr>
        <w:t xml:space="preserve">, E. and Esmail, A., 2021. Burnout in healthcare. </w:t>
      </w:r>
      <w:r w:rsidRPr="00393773">
        <w:rPr>
          <w:rFonts w:eastAsia="Times New Roman" w:cstheme="minorHAnsi"/>
          <w:i/>
          <w:iCs/>
          <w:sz w:val="24"/>
          <w:szCs w:val="24"/>
          <w:lang w:val="en-GB" w:eastAsia="en-GB"/>
        </w:rPr>
        <w:t>BMJ</w:t>
      </w:r>
      <w:r w:rsidRPr="00393773">
        <w:rPr>
          <w:rFonts w:eastAsia="Times New Roman" w:cstheme="minorHAnsi"/>
          <w:sz w:val="24"/>
          <w:szCs w:val="24"/>
          <w:lang w:val="en-GB" w:eastAsia="en-GB"/>
        </w:rPr>
        <w:t xml:space="preserve">, 375, n2343. </w:t>
      </w:r>
    </w:p>
    <w:p w14:paraId="045C097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Morrison, E., Henderson, M. and West, M.A., 2021. Psychological safety and team effectiveness. </w:t>
      </w:r>
      <w:r w:rsidRPr="00393773">
        <w:rPr>
          <w:rFonts w:eastAsia="Times New Roman" w:cstheme="minorHAnsi"/>
          <w:i/>
          <w:iCs/>
          <w:sz w:val="24"/>
          <w:szCs w:val="24"/>
          <w:lang w:val="en-GB" w:eastAsia="en-GB"/>
        </w:rPr>
        <w:t>Journal of Health Organization and Management</w:t>
      </w:r>
      <w:r w:rsidRPr="00393773">
        <w:rPr>
          <w:rFonts w:eastAsia="Times New Roman" w:cstheme="minorHAnsi"/>
          <w:sz w:val="24"/>
          <w:szCs w:val="24"/>
          <w:lang w:val="en-GB" w:eastAsia="en-GB"/>
        </w:rPr>
        <w:t xml:space="preserve">, 35(8), pp.923–938. </w:t>
      </w:r>
    </w:p>
    <w:p w14:paraId="59E33500"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Munn, Z., Peters, M.D.J., Stern, C., </w:t>
      </w:r>
      <w:proofErr w:type="spellStart"/>
      <w:r w:rsidRPr="00393773">
        <w:rPr>
          <w:rFonts w:eastAsia="Times New Roman" w:cstheme="minorHAnsi"/>
          <w:sz w:val="24"/>
          <w:szCs w:val="24"/>
          <w:lang w:val="en-GB" w:eastAsia="en-GB"/>
        </w:rPr>
        <w:t>Tufanaru</w:t>
      </w:r>
      <w:proofErr w:type="spellEnd"/>
      <w:r w:rsidRPr="00393773">
        <w:rPr>
          <w:rFonts w:eastAsia="Times New Roman" w:cstheme="minorHAnsi"/>
          <w:sz w:val="24"/>
          <w:szCs w:val="24"/>
          <w:lang w:val="en-GB" w:eastAsia="en-GB"/>
        </w:rPr>
        <w:t xml:space="preserve">, C., McArthur, A. and </w:t>
      </w:r>
      <w:proofErr w:type="spellStart"/>
      <w:r w:rsidRPr="00393773">
        <w:rPr>
          <w:rFonts w:eastAsia="Times New Roman" w:cstheme="minorHAnsi"/>
          <w:sz w:val="24"/>
          <w:szCs w:val="24"/>
          <w:lang w:val="en-GB" w:eastAsia="en-GB"/>
        </w:rPr>
        <w:t>Aromataris</w:t>
      </w:r>
      <w:proofErr w:type="spellEnd"/>
      <w:r w:rsidRPr="00393773">
        <w:rPr>
          <w:rFonts w:eastAsia="Times New Roman" w:cstheme="minorHAnsi"/>
          <w:sz w:val="24"/>
          <w:szCs w:val="24"/>
          <w:lang w:val="en-GB" w:eastAsia="en-GB"/>
        </w:rPr>
        <w:t xml:space="preserve">, E., 2018. Scoping reviews guidance. </w:t>
      </w:r>
      <w:r w:rsidRPr="00393773">
        <w:rPr>
          <w:rFonts w:eastAsia="Times New Roman" w:cstheme="minorHAnsi"/>
          <w:i/>
          <w:iCs/>
          <w:sz w:val="24"/>
          <w:szCs w:val="24"/>
          <w:lang w:val="en-GB" w:eastAsia="en-GB"/>
        </w:rPr>
        <w:t>BMC Medical Research Methodology</w:t>
      </w:r>
      <w:r w:rsidRPr="00393773">
        <w:rPr>
          <w:rFonts w:eastAsia="Times New Roman" w:cstheme="minorHAnsi"/>
          <w:sz w:val="24"/>
          <w:szCs w:val="24"/>
          <w:lang w:val="en-GB" w:eastAsia="en-GB"/>
        </w:rPr>
        <w:t xml:space="preserve">, 18(1), p.143. </w:t>
      </w:r>
    </w:p>
    <w:p w14:paraId="7C7531FD"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National Academy of Medicine (NAM), 2022. </w:t>
      </w:r>
      <w:r w:rsidRPr="00393773">
        <w:rPr>
          <w:rFonts w:eastAsia="Times New Roman" w:cstheme="minorHAnsi"/>
          <w:i/>
          <w:iCs/>
          <w:sz w:val="24"/>
          <w:szCs w:val="24"/>
          <w:lang w:val="en-GB" w:eastAsia="en-GB"/>
        </w:rPr>
        <w:t>Taking action against clinician burnout</w:t>
      </w:r>
      <w:r w:rsidRPr="00393773">
        <w:rPr>
          <w:rFonts w:eastAsia="Times New Roman" w:cstheme="minorHAnsi"/>
          <w:sz w:val="24"/>
          <w:szCs w:val="24"/>
          <w:lang w:val="en-GB" w:eastAsia="en-GB"/>
        </w:rPr>
        <w:t xml:space="preserve">. </w:t>
      </w:r>
    </w:p>
    <w:p w14:paraId="370BB3D1"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NHS Confederation, 2023. </w:t>
      </w:r>
      <w:r w:rsidRPr="00393773">
        <w:rPr>
          <w:rFonts w:eastAsia="Times New Roman" w:cstheme="minorHAnsi"/>
          <w:i/>
          <w:iCs/>
          <w:sz w:val="24"/>
          <w:szCs w:val="24"/>
          <w:lang w:val="en-GB" w:eastAsia="en-GB"/>
        </w:rPr>
        <w:t>Embedding wellbeing: Workforce priorities</w:t>
      </w:r>
      <w:r w:rsidRPr="00393773">
        <w:rPr>
          <w:rFonts w:eastAsia="Times New Roman" w:cstheme="minorHAnsi"/>
          <w:sz w:val="24"/>
          <w:szCs w:val="24"/>
          <w:lang w:val="en-GB" w:eastAsia="en-GB"/>
        </w:rPr>
        <w:t xml:space="preserve">. </w:t>
      </w:r>
    </w:p>
    <w:p w14:paraId="56FE2AF9"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NHS Digital, 2023. </w:t>
      </w:r>
      <w:r w:rsidRPr="00393773">
        <w:rPr>
          <w:rFonts w:eastAsia="Times New Roman" w:cstheme="minorHAnsi"/>
          <w:i/>
          <w:iCs/>
          <w:sz w:val="24"/>
          <w:szCs w:val="24"/>
          <w:lang w:val="en-GB" w:eastAsia="en-GB"/>
        </w:rPr>
        <w:t>NHS workforce statistics</w:t>
      </w:r>
      <w:r w:rsidRPr="00393773">
        <w:rPr>
          <w:rFonts w:eastAsia="Times New Roman" w:cstheme="minorHAnsi"/>
          <w:sz w:val="24"/>
          <w:szCs w:val="24"/>
          <w:lang w:val="en-GB" w:eastAsia="en-GB"/>
        </w:rPr>
        <w:t xml:space="preserve">. </w:t>
      </w:r>
    </w:p>
    <w:p w14:paraId="6FC36852"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NHS England, 2020. </w:t>
      </w:r>
      <w:r w:rsidRPr="00393773">
        <w:rPr>
          <w:rFonts w:eastAsia="Times New Roman" w:cstheme="minorHAnsi"/>
          <w:i/>
          <w:iCs/>
          <w:sz w:val="24"/>
          <w:szCs w:val="24"/>
          <w:lang w:val="en-GB" w:eastAsia="en-GB"/>
        </w:rPr>
        <w:t>We are the NHS: People Plan 2020/21</w:t>
      </w:r>
      <w:r w:rsidRPr="00393773">
        <w:rPr>
          <w:rFonts w:eastAsia="Times New Roman" w:cstheme="minorHAnsi"/>
          <w:sz w:val="24"/>
          <w:szCs w:val="24"/>
          <w:lang w:val="en-GB" w:eastAsia="en-GB"/>
        </w:rPr>
        <w:t xml:space="preserve">. </w:t>
      </w:r>
    </w:p>
    <w:p w14:paraId="3686182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NHS England, 2023. </w:t>
      </w:r>
      <w:r w:rsidRPr="00393773">
        <w:rPr>
          <w:rFonts w:eastAsia="Times New Roman" w:cstheme="minorHAnsi"/>
          <w:i/>
          <w:iCs/>
          <w:sz w:val="24"/>
          <w:szCs w:val="24"/>
          <w:lang w:val="en-GB" w:eastAsia="en-GB"/>
        </w:rPr>
        <w:t>Interim NHS Long Term Workforce Plan</w:t>
      </w:r>
      <w:r w:rsidRPr="00393773">
        <w:rPr>
          <w:rFonts w:eastAsia="Times New Roman" w:cstheme="minorHAnsi"/>
          <w:sz w:val="24"/>
          <w:szCs w:val="24"/>
          <w:lang w:val="en-GB" w:eastAsia="en-GB"/>
        </w:rPr>
        <w:t xml:space="preserve">. </w:t>
      </w:r>
    </w:p>
    <w:p w14:paraId="5158C46A"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NHS Improvement, 2021. </w:t>
      </w:r>
      <w:r w:rsidRPr="00393773">
        <w:rPr>
          <w:rFonts w:eastAsia="Times New Roman" w:cstheme="minorHAnsi"/>
          <w:i/>
          <w:iCs/>
          <w:sz w:val="24"/>
          <w:szCs w:val="24"/>
          <w:lang w:val="en-GB" w:eastAsia="en-GB"/>
        </w:rPr>
        <w:t>NHS Workforce Wellbeing Framework</w:t>
      </w:r>
      <w:r w:rsidRPr="00393773">
        <w:rPr>
          <w:rFonts w:eastAsia="Times New Roman" w:cstheme="minorHAnsi"/>
          <w:sz w:val="24"/>
          <w:szCs w:val="24"/>
          <w:lang w:val="en-GB" w:eastAsia="en-GB"/>
        </w:rPr>
        <w:t xml:space="preserve">. </w:t>
      </w:r>
    </w:p>
    <w:p w14:paraId="5573FE35"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Peters, M.D.J. et al., 2020. Updated methodological guidance for scoping reviews. </w:t>
      </w:r>
      <w:r w:rsidRPr="00393773">
        <w:rPr>
          <w:rFonts w:eastAsia="Times New Roman" w:cstheme="minorHAnsi"/>
          <w:i/>
          <w:iCs/>
          <w:sz w:val="24"/>
          <w:szCs w:val="24"/>
          <w:lang w:val="en-GB" w:eastAsia="en-GB"/>
        </w:rPr>
        <w:t>JBI Evidence Synthesis</w:t>
      </w:r>
      <w:r w:rsidRPr="00393773">
        <w:rPr>
          <w:rFonts w:eastAsia="Times New Roman" w:cstheme="minorHAnsi"/>
          <w:sz w:val="24"/>
          <w:szCs w:val="24"/>
          <w:lang w:val="en-GB" w:eastAsia="en-GB"/>
        </w:rPr>
        <w:t xml:space="preserve">, 18(10), pp.2119–2126. </w:t>
      </w:r>
    </w:p>
    <w:p w14:paraId="5DEC2014"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Shanafelt</w:t>
      </w:r>
      <w:proofErr w:type="spellEnd"/>
      <w:r w:rsidRPr="00393773">
        <w:rPr>
          <w:rFonts w:eastAsia="Times New Roman" w:cstheme="minorHAnsi"/>
          <w:sz w:val="24"/>
          <w:szCs w:val="24"/>
          <w:lang w:val="en-GB" w:eastAsia="en-GB"/>
        </w:rPr>
        <w:t xml:space="preserve">, T.D., </w:t>
      </w:r>
      <w:proofErr w:type="spellStart"/>
      <w:r w:rsidRPr="00393773">
        <w:rPr>
          <w:rFonts w:eastAsia="Times New Roman" w:cstheme="minorHAnsi"/>
          <w:sz w:val="24"/>
          <w:szCs w:val="24"/>
          <w:lang w:val="en-GB" w:eastAsia="en-GB"/>
        </w:rPr>
        <w:t>Goh</w:t>
      </w:r>
      <w:proofErr w:type="spellEnd"/>
      <w:r w:rsidRPr="00393773">
        <w:rPr>
          <w:rFonts w:eastAsia="Times New Roman" w:cstheme="minorHAnsi"/>
          <w:sz w:val="24"/>
          <w:szCs w:val="24"/>
          <w:lang w:val="en-GB" w:eastAsia="en-GB"/>
        </w:rPr>
        <w:t xml:space="preserve">, J. and </w:t>
      </w:r>
      <w:proofErr w:type="spellStart"/>
      <w:r w:rsidRPr="00393773">
        <w:rPr>
          <w:rFonts w:eastAsia="Times New Roman" w:cstheme="minorHAnsi"/>
          <w:sz w:val="24"/>
          <w:szCs w:val="24"/>
          <w:lang w:val="en-GB" w:eastAsia="en-GB"/>
        </w:rPr>
        <w:t>Sinsky</w:t>
      </w:r>
      <w:proofErr w:type="spellEnd"/>
      <w:r w:rsidRPr="00393773">
        <w:rPr>
          <w:rFonts w:eastAsia="Times New Roman" w:cstheme="minorHAnsi"/>
          <w:sz w:val="24"/>
          <w:szCs w:val="24"/>
          <w:lang w:val="en-GB" w:eastAsia="en-GB"/>
        </w:rPr>
        <w:t xml:space="preserve">, C., 2021. Investing in physician wellbeing. </w:t>
      </w:r>
      <w:r w:rsidRPr="00393773">
        <w:rPr>
          <w:rFonts w:eastAsia="Times New Roman" w:cstheme="minorHAnsi"/>
          <w:i/>
          <w:iCs/>
          <w:sz w:val="24"/>
          <w:szCs w:val="24"/>
          <w:lang w:val="en-GB" w:eastAsia="en-GB"/>
        </w:rPr>
        <w:t>JAMA Internal Medicine</w:t>
      </w:r>
      <w:r w:rsidRPr="00393773">
        <w:rPr>
          <w:rFonts w:eastAsia="Times New Roman" w:cstheme="minorHAnsi"/>
          <w:sz w:val="24"/>
          <w:szCs w:val="24"/>
          <w:lang w:val="en-GB" w:eastAsia="en-GB"/>
        </w:rPr>
        <w:t xml:space="preserve">, 181(6), pp.902–910. </w:t>
      </w:r>
    </w:p>
    <w:p w14:paraId="46977D86"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Shuck, B., </w:t>
      </w:r>
      <w:proofErr w:type="spellStart"/>
      <w:r w:rsidRPr="00393773">
        <w:rPr>
          <w:rFonts w:eastAsia="Times New Roman" w:cstheme="minorHAnsi"/>
          <w:sz w:val="24"/>
          <w:szCs w:val="24"/>
          <w:lang w:val="en-GB" w:eastAsia="en-GB"/>
        </w:rPr>
        <w:t>Zigarmi</w:t>
      </w:r>
      <w:proofErr w:type="spellEnd"/>
      <w:r w:rsidRPr="00393773">
        <w:rPr>
          <w:rFonts w:eastAsia="Times New Roman" w:cstheme="minorHAnsi"/>
          <w:sz w:val="24"/>
          <w:szCs w:val="24"/>
          <w:lang w:val="en-GB" w:eastAsia="en-GB"/>
        </w:rPr>
        <w:t xml:space="preserve">, D. and Owen, J.E., 2022. Employee engagement and Maslow’s theory. </w:t>
      </w:r>
      <w:r w:rsidRPr="00393773">
        <w:rPr>
          <w:rFonts w:eastAsia="Times New Roman" w:cstheme="minorHAnsi"/>
          <w:i/>
          <w:iCs/>
          <w:sz w:val="24"/>
          <w:szCs w:val="24"/>
          <w:lang w:val="en-GB" w:eastAsia="en-GB"/>
        </w:rPr>
        <w:t>Journal of Leadership Studies</w:t>
      </w:r>
      <w:r w:rsidRPr="00393773">
        <w:rPr>
          <w:rFonts w:eastAsia="Times New Roman" w:cstheme="minorHAnsi"/>
          <w:sz w:val="24"/>
          <w:szCs w:val="24"/>
          <w:lang w:val="en-GB" w:eastAsia="en-GB"/>
        </w:rPr>
        <w:t xml:space="preserve">, 16(2), pp.54–63. </w:t>
      </w:r>
    </w:p>
    <w:p w14:paraId="3CB76ADA"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The King’s Fund, 2023. </w:t>
      </w:r>
      <w:r w:rsidRPr="00393773">
        <w:rPr>
          <w:rFonts w:eastAsia="Times New Roman" w:cstheme="minorHAnsi"/>
          <w:i/>
          <w:iCs/>
          <w:sz w:val="24"/>
          <w:szCs w:val="24"/>
          <w:lang w:val="en-GB" w:eastAsia="en-GB"/>
        </w:rPr>
        <w:t>Staff experience and wellbeing in the NHS</w:t>
      </w:r>
      <w:r w:rsidRPr="00393773">
        <w:rPr>
          <w:rFonts w:eastAsia="Times New Roman" w:cstheme="minorHAnsi"/>
          <w:sz w:val="24"/>
          <w:szCs w:val="24"/>
          <w:lang w:val="en-GB" w:eastAsia="en-GB"/>
        </w:rPr>
        <w:t xml:space="preserve">. </w:t>
      </w:r>
    </w:p>
    <w:p w14:paraId="638AF99F"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Tricco</w:t>
      </w:r>
      <w:proofErr w:type="spellEnd"/>
      <w:r w:rsidRPr="00393773">
        <w:rPr>
          <w:rFonts w:eastAsia="Times New Roman" w:cstheme="minorHAnsi"/>
          <w:sz w:val="24"/>
          <w:szCs w:val="24"/>
          <w:lang w:val="en-GB" w:eastAsia="en-GB"/>
        </w:rPr>
        <w:t xml:space="preserve">, A.C. et al., 2018. PRISMA-ScR checklist. </w:t>
      </w:r>
      <w:r w:rsidRPr="00393773">
        <w:rPr>
          <w:rFonts w:eastAsia="Times New Roman" w:cstheme="minorHAnsi"/>
          <w:i/>
          <w:iCs/>
          <w:sz w:val="24"/>
          <w:szCs w:val="24"/>
          <w:lang w:val="en-GB" w:eastAsia="en-GB"/>
        </w:rPr>
        <w:t>Annals of Internal Medicine</w:t>
      </w:r>
      <w:r w:rsidRPr="00393773">
        <w:rPr>
          <w:rFonts w:eastAsia="Times New Roman" w:cstheme="minorHAnsi"/>
          <w:sz w:val="24"/>
          <w:szCs w:val="24"/>
          <w:lang w:val="en-GB" w:eastAsia="en-GB"/>
        </w:rPr>
        <w:t xml:space="preserve">, 169(7), pp.467–473. </w:t>
      </w:r>
    </w:p>
    <w:p w14:paraId="65972D17"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West, M.A., Dawson, J.F. and Kaur, M., 2020. </w:t>
      </w:r>
      <w:r w:rsidRPr="00393773">
        <w:rPr>
          <w:rFonts w:eastAsia="Times New Roman" w:cstheme="minorHAnsi"/>
          <w:i/>
          <w:iCs/>
          <w:sz w:val="24"/>
          <w:szCs w:val="24"/>
          <w:lang w:val="en-GB" w:eastAsia="en-GB"/>
        </w:rPr>
        <w:t>Making the case for staff wellbeing</w:t>
      </w:r>
      <w:r w:rsidRPr="00393773">
        <w:rPr>
          <w:rFonts w:eastAsia="Times New Roman" w:cstheme="minorHAnsi"/>
          <w:sz w:val="24"/>
          <w:szCs w:val="24"/>
          <w:lang w:val="en-GB" w:eastAsia="en-GB"/>
        </w:rPr>
        <w:t xml:space="preserve">. London: King’s Fund. </w:t>
      </w:r>
    </w:p>
    <w:p w14:paraId="73A9AD82"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Zimmerman, M.A., 2000. Empowerment theory. In: </w:t>
      </w:r>
      <w:r w:rsidRPr="00393773">
        <w:rPr>
          <w:rFonts w:eastAsia="Times New Roman" w:cstheme="minorHAnsi"/>
          <w:i/>
          <w:iCs/>
          <w:sz w:val="24"/>
          <w:szCs w:val="24"/>
          <w:lang w:val="en-GB" w:eastAsia="en-GB"/>
        </w:rPr>
        <w:t>Handbook of Community Psychology</w:t>
      </w:r>
      <w:r w:rsidRPr="00393773">
        <w:rPr>
          <w:rFonts w:eastAsia="Times New Roman" w:cstheme="minorHAnsi"/>
          <w:sz w:val="24"/>
          <w:szCs w:val="24"/>
          <w:lang w:val="en-GB" w:eastAsia="en-GB"/>
        </w:rPr>
        <w:t xml:space="preserve">. </w:t>
      </w:r>
    </w:p>
    <w:p w14:paraId="4F72527B"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Aiken, L.H. et al., 2012. Nurse staffing and patient outcomes. </w:t>
      </w:r>
      <w:r w:rsidRPr="00393773">
        <w:rPr>
          <w:rFonts w:eastAsia="Times New Roman" w:cstheme="minorHAnsi"/>
          <w:i/>
          <w:iCs/>
          <w:sz w:val="24"/>
          <w:szCs w:val="24"/>
          <w:lang w:val="en-GB" w:eastAsia="en-GB"/>
        </w:rPr>
        <w:t>The Lancet</w:t>
      </w:r>
      <w:r w:rsidRPr="00393773">
        <w:rPr>
          <w:rFonts w:eastAsia="Times New Roman" w:cstheme="minorHAnsi"/>
          <w:sz w:val="24"/>
          <w:szCs w:val="24"/>
          <w:lang w:val="en-GB" w:eastAsia="en-GB"/>
        </w:rPr>
        <w:t xml:space="preserve">, 380(9840), pp.1824–1830. </w:t>
      </w:r>
    </w:p>
    <w:p w14:paraId="6FD31511"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Alenezi</w:t>
      </w:r>
      <w:proofErr w:type="spellEnd"/>
      <w:r w:rsidRPr="00393773">
        <w:rPr>
          <w:rFonts w:eastAsia="Times New Roman" w:cstheme="minorHAnsi"/>
          <w:sz w:val="24"/>
          <w:szCs w:val="24"/>
          <w:lang w:val="en-GB" w:eastAsia="en-GB"/>
        </w:rPr>
        <w:t xml:space="preserve">, A. et al., 2023. Workplace stress in healthcare. </w:t>
      </w:r>
      <w:r w:rsidRPr="00393773">
        <w:rPr>
          <w:rFonts w:eastAsia="Times New Roman" w:cstheme="minorHAnsi"/>
          <w:i/>
          <w:iCs/>
          <w:sz w:val="24"/>
          <w:szCs w:val="24"/>
          <w:lang w:val="en-GB" w:eastAsia="en-GB"/>
        </w:rPr>
        <w:t>Healthcare</w:t>
      </w:r>
      <w:r w:rsidRPr="00393773">
        <w:rPr>
          <w:rFonts w:eastAsia="Times New Roman" w:cstheme="minorHAnsi"/>
          <w:sz w:val="24"/>
          <w:szCs w:val="24"/>
          <w:lang w:val="en-GB" w:eastAsia="en-GB"/>
        </w:rPr>
        <w:t xml:space="preserve">, 11(2), p.210. </w:t>
      </w:r>
    </w:p>
    <w:p w14:paraId="0FDC2BF5"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Bailey, C. et al., 2015. Engagement in healthcare. </w:t>
      </w:r>
      <w:r w:rsidRPr="00393773">
        <w:rPr>
          <w:rFonts w:eastAsia="Times New Roman" w:cstheme="minorHAnsi"/>
          <w:i/>
          <w:iCs/>
          <w:sz w:val="24"/>
          <w:szCs w:val="24"/>
          <w:lang w:val="en-GB" w:eastAsia="en-GB"/>
        </w:rPr>
        <w:t>Journal of Health Organization and Management</w:t>
      </w:r>
      <w:r w:rsidRPr="00393773">
        <w:rPr>
          <w:rFonts w:eastAsia="Times New Roman" w:cstheme="minorHAnsi"/>
          <w:sz w:val="24"/>
          <w:szCs w:val="24"/>
          <w:lang w:val="en-GB" w:eastAsia="en-GB"/>
        </w:rPr>
        <w:t xml:space="preserve">, 29(6), pp.708–725. </w:t>
      </w:r>
    </w:p>
    <w:p w14:paraId="0C8F165F"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Braithwaite, J. et al., 2017. Complexity in healthcare systems. </w:t>
      </w:r>
      <w:r w:rsidRPr="00393773">
        <w:rPr>
          <w:rFonts w:eastAsia="Times New Roman" w:cstheme="minorHAnsi"/>
          <w:i/>
          <w:iCs/>
          <w:sz w:val="24"/>
          <w:szCs w:val="24"/>
          <w:lang w:val="en-GB" w:eastAsia="en-GB"/>
        </w:rPr>
        <w:t>BMJ</w:t>
      </w:r>
      <w:r w:rsidRPr="00393773">
        <w:rPr>
          <w:rFonts w:eastAsia="Times New Roman" w:cstheme="minorHAnsi"/>
          <w:sz w:val="24"/>
          <w:szCs w:val="24"/>
          <w:lang w:val="en-GB" w:eastAsia="en-GB"/>
        </w:rPr>
        <w:t xml:space="preserve">, 359, j3913. </w:t>
      </w:r>
    </w:p>
    <w:p w14:paraId="6859EF1C"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Brooks, S.K. et al., 2020. Psychological impact of pandemics on healthcare workers. </w:t>
      </w:r>
      <w:r w:rsidRPr="00393773">
        <w:rPr>
          <w:rFonts w:eastAsia="Times New Roman" w:cstheme="minorHAnsi"/>
          <w:i/>
          <w:iCs/>
          <w:sz w:val="24"/>
          <w:szCs w:val="24"/>
          <w:lang w:val="en-GB" w:eastAsia="en-GB"/>
        </w:rPr>
        <w:t>The Lancet Psychiatry</w:t>
      </w:r>
      <w:r w:rsidRPr="00393773">
        <w:rPr>
          <w:rFonts w:eastAsia="Times New Roman" w:cstheme="minorHAnsi"/>
          <w:sz w:val="24"/>
          <w:szCs w:val="24"/>
          <w:lang w:val="en-GB" w:eastAsia="en-GB"/>
        </w:rPr>
        <w:t xml:space="preserve">, 7(3), pp.237–238. </w:t>
      </w:r>
    </w:p>
    <w:p w14:paraId="5D36F2A4"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Cox, T., Griffiths, A. and Rial-González, E., 2000. </w:t>
      </w:r>
      <w:r w:rsidRPr="00393773">
        <w:rPr>
          <w:rFonts w:eastAsia="Times New Roman" w:cstheme="minorHAnsi"/>
          <w:i/>
          <w:iCs/>
          <w:sz w:val="24"/>
          <w:szCs w:val="24"/>
          <w:lang w:val="en-GB" w:eastAsia="en-GB"/>
        </w:rPr>
        <w:t>Research on work-related stress</w:t>
      </w:r>
      <w:r w:rsidRPr="00393773">
        <w:rPr>
          <w:rFonts w:eastAsia="Times New Roman" w:cstheme="minorHAnsi"/>
          <w:sz w:val="24"/>
          <w:szCs w:val="24"/>
          <w:lang w:val="en-GB" w:eastAsia="en-GB"/>
        </w:rPr>
        <w:t xml:space="preserve">. Luxembourg: EU-OSHA. </w:t>
      </w:r>
    </w:p>
    <w:p w14:paraId="200765E1"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Dall’Ora</w:t>
      </w:r>
      <w:proofErr w:type="spellEnd"/>
      <w:r w:rsidRPr="00393773">
        <w:rPr>
          <w:rFonts w:eastAsia="Times New Roman" w:cstheme="minorHAnsi"/>
          <w:sz w:val="24"/>
          <w:szCs w:val="24"/>
          <w:lang w:val="en-GB" w:eastAsia="en-GB"/>
        </w:rPr>
        <w:t xml:space="preserve">, C. et al., 2020. Working hours and burnout in nurses. </w:t>
      </w:r>
      <w:r w:rsidRPr="00393773">
        <w:rPr>
          <w:rFonts w:eastAsia="Times New Roman" w:cstheme="minorHAnsi"/>
          <w:i/>
          <w:iCs/>
          <w:sz w:val="24"/>
          <w:szCs w:val="24"/>
          <w:lang w:val="en-GB" w:eastAsia="en-GB"/>
        </w:rPr>
        <w:t>BMJ Open</w:t>
      </w:r>
      <w:r w:rsidRPr="00393773">
        <w:rPr>
          <w:rFonts w:eastAsia="Times New Roman" w:cstheme="minorHAnsi"/>
          <w:sz w:val="24"/>
          <w:szCs w:val="24"/>
          <w:lang w:val="en-GB" w:eastAsia="en-GB"/>
        </w:rPr>
        <w:t xml:space="preserve">, 10(1), e033949. </w:t>
      </w:r>
    </w:p>
    <w:p w14:paraId="56DC3C95"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Dixon-Woods, M., 2019. Improving quality in healthcare. </w:t>
      </w:r>
      <w:r w:rsidRPr="00393773">
        <w:rPr>
          <w:rFonts w:eastAsia="Times New Roman" w:cstheme="minorHAnsi"/>
          <w:i/>
          <w:iCs/>
          <w:sz w:val="24"/>
          <w:szCs w:val="24"/>
          <w:lang w:val="en-GB" w:eastAsia="en-GB"/>
        </w:rPr>
        <w:t>BMJ</w:t>
      </w:r>
      <w:r w:rsidRPr="00393773">
        <w:rPr>
          <w:rFonts w:eastAsia="Times New Roman" w:cstheme="minorHAnsi"/>
          <w:sz w:val="24"/>
          <w:szCs w:val="24"/>
          <w:lang w:val="en-GB" w:eastAsia="en-GB"/>
        </w:rPr>
        <w:t xml:space="preserve">, 365, l1579. </w:t>
      </w:r>
    </w:p>
    <w:p w14:paraId="5A0D03C8"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Francis, R., 2013. </w:t>
      </w:r>
      <w:r w:rsidRPr="00393773">
        <w:rPr>
          <w:rFonts w:eastAsia="Times New Roman" w:cstheme="minorHAnsi"/>
          <w:i/>
          <w:iCs/>
          <w:sz w:val="24"/>
          <w:szCs w:val="24"/>
          <w:lang w:val="en-GB" w:eastAsia="en-GB"/>
        </w:rPr>
        <w:t>Mid Staffordshire NHS Foundation Trust Public Inquiry</w:t>
      </w:r>
      <w:r w:rsidRPr="00393773">
        <w:rPr>
          <w:rFonts w:eastAsia="Times New Roman" w:cstheme="minorHAnsi"/>
          <w:sz w:val="24"/>
          <w:szCs w:val="24"/>
          <w:lang w:val="en-GB" w:eastAsia="en-GB"/>
        </w:rPr>
        <w:t xml:space="preserve">. </w:t>
      </w:r>
    </w:p>
    <w:p w14:paraId="4056FFD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Greenberg, N. et al., 2020. Mental health of healthcare workers. </w:t>
      </w:r>
      <w:r w:rsidRPr="00393773">
        <w:rPr>
          <w:rFonts w:eastAsia="Times New Roman" w:cstheme="minorHAnsi"/>
          <w:i/>
          <w:iCs/>
          <w:sz w:val="24"/>
          <w:szCs w:val="24"/>
          <w:lang w:val="en-GB" w:eastAsia="en-GB"/>
        </w:rPr>
        <w:t>BMJ</w:t>
      </w:r>
      <w:r w:rsidRPr="00393773">
        <w:rPr>
          <w:rFonts w:eastAsia="Times New Roman" w:cstheme="minorHAnsi"/>
          <w:sz w:val="24"/>
          <w:szCs w:val="24"/>
          <w:lang w:val="en-GB" w:eastAsia="en-GB"/>
        </w:rPr>
        <w:t xml:space="preserve">, 368, m1211. </w:t>
      </w:r>
    </w:p>
    <w:p w14:paraId="64A11844"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Ham, C., 2014. </w:t>
      </w:r>
      <w:r w:rsidRPr="00393773">
        <w:rPr>
          <w:rFonts w:eastAsia="Times New Roman" w:cstheme="minorHAnsi"/>
          <w:i/>
          <w:iCs/>
          <w:sz w:val="24"/>
          <w:szCs w:val="24"/>
          <w:lang w:val="en-GB" w:eastAsia="en-GB"/>
        </w:rPr>
        <w:t>Improving NHS care quality</w:t>
      </w:r>
      <w:r w:rsidRPr="00393773">
        <w:rPr>
          <w:rFonts w:eastAsia="Times New Roman" w:cstheme="minorHAnsi"/>
          <w:sz w:val="24"/>
          <w:szCs w:val="24"/>
          <w:lang w:val="en-GB" w:eastAsia="en-GB"/>
        </w:rPr>
        <w:t xml:space="preserve">. London: King’s Fund. </w:t>
      </w:r>
    </w:p>
    <w:p w14:paraId="132CE802"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Harvey, G. and </w:t>
      </w:r>
      <w:proofErr w:type="spellStart"/>
      <w:r w:rsidRPr="00393773">
        <w:rPr>
          <w:rFonts w:eastAsia="Times New Roman" w:cstheme="minorHAnsi"/>
          <w:sz w:val="24"/>
          <w:szCs w:val="24"/>
          <w:lang w:val="en-GB" w:eastAsia="en-GB"/>
        </w:rPr>
        <w:t>Kitson</w:t>
      </w:r>
      <w:proofErr w:type="spellEnd"/>
      <w:r w:rsidRPr="00393773">
        <w:rPr>
          <w:rFonts w:eastAsia="Times New Roman" w:cstheme="minorHAnsi"/>
          <w:sz w:val="24"/>
          <w:szCs w:val="24"/>
          <w:lang w:val="en-GB" w:eastAsia="en-GB"/>
        </w:rPr>
        <w:t xml:space="preserve">, A., 2016. </w:t>
      </w:r>
      <w:r w:rsidRPr="00393773">
        <w:rPr>
          <w:rFonts w:eastAsia="Times New Roman" w:cstheme="minorHAnsi"/>
          <w:i/>
          <w:iCs/>
          <w:sz w:val="24"/>
          <w:szCs w:val="24"/>
          <w:lang w:val="en-GB" w:eastAsia="en-GB"/>
        </w:rPr>
        <w:t>Implementing evidence-based practice</w:t>
      </w:r>
      <w:r w:rsidRPr="00393773">
        <w:rPr>
          <w:rFonts w:eastAsia="Times New Roman" w:cstheme="minorHAnsi"/>
          <w:sz w:val="24"/>
          <w:szCs w:val="24"/>
          <w:lang w:val="en-GB" w:eastAsia="en-GB"/>
        </w:rPr>
        <w:t xml:space="preserve">. Routledge. </w:t>
      </w:r>
    </w:p>
    <w:p w14:paraId="3CCD5F81"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Heinen, M.M. et al., 2013. Nurse work environment and outcomes. </w:t>
      </w:r>
      <w:r w:rsidRPr="00393773">
        <w:rPr>
          <w:rFonts w:eastAsia="Times New Roman" w:cstheme="minorHAnsi"/>
          <w:i/>
          <w:iCs/>
          <w:sz w:val="24"/>
          <w:szCs w:val="24"/>
          <w:lang w:val="en-GB" w:eastAsia="en-GB"/>
        </w:rPr>
        <w:t>International Journal of Nursing Studies</w:t>
      </w:r>
      <w:r w:rsidRPr="00393773">
        <w:rPr>
          <w:rFonts w:eastAsia="Times New Roman" w:cstheme="minorHAnsi"/>
          <w:sz w:val="24"/>
          <w:szCs w:val="24"/>
          <w:lang w:val="en-GB" w:eastAsia="en-GB"/>
        </w:rPr>
        <w:t xml:space="preserve">, 50(2), pp.166–184. </w:t>
      </w:r>
    </w:p>
    <w:p w14:paraId="2DD5BC58"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Institute for Healthcare Improvement (IHI), 2017. </w:t>
      </w:r>
      <w:r w:rsidRPr="00393773">
        <w:rPr>
          <w:rFonts w:eastAsia="Times New Roman" w:cstheme="minorHAnsi"/>
          <w:i/>
          <w:iCs/>
          <w:sz w:val="24"/>
          <w:szCs w:val="24"/>
          <w:lang w:val="en-GB" w:eastAsia="en-GB"/>
        </w:rPr>
        <w:t>Triple Aim framework</w:t>
      </w:r>
      <w:r w:rsidRPr="00393773">
        <w:rPr>
          <w:rFonts w:eastAsia="Times New Roman" w:cstheme="minorHAnsi"/>
          <w:sz w:val="24"/>
          <w:szCs w:val="24"/>
          <w:lang w:val="en-GB" w:eastAsia="en-GB"/>
        </w:rPr>
        <w:t xml:space="preserve">. </w:t>
      </w:r>
    </w:p>
    <w:p w14:paraId="7BA745B2"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Kohn, L.T., Corrigan, J.M. and Donaldson, M.S., 2000. </w:t>
      </w:r>
      <w:r w:rsidRPr="00393773">
        <w:rPr>
          <w:rFonts w:eastAsia="Times New Roman" w:cstheme="minorHAnsi"/>
          <w:i/>
          <w:iCs/>
          <w:sz w:val="24"/>
          <w:szCs w:val="24"/>
          <w:lang w:val="en-GB" w:eastAsia="en-GB"/>
        </w:rPr>
        <w:t>To Err is Human</w:t>
      </w:r>
      <w:r w:rsidRPr="00393773">
        <w:rPr>
          <w:rFonts w:eastAsia="Times New Roman" w:cstheme="minorHAnsi"/>
          <w:sz w:val="24"/>
          <w:szCs w:val="24"/>
          <w:lang w:val="en-GB" w:eastAsia="en-GB"/>
        </w:rPr>
        <w:t xml:space="preserve">. Washington: National Academies Press. </w:t>
      </w:r>
    </w:p>
    <w:p w14:paraId="5B29B3AD"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Leiter, M.P. and Maslach, C., 2009. Nurse turnover and burnout. </w:t>
      </w:r>
      <w:r w:rsidRPr="00393773">
        <w:rPr>
          <w:rFonts w:eastAsia="Times New Roman" w:cstheme="minorHAnsi"/>
          <w:i/>
          <w:iCs/>
          <w:sz w:val="24"/>
          <w:szCs w:val="24"/>
          <w:lang w:val="en-GB" w:eastAsia="en-GB"/>
        </w:rPr>
        <w:t>Health Services Research</w:t>
      </w:r>
      <w:r w:rsidRPr="00393773">
        <w:rPr>
          <w:rFonts w:eastAsia="Times New Roman" w:cstheme="minorHAnsi"/>
          <w:sz w:val="24"/>
          <w:szCs w:val="24"/>
          <w:lang w:val="en-GB" w:eastAsia="en-GB"/>
        </w:rPr>
        <w:t xml:space="preserve">, 44(1), pp.102–120. </w:t>
      </w:r>
    </w:p>
    <w:p w14:paraId="69DED0FB"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McHugh, M.D. et al., 2013. Nurse staffing and patient mortality. </w:t>
      </w:r>
      <w:r w:rsidRPr="00393773">
        <w:rPr>
          <w:rFonts w:eastAsia="Times New Roman" w:cstheme="minorHAnsi"/>
          <w:i/>
          <w:iCs/>
          <w:sz w:val="24"/>
          <w:szCs w:val="24"/>
          <w:lang w:val="en-GB" w:eastAsia="en-GB"/>
        </w:rPr>
        <w:t>Medical Care</w:t>
      </w:r>
      <w:r w:rsidRPr="00393773">
        <w:rPr>
          <w:rFonts w:eastAsia="Times New Roman" w:cstheme="minorHAnsi"/>
          <w:sz w:val="24"/>
          <w:szCs w:val="24"/>
          <w:lang w:val="en-GB" w:eastAsia="en-GB"/>
        </w:rPr>
        <w:t xml:space="preserve">, 51(1), pp.1–7. </w:t>
      </w:r>
    </w:p>
    <w:p w14:paraId="240424EC"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NHS Staff Survey, 2023. </w:t>
      </w:r>
      <w:r w:rsidRPr="00393773">
        <w:rPr>
          <w:rFonts w:eastAsia="Times New Roman" w:cstheme="minorHAnsi"/>
          <w:i/>
          <w:iCs/>
          <w:sz w:val="24"/>
          <w:szCs w:val="24"/>
          <w:lang w:val="en-GB" w:eastAsia="en-GB"/>
        </w:rPr>
        <w:t>National results briefing</w:t>
      </w:r>
      <w:r w:rsidRPr="00393773">
        <w:rPr>
          <w:rFonts w:eastAsia="Times New Roman" w:cstheme="minorHAnsi"/>
          <w:sz w:val="24"/>
          <w:szCs w:val="24"/>
          <w:lang w:val="en-GB" w:eastAsia="en-GB"/>
        </w:rPr>
        <w:t xml:space="preserve">. </w:t>
      </w:r>
    </w:p>
    <w:p w14:paraId="4E092F40"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OECD, 2020. </w:t>
      </w:r>
      <w:r w:rsidRPr="00393773">
        <w:rPr>
          <w:rFonts w:eastAsia="Times New Roman" w:cstheme="minorHAnsi"/>
          <w:i/>
          <w:iCs/>
          <w:sz w:val="24"/>
          <w:szCs w:val="24"/>
          <w:lang w:val="en-GB" w:eastAsia="en-GB"/>
        </w:rPr>
        <w:t>Health workforce policies</w:t>
      </w:r>
      <w:r w:rsidRPr="00393773">
        <w:rPr>
          <w:rFonts w:eastAsia="Times New Roman" w:cstheme="minorHAnsi"/>
          <w:sz w:val="24"/>
          <w:szCs w:val="24"/>
          <w:lang w:val="en-GB" w:eastAsia="en-GB"/>
        </w:rPr>
        <w:t xml:space="preserve">. Paris: OECD. </w:t>
      </w:r>
    </w:p>
    <w:p w14:paraId="516688F5"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Rafferty, A.M. et al., 2007. Outcomes of nurse staffing. </w:t>
      </w:r>
      <w:r w:rsidRPr="00393773">
        <w:rPr>
          <w:rFonts w:eastAsia="Times New Roman" w:cstheme="minorHAnsi"/>
          <w:i/>
          <w:iCs/>
          <w:sz w:val="24"/>
          <w:szCs w:val="24"/>
          <w:lang w:val="en-GB" w:eastAsia="en-GB"/>
        </w:rPr>
        <w:t>International Journal of Nursing Studies</w:t>
      </w:r>
      <w:r w:rsidRPr="00393773">
        <w:rPr>
          <w:rFonts w:eastAsia="Times New Roman" w:cstheme="minorHAnsi"/>
          <w:sz w:val="24"/>
          <w:szCs w:val="24"/>
          <w:lang w:val="en-GB" w:eastAsia="en-GB"/>
        </w:rPr>
        <w:t xml:space="preserve">, 44(2), pp.175–182. </w:t>
      </w:r>
    </w:p>
    <w:p w14:paraId="65A10F9F"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Royal College of Nursing (RCN), 2022. </w:t>
      </w:r>
      <w:r w:rsidRPr="00393773">
        <w:rPr>
          <w:rFonts w:eastAsia="Times New Roman" w:cstheme="minorHAnsi"/>
          <w:i/>
          <w:iCs/>
          <w:sz w:val="24"/>
          <w:szCs w:val="24"/>
          <w:lang w:val="en-GB" w:eastAsia="en-GB"/>
        </w:rPr>
        <w:t>Workforce pressures in nursing</w:t>
      </w:r>
      <w:r w:rsidRPr="00393773">
        <w:rPr>
          <w:rFonts w:eastAsia="Times New Roman" w:cstheme="minorHAnsi"/>
          <w:sz w:val="24"/>
          <w:szCs w:val="24"/>
          <w:lang w:val="en-GB" w:eastAsia="en-GB"/>
        </w:rPr>
        <w:t xml:space="preserve">. </w:t>
      </w:r>
    </w:p>
    <w:p w14:paraId="6EE120D3"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proofErr w:type="spellStart"/>
      <w:r w:rsidRPr="00393773">
        <w:rPr>
          <w:rFonts w:eastAsia="Times New Roman" w:cstheme="minorHAnsi"/>
          <w:sz w:val="24"/>
          <w:szCs w:val="24"/>
          <w:lang w:val="en-GB" w:eastAsia="en-GB"/>
        </w:rPr>
        <w:t>Sinsky</w:t>
      </w:r>
      <w:proofErr w:type="spellEnd"/>
      <w:r w:rsidRPr="00393773">
        <w:rPr>
          <w:rFonts w:eastAsia="Times New Roman" w:cstheme="minorHAnsi"/>
          <w:sz w:val="24"/>
          <w:szCs w:val="24"/>
          <w:lang w:val="en-GB" w:eastAsia="en-GB"/>
        </w:rPr>
        <w:t xml:space="preserve">, C.A. et al., 2020. Workload and burnout. </w:t>
      </w:r>
      <w:r w:rsidRPr="00393773">
        <w:rPr>
          <w:rFonts w:eastAsia="Times New Roman" w:cstheme="minorHAnsi"/>
          <w:i/>
          <w:iCs/>
          <w:sz w:val="24"/>
          <w:szCs w:val="24"/>
          <w:lang w:val="en-GB" w:eastAsia="en-GB"/>
        </w:rPr>
        <w:t>Annals of Internal Medicine</w:t>
      </w:r>
      <w:r w:rsidRPr="00393773">
        <w:rPr>
          <w:rFonts w:eastAsia="Times New Roman" w:cstheme="minorHAnsi"/>
          <w:sz w:val="24"/>
          <w:szCs w:val="24"/>
          <w:lang w:val="en-GB" w:eastAsia="en-GB"/>
        </w:rPr>
        <w:t xml:space="preserve">, 172(11), pp.729–735. </w:t>
      </w:r>
    </w:p>
    <w:p w14:paraId="4DB5253B"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Wallace, J.E., Lemaire, J.B. and </w:t>
      </w:r>
      <w:proofErr w:type="spellStart"/>
      <w:r w:rsidRPr="00393773">
        <w:rPr>
          <w:rFonts w:eastAsia="Times New Roman" w:cstheme="minorHAnsi"/>
          <w:sz w:val="24"/>
          <w:szCs w:val="24"/>
          <w:lang w:val="en-GB" w:eastAsia="en-GB"/>
        </w:rPr>
        <w:t>Ghali</w:t>
      </w:r>
      <w:proofErr w:type="spellEnd"/>
      <w:r w:rsidRPr="00393773">
        <w:rPr>
          <w:rFonts w:eastAsia="Times New Roman" w:cstheme="minorHAnsi"/>
          <w:sz w:val="24"/>
          <w:szCs w:val="24"/>
          <w:lang w:val="en-GB" w:eastAsia="en-GB"/>
        </w:rPr>
        <w:t xml:space="preserve">, W.A., 2009. Physician wellness. </w:t>
      </w:r>
      <w:r w:rsidRPr="00393773">
        <w:rPr>
          <w:rFonts w:eastAsia="Times New Roman" w:cstheme="minorHAnsi"/>
          <w:i/>
          <w:iCs/>
          <w:sz w:val="24"/>
          <w:szCs w:val="24"/>
          <w:lang w:val="en-GB" w:eastAsia="en-GB"/>
        </w:rPr>
        <w:t>The Lancet</w:t>
      </w:r>
      <w:r w:rsidRPr="00393773">
        <w:rPr>
          <w:rFonts w:eastAsia="Times New Roman" w:cstheme="minorHAnsi"/>
          <w:sz w:val="24"/>
          <w:szCs w:val="24"/>
          <w:lang w:val="en-GB" w:eastAsia="en-GB"/>
        </w:rPr>
        <w:t xml:space="preserve">, 374(9702), pp.1714–1721. </w:t>
      </w:r>
    </w:p>
    <w:p w14:paraId="39621589"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World Health Organization (WHO), 2021. </w:t>
      </w:r>
      <w:r w:rsidRPr="00393773">
        <w:rPr>
          <w:rFonts w:eastAsia="Times New Roman" w:cstheme="minorHAnsi"/>
          <w:i/>
          <w:iCs/>
          <w:sz w:val="24"/>
          <w:szCs w:val="24"/>
          <w:lang w:val="en-GB" w:eastAsia="en-GB"/>
        </w:rPr>
        <w:t>Health workforce policy and management</w:t>
      </w:r>
      <w:r w:rsidRPr="00393773">
        <w:rPr>
          <w:rFonts w:eastAsia="Times New Roman" w:cstheme="minorHAnsi"/>
          <w:sz w:val="24"/>
          <w:szCs w:val="24"/>
          <w:lang w:val="en-GB" w:eastAsia="en-GB"/>
        </w:rPr>
        <w:t xml:space="preserve">. </w:t>
      </w:r>
    </w:p>
    <w:p w14:paraId="02E0FF17" w14:textId="77777777" w:rsidR="00393773" w:rsidRPr="00393773" w:rsidRDefault="00393773" w:rsidP="00393773">
      <w:pPr>
        <w:numPr>
          <w:ilvl w:val="0"/>
          <w:numId w:val="6"/>
        </w:numPr>
        <w:spacing w:before="100" w:beforeAutospacing="1" w:after="100" w:afterAutospacing="1" w:line="276" w:lineRule="auto"/>
        <w:jc w:val="both"/>
        <w:rPr>
          <w:rFonts w:eastAsia="Times New Roman" w:cstheme="minorHAnsi"/>
          <w:sz w:val="24"/>
          <w:szCs w:val="24"/>
          <w:lang w:val="en-GB" w:eastAsia="en-GB"/>
        </w:rPr>
      </w:pPr>
      <w:r w:rsidRPr="00393773">
        <w:rPr>
          <w:rFonts w:eastAsia="Times New Roman" w:cstheme="minorHAnsi"/>
          <w:sz w:val="24"/>
          <w:szCs w:val="24"/>
          <w:lang w:val="en-GB" w:eastAsia="en-GB"/>
        </w:rPr>
        <w:t xml:space="preserve">World Health Organization (WHO), 2022. </w:t>
      </w:r>
      <w:r w:rsidRPr="00393773">
        <w:rPr>
          <w:rFonts w:eastAsia="Times New Roman" w:cstheme="minorHAnsi"/>
          <w:i/>
          <w:iCs/>
          <w:sz w:val="24"/>
          <w:szCs w:val="24"/>
          <w:lang w:val="en-GB" w:eastAsia="en-GB"/>
        </w:rPr>
        <w:t>Mental health and wellbeing of health workers</w:t>
      </w:r>
      <w:r w:rsidRPr="00393773">
        <w:rPr>
          <w:rFonts w:eastAsia="Times New Roman" w:cstheme="minorHAnsi"/>
          <w:sz w:val="24"/>
          <w:szCs w:val="24"/>
          <w:lang w:val="en-GB" w:eastAsia="en-GB"/>
        </w:rPr>
        <w:t>.</w:t>
      </w:r>
    </w:p>
    <w:p w14:paraId="6D5884F9" w14:textId="77777777" w:rsidR="00C06E5B" w:rsidRPr="00393773" w:rsidRDefault="00C06E5B" w:rsidP="00393773">
      <w:pPr>
        <w:pStyle w:val="NormalWeb"/>
        <w:spacing w:line="276" w:lineRule="auto"/>
        <w:jc w:val="both"/>
        <w:rPr>
          <w:rFonts w:asciiTheme="minorHAnsi" w:hAnsiTheme="minorHAnsi" w:cstheme="minorHAnsi"/>
        </w:rPr>
      </w:pPr>
    </w:p>
    <w:sectPr w:rsidR="00C06E5B" w:rsidRPr="0039377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4D3AE" w14:textId="77777777" w:rsidR="000C6CE1" w:rsidRDefault="000C6CE1" w:rsidP="005E3402">
      <w:pPr>
        <w:spacing w:before="0" w:after="0"/>
      </w:pPr>
      <w:r>
        <w:separator/>
      </w:r>
    </w:p>
  </w:endnote>
  <w:endnote w:type="continuationSeparator" w:id="0">
    <w:p w14:paraId="0925C6B3" w14:textId="77777777" w:rsidR="000C6CE1" w:rsidRDefault="000C6CE1" w:rsidP="005E340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46360"/>
      <w:docPartObj>
        <w:docPartGallery w:val="Page Numbers (Bottom of Page)"/>
        <w:docPartUnique/>
      </w:docPartObj>
    </w:sdtPr>
    <w:sdtEndPr>
      <w:rPr>
        <w:noProof/>
      </w:rPr>
    </w:sdtEndPr>
    <w:sdtContent>
      <w:p w14:paraId="619F992D" w14:textId="7FEE8397" w:rsidR="00393773" w:rsidRDefault="003937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3CCD76" w14:textId="77777777" w:rsidR="00393773" w:rsidRDefault="00393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0DD98" w14:textId="77777777" w:rsidR="000C6CE1" w:rsidRDefault="000C6CE1" w:rsidP="005E3402">
      <w:pPr>
        <w:spacing w:before="0" w:after="0"/>
      </w:pPr>
      <w:r>
        <w:separator/>
      </w:r>
    </w:p>
  </w:footnote>
  <w:footnote w:type="continuationSeparator" w:id="0">
    <w:p w14:paraId="02908A55" w14:textId="77777777" w:rsidR="000C6CE1" w:rsidRDefault="000C6CE1" w:rsidP="005E340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6012340"/>
      <w:docPartObj>
        <w:docPartGallery w:val="Page Numbers (Top of Page)"/>
        <w:docPartUnique/>
      </w:docPartObj>
    </w:sdtPr>
    <w:sdtEndPr>
      <w:rPr>
        <w:noProof/>
      </w:rPr>
    </w:sdtEndPr>
    <w:sdtContent>
      <w:p w14:paraId="448EFCF0" w14:textId="24A97580" w:rsidR="005E3402" w:rsidRDefault="005E340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555C27" w14:textId="77777777" w:rsidR="005E3402" w:rsidRDefault="005E3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A25E7"/>
    <w:multiLevelType w:val="multilevel"/>
    <w:tmpl w:val="84066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2E2D75"/>
    <w:multiLevelType w:val="multilevel"/>
    <w:tmpl w:val="2328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B932F9"/>
    <w:multiLevelType w:val="multilevel"/>
    <w:tmpl w:val="4F8E9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99395D"/>
    <w:multiLevelType w:val="hybridMultilevel"/>
    <w:tmpl w:val="CF849E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8E0381E"/>
    <w:multiLevelType w:val="multilevel"/>
    <w:tmpl w:val="19761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1E3606"/>
    <w:multiLevelType w:val="multilevel"/>
    <w:tmpl w:val="8DA6A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6076327">
    <w:abstractNumId w:val="2"/>
  </w:num>
  <w:num w:numId="2" w16cid:durableId="797921379">
    <w:abstractNumId w:val="4"/>
  </w:num>
  <w:num w:numId="3" w16cid:durableId="876551934">
    <w:abstractNumId w:val="1"/>
  </w:num>
  <w:num w:numId="4" w16cid:durableId="336274220">
    <w:abstractNumId w:val="0"/>
  </w:num>
  <w:num w:numId="5" w16cid:durableId="1117020303">
    <w:abstractNumId w:val="3"/>
  </w:num>
  <w:num w:numId="6" w16cid:durableId="12870053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402"/>
    <w:rsid w:val="000C6CE1"/>
    <w:rsid w:val="002C15F0"/>
    <w:rsid w:val="00393773"/>
    <w:rsid w:val="003A3F63"/>
    <w:rsid w:val="003F425F"/>
    <w:rsid w:val="0058127E"/>
    <w:rsid w:val="005E3402"/>
    <w:rsid w:val="006F4719"/>
    <w:rsid w:val="00860EC7"/>
    <w:rsid w:val="00A23293"/>
    <w:rsid w:val="00C06E5B"/>
    <w:rsid w:val="00C14D75"/>
    <w:rsid w:val="00D47F5D"/>
    <w:rsid w:val="00E208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F0312E"/>
  <w15:chartTrackingRefBased/>
  <w15:docId w15:val="{CB55A569-2567-4C71-8927-D0FBA8FEA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E3402"/>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E34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E3402"/>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5E34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402"/>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E3402"/>
    <w:rPr>
      <w:rFonts w:ascii="Times New Roman" w:eastAsia="Times New Roman" w:hAnsi="Times New Roman" w:cs="Times New Roman"/>
      <w:b/>
      <w:bCs/>
      <w:sz w:val="27"/>
      <w:szCs w:val="27"/>
    </w:rPr>
  </w:style>
  <w:style w:type="paragraph" w:styleId="NormalWeb">
    <w:name w:val="Normal (Web)"/>
    <w:basedOn w:val="Normal"/>
    <w:uiPriority w:val="99"/>
    <w:unhideWhenUsed/>
    <w:rsid w:val="005E3402"/>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5E3402"/>
    <w:rPr>
      <w:b/>
      <w:bCs/>
    </w:rPr>
  </w:style>
  <w:style w:type="character" w:customStyle="1" w:styleId="Heading2Char">
    <w:name w:val="Heading 2 Char"/>
    <w:basedOn w:val="DefaultParagraphFont"/>
    <w:link w:val="Heading2"/>
    <w:uiPriority w:val="9"/>
    <w:rsid w:val="005E340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E340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5E3402"/>
    <w:rPr>
      <w:i/>
      <w:iCs/>
    </w:rPr>
  </w:style>
  <w:style w:type="character" w:styleId="Hyperlink">
    <w:name w:val="Hyperlink"/>
    <w:basedOn w:val="DefaultParagraphFont"/>
    <w:uiPriority w:val="99"/>
    <w:unhideWhenUsed/>
    <w:rsid w:val="005E3402"/>
    <w:rPr>
      <w:color w:val="0000FF"/>
      <w:u w:val="single"/>
    </w:rPr>
  </w:style>
  <w:style w:type="paragraph" w:styleId="Header">
    <w:name w:val="header"/>
    <w:basedOn w:val="Normal"/>
    <w:link w:val="HeaderChar"/>
    <w:uiPriority w:val="99"/>
    <w:unhideWhenUsed/>
    <w:rsid w:val="005E3402"/>
    <w:pPr>
      <w:tabs>
        <w:tab w:val="center" w:pos="4680"/>
        <w:tab w:val="right" w:pos="9360"/>
      </w:tabs>
      <w:spacing w:before="0" w:after="0"/>
    </w:pPr>
  </w:style>
  <w:style w:type="character" w:customStyle="1" w:styleId="HeaderChar">
    <w:name w:val="Header Char"/>
    <w:basedOn w:val="DefaultParagraphFont"/>
    <w:link w:val="Header"/>
    <w:uiPriority w:val="99"/>
    <w:rsid w:val="005E3402"/>
  </w:style>
  <w:style w:type="paragraph" w:styleId="Footer">
    <w:name w:val="footer"/>
    <w:basedOn w:val="Normal"/>
    <w:link w:val="FooterChar"/>
    <w:uiPriority w:val="99"/>
    <w:unhideWhenUsed/>
    <w:rsid w:val="005E3402"/>
    <w:pPr>
      <w:tabs>
        <w:tab w:val="center" w:pos="4680"/>
        <w:tab w:val="right" w:pos="9360"/>
      </w:tabs>
      <w:spacing w:before="0" w:after="0"/>
    </w:pPr>
  </w:style>
  <w:style w:type="character" w:customStyle="1" w:styleId="FooterChar">
    <w:name w:val="Footer Char"/>
    <w:basedOn w:val="DefaultParagraphFont"/>
    <w:link w:val="Footer"/>
    <w:uiPriority w:val="99"/>
    <w:rsid w:val="005E3402"/>
  </w:style>
  <w:style w:type="paragraph" w:styleId="TOCHeading">
    <w:name w:val="TOC Heading"/>
    <w:basedOn w:val="Heading1"/>
    <w:next w:val="Normal"/>
    <w:uiPriority w:val="39"/>
    <w:unhideWhenUsed/>
    <w:qFormat/>
    <w:rsid w:val="005E340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5E3402"/>
    <w:pPr>
      <w:spacing w:after="100"/>
      <w:ind w:left="220"/>
    </w:pPr>
  </w:style>
  <w:style w:type="paragraph" w:styleId="TOC1">
    <w:name w:val="toc 1"/>
    <w:basedOn w:val="Normal"/>
    <w:next w:val="Normal"/>
    <w:autoRedefine/>
    <w:uiPriority w:val="39"/>
    <w:unhideWhenUsed/>
    <w:rsid w:val="005E3402"/>
    <w:pPr>
      <w:spacing w:after="100"/>
    </w:pPr>
  </w:style>
  <w:style w:type="paragraph" w:styleId="TOC3">
    <w:name w:val="toc 3"/>
    <w:basedOn w:val="Normal"/>
    <w:next w:val="Normal"/>
    <w:autoRedefine/>
    <w:uiPriority w:val="39"/>
    <w:unhideWhenUsed/>
    <w:rsid w:val="005E3402"/>
    <w:pPr>
      <w:spacing w:after="100"/>
      <w:ind w:left="440"/>
    </w:pPr>
  </w:style>
  <w:style w:type="paragraph" w:styleId="ListParagraph">
    <w:name w:val="List Paragraph"/>
    <w:basedOn w:val="Normal"/>
    <w:uiPriority w:val="34"/>
    <w:qFormat/>
    <w:rsid w:val="00E20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12966">
      <w:bodyDiv w:val="1"/>
      <w:marLeft w:val="0"/>
      <w:marRight w:val="0"/>
      <w:marTop w:val="0"/>
      <w:marBottom w:val="0"/>
      <w:divBdr>
        <w:top w:val="none" w:sz="0" w:space="0" w:color="auto"/>
        <w:left w:val="none" w:sz="0" w:space="0" w:color="auto"/>
        <w:bottom w:val="none" w:sz="0" w:space="0" w:color="auto"/>
        <w:right w:val="none" w:sz="0" w:space="0" w:color="auto"/>
      </w:divBdr>
    </w:div>
    <w:div w:id="140735182">
      <w:bodyDiv w:val="1"/>
      <w:marLeft w:val="0"/>
      <w:marRight w:val="0"/>
      <w:marTop w:val="0"/>
      <w:marBottom w:val="0"/>
      <w:divBdr>
        <w:top w:val="none" w:sz="0" w:space="0" w:color="auto"/>
        <w:left w:val="none" w:sz="0" w:space="0" w:color="auto"/>
        <w:bottom w:val="none" w:sz="0" w:space="0" w:color="auto"/>
        <w:right w:val="none" w:sz="0" w:space="0" w:color="auto"/>
      </w:divBdr>
    </w:div>
    <w:div w:id="174348300">
      <w:bodyDiv w:val="1"/>
      <w:marLeft w:val="0"/>
      <w:marRight w:val="0"/>
      <w:marTop w:val="0"/>
      <w:marBottom w:val="0"/>
      <w:divBdr>
        <w:top w:val="none" w:sz="0" w:space="0" w:color="auto"/>
        <w:left w:val="none" w:sz="0" w:space="0" w:color="auto"/>
        <w:bottom w:val="none" w:sz="0" w:space="0" w:color="auto"/>
        <w:right w:val="none" w:sz="0" w:space="0" w:color="auto"/>
      </w:divBdr>
    </w:div>
    <w:div w:id="472451369">
      <w:bodyDiv w:val="1"/>
      <w:marLeft w:val="0"/>
      <w:marRight w:val="0"/>
      <w:marTop w:val="0"/>
      <w:marBottom w:val="0"/>
      <w:divBdr>
        <w:top w:val="none" w:sz="0" w:space="0" w:color="auto"/>
        <w:left w:val="none" w:sz="0" w:space="0" w:color="auto"/>
        <w:bottom w:val="none" w:sz="0" w:space="0" w:color="auto"/>
        <w:right w:val="none" w:sz="0" w:space="0" w:color="auto"/>
      </w:divBdr>
    </w:div>
    <w:div w:id="605816713">
      <w:bodyDiv w:val="1"/>
      <w:marLeft w:val="0"/>
      <w:marRight w:val="0"/>
      <w:marTop w:val="0"/>
      <w:marBottom w:val="0"/>
      <w:divBdr>
        <w:top w:val="none" w:sz="0" w:space="0" w:color="auto"/>
        <w:left w:val="none" w:sz="0" w:space="0" w:color="auto"/>
        <w:bottom w:val="none" w:sz="0" w:space="0" w:color="auto"/>
        <w:right w:val="none" w:sz="0" w:space="0" w:color="auto"/>
      </w:divBdr>
    </w:div>
    <w:div w:id="882014168">
      <w:bodyDiv w:val="1"/>
      <w:marLeft w:val="0"/>
      <w:marRight w:val="0"/>
      <w:marTop w:val="0"/>
      <w:marBottom w:val="0"/>
      <w:divBdr>
        <w:top w:val="none" w:sz="0" w:space="0" w:color="auto"/>
        <w:left w:val="none" w:sz="0" w:space="0" w:color="auto"/>
        <w:bottom w:val="none" w:sz="0" w:space="0" w:color="auto"/>
        <w:right w:val="none" w:sz="0" w:space="0" w:color="auto"/>
      </w:divBdr>
    </w:div>
    <w:div w:id="1070687450">
      <w:bodyDiv w:val="1"/>
      <w:marLeft w:val="0"/>
      <w:marRight w:val="0"/>
      <w:marTop w:val="0"/>
      <w:marBottom w:val="0"/>
      <w:divBdr>
        <w:top w:val="none" w:sz="0" w:space="0" w:color="auto"/>
        <w:left w:val="none" w:sz="0" w:space="0" w:color="auto"/>
        <w:bottom w:val="none" w:sz="0" w:space="0" w:color="auto"/>
        <w:right w:val="none" w:sz="0" w:space="0" w:color="auto"/>
      </w:divBdr>
    </w:div>
    <w:div w:id="1435978337">
      <w:bodyDiv w:val="1"/>
      <w:marLeft w:val="0"/>
      <w:marRight w:val="0"/>
      <w:marTop w:val="0"/>
      <w:marBottom w:val="0"/>
      <w:divBdr>
        <w:top w:val="none" w:sz="0" w:space="0" w:color="auto"/>
        <w:left w:val="none" w:sz="0" w:space="0" w:color="auto"/>
        <w:bottom w:val="none" w:sz="0" w:space="0" w:color="auto"/>
        <w:right w:val="none" w:sz="0" w:space="0" w:color="auto"/>
      </w:divBdr>
    </w:div>
    <w:div w:id="1479348647">
      <w:bodyDiv w:val="1"/>
      <w:marLeft w:val="0"/>
      <w:marRight w:val="0"/>
      <w:marTop w:val="0"/>
      <w:marBottom w:val="0"/>
      <w:divBdr>
        <w:top w:val="none" w:sz="0" w:space="0" w:color="auto"/>
        <w:left w:val="none" w:sz="0" w:space="0" w:color="auto"/>
        <w:bottom w:val="none" w:sz="0" w:space="0" w:color="auto"/>
        <w:right w:val="none" w:sz="0" w:space="0" w:color="auto"/>
      </w:divBdr>
    </w:div>
    <w:div w:id="1488941189">
      <w:bodyDiv w:val="1"/>
      <w:marLeft w:val="0"/>
      <w:marRight w:val="0"/>
      <w:marTop w:val="0"/>
      <w:marBottom w:val="0"/>
      <w:divBdr>
        <w:top w:val="none" w:sz="0" w:space="0" w:color="auto"/>
        <w:left w:val="none" w:sz="0" w:space="0" w:color="auto"/>
        <w:bottom w:val="none" w:sz="0" w:space="0" w:color="auto"/>
        <w:right w:val="none" w:sz="0" w:space="0" w:color="auto"/>
      </w:divBdr>
    </w:div>
    <w:div w:id="1563565156">
      <w:bodyDiv w:val="1"/>
      <w:marLeft w:val="0"/>
      <w:marRight w:val="0"/>
      <w:marTop w:val="0"/>
      <w:marBottom w:val="0"/>
      <w:divBdr>
        <w:top w:val="none" w:sz="0" w:space="0" w:color="auto"/>
        <w:left w:val="none" w:sz="0" w:space="0" w:color="auto"/>
        <w:bottom w:val="none" w:sz="0" w:space="0" w:color="auto"/>
        <w:right w:val="none" w:sz="0" w:space="0" w:color="auto"/>
      </w:divBdr>
    </w:div>
    <w:div w:id="1733851783">
      <w:bodyDiv w:val="1"/>
      <w:marLeft w:val="0"/>
      <w:marRight w:val="0"/>
      <w:marTop w:val="0"/>
      <w:marBottom w:val="0"/>
      <w:divBdr>
        <w:top w:val="none" w:sz="0" w:space="0" w:color="auto"/>
        <w:left w:val="none" w:sz="0" w:space="0" w:color="auto"/>
        <w:bottom w:val="none" w:sz="0" w:space="0" w:color="auto"/>
        <w:right w:val="none" w:sz="0" w:space="0" w:color="auto"/>
      </w:divBdr>
    </w:div>
    <w:div w:id="1831022597">
      <w:bodyDiv w:val="1"/>
      <w:marLeft w:val="0"/>
      <w:marRight w:val="0"/>
      <w:marTop w:val="0"/>
      <w:marBottom w:val="0"/>
      <w:divBdr>
        <w:top w:val="none" w:sz="0" w:space="0" w:color="auto"/>
        <w:left w:val="none" w:sz="0" w:space="0" w:color="auto"/>
        <w:bottom w:val="none" w:sz="0" w:space="0" w:color="auto"/>
        <w:right w:val="none" w:sz="0" w:space="0" w:color="auto"/>
      </w:divBdr>
    </w:div>
    <w:div w:id="1846553336">
      <w:bodyDiv w:val="1"/>
      <w:marLeft w:val="0"/>
      <w:marRight w:val="0"/>
      <w:marTop w:val="0"/>
      <w:marBottom w:val="0"/>
      <w:divBdr>
        <w:top w:val="none" w:sz="0" w:space="0" w:color="auto"/>
        <w:left w:val="none" w:sz="0" w:space="0" w:color="auto"/>
        <w:bottom w:val="none" w:sz="0" w:space="0" w:color="auto"/>
        <w:right w:val="none" w:sz="0" w:space="0" w:color="auto"/>
      </w:divBdr>
    </w:div>
    <w:div w:id="2047485379">
      <w:bodyDiv w:val="1"/>
      <w:marLeft w:val="0"/>
      <w:marRight w:val="0"/>
      <w:marTop w:val="0"/>
      <w:marBottom w:val="0"/>
      <w:divBdr>
        <w:top w:val="none" w:sz="0" w:space="0" w:color="auto"/>
        <w:left w:val="none" w:sz="0" w:space="0" w:color="auto"/>
        <w:bottom w:val="none" w:sz="0" w:space="0" w:color="auto"/>
        <w:right w:val="none" w:sz="0" w:space="0" w:color="auto"/>
      </w:divBdr>
    </w:div>
    <w:div w:id="2047488659">
      <w:bodyDiv w:val="1"/>
      <w:marLeft w:val="0"/>
      <w:marRight w:val="0"/>
      <w:marTop w:val="0"/>
      <w:marBottom w:val="0"/>
      <w:divBdr>
        <w:top w:val="none" w:sz="0" w:space="0" w:color="auto"/>
        <w:left w:val="none" w:sz="0" w:space="0" w:color="auto"/>
        <w:bottom w:val="none" w:sz="0" w:space="0" w:color="auto"/>
        <w:right w:val="none" w:sz="0" w:space="0" w:color="auto"/>
      </w:divBdr>
    </w:div>
    <w:div w:id="21468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4408E8-2E53-45AB-B88D-F37ACF7DF9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12011</Words>
  <Characters>76613</Characters>
  <Application>Microsoft Office Word</Application>
  <DocSecurity>0</DocSecurity>
  <Lines>638</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Farhat Azhar (2213611)</cp:lastModifiedBy>
  <cp:revision>2</cp:revision>
  <dcterms:created xsi:type="dcterms:W3CDTF">2026-04-09T15:41:00Z</dcterms:created>
  <dcterms:modified xsi:type="dcterms:W3CDTF">2026-04-09T15:41:00Z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23a258b1-993f-4f76-a0f7-6162199b646a</vt:lpwstr>
  </property>
</Properties>
</file>