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3DAF8CE" w14:textId="77777777" w:rsidR="00D225F1" w:rsidRDefault="00D225F1" w:rsidP="00D225F1">
      <w:pPr>
        <w:spacing w:line="360" w:lineRule="auto"/>
        <w:jc w:val="center"/>
        <w:rPr>
          <w:b/>
          <w:bCs/>
          <w:sz w:val="22"/>
          <w:szCs w:val="22"/>
        </w:rPr>
      </w:pPr>
    </w:p>
    <w:p w14:paraId="1287D5FF" w14:textId="77777777" w:rsidR="00D225F1" w:rsidRDefault="00D225F1" w:rsidP="00D225F1">
      <w:pPr>
        <w:spacing w:line="360" w:lineRule="auto"/>
        <w:jc w:val="center"/>
        <w:rPr>
          <w:b/>
          <w:bCs/>
          <w:sz w:val="22"/>
          <w:szCs w:val="22"/>
        </w:rPr>
      </w:pPr>
    </w:p>
    <w:p w14:paraId="00296557" w14:textId="77777777" w:rsidR="00D225F1" w:rsidRDefault="00D225F1" w:rsidP="00D225F1">
      <w:pPr>
        <w:spacing w:line="360" w:lineRule="auto"/>
        <w:jc w:val="center"/>
        <w:rPr>
          <w:b/>
          <w:bCs/>
          <w:sz w:val="22"/>
          <w:szCs w:val="22"/>
        </w:rPr>
      </w:pPr>
    </w:p>
    <w:p w14:paraId="4F217BF1" w14:textId="77777777" w:rsidR="00D225F1" w:rsidRDefault="00D225F1" w:rsidP="00D225F1">
      <w:pPr>
        <w:spacing w:line="360" w:lineRule="auto"/>
        <w:jc w:val="center"/>
        <w:rPr>
          <w:b/>
          <w:bCs/>
          <w:sz w:val="22"/>
          <w:szCs w:val="22"/>
        </w:rPr>
      </w:pPr>
    </w:p>
    <w:p w14:paraId="60E71085" w14:textId="77777777" w:rsidR="00D225F1" w:rsidRDefault="00D225F1" w:rsidP="00D225F1">
      <w:pPr>
        <w:spacing w:line="360" w:lineRule="auto"/>
        <w:jc w:val="center"/>
        <w:rPr>
          <w:b/>
          <w:bCs/>
          <w:sz w:val="22"/>
          <w:szCs w:val="22"/>
        </w:rPr>
      </w:pPr>
    </w:p>
    <w:p w14:paraId="483828E9" w14:textId="77777777" w:rsidR="00831233" w:rsidRDefault="00831233" w:rsidP="0079043D">
      <w:pPr>
        <w:spacing w:line="360" w:lineRule="auto"/>
        <w:jc w:val="center"/>
        <w:outlineLvl w:val="0"/>
        <w:rPr>
          <w:rFonts w:ascii="Arial" w:hAnsi="Arial" w:cs="Arial"/>
          <w:b/>
          <w:bCs/>
          <w:sz w:val="22"/>
          <w:szCs w:val="22"/>
        </w:rPr>
      </w:pPr>
    </w:p>
    <w:p w14:paraId="1B71A6B2" w14:textId="77777777" w:rsidR="00D225F1" w:rsidRPr="00A12F4B" w:rsidRDefault="00D225F1" w:rsidP="0079043D">
      <w:pPr>
        <w:spacing w:line="360" w:lineRule="auto"/>
        <w:jc w:val="center"/>
        <w:outlineLvl w:val="0"/>
        <w:rPr>
          <w:rFonts w:ascii="Arial" w:hAnsi="Arial" w:cs="Arial"/>
          <w:b/>
          <w:bCs/>
          <w:sz w:val="22"/>
          <w:szCs w:val="22"/>
        </w:rPr>
      </w:pPr>
      <w:r w:rsidRPr="00A12F4B">
        <w:rPr>
          <w:rFonts w:ascii="Arial" w:hAnsi="Arial" w:cs="Arial"/>
          <w:b/>
          <w:bCs/>
          <w:sz w:val="22"/>
          <w:szCs w:val="22"/>
        </w:rPr>
        <w:t>Course: BSc (</w:t>
      </w:r>
      <w:proofErr w:type="spellStart"/>
      <w:r w:rsidRPr="00A12F4B">
        <w:rPr>
          <w:rFonts w:ascii="Arial" w:hAnsi="Arial" w:cs="Arial"/>
          <w:b/>
          <w:bCs/>
          <w:sz w:val="22"/>
          <w:szCs w:val="22"/>
        </w:rPr>
        <w:t>Hons</w:t>
      </w:r>
      <w:proofErr w:type="spellEnd"/>
      <w:r w:rsidRPr="00A12F4B">
        <w:rPr>
          <w:rFonts w:ascii="Arial" w:hAnsi="Arial" w:cs="Arial"/>
          <w:b/>
          <w:bCs/>
          <w:sz w:val="22"/>
          <w:szCs w:val="22"/>
        </w:rPr>
        <w:t>) Health and Social Care</w:t>
      </w:r>
    </w:p>
    <w:p w14:paraId="43BA4E70" w14:textId="77777777" w:rsidR="00831233" w:rsidRPr="00A12F4B" w:rsidRDefault="00831233" w:rsidP="00831233">
      <w:pPr>
        <w:spacing w:line="360" w:lineRule="auto"/>
        <w:outlineLvl w:val="0"/>
        <w:rPr>
          <w:rFonts w:ascii="Arial" w:hAnsi="Arial" w:cs="Arial"/>
          <w:b/>
          <w:bCs/>
          <w:sz w:val="22"/>
          <w:szCs w:val="22"/>
        </w:rPr>
      </w:pPr>
    </w:p>
    <w:p w14:paraId="5D6008A2" w14:textId="77777777" w:rsidR="00831233" w:rsidRPr="00A12F4B" w:rsidRDefault="00831233" w:rsidP="0079043D">
      <w:pPr>
        <w:spacing w:line="360" w:lineRule="auto"/>
        <w:jc w:val="center"/>
        <w:outlineLvl w:val="0"/>
        <w:rPr>
          <w:rFonts w:ascii="Arial" w:hAnsi="Arial" w:cs="Arial"/>
          <w:b/>
          <w:bCs/>
          <w:sz w:val="22"/>
          <w:szCs w:val="22"/>
        </w:rPr>
      </w:pPr>
    </w:p>
    <w:p w14:paraId="7214AF1C" w14:textId="77777777" w:rsidR="00D225F1" w:rsidRPr="00A12F4B" w:rsidRDefault="00D225F1" w:rsidP="0079043D">
      <w:pPr>
        <w:spacing w:line="360" w:lineRule="auto"/>
        <w:jc w:val="center"/>
        <w:outlineLvl w:val="0"/>
        <w:rPr>
          <w:rFonts w:ascii="Arial" w:hAnsi="Arial" w:cs="Arial"/>
          <w:b/>
          <w:bCs/>
          <w:sz w:val="22"/>
          <w:szCs w:val="22"/>
        </w:rPr>
      </w:pPr>
      <w:r w:rsidRPr="00A12F4B">
        <w:rPr>
          <w:rFonts w:ascii="Arial" w:hAnsi="Arial" w:cs="Arial"/>
          <w:b/>
          <w:bCs/>
          <w:sz w:val="22"/>
          <w:szCs w:val="22"/>
        </w:rPr>
        <w:t>Module: Empowering the Older Person (BMHP6027_BIRM)</w:t>
      </w:r>
    </w:p>
    <w:p w14:paraId="3EC13870" w14:textId="77777777" w:rsidR="00EC64B7" w:rsidRPr="00A12F4B" w:rsidRDefault="00EC64B7" w:rsidP="0079043D">
      <w:pPr>
        <w:spacing w:line="360" w:lineRule="auto"/>
        <w:jc w:val="center"/>
        <w:outlineLvl w:val="0"/>
        <w:rPr>
          <w:rFonts w:ascii="Arial" w:hAnsi="Arial" w:cs="Arial"/>
          <w:sz w:val="22"/>
          <w:szCs w:val="22"/>
        </w:rPr>
      </w:pPr>
    </w:p>
    <w:p w14:paraId="1E8ECB12" w14:textId="77777777" w:rsidR="00D225F1" w:rsidRPr="00A12F4B" w:rsidRDefault="00D225F1" w:rsidP="0079043D">
      <w:pPr>
        <w:spacing w:line="360" w:lineRule="auto"/>
        <w:jc w:val="center"/>
        <w:outlineLvl w:val="0"/>
        <w:rPr>
          <w:rFonts w:ascii="Arial" w:hAnsi="Arial" w:cs="Arial"/>
          <w:sz w:val="22"/>
          <w:szCs w:val="22"/>
        </w:rPr>
      </w:pPr>
      <w:r w:rsidRPr="00A12F4B">
        <w:rPr>
          <w:rFonts w:ascii="Arial" w:hAnsi="Arial" w:cs="Arial"/>
          <w:b/>
          <w:bCs/>
          <w:sz w:val="22"/>
          <w:szCs w:val="22"/>
        </w:rPr>
        <w:t>Component 2</w:t>
      </w:r>
    </w:p>
    <w:p w14:paraId="67113BCA" w14:textId="77777777" w:rsidR="00D225F1" w:rsidRPr="00A12F4B" w:rsidRDefault="00D225F1" w:rsidP="00D225F1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159EF522" w14:textId="7561C104" w:rsidR="00EC64B7" w:rsidRPr="00A12F4B" w:rsidRDefault="00EC64B7" w:rsidP="00831233">
      <w:pPr>
        <w:spacing w:before="100" w:beforeAutospacing="1" w:after="100" w:afterAutospacing="1"/>
        <w:jc w:val="center"/>
        <w:outlineLvl w:val="0"/>
        <w:rPr>
          <w:rFonts w:ascii="Arial" w:hAnsi="Arial" w:cs="Arial"/>
          <w:b/>
          <w:bCs/>
          <w:lang w:eastAsia="en-GB"/>
        </w:rPr>
      </w:pPr>
      <w:r w:rsidRPr="00A12F4B">
        <w:rPr>
          <w:rFonts w:ascii="Arial" w:eastAsia="Times New Roman" w:hAnsi="Arial" w:cs="Arial"/>
          <w:b/>
          <w:bCs/>
          <w:kern w:val="36"/>
          <w:sz w:val="22"/>
          <w:szCs w:val="22"/>
          <w:lang w:eastAsia="en-GB"/>
        </w:rPr>
        <w:t xml:space="preserve">Debate </w:t>
      </w:r>
      <w:proofErr w:type="gramStart"/>
      <w:r w:rsidRPr="00A12F4B">
        <w:rPr>
          <w:rFonts w:ascii="Arial" w:eastAsia="Times New Roman" w:hAnsi="Arial" w:cs="Arial"/>
          <w:b/>
          <w:bCs/>
          <w:kern w:val="36"/>
          <w:sz w:val="22"/>
          <w:szCs w:val="22"/>
          <w:lang w:eastAsia="en-GB"/>
        </w:rPr>
        <w:t>Topic</w:t>
      </w:r>
      <w:r w:rsidRPr="00A12F4B">
        <w:rPr>
          <w:rFonts w:ascii="Arial" w:eastAsia="Times New Roman" w:hAnsi="Arial" w:cs="Arial"/>
          <w:b/>
          <w:bCs/>
          <w:kern w:val="36"/>
          <w:sz w:val="22"/>
          <w:szCs w:val="22"/>
          <w:lang w:eastAsia="en-GB"/>
        </w:rPr>
        <w:t xml:space="preserve"> :</w:t>
      </w:r>
      <w:proofErr w:type="gramEnd"/>
      <w:r w:rsidRPr="00A12F4B">
        <w:rPr>
          <w:rFonts w:ascii="Arial" w:eastAsia="Times New Roman" w:hAnsi="Arial" w:cs="Arial"/>
          <w:b/>
          <w:bCs/>
          <w:kern w:val="36"/>
          <w:sz w:val="22"/>
          <w:szCs w:val="22"/>
          <w:lang w:eastAsia="en-GB"/>
        </w:rPr>
        <w:t xml:space="preserve"> </w:t>
      </w:r>
      <w:r w:rsidRPr="00A12F4B">
        <w:rPr>
          <w:rFonts w:ascii="Arial" w:hAnsi="Arial" w:cs="Arial"/>
          <w:b/>
          <w:bCs/>
          <w:lang w:eastAsia="en-GB"/>
        </w:rPr>
        <w:t>“Digital technology empowers older people to live independently and</w:t>
      </w:r>
    </w:p>
    <w:p w14:paraId="27BDC599" w14:textId="423699E2" w:rsidR="00EC64B7" w:rsidRPr="00A12F4B" w:rsidRDefault="00EC64B7" w:rsidP="00831233">
      <w:pPr>
        <w:spacing w:before="100" w:beforeAutospacing="1" w:after="100" w:afterAutospacing="1"/>
        <w:jc w:val="center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en-GB"/>
        </w:rPr>
      </w:pPr>
      <w:r w:rsidRPr="00A12F4B">
        <w:rPr>
          <w:rFonts w:ascii="Arial" w:hAnsi="Arial" w:cs="Arial"/>
          <w:b/>
          <w:bCs/>
          <w:lang w:eastAsia="en-GB"/>
        </w:rPr>
        <w:t>improves their health and well-being.”</w:t>
      </w:r>
    </w:p>
    <w:p w14:paraId="10384FC7" w14:textId="77777777" w:rsidR="00D225F1" w:rsidRPr="00A12F4B" w:rsidRDefault="00D225F1" w:rsidP="00D225F1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5B595251" w14:textId="77777777" w:rsidR="00D225F1" w:rsidRPr="00A12F4B" w:rsidRDefault="00D225F1" w:rsidP="0079043D">
      <w:pPr>
        <w:spacing w:line="360" w:lineRule="auto"/>
        <w:jc w:val="center"/>
        <w:outlineLvl w:val="0"/>
        <w:rPr>
          <w:rFonts w:ascii="Arial" w:hAnsi="Arial" w:cs="Arial"/>
          <w:sz w:val="22"/>
          <w:szCs w:val="22"/>
        </w:rPr>
      </w:pPr>
      <w:r w:rsidRPr="00A12F4B">
        <w:rPr>
          <w:rFonts w:ascii="Arial" w:hAnsi="Arial" w:cs="Arial"/>
          <w:b/>
          <w:bCs/>
          <w:sz w:val="22"/>
          <w:szCs w:val="22"/>
        </w:rPr>
        <w:t xml:space="preserve">Student ID: </w:t>
      </w:r>
      <w:r w:rsidRPr="00A12F4B">
        <w:rPr>
          <w:rFonts w:ascii="Arial" w:hAnsi="Arial" w:cs="Arial"/>
          <w:b/>
          <w:bCs/>
          <w:sz w:val="22"/>
          <w:szCs w:val="22"/>
          <w:lang w:val="en-US"/>
        </w:rPr>
        <w:t>2316483</w:t>
      </w:r>
    </w:p>
    <w:p w14:paraId="0CB7E324" w14:textId="77777777" w:rsidR="00D225F1" w:rsidRPr="00A12F4B" w:rsidRDefault="00D225F1" w:rsidP="00D225F1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5919D45" w14:textId="77777777" w:rsidR="00D225F1" w:rsidRPr="00A12F4B" w:rsidRDefault="00D225F1" w:rsidP="0079043D">
      <w:pPr>
        <w:spacing w:line="360" w:lineRule="auto"/>
        <w:jc w:val="center"/>
        <w:outlineLvl w:val="0"/>
        <w:rPr>
          <w:rFonts w:ascii="Arial" w:hAnsi="Arial" w:cs="Arial"/>
          <w:b/>
          <w:bCs/>
          <w:sz w:val="22"/>
          <w:szCs w:val="22"/>
        </w:rPr>
      </w:pPr>
      <w:r w:rsidRPr="00A12F4B">
        <w:rPr>
          <w:rFonts w:ascii="Arial" w:hAnsi="Arial" w:cs="Arial"/>
          <w:b/>
          <w:bCs/>
          <w:sz w:val="22"/>
          <w:szCs w:val="22"/>
        </w:rPr>
        <w:t xml:space="preserve">Student Name: Hana </w:t>
      </w:r>
      <w:proofErr w:type="spellStart"/>
      <w:r w:rsidRPr="00A12F4B">
        <w:rPr>
          <w:rFonts w:ascii="Arial" w:hAnsi="Arial" w:cs="Arial"/>
          <w:b/>
          <w:bCs/>
          <w:sz w:val="22"/>
          <w:szCs w:val="22"/>
        </w:rPr>
        <w:t>Kiros</w:t>
      </w:r>
      <w:proofErr w:type="spellEnd"/>
    </w:p>
    <w:p w14:paraId="3E4B1497" w14:textId="77777777" w:rsidR="00D225F1" w:rsidRPr="00A12F4B" w:rsidRDefault="00D225F1" w:rsidP="00D225F1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161CB5B" w14:textId="77777777" w:rsidR="00D225F1" w:rsidRPr="00A12F4B" w:rsidRDefault="00D225F1" w:rsidP="0079043D">
      <w:pPr>
        <w:spacing w:line="360" w:lineRule="auto"/>
        <w:jc w:val="center"/>
        <w:outlineLvl w:val="0"/>
        <w:rPr>
          <w:rFonts w:ascii="Arial" w:hAnsi="Arial" w:cs="Arial"/>
          <w:sz w:val="22"/>
          <w:szCs w:val="22"/>
        </w:rPr>
      </w:pPr>
      <w:r w:rsidRPr="00A12F4B">
        <w:rPr>
          <w:rFonts w:ascii="Arial" w:hAnsi="Arial" w:cs="Arial"/>
          <w:b/>
          <w:bCs/>
          <w:sz w:val="22"/>
          <w:szCs w:val="22"/>
        </w:rPr>
        <w:t xml:space="preserve">Instructor Name:  Kennedy </w:t>
      </w:r>
      <w:proofErr w:type="spellStart"/>
      <w:r w:rsidRPr="00A12F4B">
        <w:rPr>
          <w:rFonts w:ascii="Arial" w:hAnsi="Arial" w:cs="Arial"/>
          <w:b/>
          <w:bCs/>
          <w:sz w:val="22"/>
          <w:szCs w:val="22"/>
        </w:rPr>
        <w:t>Obohwemu</w:t>
      </w:r>
      <w:proofErr w:type="spellEnd"/>
    </w:p>
    <w:p w14:paraId="7FC34E7A" w14:textId="77777777" w:rsidR="00C656B5" w:rsidRPr="00A12F4B" w:rsidRDefault="00A12F4B" w:rsidP="00D225F1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2A69828" w14:textId="77777777" w:rsidR="00D225F1" w:rsidRPr="00A12F4B" w:rsidRDefault="00D225F1" w:rsidP="00D225F1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4C27F77E" w14:textId="77777777" w:rsidR="00D225F1" w:rsidRPr="00A12F4B" w:rsidRDefault="00D225F1" w:rsidP="00D225F1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344E8920" w14:textId="77777777" w:rsidR="00D225F1" w:rsidRDefault="00D225F1" w:rsidP="00D225F1">
      <w:pPr>
        <w:spacing w:line="360" w:lineRule="auto"/>
        <w:jc w:val="center"/>
        <w:rPr>
          <w:sz w:val="22"/>
          <w:szCs w:val="22"/>
        </w:rPr>
      </w:pPr>
    </w:p>
    <w:p w14:paraId="43EF4DC4" w14:textId="77777777" w:rsidR="00D225F1" w:rsidRDefault="00D225F1" w:rsidP="00D225F1">
      <w:pPr>
        <w:spacing w:line="360" w:lineRule="auto"/>
        <w:jc w:val="center"/>
        <w:rPr>
          <w:sz w:val="22"/>
          <w:szCs w:val="22"/>
        </w:rPr>
      </w:pPr>
    </w:p>
    <w:p w14:paraId="4E873A6F" w14:textId="77777777" w:rsidR="00D225F1" w:rsidRDefault="00D225F1" w:rsidP="00D225F1">
      <w:pPr>
        <w:spacing w:line="360" w:lineRule="auto"/>
        <w:jc w:val="center"/>
        <w:rPr>
          <w:sz w:val="22"/>
          <w:szCs w:val="22"/>
        </w:rPr>
      </w:pPr>
    </w:p>
    <w:p w14:paraId="34D9932F" w14:textId="77777777" w:rsidR="00D225F1" w:rsidRDefault="00D225F1" w:rsidP="00D225F1">
      <w:pPr>
        <w:spacing w:line="360" w:lineRule="auto"/>
        <w:jc w:val="center"/>
        <w:rPr>
          <w:sz w:val="22"/>
          <w:szCs w:val="22"/>
        </w:rPr>
      </w:pPr>
    </w:p>
    <w:p w14:paraId="19F04A44" w14:textId="77777777" w:rsidR="00D225F1" w:rsidRDefault="00D225F1" w:rsidP="00D225F1">
      <w:pPr>
        <w:spacing w:line="360" w:lineRule="auto"/>
        <w:jc w:val="center"/>
        <w:rPr>
          <w:sz w:val="22"/>
          <w:szCs w:val="22"/>
        </w:rPr>
      </w:pPr>
    </w:p>
    <w:p w14:paraId="325DE487" w14:textId="77777777" w:rsidR="00D225F1" w:rsidRDefault="00D225F1" w:rsidP="00D225F1">
      <w:pPr>
        <w:spacing w:line="360" w:lineRule="auto"/>
        <w:jc w:val="center"/>
        <w:rPr>
          <w:sz w:val="22"/>
          <w:szCs w:val="22"/>
        </w:rPr>
      </w:pPr>
    </w:p>
    <w:p w14:paraId="5714D001" w14:textId="77777777" w:rsidR="00D225F1" w:rsidRDefault="00D225F1" w:rsidP="00D225F1">
      <w:pPr>
        <w:spacing w:line="360" w:lineRule="auto"/>
        <w:jc w:val="center"/>
        <w:rPr>
          <w:sz w:val="22"/>
          <w:szCs w:val="22"/>
        </w:rPr>
      </w:pPr>
    </w:p>
    <w:p w14:paraId="547CA2B5" w14:textId="77777777" w:rsidR="00D225F1" w:rsidRDefault="00D225F1" w:rsidP="00D225F1">
      <w:pPr>
        <w:spacing w:line="360" w:lineRule="auto"/>
        <w:jc w:val="center"/>
        <w:rPr>
          <w:sz w:val="22"/>
          <w:szCs w:val="22"/>
        </w:rPr>
      </w:pPr>
    </w:p>
    <w:p w14:paraId="12C7E5AE" w14:textId="77777777" w:rsidR="00D225F1" w:rsidRDefault="00D225F1" w:rsidP="00D225F1">
      <w:pPr>
        <w:spacing w:line="360" w:lineRule="auto"/>
        <w:jc w:val="center"/>
        <w:rPr>
          <w:sz w:val="22"/>
          <w:szCs w:val="22"/>
        </w:rPr>
      </w:pPr>
    </w:p>
    <w:p w14:paraId="731C238F" w14:textId="6530B784" w:rsidR="0079043D" w:rsidRPr="00A12F4B" w:rsidRDefault="0079043D" w:rsidP="0079043D">
      <w:pPr>
        <w:spacing w:before="100" w:beforeAutospacing="1" w:after="100" w:afterAutospacing="1"/>
        <w:jc w:val="center"/>
        <w:outlineLvl w:val="0"/>
        <w:rPr>
          <w:rFonts w:ascii="Arial" w:eastAsia="Times New Roman" w:hAnsi="Arial" w:cs="Arial"/>
          <w:b/>
          <w:bCs/>
          <w:kern w:val="36"/>
          <w:lang w:eastAsia="en-GB"/>
        </w:rPr>
      </w:pPr>
      <w:bookmarkStart w:id="0" w:name="_GoBack"/>
      <w:bookmarkEnd w:id="0"/>
      <w:r w:rsidRPr="00A12F4B">
        <w:rPr>
          <w:rFonts w:ascii="Arial" w:eastAsia="Times New Roman" w:hAnsi="Arial" w:cs="Arial"/>
          <w:b/>
          <w:bCs/>
          <w:kern w:val="36"/>
          <w:lang w:eastAsia="en-GB"/>
        </w:rPr>
        <w:lastRenderedPageBreak/>
        <w:t>REFERENCES</w:t>
      </w:r>
    </w:p>
    <w:p w14:paraId="198D2860" w14:textId="77777777" w:rsidR="0079043D" w:rsidRPr="0079043D" w:rsidRDefault="0079043D" w:rsidP="0079043D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2"/>
          <w:szCs w:val="22"/>
          <w:lang w:eastAsia="en-GB"/>
        </w:rPr>
      </w:pPr>
      <w:r w:rsidRPr="0079043D">
        <w:rPr>
          <w:rFonts w:ascii="Arial" w:hAnsi="Arial" w:cs="Arial"/>
          <w:sz w:val="22"/>
          <w:szCs w:val="22"/>
          <w:lang w:eastAsia="en-GB"/>
        </w:rPr>
        <w:t xml:space="preserve">Bandura, A. (1997) </w:t>
      </w:r>
      <w:r w:rsidRPr="0079043D">
        <w:rPr>
          <w:rFonts w:ascii="Arial" w:hAnsi="Arial" w:cs="Arial"/>
          <w:i/>
          <w:iCs/>
          <w:sz w:val="22"/>
          <w:szCs w:val="22"/>
          <w:lang w:eastAsia="en-GB"/>
        </w:rPr>
        <w:t>Self-efficacy: The exercise of control.</w:t>
      </w:r>
      <w:r w:rsidRPr="0079043D">
        <w:rPr>
          <w:rFonts w:ascii="Arial" w:hAnsi="Arial" w:cs="Arial"/>
          <w:sz w:val="22"/>
          <w:szCs w:val="22"/>
          <w:lang w:eastAsia="en-GB"/>
        </w:rPr>
        <w:t xml:space="preserve"> New York: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W.H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>. Freeman.</w:t>
      </w:r>
    </w:p>
    <w:p w14:paraId="5752B56D" w14:textId="77777777" w:rsidR="0079043D" w:rsidRPr="0079043D" w:rsidRDefault="0079043D" w:rsidP="0079043D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2"/>
          <w:szCs w:val="22"/>
          <w:lang w:eastAsia="en-GB"/>
        </w:rPr>
      </w:pPr>
      <w:r w:rsidRPr="0079043D">
        <w:rPr>
          <w:rFonts w:ascii="Arial" w:hAnsi="Arial" w:cs="Arial"/>
          <w:sz w:val="22"/>
          <w:szCs w:val="22"/>
          <w:lang w:eastAsia="en-GB"/>
        </w:rPr>
        <w:t xml:space="preserve">Chen,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Y.R.R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. and Schulz,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P.J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. (2016) ‘The effect of information communication technology interventions on reducing social isolation in the elderly’, </w:t>
      </w:r>
      <w:r w:rsidRPr="0079043D">
        <w:rPr>
          <w:rFonts w:ascii="Arial" w:hAnsi="Arial" w:cs="Arial"/>
          <w:i/>
          <w:iCs/>
          <w:sz w:val="22"/>
          <w:szCs w:val="22"/>
          <w:lang w:eastAsia="en-GB"/>
        </w:rPr>
        <w:t>Journal of Medical Internet Research</w:t>
      </w:r>
      <w:r w:rsidRPr="0079043D">
        <w:rPr>
          <w:rFonts w:ascii="Arial" w:hAnsi="Arial" w:cs="Arial"/>
          <w:sz w:val="22"/>
          <w:szCs w:val="22"/>
          <w:lang w:eastAsia="en-GB"/>
        </w:rPr>
        <w:t>, 18(1), e18.</w:t>
      </w:r>
    </w:p>
    <w:p w14:paraId="1B070C8A" w14:textId="77777777" w:rsidR="0079043D" w:rsidRPr="0079043D" w:rsidRDefault="0079043D" w:rsidP="0079043D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2"/>
          <w:szCs w:val="22"/>
          <w:lang w:eastAsia="en-GB"/>
        </w:rPr>
      </w:pPr>
      <w:r w:rsidRPr="0079043D">
        <w:rPr>
          <w:rFonts w:ascii="Arial" w:hAnsi="Arial" w:cs="Arial"/>
          <w:sz w:val="22"/>
          <w:szCs w:val="22"/>
          <w:lang w:eastAsia="en-GB"/>
        </w:rPr>
        <w:t xml:space="preserve">Choi,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N.G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., Hegel,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M.T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., Marti,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C.N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.,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Marinucci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M.L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. and Bruce,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M.L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>. (2014) ‘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Telehealth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 problem-solving therapy for depressed low-income homebound older adults’, </w:t>
      </w:r>
      <w:r w:rsidRPr="0079043D">
        <w:rPr>
          <w:rFonts w:ascii="Arial" w:hAnsi="Arial" w:cs="Arial"/>
          <w:i/>
          <w:iCs/>
          <w:sz w:val="22"/>
          <w:szCs w:val="22"/>
          <w:lang w:eastAsia="en-GB"/>
        </w:rPr>
        <w:t>American Journal of Geriatric Psychiatry</w:t>
      </w:r>
      <w:r w:rsidRPr="0079043D">
        <w:rPr>
          <w:rFonts w:ascii="Arial" w:hAnsi="Arial" w:cs="Arial"/>
          <w:sz w:val="22"/>
          <w:szCs w:val="22"/>
          <w:lang w:eastAsia="en-GB"/>
        </w:rPr>
        <w:t>, 22(3), pp. 263–271.</w:t>
      </w:r>
    </w:p>
    <w:p w14:paraId="7878B9DC" w14:textId="77777777" w:rsidR="0079043D" w:rsidRPr="0079043D" w:rsidRDefault="0079043D" w:rsidP="0079043D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2"/>
          <w:szCs w:val="22"/>
          <w:lang w:eastAsia="en-GB"/>
        </w:rPr>
      </w:pP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Czaja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S.J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. and Lee, C.C. (2007) ‘The impact of aging on access to technology’, </w:t>
      </w:r>
      <w:r w:rsidRPr="0079043D">
        <w:rPr>
          <w:rFonts w:ascii="Arial" w:hAnsi="Arial" w:cs="Arial"/>
          <w:i/>
          <w:iCs/>
          <w:sz w:val="22"/>
          <w:szCs w:val="22"/>
          <w:lang w:eastAsia="en-GB"/>
        </w:rPr>
        <w:t>Universal Access in the Information Society</w:t>
      </w:r>
      <w:r w:rsidRPr="0079043D">
        <w:rPr>
          <w:rFonts w:ascii="Arial" w:hAnsi="Arial" w:cs="Arial"/>
          <w:sz w:val="22"/>
          <w:szCs w:val="22"/>
          <w:lang w:eastAsia="en-GB"/>
        </w:rPr>
        <w:t>, 5(4), pp. 341–349.</w:t>
      </w:r>
    </w:p>
    <w:p w14:paraId="4A7F21CF" w14:textId="77777777" w:rsidR="0079043D" w:rsidRPr="0079043D" w:rsidRDefault="0079043D" w:rsidP="0079043D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2"/>
          <w:szCs w:val="22"/>
          <w:lang w:eastAsia="en-GB"/>
        </w:rPr>
      </w:pP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Czaja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S.J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., Boot, W.R.,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Charness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N. and Rogers,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W.A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. (2018) </w:t>
      </w:r>
      <w:r w:rsidRPr="0079043D">
        <w:rPr>
          <w:rFonts w:ascii="Arial" w:hAnsi="Arial" w:cs="Arial"/>
          <w:i/>
          <w:iCs/>
          <w:sz w:val="22"/>
          <w:szCs w:val="22"/>
          <w:lang w:eastAsia="en-GB"/>
        </w:rPr>
        <w:t>Designing for older adults: Principles and creative human factors approaches.</w:t>
      </w:r>
      <w:r w:rsidRPr="0079043D">
        <w:rPr>
          <w:rFonts w:ascii="Arial" w:hAnsi="Arial" w:cs="Arial"/>
          <w:sz w:val="22"/>
          <w:szCs w:val="22"/>
          <w:lang w:eastAsia="en-GB"/>
        </w:rPr>
        <w:t xml:space="preserve"> 3rd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edn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>. Boca Raton: CRC Press.</w:t>
      </w:r>
    </w:p>
    <w:p w14:paraId="77572581" w14:textId="01CECCBC" w:rsidR="0079043D" w:rsidRPr="0079043D" w:rsidRDefault="0079043D" w:rsidP="0079043D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2"/>
          <w:szCs w:val="22"/>
          <w:lang w:eastAsia="en-GB"/>
        </w:rPr>
      </w:pP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Greenhalgh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T.,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Wh</w:t>
      </w:r>
      <w:r w:rsidR="00FC3A26">
        <w:rPr>
          <w:rFonts w:ascii="Arial" w:hAnsi="Arial" w:cs="Arial"/>
          <w:sz w:val="22"/>
          <w:szCs w:val="22"/>
          <w:lang w:eastAsia="en-GB"/>
        </w:rPr>
        <w:t>erton</w:t>
      </w:r>
      <w:proofErr w:type="spellEnd"/>
      <w:r w:rsidR="00FC3A26">
        <w:rPr>
          <w:rFonts w:ascii="Arial" w:hAnsi="Arial" w:cs="Arial"/>
          <w:sz w:val="22"/>
          <w:szCs w:val="22"/>
          <w:lang w:eastAsia="en-GB"/>
        </w:rPr>
        <w:t xml:space="preserve">, J., </w:t>
      </w:r>
      <w:proofErr w:type="spellStart"/>
      <w:r w:rsidR="00FC3A26">
        <w:rPr>
          <w:rFonts w:ascii="Arial" w:hAnsi="Arial" w:cs="Arial"/>
          <w:sz w:val="22"/>
          <w:szCs w:val="22"/>
          <w:lang w:eastAsia="en-GB"/>
        </w:rPr>
        <w:t>Papoutsi</w:t>
      </w:r>
      <w:proofErr w:type="spellEnd"/>
      <w:r w:rsidR="00FC3A26">
        <w:rPr>
          <w:rFonts w:ascii="Arial" w:hAnsi="Arial" w:cs="Arial"/>
          <w:sz w:val="22"/>
          <w:szCs w:val="22"/>
          <w:lang w:eastAsia="en-GB"/>
        </w:rPr>
        <w:t xml:space="preserve">, C., Lynch, </w:t>
      </w:r>
      <w:r w:rsidRPr="0079043D">
        <w:rPr>
          <w:rFonts w:ascii="Arial" w:hAnsi="Arial" w:cs="Arial"/>
          <w:sz w:val="22"/>
          <w:szCs w:val="22"/>
          <w:lang w:eastAsia="en-GB"/>
        </w:rPr>
        <w:t xml:space="preserve">J., Hughes, G.,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A’Court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C., Hinder, S.,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Fahy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N., Procter, R. and Shaw, S. (2017) ‘Beyond adoption: A new framework for theorizing and evaluating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nonadoption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abandonment, and challenges to the scale-up of health and care technologies’, </w:t>
      </w:r>
      <w:r w:rsidRPr="0079043D">
        <w:rPr>
          <w:rFonts w:ascii="Arial" w:hAnsi="Arial" w:cs="Arial"/>
          <w:i/>
          <w:iCs/>
          <w:sz w:val="22"/>
          <w:szCs w:val="22"/>
          <w:lang w:eastAsia="en-GB"/>
        </w:rPr>
        <w:t>Journal of Medical Internet Research</w:t>
      </w:r>
      <w:r w:rsidRPr="0079043D">
        <w:rPr>
          <w:rFonts w:ascii="Arial" w:hAnsi="Arial" w:cs="Arial"/>
          <w:sz w:val="22"/>
          <w:szCs w:val="22"/>
          <w:lang w:eastAsia="en-GB"/>
        </w:rPr>
        <w:t>, 19(11), e367.</w:t>
      </w:r>
    </w:p>
    <w:p w14:paraId="6546CE9B" w14:textId="77777777" w:rsidR="0079043D" w:rsidRPr="0079043D" w:rsidRDefault="0079043D" w:rsidP="0079043D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2"/>
          <w:szCs w:val="22"/>
          <w:lang w:eastAsia="en-GB"/>
        </w:rPr>
      </w:pPr>
      <w:r w:rsidRPr="0079043D">
        <w:rPr>
          <w:rFonts w:ascii="Arial" w:hAnsi="Arial" w:cs="Arial"/>
          <w:sz w:val="22"/>
          <w:szCs w:val="22"/>
          <w:lang w:eastAsia="en-GB"/>
        </w:rPr>
        <w:t xml:space="preserve">Heart, T. and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Kalderon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E. (2013) ‘Older adults: Are they ready to adopt health-related ICT?’, </w:t>
      </w:r>
      <w:r w:rsidRPr="0079043D">
        <w:rPr>
          <w:rFonts w:ascii="Arial" w:hAnsi="Arial" w:cs="Arial"/>
          <w:i/>
          <w:iCs/>
          <w:sz w:val="22"/>
          <w:szCs w:val="22"/>
          <w:lang w:eastAsia="en-GB"/>
        </w:rPr>
        <w:t>International Journal of Medical Informatics</w:t>
      </w:r>
      <w:r w:rsidRPr="0079043D">
        <w:rPr>
          <w:rFonts w:ascii="Arial" w:hAnsi="Arial" w:cs="Arial"/>
          <w:sz w:val="22"/>
          <w:szCs w:val="22"/>
          <w:lang w:eastAsia="en-GB"/>
        </w:rPr>
        <w:t>, 82(11), pp. e209–e231.</w:t>
      </w:r>
    </w:p>
    <w:p w14:paraId="6870FD2D" w14:textId="77777777" w:rsidR="0079043D" w:rsidRPr="0079043D" w:rsidRDefault="0079043D" w:rsidP="0079043D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2"/>
          <w:szCs w:val="22"/>
          <w:lang w:eastAsia="en-GB"/>
        </w:rPr>
      </w:pPr>
      <w:r w:rsidRPr="0079043D">
        <w:rPr>
          <w:rFonts w:ascii="Arial" w:hAnsi="Arial" w:cs="Arial"/>
          <w:sz w:val="22"/>
          <w:szCs w:val="22"/>
          <w:lang w:eastAsia="en-GB"/>
        </w:rPr>
        <w:t xml:space="preserve">Joe, J. and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Demiris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G. (2013) ‘Older adults and mobile phones for health: A review’, </w:t>
      </w:r>
      <w:r w:rsidRPr="0079043D">
        <w:rPr>
          <w:rFonts w:ascii="Arial" w:hAnsi="Arial" w:cs="Arial"/>
          <w:i/>
          <w:iCs/>
          <w:sz w:val="22"/>
          <w:szCs w:val="22"/>
          <w:lang w:eastAsia="en-GB"/>
        </w:rPr>
        <w:t xml:space="preserve">Journal of Telemedicine and </w:t>
      </w:r>
      <w:proofErr w:type="spellStart"/>
      <w:r w:rsidRPr="0079043D">
        <w:rPr>
          <w:rFonts w:ascii="Arial" w:hAnsi="Arial" w:cs="Arial"/>
          <w:i/>
          <w:iCs/>
          <w:sz w:val="22"/>
          <w:szCs w:val="22"/>
          <w:lang w:eastAsia="en-GB"/>
        </w:rPr>
        <w:t>Telecare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>, 19(7), pp. 404–407.</w:t>
      </w:r>
    </w:p>
    <w:p w14:paraId="51ADA4A1" w14:textId="77777777" w:rsidR="0079043D" w:rsidRPr="0079043D" w:rsidRDefault="0079043D" w:rsidP="0079043D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2"/>
          <w:szCs w:val="22"/>
          <w:lang w:eastAsia="en-GB"/>
        </w:rPr>
      </w:pP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Khosravi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P. and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Ghapanchi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A.H. (2016) ‘Investigating the effectiveness of technologies applied to assist seniors’, </w:t>
      </w:r>
      <w:r w:rsidRPr="0079043D">
        <w:rPr>
          <w:rFonts w:ascii="Arial" w:hAnsi="Arial" w:cs="Arial"/>
          <w:i/>
          <w:iCs/>
          <w:sz w:val="22"/>
          <w:szCs w:val="22"/>
          <w:lang w:eastAsia="en-GB"/>
        </w:rPr>
        <w:t>International Journal of Medical Informatics</w:t>
      </w:r>
      <w:r w:rsidRPr="0079043D">
        <w:rPr>
          <w:rFonts w:ascii="Arial" w:hAnsi="Arial" w:cs="Arial"/>
          <w:sz w:val="22"/>
          <w:szCs w:val="22"/>
          <w:lang w:eastAsia="en-GB"/>
        </w:rPr>
        <w:t>, 85(1), pp. 17–26.</w:t>
      </w:r>
    </w:p>
    <w:p w14:paraId="0D9182F1" w14:textId="77777777" w:rsidR="0079043D" w:rsidRPr="0079043D" w:rsidRDefault="0079043D" w:rsidP="0079043D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2"/>
          <w:szCs w:val="22"/>
          <w:lang w:eastAsia="en-GB"/>
        </w:rPr>
      </w:pPr>
      <w:r w:rsidRPr="0079043D">
        <w:rPr>
          <w:rFonts w:ascii="Arial" w:hAnsi="Arial" w:cs="Arial"/>
          <w:sz w:val="22"/>
          <w:szCs w:val="22"/>
          <w:lang w:eastAsia="en-GB"/>
        </w:rPr>
        <w:t xml:space="preserve">Kruse,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C.S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.,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Krowski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>, N., Rodriguez, B., Tran, L., Vela, J. and Brooks, M. (2017) ‘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Telehealth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 and patient satisfaction: A systematic review and narrative analysis’, </w:t>
      </w:r>
      <w:proofErr w:type="spellStart"/>
      <w:r w:rsidRPr="0079043D">
        <w:rPr>
          <w:rFonts w:ascii="Arial" w:hAnsi="Arial" w:cs="Arial"/>
          <w:i/>
          <w:iCs/>
          <w:sz w:val="22"/>
          <w:szCs w:val="22"/>
          <w:lang w:eastAsia="en-GB"/>
        </w:rPr>
        <w:t>BMJ</w:t>
      </w:r>
      <w:proofErr w:type="spellEnd"/>
      <w:r w:rsidRPr="0079043D">
        <w:rPr>
          <w:rFonts w:ascii="Arial" w:hAnsi="Arial" w:cs="Arial"/>
          <w:i/>
          <w:iCs/>
          <w:sz w:val="22"/>
          <w:szCs w:val="22"/>
          <w:lang w:eastAsia="en-GB"/>
        </w:rPr>
        <w:t xml:space="preserve"> Open</w:t>
      </w:r>
      <w:r w:rsidRPr="0079043D">
        <w:rPr>
          <w:rFonts w:ascii="Arial" w:hAnsi="Arial" w:cs="Arial"/>
          <w:sz w:val="22"/>
          <w:szCs w:val="22"/>
          <w:lang w:eastAsia="en-GB"/>
        </w:rPr>
        <w:t>, 7(8), e016242.</w:t>
      </w:r>
    </w:p>
    <w:p w14:paraId="225911D9" w14:textId="77777777" w:rsidR="0079043D" w:rsidRPr="0079043D" w:rsidRDefault="0079043D" w:rsidP="0079043D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2"/>
          <w:szCs w:val="22"/>
          <w:lang w:eastAsia="en-GB"/>
        </w:rPr>
      </w:pPr>
      <w:r w:rsidRPr="0079043D">
        <w:rPr>
          <w:rFonts w:ascii="Arial" w:hAnsi="Arial" w:cs="Arial"/>
          <w:sz w:val="22"/>
          <w:szCs w:val="22"/>
          <w:lang w:eastAsia="en-GB"/>
        </w:rPr>
        <w:t xml:space="preserve">Lam, K. and Lee, D. (2006) ‘Digital inclusiveness: Longitudinal study of Internet adoption by older adults’, </w:t>
      </w:r>
      <w:r w:rsidRPr="0079043D">
        <w:rPr>
          <w:rFonts w:ascii="Arial" w:hAnsi="Arial" w:cs="Arial"/>
          <w:i/>
          <w:iCs/>
          <w:sz w:val="22"/>
          <w:szCs w:val="22"/>
          <w:lang w:eastAsia="en-GB"/>
        </w:rPr>
        <w:t>Journal of Management Information Systems</w:t>
      </w:r>
      <w:r w:rsidRPr="0079043D">
        <w:rPr>
          <w:rFonts w:ascii="Arial" w:hAnsi="Arial" w:cs="Arial"/>
          <w:sz w:val="22"/>
          <w:szCs w:val="22"/>
          <w:lang w:eastAsia="en-GB"/>
        </w:rPr>
        <w:t>, 22(4), pp. 177–206.</w:t>
      </w:r>
    </w:p>
    <w:p w14:paraId="4E0E7172" w14:textId="77777777" w:rsidR="0079043D" w:rsidRPr="0079043D" w:rsidRDefault="0079043D" w:rsidP="0079043D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2"/>
          <w:szCs w:val="22"/>
          <w:lang w:eastAsia="en-GB"/>
        </w:rPr>
      </w:pP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Mitzner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T.L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., Boron, J.B.,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Fausset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C.B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., Adams,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A.E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.,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Charness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N.,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Czaja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S.J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.,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Dijkstra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K., Fisk, A.D., Rogers,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W.A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. and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Sharit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J. (2010) ‘Older adults talk technology: Technology usage and attitudes’, </w:t>
      </w:r>
      <w:r w:rsidRPr="0079043D">
        <w:rPr>
          <w:rFonts w:ascii="Arial" w:hAnsi="Arial" w:cs="Arial"/>
          <w:i/>
          <w:iCs/>
          <w:sz w:val="22"/>
          <w:szCs w:val="22"/>
          <w:lang w:eastAsia="en-GB"/>
        </w:rPr>
        <w:t xml:space="preserve">Computers in Human </w:t>
      </w:r>
      <w:proofErr w:type="spellStart"/>
      <w:r w:rsidRPr="0079043D">
        <w:rPr>
          <w:rFonts w:ascii="Arial" w:hAnsi="Arial" w:cs="Arial"/>
          <w:i/>
          <w:iCs/>
          <w:sz w:val="22"/>
          <w:szCs w:val="22"/>
          <w:lang w:eastAsia="en-GB"/>
        </w:rPr>
        <w:t>Behavior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>, 26(6), pp. 1710–1721.</w:t>
      </w:r>
    </w:p>
    <w:p w14:paraId="1B23046C" w14:textId="77777777" w:rsidR="0079043D" w:rsidRPr="0079043D" w:rsidRDefault="0079043D" w:rsidP="0079043D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2"/>
          <w:szCs w:val="22"/>
          <w:lang w:eastAsia="en-GB"/>
        </w:rPr>
      </w:pPr>
      <w:r w:rsidRPr="0079043D">
        <w:rPr>
          <w:rFonts w:ascii="Arial" w:hAnsi="Arial" w:cs="Arial"/>
          <w:sz w:val="22"/>
          <w:szCs w:val="22"/>
          <w:lang w:eastAsia="en-GB"/>
        </w:rPr>
        <w:t xml:space="preserve">Morris, M.E., Adair, B.,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Ozanne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E.,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Kurowski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W., Miller, K., Pearce,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A.J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., Santamaria, N., Long, M. and Said, C. (2014) ‘Smart technologies to enhance social connectedness in older people’, </w:t>
      </w:r>
      <w:r w:rsidRPr="0079043D">
        <w:rPr>
          <w:rFonts w:ascii="Arial" w:hAnsi="Arial" w:cs="Arial"/>
          <w:i/>
          <w:iCs/>
          <w:sz w:val="22"/>
          <w:szCs w:val="22"/>
          <w:lang w:eastAsia="en-GB"/>
        </w:rPr>
        <w:t>Journal of Aging and Health</w:t>
      </w:r>
      <w:r w:rsidRPr="0079043D">
        <w:rPr>
          <w:rFonts w:ascii="Arial" w:hAnsi="Arial" w:cs="Arial"/>
          <w:sz w:val="22"/>
          <w:szCs w:val="22"/>
          <w:lang w:eastAsia="en-GB"/>
        </w:rPr>
        <w:t>, 26(5), pp. 870–896.</w:t>
      </w:r>
    </w:p>
    <w:p w14:paraId="296D6D31" w14:textId="77777777" w:rsidR="0079043D" w:rsidRPr="0079043D" w:rsidRDefault="0079043D" w:rsidP="0079043D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2"/>
          <w:szCs w:val="22"/>
          <w:lang w:eastAsia="en-GB"/>
        </w:rPr>
      </w:pPr>
      <w:r w:rsidRPr="0079043D">
        <w:rPr>
          <w:rFonts w:ascii="Arial" w:hAnsi="Arial" w:cs="Arial"/>
          <w:sz w:val="22"/>
          <w:szCs w:val="22"/>
          <w:lang w:eastAsia="en-GB"/>
        </w:rPr>
        <w:t xml:space="preserve">Peek,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S.T.M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.,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Wouters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E.J.M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., van Hoof, J.,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Luijkx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K.G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.,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Boeije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H.R.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 and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Vrijhoef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H.J.M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. (2016) ‘Factors influencing acceptance of technology for aging in place’, </w:t>
      </w:r>
      <w:r w:rsidRPr="0079043D">
        <w:rPr>
          <w:rFonts w:ascii="Arial" w:hAnsi="Arial" w:cs="Arial"/>
          <w:i/>
          <w:iCs/>
          <w:sz w:val="22"/>
          <w:szCs w:val="22"/>
          <w:lang w:eastAsia="en-GB"/>
        </w:rPr>
        <w:t>International Journal of Medical Informatics</w:t>
      </w:r>
      <w:r w:rsidRPr="0079043D">
        <w:rPr>
          <w:rFonts w:ascii="Arial" w:hAnsi="Arial" w:cs="Arial"/>
          <w:sz w:val="22"/>
          <w:szCs w:val="22"/>
          <w:lang w:eastAsia="en-GB"/>
        </w:rPr>
        <w:t>, 83(4), pp. 235–248.</w:t>
      </w:r>
    </w:p>
    <w:p w14:paraId="6602AEFD" w14:textId="77777777" w:rsidR="0079043D" w:rsidRPr="0079043D" w:rsidRDefault="0079043D" w:rsidP="0079043D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2"/>
          <w:szCs w:val="22"/>
          <w:lang w:eastAsia="en-GB"/>
        </w:rPr>
      </w:pPr>
      <w:r w:rsidRPr="0079043D">
        <w:rPr>
          <w:rFonts w:ascii="Arial" w:hAnsi="Arial" w:cs="Arial"/>
          <w:sz w:val="22"/>
          <w:szCs w:val="22"/>
          <w:lang w:eastAsia="en-GB"/>
        </w:rPr>
        <w:t xml:space="preserve">Rogers,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W.A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. and Fisk, A.D. (2010) ‘Toward a psychological science of advanced technology design for older adults’, </w:t>
      </w:r>
      <w:r w:rsidRPr="0079043D">
        <w:rPr>
          <w:rFonts w:ascii="Arial" w:hAnsi="Arial" w:cs="Arial"/>
          <w:i/>
          <w:iCs/>
          <w:sz w:val="22"/>
          <w:szCs w:val="22"/>
          <w:lang w:eastAsia="en-GB"/>
        </w:rPr>
        <w:t>Journal of Applied Gerontology</w:t>
      </w:r>
      <w:r w:rsidRPr="0079043D">
        <w:rPr>
          <w:rFonts w:ascii="Arial" w:hAnsi="Arial" w:cs="Arial"/>
          <w:sz w:val="22"/>
          <w:szCs w:val="22"/>
          <w:lang w:eastAsia="en-GB"/>
        </w:rPr>
        <w:t>, 29(4), pp. 401–422.</w:t>
      </w:r>
    </w:p>
    <w:p w14:paraId="100016F9" w14:textId="77777777" w:rsidR="0079043D" w:rsidRPr="0079043D" w:rsidRDefault="0079043D" w:rsidP="0079043D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2"/>
          <w:szCs w:val="22"/>
          <w:lang w:eastAsia="en-GB"/>
        </w:rPr>
      </w:pPr>
      <w:r w:rsidRPr="0079043D">
        <w:rPr>
          <w:rFonts w:ascii="Arial" w:hAnsi="Arial" w:cs="Arial"/>
          <w:sz w:val="22"/>
          <w:szCs w:val="22"/>
          <w:lang w:eastAsia="en-GB"/>
        </w:rPr>
        <w:t xml:space="preserve">United Nations (2020) </w:t>
      </w:r>
      <w:r w:rsidRPr="0079043D">
        <w:rPr>
          <w:rFonts w:ascii="Arial" w:hAnsi="Arial" w:cs="Arial"/>
          <w:i/>
          <w:iCs/>
          <w:sz w:val="22"/>
          <w:szCs w:val="22"/>
          <w:lang w:eastAsia="en-GB"/>
        </w:rPr>
        <w:t>Decade of Healthy Ageing 2021–2030.</w:t>
      </w:r>
      <w:r w:rsidRPr="0079043D">
        <w:rPr>
          <w:rFonts w:ascii="Arial" w:hAnsi="Arial" w:cs="Arial"/>
          <w:sz w:val="22"/>
          <w:szCs w:val="22"/>
          <w:lang w:eastAsia="en-GB"/>
        </w:rPr>
        <w:t xml:space="preserve"> New York: United Nations.</w:t>
      </w:r>
    </w:p>
    <w:p w14:paraId="6E7E19FB" w14:textId="77777777" w:rsidR="0079043D" w:rsidRPr="0079043D" w:rsidRDefault="0079043D" w:rsidP="0079043D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2"/>
          <w:szCs w:val="22"/>
          <w:lang w:eastAsia="en-GB"/>
        </w:rPr>
      </w:pP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Vaportzis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E., Clausen,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M.G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. and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Gow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A.J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. (2017) ‘Older adults’ perceptions of technology and barriers to interacting with tablet computers’, </w:t>
      </w:r>
      <w:r w:rsidRPr="0079043D">
        <w:rPr>
          <w:rFonts w:ascii="Arial" w:hAnsi="Arial" w:cs="Arial"/>
          <w:i/>
          <w:iCs/>
          <w:sz w:val="22"/>
          <w:szCs w:val="22"/>
          <w:lang w:eastAsia="en-GB"/>
        </w:rPr>
        <w:t>Frontiers in Psychology</w:t>
      </w:r>
      <w:r w:rsidRPr="0079043D">
        <w:rPr>
          <w:rFonts w:ascii="Arial" w:hAnsi="Arial" w:cs="Arial"/>
          <w:sz w:val="22"/>
          <w:szCs w:val="22"/>
          <w:lang w:eastAsia="en-GB"/>
        </w:rPr>
        <w:t>, 8, p. 1687.</w:t>
      </w:r>
    </w:p>
    <w:p w14:paraId="76B7B5FB" w14:textId="77777777" w:rsidR="0079043D" w:rsidRPr="0079043D" w:rsidRDefault="0079043D" w:rsidP="0079043D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2"/>
          <w:szCs w:val="22"/>
          <w:lang w:eastAsia="en-GB"/>
        </w:rPr>
      </w:pPr>
      <w:r w:rsidRPr="0079043D">
        <w:rPr>
          <w:rFonts w:ascii="Arial" w:hAnsi="Arial" w:cs="Arial"/>
          <w:sz w:val="22"/>
          <w:szCs w:val="22"/>
          <w:lang w:eastAsia="en-GB"/>
        </w:rPr>
        <w:t xml:space="preserve">Wagner, N., </w:t>
      </w: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Hassanein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K. and Head, M. (2010) ‘Computer use by older adults: A multi-disciplinary review’, </w:t>
      </w:r>
      <w:r w:rsidRPr="0079043D">
        <w:rPr>
          <w:rFonts w:ascii="Arial" w:hAnsi="Arial" w:cs="Arial"/>
          <w:i/>
          <w:iCs/>
          <w:sz w:val="22"/>
          <w:szCs w:val="22"/>
          <w:lang w:eastAsia="en-GB"/>
        </w:rPr>
        <w:t xml:space="preserve">Computers in Human </w:t>
      </w:r>
      <w:proofErr w:type="spellStart"/>
      <w:r w:rsidRPr="0079043D">
        <w:rPr>
          <w:rFonts w:ascii="Arial" w:hAnsi="Arial" w:cs="Arial"/>
          <w:i/>
          <w:iCs/>
          <w:sz w:val="22"/>
          <w:szCs w:val="22"/>
          <w:lang w:eastAsia="en-GB"/>
        </w:rPr>
        <w:t>Behavior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>, 26(5), pp. 870–882.</w:t>
      </w:r>
    </w:p>
    <w:p w14:paraId="00CD4B82" w14:textId="77777777" w:rsidR="0079043D" w:rsidRPr="0079043D" w:rsidRDefault="0079043D" w:rsidP="0079043D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2"/>
          <w:szCs w:val="22"/>
          <w:lang w:eastAsia="en-GB"/>
        </w:rPr>
      </w:pPr>
      <w:proofErr w:type="spellStart"/>
      <w:r w:rsidRPr="0079043D">
        <w:rPr>
          <w:rFonts w:ascii="Arial" w:hAnsi="Arial" w:cs="Arial"/>
          <w:sz w:val="22"/>
          <w:szCs w:val="22"/>
          <w:lang w:eastAsia="en-GB"/>
        </w:rPr>
        <w:t>Xie</w:t>
      </w:r>
      <w:proofErr w:type="spellEnd"/>
      <w:r w:rsidRPr="0079043D">
        <w:rPr>
          <w:rFonts w:ascii="Arial" w:hAnsi="Arial" w:cs="Arial"/>
          <w:sz w:val="22"/>
          <w:szCs w:val="22"/>
          <w:lang w:eastAsia="en-GB"/>
        </w:rPr>
        <w:t xml:space="preserve">, B. (2011) ‘Older adults, e-health literacy, and collaborative learning: An experimental study’, </w:t>
      </w:r>
      <w:r w:rsidRPr="0079043D">
        <w:rPr>
          <w:rFonts w:ascii="Arial" w:hAnsi="Arial" w:cs="Arial"/>
          <w:i/>
          <w:iCs/>
          <w:sz w:val="22"/>
          <w:szCs w:val="22"/>
          <w:lang w:eastAsia="en-GB"/>
        </w:rPr>
        <w:t>Journal of the American Society for Information Science and Technology</w:t>
      </w:r>
      <w:r w:rsidRPr="0079043D">
        <w:rPr>
          <w:rFonts w:ascii="Arial" w:hAnsi="Arial" w:cs="Arial"/>
          <w:sz w:val="22"/>
          <w:szCs w:val="22"/>
          <w:lang w:eastAsia="en-GB"/>
        </w:rPr>
        <w:t>, 62(11), pp. 2207–2217.</w:t>
      </w:r>
    </w:p>
    <w:p w14:paraId="5ED66E4D" w14:textId="77777777" w:rsidR="0079043D" w:rsidRPr="0079043D" w:rsidRDefault="0079043D" w:rsidP="0079043D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2"/>
          <w:szCs w:val="22"/>
          <w:lang w:eastAsia="en-GB"/>
        </w:rPr>
      </w:pPr>
      <w:r w:rsidRPr="0079043D">
        <w:rPr>
          <w:rFonts w:ascii="Arial" w:hAnsi="Arial" w:cs="Arial"/>
          <w:sz w:val="22"/>
          <w:szCs w:val="22"/>
          <w:lang w:eastAsia="en-GB"/>
        </w:rPr>
        <w:t xml:space="preserve">World Health Organization (2015) </w:t>
      </w:r>
      <w:r w:rsidRPr="0079043D">
        <w:rPr>
          <w:rFonts w:ascii="Arial" w:hAnsi="Arial" w:cs="Arial"/>
          <w:i/>
          <w:iCs/>
          <w:sz w:val="22"/>
          <w:szCs w:val="22"/>
          <w:lang w:eastAsia="en-GB"/>
        </w:rPr>
        <w:t>World report on ageing and health.</w:t>
      </w:r>
      <w:r w:rsidRPr="0079043D">
        <w:rPr>
          <w:rFonts w:ascii="Arial" w:hAnsi="Arial" w:cs="Arial"/>
          <w:sz w:val="22"/>
          <w:szCs w:val="22"/>
          <w:lang w:eastAsia="en-GB"/>
        </w:rPr>
        <w:t xml:space="preserve"> Geneva: WHO.</w:t>
      </w:r>
    </w:p>
    <w:p w14:paraId="63526307" w14:textId="77777777" w:rsidR="0079043D" w:rsidRPr="00D42B05" w:rsidRDefault="0079043D" w:rsidP="0079043D">
      <w:pPr>
        <w:rPr>
          <w:rFonts w:ascii="Times New Roman" w:eastAsia="Times New Roman" w:hAnsi="Times New Roman" w:cs="Times New Roman"/>
          <w:lang w:eastAsia="en-GB"/>
        </w:rPr>
      </w:pPr>
    </w:p>
    <w:p w14:paraId="19C30D32" w14:textId="77777777" w:rsidR="00D225F1" w:rsidRDefault="00D225F1" w:rsidP="00D225F1">
      <w:pPr>
        <w:spacing w:line="360" w:lineRule="auto"/>
        <w:jc w:val="center"/>
        <w:rPr>
          <w:sz w:val="22"/>
          <w:szCs w:val="22"/>
        </w:rPr>
      </w:pPr>
    </w:p>
    <w:p w14:paraId="6ADDE77E" w14:textId="77777777" w:rsidR="00D225F1" w:rsidRDefault="00D225F1" w:rsidP="00D225F1">
      <w:pPr>
        <w:spacing w:line="360" w:lineRule="auto"/>
        <w:jc w:val="center"/>
        <w:rPr>
          <w:sz w:val="22"/>
          <w:szCs w:val="22"/>
        </w:rPr>
      </w:pPr>
    </w:p>
    <w:p w14:paraId="5E06ACAE" w14:textId="77777777" w:rsidR="00D225F1" w:rsidRPr="00D225F1" w:rsidRDefault="00D225F1" w:rsidP="00D225F1">
      <w:pPr>
        <w:spacing w:line="360" w:lineRule="auto"/>
        <w:jc w:val="center"/>
        <w:rPr>
          <w:sz w:val="22"/>
          <w:szCs w:val="22"/>
        </w:rPr>
      </w:pPr>
    </w:p>
    <w:sectPr w:rsidR="00D225F1" w:rsidRPr="00D225F1" w:rsidSect="00E2186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167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225F1"/>
    <w:rsid w:val="00214A5B"/>
    <w:rsid w:val="00586599"/>
    <w:rsid w:val="00653087"/>
    <w:rsid w:val="0079043D"/>
    <w:rsid w:val="007B0AC6"/>
    <w:rsid w:val="00831233"/>
    <w:rsid w:val="00A12F4B"/>
    <w:rsid w:val="00CE4690"/>
    <w:rsid w:val="00D225F1"/>
    <w:rsid w:val="00D4134E"/>
    <w:rsid w:val="00E21866"/>
    <w:rsid w:val="00EC64B7"/>
    <w:rsid w:val="00FC3A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9162023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64585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3</Pages>
  <Words>591</Words>
  <Characters>3369</Characters>
  <Application>Microsoft Macintosh Word</Application>
  <DocSecurity>0</DocSecurity>
  <Lines>28</Lines>
  <Paragraphs>7</Paragraphs>
  <ScaleCrop>false</ScaleCrop>
  <LinksUpToDate>false</LinksUpToDate>
  <CharactersWithSpaces>3953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9</cp:revision>
  <dcterms:created xsi:type="dcterms:W3CDTF">2026-03-11T18:27:00Z</dcterms:created>
  <dcterms:modified xsi:type="dcterms:W3CDTF">2026-03-14T17:40:00Z</dcterms:modified>
</cp:coreProperties>
</file>