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3F050" w14:textId="77777777" w:rsidR="004514B0" w:rsidRDefault="004514B0" w:rsidP="004514B0">
      <w:pPr>
        <w:jc w:val="center"/>
        <w:rPr>
          <w:rFonts w:ascii="Arial" w:eastAsia="Arial" w:hAnsi="Arial"/>
          <w:b/>
          <w:sz w:val="36"/>
        </w:rPr>
      </w:pPr>
      <w:r w:rsidRPr="00743378">
        <w:rPr>
          <w:rFonts w:ascii="Arial" w:hAnsi="Arial" w:cs="Arial"/>
          <w:b/>
          <w:noProof/>
        </w:rPr>
        <w:drawing>
          <wp:inline distT="0" distB="0" distL="0" distR="0" wp14:anchorId="37ADF703" wp14:editId="27E9F439">
            <wp:extent cx="4514215" cy="1734185"/>
            <wp:effectExtent l="0" t="0" r="635" b="0"/>
            <wp:docPr id="71807217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72174"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4215" cy="1734185"/>
                    </a:xfrm>
                    <a:prstGeom prst="rect">
                      <a:avLst/>
                    </a:prstGeom>
                    <a:noFill/>
                    <a:ln>
                      <a:noFill/>
                    </a:ln>
                  </pic:spPr>
                </pic:pic>
              </a:graphicData>
            </a:graphic>
          </wp:inline>
        </w:drawing>
      </w:r>
    </w:p>
    <w:p w14:paraId="1D06F55F" w14:textId="77777777" w:rsidR="004514B0" w:rsidRPr="00D674F1" w:rsidRDefault="004514B0" w:rsidP="00D674F1">
      <w:pPr>
        <w:pStyle w:val="Heading1"/>
        <w:jc w:val="center"/>
        <w:rPr>
          <w:rFonts w:ascii="Arial" w:hAnsi="Arial" w:cs="Arial"/>
          <w:sz w:val="28"/>
          <w:szCs w:val="28"/>
        </w:rPr>
      </w:pPr>
      <w:r w:rsidRPr="00D674F1">
        <w:rPr>
          <w:rFonts w:ascii="Arial" w:hAnsi="Arial" w:cs="Arial"/>
          <w:sz w:val="28"/>
          <w:szCs w:val="28"/>
        </w:rPr>
        <w:t>Innovation &amp; Customer Journey</w:t>
      </w:r>
    </w:p>
    <w:p w14:paraId="2EFFFBDA" w14:textId="77777777" w:rsidR="004514B0" w:rsidRPr="00467E36" w:rsidRDefault="004514B0" w:rsidP="004514B0">
      <w:pPr>
        <w:jc w:val="center"/>
      </w:pPr>
    </w:p>
    <w:p w14:paraId="2D6DB8D5" w14:textId="77777777" w:rsidR="004514B0" w:rsidRPr="00681518" w:rsidRDefault="004514B0" w:rsidP="004514B0">
      <w:pPr>
        <w:jc w:val="center"/>
        <w:rPr>
          <w:rFonts w:ascii="Arial" w:hAnsi="Arial" w:cs="Arial"/>
        </w:rPr>
      </w:pPr>
      <w:r w:rsidRPr="00681518">
        <w:rPr>
          <w:rFonts w:ascii="Arial" w:eastAsia="Arial" w:hAnsi="Arial" w:cs="Arial"/>
        </w:rPr>
        <w:t>Student Name: Suleha Begum Azad</w:t>
      </w:r>
    </w:p>
    <w:p w14:paraId="655886AA" w14:textId="77777777" w:rsidR="004514B0" w:rsidRPr="00681518" w:rsidRDefault="004514B0" w:rsidP="004514B0">
      <w:pPr>
        <w:jc w:val="center"/>
        <w:rPr>
          <w:rFonts w:ascii="Arial" w:hAnsi="Arial" w:cs="Arial"/>
        </w:rPr>
      </w:pPr>
      <w:r w:rsidRPr="00681518">
        <w:rPr>
          <w:rFonts w:ascii="Arial" w:eastAsia="Arial" w:hAnsi="Arial" w:cs="Arial"/>
        </w:rPr>
        <w:t>Student Number: 2325115</w:t>
      </w:r>
    </w:p>
    <w:p w14:paraId="103305F2" w14:textId="77777777" w:rsidR="004514B0" w:rsidRPr="00681518" w:rsidRDefault="004514B0" w:rsidP="004514B0">
      <w:pPr>
        <w:jc w:val="center"/>
        <w:rPr>
          <w:rFonts w:ascii="Arial" w:hAnsi="Arial" w:cs="Arial"/>
        </w:rPr>
      </w:pPr>
      <w:r w:rsidRPr="00681518">
        <w:rPr>
          <w:rFonts w:ascii="Arial" w:eastAsia="Arial" w:hAnsi="Arial" w:cs="Arial"/>
        </w:rPr>
        <w:t xml:space="preserve">Module Code and Title: LCLM 6002 </w:t>
      </w:r>
      <w:r w:rsidRPr="00681518">
        <w:rPr>
          <w:rFonts w:ascii="Arial" w:hAnsi="Arial" w:cs="Arial"/>
        </w:rPr>
        <w:t>Design Thinking and Innovation</w:t>
      </w:r>
    </w:p>
    <w:p w14:paraId="1077D4C2" w14:textId="6E94E6CA" w:rsidR="004514B0" w:rsidRPr="00681518" w:rsidRDefault="004514B0" w:rsidP="004514B0">
      <w:pPr>
        <w:jc w:val="center"/>
        <w:rPr>
          <w:rFonts w:ascii="Arial" w:hAnsi="Arial" w:cs="Arial"/>
        </w:rPr>
      </w:pPr>
      <w:r w:rsidRPr="00681518">
        <w:rPr>
          <w:rFonts w:ascii="Arial" w:eastAsia="Arial" w:hAnsi="Arial" w:cs="Arial"/>
        </w:rPr>
        <w:t>Lecturer’s Name: Seyed</w:t>
      </w:r>
      <w:r>
        <w:rPr>
          <w:rFonts w:ascii="Arial" w:eastAsia="Arial" w:hAnsi="Arial" w:cs="Arial"/>
        </w:rPr>
        <w:t xml:space="preserve"> Navid</w:t>
      </w:r>
      <w:r w:rsidRPr="00681518">
        <w:rPr>
          <w:rFonts w:ascii="Arial" w:eastAsia="Arial" w:hAnsi="Arial" w:cs="Arial"/>
        </w:rPr>
        <w:t xml:space="preserve"> </w:t>
      </w:r>
      <w:proofErr w:type="spellStart"/>
      <w:r>
        <w:rPr>
          <w:rFonts w:ascii="Arial" w:eastAsia="Arial" w:hAnsi="Arial" w:cs="Arial"/>
        </w:rPr>
        <w:t>Nasirpourosgoei</w:t>
      </w:r>
      <w:proofErr w:type="spellEnd"/>
    </w:p>
    <w:p w14:paraId="6029C0A9" w14:textId="77777777" w:rsidR="004514B0" w:rsidRPr="00681518" w:rsidRDefault="004514B0" w:rsidP="004514B0">
      <w:pPr>
        <w:spacing w:before="100" w:beforeAutospacing="1" w:after="100" w:afterAutospacing="1"/>
        <w:jc w:val="center"/>
        <w:rPr>
          <w:rFonts w:ascii="Arial" w:hAnsi="Arial" w:cs="Arial"/>
          <w:b/>
          <w:bCs/>
          <w:color w:val="000000"/>
        </w:rPr>
      </w:pPr>
      <w:r w:rsidRPr="00681518">
        <w:rPr>
          <w:rFonts w:ascii="Arial" w:eastAsia="Arial" w:hAnsi="Arial" w:cs="Arial"/>
        </w:rPr>
        <w:t xml:space="preserve">Assignment Title: </w:t>
      </w:r>
      <w:r w:rsidRPr="00681518">
        <w:rPr>
          <w:rFonts w:ascii="Arial" w:hAnsi="Arial" w:cs="Arial"/>
          <w:color w:val="000000"/>
        </w:rPr>
        <w:t>Innovation &amp; Customer Journey</w:t>
      </w:r>
    </w:p>
    <w:p w14:paraId="3CD0F759" w14:textId="77777777" w:rsidR="004514B0" w:rsidRPr="00681518" w:rsidRDefault="004514B0" w:rsidP="004514B0">
      <w:pPr>
        <w:jc w:val="center"/>
        <w:rPr>
          <w:rFonts w:ascii="Arial" w:hAnsi="Arial" w:cs="Arial"/>
        </w:rPr>
      </w:pPr>
      <w:r w:rsidRPr="00681518">
        <w:rPr>
          <w:rFonts w:ascii="Arial" w:eastAsia="Arial" w:hAnsi="Arial" w:cs="Arial"/>
        </w:rPr>
        <w:t xml:space="preserve">Date: </w:t>
      </w:r>
      <w:r>
        <w:rPr>
          <w:rFonts w:ascii="Arial" w:eastAsia="Arial" w:hAnsi="Arial" w:cs="Arial"/>
        </w:rPr>
        <w:t>23</w:t>
      </w:r>
      <w:r w:rsidRPr="00681518">
        <w:rPr>
          <w:rFonts w:ascii="Arial" w:eastAsia="Arial" w:hAnsi="Arial" w:cs="Arial"/>
          <w:vertAlign w:val="superscript"/>
        </w:rPr>
        <w:t>rd</w:t>
      </w:r>
      <w:r>
        <w:rPr>
          <w:rFonts w:ascii="Arial" w:eastAsia="Arial" w:hAnsi="Arial" w:cs="Arial"/>
        </w:rPr>
        <w:t xml:space="preserve"> March 2026</w:t>
      </w:r>
    </w:p>
    <w:p w14:paraId="753D40C7" w14:textId="77777777" w:rsidR="004514B0" w:rsidRDefault="004514B0" w:rsidP="00AD1006">
      <w:pPr>
        <w:pStyle w:val="Heading2"/>
        <w:rPr>
          <w:rFonts w:ascii="Arial" w:hAnsi="Arial" w:cs="Arial"/>
          <w:sz w:val="28"/>
          <w:szCs w:val="28"/>
        </w:rPr>
      </w:pPr>
    </w:p>
    <w:p w14:paraId="57B34098" w14:textId="77777777" w:rsidR="004514B0" w:rsidRDefault="004514B0" w:rsidP="00AD1006">
      <w:pPr>
        <w:pStyle w:val="Heading2"/>
        <w:rPr>
          <w:rFonts w:ascii="Arial" w:hAnsi="Arial" w:cs="Arial"/>
          <w:sz w:val="28"/>
          <w:szCs w:val="28"/>
        </w:rPr>
      </w:pPr>
    </w:p>
    <w:p w14:paraId="32FDACF5" w14:textId="77777777" w:rsidR="004514B0" w:rsidRDefault="004514B0" w:rsidP="00AD1006">
      <w:pPr>
        <w:pStyle w:val="Heading2"/>
        <w:rPr>
          <w:rFonts w:ascii="Arial" w:hAnsi="Arial" w:cs="Arial"/>
          <w:sz w:val="28"/>
          <w:szCs w:val="28"/>
        </w:rPr>
      </w:pPr>
    </w:p>
    <w:p w14:paraId="7CD62AB7" w14:textId="77777777" w:rsidR="004514B0" w:rsidRDefault="004514B0" w:rsidP="00AD1006">
      <w:pPr>
        <w:pStyle w:val="Heading2"/>
        <w:rPr>
          <w:rFonts w:ascii="Arial" w:hAnsi="Arial" w:cs="Arial"/>
          <w:sz w:val="28"/>
          <w:szCs w:val="28"/>
        </w:rPr>
      </w:pPr>
    </w:p>
    <w:p w14:paraId="6EEAAE0C" w14:textId="77777777" w:rsidR="004514B0" w:rsidRDefault="004514B0" w:rsidP="00AD1006">
      <w:pPr>
        <w:pStyle w:val="Heading2"/>
        <w:rPr>
          <w:rFonts w:ascii="Arial" w:hAnsi="Arial" w:cs="Arial"/>
          <w:sz w:val="28"/>
          <w:szCs w:val="28"/>
        </w:rPr>
      </w:pPr>
    </w:p>
    <w:p w14:paraId="4A585918" w14:textId="77777777" w:rsidR="004514B0" w:rsidRDefault="004514B0" w:rsidP="00AD1006">
      <w:pPr>
        <w:pStyle w:val="Heading2"/>
        <w:rPr>
          <w:rFonts w:ascii="Arial" w:hAnsi="Arial" w:cs="Arial"/>
          <w:sz w:val="28"/>
          <w:szCs w:val="28"/>
        </w:rPr>
      </w:pPr>
    </w:p>
    <w:p w14:paraId="6196250F" w14:textId="77777777" w:rsidR="004514B0" w:rsidRDefault="004514B0" w:rsidP="00AD1006">
      <w:pPr>
        <w:pStyle w:val="Heading2"/>
        <w:rPr>
          <w:rFonts w:ascii="Arial" w:hAnsi="Arial" w:cs="Arial"/>
          <w:sz w:val="28"/>
          <w:szCs w:val="28"/>
        </w:rPr>
      </w:pPr>
    </w:p>
    <w:p w14:paraId="429D521D" w14:textId="77777777" w:rsidR="004514B0" w:rsidRDefault="004514B0" w:rsidP="00AD1006">
      <w:pPr>
        <w:pStyle w:val="Heading2"/>
        <w:rPr>
          <w:rFonts w:ascii="Arial" w:hAnsi="Arial" w:cs="Arial"/>
          <w:sz w:val="28"/>
          <w:szCs w:val="28"/>
        </w:rPr>
      </w:pPr>
    </w:p>
    <w:p w14:paraId="21D85DE3" w14:textId="77777777" w:rsidR="006436F5" w:rsidRDefault="006436F5" w:rsidP="006436F5"/>
    <w:p w14:paraId="1E7B5C9A" w14:textId="77777777" w:rsidR="006436F5" w:rsidRDefault="006436F5" w:rsidP="006436F5"/>
    <w:p w14:paraId="6F6A2581" w14:textId="77777777" w:rsidR="006436F5" w:rsidRDefault="006436F5" w:rsidP="006436F5"/>
    <w:p w14:paraId="31B5F2B9" w14:textId="77777777" w:rsidR="006436F5" w:rsidRDefault="006436F5" w:rsidP="006436F5"/>
    <w:p w14:paraId="64AACEFE" w14:textId="77777777" w:rsidR="006436F5" w:rsidRDefault="006436F5" w:rsidP="006436F5"/>
    <w:p w14:paraId="62893E2E" w14:textId="77777777" w:rsidR="006436F5" w:rsidRDefault="006436F5" w:rsidP="006436F5"/>
    <w:p w14:paraId="5B566A26" w14:textId="77777777" w:rsidR="006436F5" w:rsidRPr="006436F5" w:rsidRDefault="006436F5" w:rsidP="006436F5"/>
    <w:p w14:paraId="0E6D4787" w14:textId="58189873" w:rsidR="00F61208" w:rsidRDefault="00F61208" w:rsidP="00AD1006">
      <w:pPr>
        <w:pStyle w:val="Heading2"/>
        <w:rPr>
          <w:rFonts w:ascii="Arial" w:hAnsi="Arial" w:cs="Arial"/>
          <w:sz w:val="28"/>
          <w:szCs w:val="28"/>
        </w:rPr>
      </w:pPr>
      <w:r w:rsidRPr="00AD1006">
        <w:rPr>
          <w:rFonts w:ascii="Arial" w:hAnsi="Arial" w:cs="Arial"/>
          <w:sz w:val="28"/>
          <w:szCs w:val="28"/>
        </w:rPr>
        <w:lastRenderedPageBreak/>
        <w:t>Table of Contents</w:t>
      </w:r>
    </w:p>
    <w:p w14:paraId="6BBF9105" w14:textId="77777777" w:rsidR="00AD1006" w:rsidRPr="00AD1006" w:rsidRDefault="00AD1006" w:rsidP="00AD1006"/>
    <w:p w14:paraId="115DCE34" w14:textId="77777777" w:rsidR="00F61208" w:rsidRPr="00F61208" w:rsidRDefault="00F61208" w:rsidP="00847590">
      <w:pPr>
        <w:numPr>
          <w:ilvl w:val="0"/>
          <w:numId w:val="7"/>
        </w:numPr>
        <w:spacing w:line="360" w:lineRule="auto"/>
        <w:rPr>
          <w:rFonts w:ascii="Arial" w:hAnsi="Arial" w:cs="Arial"/>
        </w:rPr>
      </w:pPr>
      <w:r w:rsidRPr="00F61208">
        <w:rPr>
          <w:rFonts w:ascii="Arial" w:hAnsi="Arial" w:cs="Arial"/>
        </w:rPr>
        <w:t>Executive Summary</w:t>
      </w:r>
    </w:p>
    <w:p w14:paraId="56BC514B" w14:textId="77777777" w:rsidR="00F61208" w:rsidRPr="00F61208" w:rsidRDefault="00F61208" w:rsidP="00847590">
      <w:pPr>
        <w:numPr>
          <w:ilvl w:val="0"/>
          <w:numId w:val="7"/>
        </w:numPr>
        <w:spacing w:line="360" w:lineRule="auto"/>
        <w:rPr>
          <w:rFonts w:ascii="Arial" w:hAnsi="Arial" w:cs="Arial"/>
        </w:rPr>
      </w:pPr>
      <w:r w:rsidRPr="00F61208">
        <w:rPr>
          <w:rFonts w:ascii="Arial" w:hAnsi="Arial" w:cs="Arial"/>
        </w:rPr>
        <w:t>Introduction to Greggs plc</w:t>
      </w:r>
      <w:r w:rsidRPr="00F61208">
        <w:rPr>
          <w:rFonts w:ascii="Arial" w:hAnsi="Arial" w:cs="Arial"/>
        </w:rPr>
        <w:br/>
      </w:r>
      <w:r w:rsidRPr="00F61208">
        <w:rPr>
          <w:rFonts w:ascii="Arial" w:hAnsi="Arial" w:cs="Arial"/>
        </w:rPr>
        <w:t> </w:t>
      </w:r>
      <w:r w:rsidRPr="00F61208">
        <w:rPr>
          <w:rFonts w:ascii="Arial" w:hAnsi="Arial" w:cs="Arial"/>
        </w:rPr>
        <w:t>2.1 Organisational overview and business model</w:t>
      </w:r>
      <w:r w:rsidRPr="00F61208">
        <w:rPr>
          <w:rFonts w:ascii="Arial" w:hAnsi="Arial" w:cs="Arial"/>
        </w:rPr>
        <w:br/>
      </w:r>
      <w:r w:rsidRPr="00F61208">
        <w:rPr>
          <w:rFonts w:ascii="Arial" w:hAnsi="Arial" w:cs="Arial"/>
        </w:rPr>
        <w:t> </w:t>
      </w:r>
      <w:r w:rsidRPr="00F61208">
        <w:rPr>
          <w:rFonts w:ascii="Arial" w:hAnsi="Arial" w:cs="Arial"/>
        </w:rPr>
        <w:t>2.2 Strategic context and innovation challenge</w:t>
      </w:r>
    </w:p>
    <w:p w14:paraId="11879120" w14:textId="77777777" w:rsidR="00F61208" w:rsidRPr="00F61208" w:rsidRDefault="00F61208" w:rsidP="00847590">
      <w:pPr>
        <w:numPr>
          <w:ilvl w:val="0"/>
          <w:numId w:val="7"/>
        </w:numPr>
        <w:spacing w:line="360" w:lineRule="auto"/>
        <w:rPr>
          <w:rFonts w:ascii="Arial" w:hAnsi="Arial" w:cs="Arial"/>
        </w:rPr>
      </w:pPr>
      <w:r w:rsidRPr="00F61208">
        <w:rPr>
          <w:rFonts w:ascii="Arial" w:hAnsi="Arial" w:cs="Arial"/>
        </w:rPr>
        <w:t>Key Consumer and Industry Trends Affecting Greggs</w:t>
      </w:r>
      <w:r w:rsidRPr="00F61208">
        <w:rPr>
          <w:rFonts w:ascii="Arial" w:hAnsi="Arial" w:cs="Arial"/>
        </w:rPr>
        <w:br/>
      </w:r>
      <w:r w:rsidRPr="00F61208">
        <w:rPr>
          <w:rFonts w:ascii="Arial" w:hAnsi="Arial" w:cs="Arial"/>
        </w:rPr>
        <w:t> </w:t>
      </w:r>
      <w:r w:rsidRPr="00F61208">
        <w:rPr>
          <w:rFonts w:ascii="Arial" w:hAnsi="Arial" w:cs="Arial"/>
        </w:rPr>
        <w:t>3.1 Convenience, speed and changing lifestyles</w:t>
      </w:r>
      <w:r w:rsidRPr="00F61208">
        <w:rPr>
          <w:rFonts w:ascii="Arial" w:hAnsi="Arial" w:cs="Arial"/>
        </w:rPr>
        <w:br/>
      </w:r>
      <w:r w:rsidRPr="00F61208">
        <w:rPr>
          <w:rFonts w:ascii="Arial" w:hAnsi="Arial" w:cs="Arial"/>
        </w:rPr>
        <w:t> </w:t>
      </w:r>
      <w:r w:rsidRPr="00F61208">
        <w:rPr>
          <w:rFonts w:ascii="Arial" w:hAnsi="Arial" w:cs="Arial"/>
        </w:rPr>
        <w:t>3.2 Digitalisation and customer experience expectations</w:t>
      </w:r>
      <w:r w:rsidRPr="00F61208">
        <w:rPr>
          <w:rFonts w:ascii="Arial" w:hAnsi="Arial" w:cs="Arial"/>
        </w:rPr>
        <w:br/>
      </w:r>
      <w:r w:rsidRPr="00F61208">
        <w:rPr>
          <w:rFonts w:ascii="Arial" w:hAnsi="Arial" w:cs="Arial"/>
        </w:rPr>
        <w:t> </w:t>
      </w:r>
      <w:r w:rsidRPr="00F61208">
        <w:rPr>
          <w:rFonts w:ascii="Arial" w:hAnsi="Arial" w:cs="Arial"/>
        </w:rPr>
        <w:t>3.3 Economic pressures and competitive intensity</w:t>
      </w:r>
    </w:p>
    <w:p w14:paraId="18D73B2A" w14:textId="77777777" w:rsidR="00F61208" w:rsidRPr="00F61208" w:rsidRDefault="00F61208" w:rsidP="00847590">
      <w:pPr>
        <w:numPr>
          <w:ilvl w:val="0"/>
          <w:numId w:val="7"/>
        </w:numPr>
        <w:spacing w:line="360" w:lineRule="auto"/>
        <w:rPr>
          <w:rFonts w:ascii="Arial" w:hAnsi="Arial" w:cs="Arial"/>
        </w:rPr>
      </w:pPr>
      <w:r w:rsidRPr="00F61208">
        <w:rPr>
          <w:rFonts w:ascii="Arial" w:hAnsi="Arial" w:cs="Arial"/>
        </w:rPr>
        <w:t>Part 1: Innovation and Design Thinking Analysis</w:t>
      </w:r>
      <w:r w:rsidRPr="00F61208">
        <w:rPr>
          <w:rFonts w:ascii="Arial" w:hAnsi="Arial" w:cs="Arial"/>
        </w:rPr>
        <w:br/>
      </w:r>
      <w:r w:rsidRPr="00F61208">
        <w:rPr>
          <w:rFonts w:ascii="Arial" w:hAnsi="Arial" w:cs="Arial"/>
        </w:rPr>
        <w:t> </w:t>
      </w:r>
      <w:r w:rsidRPr="00F61208">
        <w:rPr>
          <w:rFonts w:ascii="Arial" w:hAnsi="Arial" w:cs="Arial"/>
        </w:rPr>
        <w:t>4.1 Greggs’ current approach to innovation</w:t>
      </w:r>
      <w:r w:rsidRPr="00F61208">
        <w:rPr>
          <w:rFonts w:ascii="Arial" w:hAnsi="Arial" w:cs="Arial"/>
        </w:rPr>
        <w:br/>
      </w:r>
      <w:r w:rsidRPr="00F61208">
        <w:rPr>
          <w:rFonts w:ascii="Arial" w:hAnsi="Arial" w:cs="Arial"/>
        </w:rPr>
        <w:t> </w:t>
      </w:r>
      <w:r w:rsidRPr="00F61208">
        <w:rPr>
          <w:rFonts w:ascii="Arial" w:hAnsi="Arial" w:cs="Arial"/>
        </w:rPr>
        <w:t>4.2 Innovation Ambition Matrix applied to Greggs</w:t>
      </w:r>
      <w:r w:rsidRPr="00F61208">
        <w:rPr>
          <w:rFonts w:ascii="Arial" w:hAnsi="Arial" w:cs="Arial"/>
        </w:rPr>
        <w:br/>
      </w:r>
      <w:r w:rsidRPr="00F61208">
        <w:rPr>
          <w:rFonts w:ascii="Arial" w:hAnsi="Arial" w:cs="Arial"/>
        </w:rPr>
        <w:t> </w:t>
      </w:r>
      <w:r w:rsidRPr="00F61208">
        <w:rPr>
          <w:rFonts w:ascii="Arial" w:hAnsi="Arial" w:cs="Arial"/>
        </w:rPr>
        <w:t>4.3 Current customer journey mapping</w:t>
      </w:r>
      <w:r w:rsidRPr="00F61208">
        <w:rPr>
          <w:rFonts w:ascii="Arial" w:hAnsi="Arial" w:cs="Arial"/>
        </w:rPr>
        <w:br/>
      </w:r>
      <w:r w:rsidRPr="00F61208">
        <w:rPr>
          <w:rFonts w:ascii="Arial" w:hAnsi="Arial" w:cs="Arial"/>
        </w:rPr>
        <w:t> </w:t>
      </w:r>
      <w:r w:rsidRPr="00F61208">
        <w:rPr>
          <w:rFonts w:ascii="Arial" w:hAnsi="Arial" w:cs="Arial"/>
        </w:rPr>
        <w:t>4.4 Pain points and digital innovation opportunities</w:t>
      </w:r>
    </w:p>
    <w:p w14:paraId="14057920" w14:textId="77777777" w:rsidR="00F61208" w:rsidRPr="00F61208" w:rsidRDefault="00F61208" w:rsidP="00847590">
      <w:pPr>
        <w:numPr>
          <w:ilvl w:val="0"/>
          <w:numId w:val="7"/>
        </w:numPr>
        <w:spacing w:line="360" w:lineRule="auto"/>
        <w:rPr>
          <w:rFonts w:ascii="Arial" w:hAnsi="Arial" w:cs="Arial"/>
        </w:rPr>
      </w:pPr>
      <w:r w:rsidRPr="00F61208">
        <w:rPr>
          <w:rFonts w:ascii="Arial" w:hAnsi="Arial" w:cs="Arial"/>
        </w:rPr>
        <w:t>Part 2: Proposed Digital Transformation Initiative</w:t>
      </w:r>
      <w:r w:rsidRPr="00F61208">
        <w:rPr>
          <w:rFonts w:ascii="Arial" w:hAnsi="Arial" w:cs="Arial"/>
        </w:rPr>
        <w:br/>
      </w:r>
      <w:r w:rsidRPr="00F61208">
        <w:rPr>
          <w:rFonts w:ascii="Arial" w:hAnsi="Arial" w:cs="Arial"/>
        </w:rPr>
        <w:t> </w:t>
      </w:r>
      <w:r w:rsidRPr="00F61208">
        <w:rPr>
          <w:rFonts w:ascii="Arial" w:hAnsi="Arial" w:cs="Arial"/>
        </w:rPr>
        <w:t>5.1 Strategic challenge and design principles</w:t>
      </w:r>
      <w:r w:rsidRPr="00F61208">
        <w:rPr>
          <w:rFonts w:ascii="Arial" w:hAnsi="Arial" w:cs="Arial"/>
        </w:rPr>
        <w:br/>
      </w:r>
      <w:r w:rsidRPr="00F61208">
        <w:rPr>
          <w:rFonts w:ascii="Arial" w:hAnsi="Arial" w:cs="Arial"/>
        </w:rPr>
        <w:t> </w:t>
      </w:r>
      <w:r w:rsidRPr="00F61208">
        <w:rPr>
          <w:rFonts w:ascii="Arial" w:hAnsi="Arial" w:cs="Arial"/>
        </w:rPr>
        <w:t>5.2 Smart Value Journey ecosystem</w:t>
      </w:r>
      <w:r w:rsidRPr="00F61208">
        <w:rPr>
          <w:rFonts w:ascii="Arial" w:hAnsi="Arial" w:cs="Arial"/>
        </w:rPr>
        <w:br/>
      </w:r>
      <w:r w:rsidRPr="00F61208">
        <w:rPr>
          <w:rFonts w:ascii="Arial" w:hAnsi="Arial" w:cs="Arial"/>
        </w:rPr>
        <w:t> </w:t>
      </w:r>
      <w:r w:rsidRPr="00F61208">
        <w:rPr>
          <w:rFonts w:ascii="Arial" w:hAnsi="Arial" w:cs="Arial"/>
        </w:rPr>
        <w:t>5.3 Future-state customer journey</w:t>
      </w:r>
      <w:r w:rsidRPr="00F61208">
        <w:rPr>
          <w:rFonts w:ascii="Arial" w:hAnsi="Arial" w:cs="Arial"/>
        </w:rPr>
        <w:br/>
      </w:r>
      <w:r w:rsidRPr="00F61208">
        <w:rPr>
          <w:rFonts w:ascii="Arial" w:hAnsi="Arial" w:cs="Arial"/>
        </w:rPr>
        <w:t> </w:t>
      </w:r>
      <w:r w:rsidRPr="00F61208">
        <w:rPr>
          <w:rFonts w:ascii="Arial" w:hAnsi="Arial" w:cs="Arial"/>
        </w:rPr>
        <w:t>5.4 Causal mapping and intervention logic</w:t>
      </w:r>
      <w:r w:rsidRPr="00F61208">
        <w:rPr>
          <w:rFonts w:ascii="Arial" w:hAnsi="Arial" w:cs="Arial"/>
        </w:rPr>
        <w:br/>
      </w:r>
      <w:r w:rsidRPr="00F61208">
        <w:rPr>
          <w:rFonts w:ascii="Arial" w:hAnsi="Arial" w:cs="Arial"/>
        </w:rPr>
        <w:t> </w:t>
      </w:r>
      <w:r w:rsidRPr="00F61208">
        <w:rPr>
          <w:rFonts w:ascii="Arial" w:hAnsi="Arial" w:cs="Arial"/>
        </w:rPr>
        <w:t>5.5 Organisational value, risks and governance</w:t>
      </w:r>
      <w:r w:rsidRPr="00F61208">
        <w:rPr>
          <w:rFonts w:ascii="Arial" w:hAnsi="Arial" w:cs="Arial"/>
        </w:rPr>
        <w:br/>
      </w:r>
      <w:r w:rsidRPr="00F61208">
        <w:rPr>
          <w:rFonts w:ascii="Arial" w:hAnsi="Arial" w:cs="Arial"/>
        </w:rPr>
        <w:t> </w:t>
      </w:r>
      <w:r w:rsidRPr="00F61208">
        <w:rPr>
          <w:rFonts w:ascii="Arial" w:hAnsi="Arial" w:cs="Arial"/>
        </w:rPr>
        <w:t>5.6 Measuring impact and success</w:t>
      </w:r>
      <w:r w:rsidRPr="00F61208">
        <w:rPr>
          <w:rFonts w:ascii="Arial" w:hAnsi="Arial" w:cs="Arial"/>
        </w:rPr>
        <w:br/>
      </w:r>
      <w:r w:rsidRPr="00F61208">
        <w:rPr>
          <w:rFonts w:ascii="Arial" w:hAnsi="Arial" w:cs="Arial"/>
        </w:rPr>
        <w:t> </w:t>
      </w:r>
      <w:r w:rsidRPr="00F61208">
        <w:rPr>
          <w:rFonts w:ascii="Arial" w:hAnsi="Arial" w:cs="Arial"/>
        </w:rPr>
        <w:t>5.7 Critical evaluation of alternative digital approaches</w:t>
      </w:r>
    </w:p>
    <w:p w14:paraId="31048350" w14:textId="77777777" w:rsidR="00F61208" w:rsidRPr="00F61208" w:rsidRDefault="00F61208" w:rsidP="00847590">
      <w:pPr>
        <w:numPr>
          <w:ilvl w:val="0"/>
          <w:numId w:val="7"/>
        </w:numPr>
        <w:spacing w:line="360" w:lineRule="auto"/>
        <w:rPr>
          <w:rFonts w:ascii="Arial" w:hAnsi="Arial" w:cs="Arial"/>
        </w:rPr>
      </w:pPr>
      <w:r w:rsidRPr="00F61208">
        <w:rPr>
          <w:rFonts w:ascii="Arial" w:hAnsi="Arial" w:cs="Arial"/>
        </w:rPr>
        <w:t>Conclusion</w:t>
      </w:r>
    </w:p>
    <w:p w14:paraId="152E60DE" w14:textId="77777777" w:rsidR="00F61208" w:rsidRDefault="00F61208" w:rsidP="00847590">
      <w:pPr>
        <w:numPr>
          <w:ilvl w:val="0"/>
          <w:numId w:val="7"/>
        </w:numPr>
        <w:spacing w:line="360" w:lineRule="auto"/>
        <w:rPr>
          <w:rFonts w:ascii="Arial" w:hAnsi="Arial" w:cs="Arial"/>
        </w:rPr>
      </w:pPr>
      <w:r w:rsidRPr="00F61208">
        <w:rPr>
          <w:rFonts w:ascii="Arial" w:hAnsi="Arial" w:cs="Arial"/>
        </w:rPr>
        <w:t>Reference List</w:t>
      </w:r>
    </w:p>
    <w:p w14:paraId="16D9ED82" w14:textId="77777777" w:rsidR="00AD1006" w:rsidRDefault="00AD1006" w:rsidP="00C852E0">
      <w:pPr>
        <w:pStyle w:val="Heading2"/>
        <w:spacing w:line="360" w:lineRule="auto"/>
        <w:rPr>
          <w:rFonts w:ascii="Arial" w:hAnsi="Arial" w:cs="Arial"/>
          <w:sz w:val="28"/>
          <w:szCs w:val="28"/>
        </w:rPr>
      </w:pPr>
    </w:p>
    <w:p w14:paraId="5D7A1D4D" w14:textId="77777777" w:rsidR="00AD1006" w:rsidRDefault="00AD1006" w:rsidP="00C852E0">
      <w:pPr>
        <w:pStyle w:val="Heading2"/>
        <w:spacing w:line="360" w:lineRule="auto"/>
        <w:rPr>
          <w:rFonts w:ascii="Arial" w:hAnsi="Arial" w:cs="Arial"/>
          <w:sz w:val="28"/>
          <w:szCs w:val="28"/>
        </w:rPr>
      </w:pPr>
    </w:p>
    <w:p w14:paraId="2A4BE4AE" w14:textId="77777777" w:rsidR="00AD1006" w:rsidRPr="00AD1006" w:rsidRDefault="00AD1006" w:rsidP="00AD1006"/>
    <w:p w14:paraId="63447142" w14:textId="384C2D7E" w:rsidR="00C852E0" w:rsidRPr="00AD1006" w:rsidRDefault="00C852E0" w:rsidP="00C852E0">
      <w:pPr>
        <w:pStyle w:val="Heading2"/>
        <w:spacing w:line="360" w:lineRule="auto"/>
        <w:rPr>
          <w:rFonts w:ascii="Arial" w:hAnsi="Arial" w:cs="Arial"/>
          <w:sz w:val="28"/>
          <w:szCs w:val="28"/>
        </w:rPr>
      </w:pPr>
      <w:r w:rsidRPr="00AD1006">
        <w:rPr>
          <w:rFonts w:ascii="Arial" w:hAnsi="Arial" w:cs="Arial"/>
          <w:sz w:val="28"/>
          <w:szCs w:val="28"/>
        </w:rPr>
        <w:lastRenderedPageBreak/>
        <w:t>List of Tables and Figures</w:t>
      </w:r>
    </w:p>
    <w:p w14:paraId="53B9CE09" w14:textId="77777777" w:rsidR="00C852E0" w:rsidRPr="00AD1006" w:rsidRDefault="00C852E0" w:rsidP="00C852E0">
      <w:pPr>
        <w:pStyle w:val="Heading3"/>
        <w:spacing w:line="360" w:lineRule="auto"/>
        <w:rPr>
          <w:rFonts w:ascii="Arial" w:hAnsi="Arial" w:cs="Arial"/>
        </w:rPr>
      </w:pPr>
      <w:r w:rsidRPr="00AD1006">
        <w:rPr>
          <w:rFonts w:ascii="Arial" w:hAnsi="Arial" w:cs="Arial"/>
        </w:rPr>
        <w:t>Tables</w:t>
      </w:r>
    </w:p>
    <w:p w14:paraId="1A22200A" w14:textId="77777777" w:rsidR="00C852E0" w:rsidRPr="00AD1006" w:rsidRDefault="00C852E0" w:rsidP="00C852E0">
      <w:pPr>
        <w:pStyle w:val="NormalWeb"/>
        <w:spacing w:line="360" w:lineRule="auto"/>
        <w:rPr>
          <w:rFonts w:ascii="Arial" w:hAnsi="Arial" w:cs="Arial"/>
          <w:sz w:val="22"/>
          <w:szCs w:val="22"/>
        </w:rPr>
      </w:pPr>
      <w:r w:rsidRPr="00AD1006">
        <w:rPr>
          <w:rFonts w:ascii="Arial" w:hAnsi="Arial" w:cs="Arial"/>
          <w:sz w:val="22"/>
          <w:szCs w:val="22"/>
        </w:rPr>
        <w:t>Table 1: Innovation Ambition Matrix applied to Greggs (Section 4.2)</w:t>
      </w:r>
      <w:r w:rsidRPr="00AD1006">
        <w:rPr>
          <w:rFonts w:ascii="Arial" w:hAnsi="Arial" w:cs="Arial"/>
          <w:sz w:val="22"/>
          <w:szCs w:val="22"/>
        </w:rPr>
        <w:br/>
        <w:t>Table 2: Current-state customer journey map for Greggs customers (Section 4.3)</w:t>
      </w:r>
      <w:r w:rsidRPr="00AD1006">
        <w:rPr>
          <w:rFonts w:ascii="Arial" w:hAnsi="Arial" w:cs="Arial"/>
          <w:sz w:val="22"/>
          <w:szCs w:val="22"/>
        </w:rPr>
        <w:br/>
        <w:t>Table 3: Future-state customer journey map enabled by the Smart Value Journey (Section 5.3)</w:t>
      </w:r>
      <w:r w:rsidRPr="00AD1006">
        <w:rPr>
          <w:rFonts w:ascii="Arial" w:hAnsi="Arial" w:cs="Arial"/>
          <w:sz w:val="22"/>
          <w:szCs w:val="22"/>
        </w:rPr>
        <w:br/>
        <w:t>Table 4: Causal map of current problems and intervention logic (Section 5.4)</w:t>
      </w:r>
      <w:r w:rsidRPr="00AD1006">
        <w:rPr>
          <w:rFonts w:ascii="Arial" w:hAnsi="Arial" w:cs="Arial"/>
          <w:sz w:val="22"/>
          <w:szCs w:val="22"/>
        </w:rPr>
        <w:br/>
        <w:t>Table 5: Measurement framework for the Smart Value Journey (Section 5.6)</w:t>
      </w:r>
    </w:p>
    <w:p w14:paraId="2A33E146" w14:textId="77777777" w:rsidR="00C852E0" w:rsidRPr="00AD1006" w:rsidRDefault="00C852E0" w:rsidP="00C852E0">
      <w:pPr>
        <w:pStyle w:val="Heading3"/>
        <w:spacing w:line="360" w:lineRule="auto"/>
        <w:rPr>
          <w:rFonts w:ascii="Arial" w:hAnsi="Arial" w:cs="Arial"/>
        </w:rPr>
      </w:pPr>
      <w:r w:rsidRPr="00AD1006">
        <w:rPr>
          <w:rFonts w:ascii="Arial" w:hAnsi="Arial" w:cs="Arial"/>
        </w:rPr>
        <w:t>Figures</w:t>
      </w:r>
    </w:p>
    <w:p w14:paraId="6216DAD1" w14:textId="5BF20E8B" w:rsidR="00224A55" w:rsidRPr="00AD1006" w:rsidRDefault="00C852E0" w:rsidP="00AD1006">
      <w:pPr>
        <w:pStyle w:val="NormalWeb"/>
        <w:spacing w:line="360" w:lineRule="auto"/>
        <w:rPr>
          <w:rFonts w:ascii="Arial" w:hAnsi="Arial" w:cs="Arial"/>
          <w:sz w:val="22"/>
          <w:szCs w:val="22"/>
        </w:rPr>
      </w:pPr>
      <w:r w:rsidRPr="00AD1006">
        <w:rPr>
          <w:rFonts w:ascii="Arial" w:hAnsi="Arial" w:cs="Arial"/>
          <w:sz w:val="22"/>
          <w:szCs w:val="22"/>
        </w:rPr>
        <w:t>Figure 1: Indicative distribution of Greggs’ innovation activity by ambition level (Section 4.2)</w:t>
      </w:r>
    </w:p>
    <w:p w14:paraId="12F8FD80" w14:textId="77777777" w:rsidR="00224A55" w:rsidRDefault="00224A55" w:rsidP="00154ECD">
      <w:pPr>
        <w:spacing w:line="360" w:lineRule="auto"/>
        <w:rPr>
          <w:rFonts w:ascii="Arial" w:hAnsi="Arial" w:cs="Arial"/>
        </w:rPr>
      </w:pPr>
    </w:p>
    <w:p w14:paraId="070E3597" w14:textId="77777777" w:rsidR="00847590" w:rsidRDefault="00847590" w:rsidP="00154ECD">
      <w:pPr>
        <w:spacing w:line="360" w:lineRule="auto"/>
        <w:rPr>
          <w:rFonts w:ascii="Arial" w:hAnsi="Arial" w:cs="Arial"/>
        </w:rPr>
      </w:pPr>
    </w:p>
    <w:p w14:paraId="4545AB5B" w14:textId="77777777" w:rsidR="00847590" w:rsidRDefault="00847590" w:rsidP="00154ECD">
      <w:pPr>
        <w:spacing w:line="360" w:lineRule="auto"/>
        <w:rPr>
          <w:rFonts w:ascii="Arial" w:hAnsi="Arial" w:cs="Arial"/>
        </w:rPr>
      </w:pPr>
    </w:p>
    <w:p w14:paraId="4AA432AA" w14:textId="77777777" w:rsidR="00847590" w:rsidRDefault="00847590" w:rsidP="00154ECD">
      <w:pPr>
        <w:spacing w:line="360" w:lineRule="auto"/>
        <w:rPr>
          <w:rFonts w:ascii="Arial" w:hAnsi="Arial" w:cs="Arial"/>
        </w:rPr>
      </w:pPr>
    </w:p>
    <w:p w14:paraId="4C566FD0" w14:textId="77777777" w:rsidR="00847590" w:rsidRDefault="00847590" w:rsidP="00154ECD">
      <w:pPr>
        <w:spacing w:line="360" w:lineRule="auto"/>
        <w:rPr>
          <w:rFonts w:ascii="Arial" w:hAnsi="Arial" w:cs="Arial"/>
        </w:rPr>
      </w:pPr>
    </w:p>
    <w:p w14:paraId="11D96DEA" w14:textId="77777777" w:rsidR="00847590" w:rsidRDefault="00847590" w:rsidP="00154ECD">
      <w:pPr>
        <w:spacing w:line="360" w:lineRule="auto"/>
        <w:rPr>
          <w:rFonts w:ascii="Arial" w:hAnsi="Arial" w:cs="Arial"/>
        </w:rPr>
      </w:pPr>
    </w:p>
    <w:p w14:paraId="7061FCF7" w14:textId="77777777" w:rsidR="00847590" w:rsidRDefault="00847590" w:rsidP="00154ECD">
      <w:pPr>
        <w:spacing w:line="360" w:lineRule="auto"/>
        <w:rPr>
          <w:rFonts w:ascii="Arial" w:hAnsi="Arial" w:cs="Arial"/>
        </w:rPr>
      </w:pPr>
    </w:p>
    <w:p w14:paraId="7D675C92" w14:textId="77777777" w:rsidR="00847590" w:rsidRDefault="00847590" w:rsidP="00154ECD">
      <w:pPr>
        <w:spacing w:line="360" w:lineRule="auto"/>
        <w:rPr>
          <w:rFonts w:ascii="Arial" w:hAnsi="Arial" w:cs="Arial"/>
        </w:rPr>
      </w:pPr>
    </w:p>
    <w:p w14:paraId="0B6F29F7" w14:textId="77777777" w:rsidR="00847590" w:rsidRDefault="00847590" w:rsidP="00154ECD">
      <w:pPr>
        <w:spacing w:line="360" w:lineRule="auto"/>
        <w:rPr>
          <w:rFonts w:ascii="Arial" w:hAnsi="Arial" w:cs="Arial"/>
        </w:rPr>
      </w:pPr>
    </w:p>
    <w:p w14:paraId="01E882C4" w14:textId="77777777" w:rsidR="00847590" w:rsidRDefault="00847590" w:rsidP="00154ECD">
      <w:pPr>
        <w:spacing w:line="360" w:lineRule="auto"/>
        <w:rPr>
          <w:rFonts w:ascii="Arial" w:hAnsi="Arial" w:cs="Arial"/>
        </w:rPr>
      </w:pPr>
    </w:p>
    <w:p w14:paraId="5BFCF3E5" w14:textId="77777777" w:rsidR="00847590" w:rsidRDefault="00847590" w:rsidP="00154ECD">
      <w:pPr>
        <w:spacing w:line="360" w:lineRule="auto"/>
        <w:rPr>
          <w:rFonts w:ascii="Arial" w:hAnsi="Arial" w:cs="Arial"/>
        </w:rPr>
      </w:pPr>
    </w:p>
    <w:p w14:paraId="43C2157D" w14:textId="77777777" w:rsidR="00847590" w:rsidRDefault="00847590" w:rsidP="00154ECD">
      <w:pPr>
        <w:spacing w:line="360" w:lineRule="auto"/>
        <w:rPr>
          <w:rFonts w:ascii="Arial" w:hAnsi="Arial" w:cs="Arial"/>
        </w:rPr>
      </w:pPr>
    </w:p>
    <w:p w14:paraId="4E6B7D18" w14:textId="77777777" w:rsidR="00847590" w:rsidRDefault="00847590" w:rsidP="00154ECD">
      <w:pPr>
        <w:spacing w:line="360" w:lineRule="auto"/>
        <w:rPr>
          <w:rFonts w:ascii="Arial" w:hAnsi="Arial" w:cs="Arial"/>
        </w:rPr>
      </w:pPr>
    </w:p>
    <w:p w14:paraId="10B31A43" w14:textId="77777777" w:rsidR="00847590" w:rsidRDefault="00847590" w:rsidP="00154ECD">
      <w:pPr>
        <w:spacing w:line="360" w:lineRule="auto"/>
        <w:rPr>
          <w:rFonts w:ascii="Arial" w:hAnsi="Arial" w:cs="Arial"/>
        </w:rPr>
      </w:pPr>
    </w:p>
    <w:p w14:paraId="647B6B04" w14:textId="77777777" w:rsidR="00847590" w:rsidRPr="00154ECD" w:rsidRDefault="00847590" w:rsidP="00154ECD">
      <w:pPr>
        <w:spacing w:line="360" w:lineRule="auto"/>
        <w:rPr>
          <w:rFonts w:ascii="Arial" w:hAnsi="Arial" w:cs="Arial"/>
        </w:rPr>
      </w:pPr>
    </w:p>
    <w:p w14:paraId="30DEC7B7" w14:textId="3FAD498A" w:rsidR="0089679D" w:rsidRPr="00740F96" w:rsidRDefault="0089679D" w:rsidP="00AD4378">
      <w:pPr>
        <w:pStyle w:val="Heading2"/>
        <w:numPr>
          <w:ilvl w:val="0"/>
          <w:numId w:val="8"/>
        </w:numPr>
        <w:rPr>
          <w:rFonts w:ascii="Arial" w:hAnsi="Arial" w:cs="Arial"/>
          <w:sz w:val="28"/>
          <w:szCs w:val="28"/>
        </w:rPr>
      </w:pPr>
      <w:r w:rsidRPr="00740F96">
        <w:rPr>
          <w:rFonts w:ascii="Arial" w:hAnsi="Arial" w:cs="Arial"/>
          <w:sz w:val="28"/>
          <w:szCs w:val="28"/>
        </w:rPr>
        <w:t>Executive Summary</w:t>
      </w:r>
    </w:p>
    <w:p w14:paraId="30F199FD" w14:textId="77777777" w:rsidR="00AD4378" w:rsidRPr="00AD4378" w:rsidRDefault="00AD4378" w:rsidP="00AD4378">
      <w:pPr>
        <w:pStyle w:val="ListParagraph"/>
      </w:pPr>
    </w:p>
    <w:p w14:paraId="6DA07F2F" w14:textId="77777777" w:rsidR="0089679D" w:rsidRPr="00D674F1" w:rsidRDefault="0089679D" w:rsidP="00D674F1">
      <w:pPr>
        <w:spacing w:line="360" w:lineRule="auto"/>
        <w:rPr>
          <w:rFonts w:ascii="Arial" w:hAnsi="Arial" w:cs="Arial"/>
        </w:rPr>
      </w:pPr>
      <w:r w:rsidRPr="00D674F1">
        <w:rPr>
          <w:rFonts w:ascii="Arial" w:hAnsi="Arial" w:cs="Arial"/>
        </w:rPr>
        <w:t>This report critically evaluates the innovation strategy of Greggs plc within a UK food-to-go market characterised by economic pressure, changing consumer behaviour and intensifying digital competition. Using the Innovation Ambition Matrix and customer journey mapping, the analysis assesses how Greggs currently innovates and identifies gaps in its digital capability (</w:t>
      </w:r>
      <w:proofErr w:type="spellStart"/>
      <w:r w:rsidRPr="00D674F1">
        <w:rPr>
          <w:rFonts w:ascii="Arial" w:hAnsi="Arial" w:cs="Arial"/>
        </w:rPr>
        <w:t>Nagji</w:t>
      </w:r>
      <w:proofErr w:type="spellEnd"/>
      <w:r w:rsidRPr="00D674F1">
        <w:rPr>
          <w:rFonts w:ascii="Arial" w:hAnsi="Arial" w:cs="Arial"/>
        </w:rPr>
        <w:t xml:space="preserve"> and Tuff, 2012; Lemon and Verhoef, 2016).</w:t>
      </w:r>
    </w:p>
    <w:p w14:paraId="413C27C2" w14:textId="77777777" w:rsidR="0089679D" w:rsidRPr="00D674F1" w:rsidRDefault="0089679D" w:rsidP="00D674F1">
      <w:pPr>
        <w:spacing w:line="360" w:lineRule="auto"/>
        <w:rPr>
          <w:rFonts w:ascii="Arial" w:hAnsi="Arial" w:cs="Arial"/>
        </w:rPr>
      </w:pPr>
      <w:r w:rsidRPr="00D674F1">
        <w:rPr>
          <w:rFonts w:ascii="Arial" w:hAnsi="Arial" w:cs="Arial"/>
        </w:rPr>
        <w:t>The findings indicate that Greggs’ innovation portfolio is heavily weighted towards core operational improvement and channel expansion. While this focus supports efficiency, consistency and value delivery, the limited emphasis on transformational digital capability constrains the organisation’s ability to influence customer behaviour, strengthen retention and manage demand through data-driven experience design (Verhoef et al., 2021).</w:t>
      </w:r>
    </w:p>
    <w:p w14:paraId="3BCE16B7" w14:textId="77777777" w:rsidR="0089679D" w:rsidRPr="00D674F1" w:rsidRDefault="0089679D" w:rsidP="00D674F1">
      <w:pPr>
        <w:spacing w:line="360" w:lineRule="auto"/>
        <w:rPr>
          <w:rFonts w:ascii="Arial" w:hAnsi="Arial" w:cs="Arial"/>
        </w:rPr>
      </w:pPr>
      <w:r w:rsidRPr="00D674F1">
        <w:rPr>
          <w:rFonts w:ascii="Arial" w:hAnsi="Arial" w:cs="Arial"/>
        </w:rPr>
        <w:t>Customer journey analysis identifies three strategic risks: peak-time congestion that undermines perceived convenience, generic loyalty engagement that provides limited behavioural reinforcement, and minimal post-purchase interaction that fails to support habit formation. Together, these issues suggest that existing digital tools operate primarily as transactional enablers rather than as components of an integrated experience system.</w:t>
      </w:r>
    </w:p>
    <w:p w14:paraId="6C4A5121" w14:textId="77777777" w:rsidR="0089679D" w:rsidRPr="00D674F1" w:rsidRDefault="0089679D" w:rsidP="00D674F1">
      <w:pPr>
        <w:spacing w:line="360" w:lineRule="auto"/>
        <w:rPr>
          <w:rFonts w:ascii="Arial" w:hAnsi="Arial" w:cs="Arial"/>
        </w:rPr>
      </w:pPr>
      <w:r w:rsidRPr="00D674F1">
        <w:rPr>
          <w:rFonts w:ascii="Arial" w:hAnsi="Arial" w:cs="Arial"/>
        </w:rPr>
        <w:t>In response, the report proposes the Smart Value Journey, a privacy-by-design digital ecosystem that integrates contextual loyalty, demand-smoothing nudges, friction-reducing ordering and post-purchase engagement. The initiative strengthens customer relationships while supporting operational efficiency and aligns transformational ambition with Greggs’ value-led business model and operational constraints (Teece, 2018). The overall argument is that long-term competitive advantage will depend on Greggs’ ability to augment operational excellence with a coherent digital capability that orchestrates customer experience across the entire journey.</w:t>
      </w:r>
    </w:p>
    <w:p w14:paraId="7A175958" w14:textId="02AB1D3E" w:rsidR="0089679D" w:rsidRDefault="0089679D" w:rsidP="00154ECD">
      <w:pPr>
        <w:spacing w:line="360" w:lineRule="auto"/>
        <w:rPr>
          <w:rFonts w:ascii="Arial" w:hAnsi="Arial" w:cs="Arial"/>
        </w:rPr>
      </w:pPr>
    </w:p>
    <w:p w14:paraId="2F5D8FB2" w14:textId="77777777" w:rsidR="00637F15" w:rsidRDefault="00637F15" w:rsidP="00154ECD">
      <w:pPr>
        <w:spacing w:line="360" w:lineRule="auto"/>
        <w:rPr>
          <w:rFonts w:ascii="Arial" w:hAnsi="Arial" w:cs="Arial"/>
        </w:rPr>
      </w:pPr>
    </w:p>
    <w:p w14:paraId="4A9EB914" w14:textId="77777777" w:rsidR="00637F15" w:rsidRDefault="00637F15" w:rsidP="00154ECD">
      <w:pPr>
        <w:spacing w:line="360" w:lineRule="auto"/>
        <w:rPr>
          <w:rFonts w:ascii="Arial" w:hAnsi="Arial" w:cs="Arial"/>
        </w:rPr>
      </w:pPr>
    </w:p>
    <w:p w14:paraId="0323E859" w14:textId="77777777" w:rsidR="00847590" w:rsidRDefault="00847590" w:rsidP="00154ECD">
      <w:pPr>
        <w:spacing w:line="360" w:lineRule="auto"/>
        <w:rPr>
          <w:rFonts w:ascii="Arial" w:hAnsi="Arial" w:cs="Arial"/>
        </w:rPr>
      </w:pPr>
    </w:p>
    <w:p w14:paraId="63E352CF" w14:textId="77777777" w:rsidR="00847590" w:rsidRDefault="00847590" w:rsidP="00154ECD">
      <w:pPr>
        <w:spacing w:line="360" w:lineRule="auto"/>
        <w:rPr>
          <w:rFonts w:ascii="Arial" w:hAnsi="Arial" w:cs="Arial"/>
        </w:rPr>
      </w:pPr>
    </w:p>
    <w:p w14:paraId="5C3CD2B1" w14:textId="77777777" w:rsidR="00847590" w:rsidRPr="00154ECD" w:rsidRDefault="00847590" w:rsidP="00154ECD">
      <w:pPr>
        <w:spacing w:line="360" w:lineRule="auto"/>
        <w:rPr>
          <w:rFonts w:ascii="Arial" w:hAnsi="Arial" w:cs="Arial"/>
        </w:rPr>
      </w:pPr>
    </w:p>
    <w:p w14:paraId="6CCB76A2" w14:textId="3C2BCB12" w:rsidR="0089679D" w:rsidRPr="00740F96" w:rsidRDefault="0089679D" w:rsidP="00637F15">
      <w:pPr>
        <w:pStyle w:val="Heading2"/>
        <w:numPr>
          <w:ilvl w:val="0"/>
          <w:numId w:val="8"/>
        </w:numPr>
        <w:rPr>
          <w:rFonts w:ascii="Arial" w:hAnsi="Arial" w:cs="Arial"/>
          <w:sz w:val="28"/>
          <w:szCs w:val="28"/>
        </w:rPr>
      </w:pPr>
      <w:r w:rsidRPr="00740F96">
        <w:rPr>
          <w:rFonts w:ascii="Arial" w:hAnsi="Arial" w:cs="Arial"/>
          <w:sz w:val="28"/>
          <w:szCs w:val="28"/>
        </w:rPr>
        <w:t>Introduction to Greggs plc</w:t>
      </w:r>
    </w:p>
    <w:p w14:paraId="3BD381EA" w14:textId="77777777" w:rsidR="00637F15" w:rsidRPr="00637F15" w:rsidRDefault="00637F15" w:rsidP="00637F15">
      <w:pPr>
        <w:pStyle w:val="ListParagraph"/>
      </w:pPr>
    </w:p>
    <w:p w14:paraId="549313D2" w14:textId="77777777" w:rsidR="0089679D" w:rsidRPr="004A7C1B" w:rsidRDefault="0089679D" w:rsidP="00637F15">
      <w:pPr>
        <w:spacing w:line="360" w:lineRule="auto"/>
        <w:jc w:val="both"/>
        <w:rPr>
          <w:rFonts w:ascii="Arial" w:hAnsi="Arial" w:cs="Arial"/>
          <w:b/>
          <w:bCs/>
        </w:rPr>
      </w:pPr>
      <w:r w:rsidRPr="004A7C1B">
        <w:rPr>
          <w:rFonts w:ascii="Arial" w:hAnsi="Arial" w:cs="Arial"/>
          <w:b/>
          <w:bCs/>
        </w:rPr>
        <w:t>2.1 Organisational overview and business model</w:t>
      </w:r>
    </w:p>
    <w:p w14:paraId="296C3994" w14:textId="77777777" w:rsidR="0089679D" w:rsidRPr="00154ECD" w:rsidRDefault="0089679D" w:rsidP="00637F15">
      <w:pPr>
        <w:spacing w:line="360" w:lineRule="auto"/>
        <w:jc w:val="both"/>
        <w:rPr>
          <w:rFonts w:ascii="Arial" w:hAnsi="Arial" w:cs="Arial"/>
        </w:rPr>
      </w:pPr>
      <w:r w:rsidRPr="00154ECD">
        <w:rPr>
          <w:rFonts w:ascii="Arial" w:hAnsi="Arial" w:cs="Arial"/>
        </w:rPr>
        <w:t>Greggs plc is a UK-based food-on-the-go retailer specialising in freshly prepared bakery products, hot food and beverages. Founded in 1939, the company operates more than 2,400 shops across high streets, retail parks, transport hubs and forecourts, making it one of the most recognisable retail brands in the United Kingdom (Greggs plc, 2024).</w:t>
      </w:r>
    </w:p>
    <w:p w14:paraId="37E9B7E3" w14:textId="723F9DE1" w:rsidR="0089679D" w:rsidRPr="00154ECD" w:rsidRDefault="0089679D" w:rsidP="00637F15">
      <w:pPr>
        <w:spacing w:line="360" w:lineRule="auto"/>
        <w:jc w:val="both"/>
        <w:rPr>
          <w:rFonts w:ascii="Arial" w:hAnsi="Arial" w:cs="Arial"/>
        </w:rPr>
      </w:pPr>
      <w:r w:rsidRPr="00154ECD">
        <w:rPr>
          <w:rFonts w:ascii="Arial" w:hAnsi="Arial" w:cs="Arial"/>
        </w:rPr>
        <w:t xml:space="preserve">The UK food-to-go market is highly fragmented, with competition from quick-service restaurants, supermarkets, convenience retailers and independent outlets. Greggs is estimated to account for approximately </w:t>
      </w:r>
      <w:r w:rsidR="00FA3AA9" w:rsidRPr="00FA3AA9">
        <w:rPr>
          <w:rFonts w:ascii="Arial" w:hAnsi="Arial" w:cs="Arial"/>
        </w:rPr>
        <w:t>7–8%</w:t>
      </w:r>
      <w:r w:rsidR="00FA3AA9">
        <w:rPr>
          <w:rFonts w:ascii="Arial" w:hAnsi="Arial" w:cs="Arial"/>
        </w:rPr>
        <w:t xml:space="preserve"> </w:t>
      </w:r>
      <w:r w:rsidRPr="00154ECD">
        <w:rPr>
          <w:rFonts w:ascii="Arial" w:hAnsi="Arial" w:cs="Arial"/>
        </w:rPr>
        <w:t>of the total market, positioning it as one of the largest specialist operators. While this scale provides purchasing and distribution efficiencies, it also increases the challenge of maintaining consistent customer experience across a large and geographically dispersed estate.</w:t>
      </w:r>
    </w:p>
    <w:p w14:paraId="1C404021" w14:textId="77777777" w:rsidR="0089679D" w:rsidRPr="00154ECD" w:rsidRDefault="0089679D" w:rsidP="00637F15">
      <w:pPr>
        <w:spacing w:line="360" w:lineRule="auto"/>
        <w:jc w:val="both"/>
        <w:rPr>
          <w:rFonts w:ascii="Arial" w:hAnsi="Arial" w:cs="Arial"/>
        </w:rPr>
      </w:pPr>
      <w:r w:rsidRPr="00154ECD">
        <w:rPr>
          <w:rFonts w:ascii="Arial" w:hAnsi="Arial" w:cs="Arial"/>
        </w:rPr>
        <w:t>The organisation employs more than 30,000 staff across retail, production and logistics operations. Greggs operates a vertically integrated supply chain, enabling product consistency, cost control and reliable availability. This structure supports a business model based on affordability, convenience and high customer throughput rather than premium positioning or extensive product customisation.</w:t>
      </w:r>
    </w:p>
    <w:p w14:paraId="67E90276" w14:textId="77777777" w:rsidR="0089679D" w:rsidRPr="00154ECD" w:rsidRDefault="0089679D" w:rsidP="00637F15">
      <w:pPr>
        <w:spacing w:line="360" w:lineRule="auto"/>
        <w:jc w:val="both"/>
        <w:rPr>
          <w:rFonts w:ascii="Arial" w:hAnsi="Arial" w:cs="Arial"/>
        </w:rPr>
      </w:pPr>
      <w:r w:rsidRPr="00154ECD">
        <w:rPr>
          <w:rFonts w:ascii="Arial" w:hAnsi="Arial" w:cs="Arial"/>
        </w:rPr>
        <w:t>Operational simplicity is central to performance. Store processes are designed to maximise speed and reliability, meaning innovation initiatives must minimise complexity and support front-line execution. Digital solutions that reduce uncertainty, improve demand predictability or simplify customer interaction are therefore strategically aligned with the operating model.</w:t>
      </w:r>
    </w:p>
    <w:p w14:paraId="711045DA" w14:textId="77777777" w:rsidR="0089679D" w:rsidRPr="00154ECD" w:rsidRDefault="0089679D" w:rsidP="00637F15">
      <w:pPr>
        <w:spacing w:line="360" w:lineRule="auto"/>
        <w:jc w:val="both"/>
        <w:rPr>
          <w:rFonts w:ascii="Arial" w:hAnsi="Arial" w:cs="Arial"/>
        </w:rPr>
      </w:pPr>
      <w:r w:rsidRPr="00154ECD">
        <w:rPr>
          <w:rFonts w:ascii="Arial" w:hAnsi="Arial" w:cs="Arial"/>
        </w:rPr>
        <w:t>Recent performance has remained strong despite economic volatility. Turnover exceeded £2 billion in 2024, supported by estate expansion, extended trading hours and growth in delivery and click-and-collect channels (Greggs plc, 2024). However, continued growth increases operational complexity and reinforces the need for scalable digital capability.</w:t>
      </w:r>
    </w:p>
    <w:p w14:paraId="1854A5FF" w14:textId="77777777" w:rsidR="0089679D" w:rsidRPr="00154ECD" w:rsidRDefault="0089679D" w:rsidP="00637F15">
      <w:pPr>
        <w:spacing w:line="360" w:lineRule="auto"/>
        <w:jc w:val="both"/>
        <w:rPr>
          <w:rFonts w:ascii="Arial" w:hAnsi="Arial" w:cs="Arial"/>
        </w:rPr>
      </w:pPr>
      <w:r w:rsidRPr="00154ECD">
        <w:rPr>
          <w:rFonts w:ascii="Arial" w:hAnsi="Arial" w:cs="Arial"/>
        </w:rPr>
        <w:t>Greggs competes directly with quick-service chains such as McDonald’s, Subway and Pret A Manger, as well as indirectly with supermarket meal deals and forecourt retailers. Unlike premium competitors, Greggs differentiates through accessible value and speed. Maintaining this position increasingly depends not only on operational efficiency but also on delivering a reliable and convenient experience across physical and digital touchpoints.</w:t>
      </w:r>
    </w:p>
    <w:p w14:paraId="1A71AC7D" w14:textId="15F2FE8F" w:rsidR="00637F15" w:rsidRPr="00154ECD" w:rsidRDefault="00637F15" w:rsidP="00154ECD">
      <w:pPr>
        <w:spacing w:line="360" w:lineRule="auto"/>
        <w:rPr>
          <w:rFonts w:ascii="Arial" w:hAnsi="Arial" w:cs="Arial"/>
        </w:rPr>
      </w:pPr>
    </w:p>
    <w:p w14:paraId="0270ED66" w14:textId="1EB82BB6" w:rsidR="0089679D" w:rsidRPr="00154ECD" w:rsidRDefault="0089679D" w:rsidP="00154ECD">
      <w:pPr>
        <w:spacing w:line="360" w:lineRule="auto"/>
        <w:rPr>
          <w:rFonts w:ascii="Arial" w:hAnsi="Arial" w:cs="Arial"/>
        </w:rPr>
      </w:pPr>
    </w:p>
    <w:p w14:paraId="415019A7" w14:textId="77777777" w:rsidR="0089679D" w:rsidRPr="004A7C1B" w:rsidRDefault="0089679D" w:rsidP="00154ECD">
      <w:pPr>
        <w:spacing w:line="360" w:lineRule="auto"/>
        <w:rPr>
          <w:rFonts w:ascii="Arial" w:hAnsi="Arial" w:cs="Arial"/>
          <w:b/>
          <w:bCs/>
        </w:rPr>
      </w:pPr>
      <w:r w:rsidRPr="004A7C1B">
        <w:rPr>
          <w:rFonts w:ascii="Arial" w:hAnsi="Arial" w:cs="Arial"/>
          <w:b/>
          <w:bCs/>
        </w:rPr>
        <w:t>2.2 Strategic context and innovation challenge</w:t>
      </w:r>
    </w:p>
    <w:p w14:paraId="38F4ECF8" w14:textId="77777777" w:rsidR="0089679D" w:rsidRPr="00154ECD" w:rsidRDefault="0089679D" w:rsidP="00740F96">
      <w:pPr>
        <w:spacing w:line="360" w:lineRule="auto"/>
        <w:jc w:val="both"/>
        <w:rPr>
          <w:rFonts w:ascii="Arial" w:hAnsi="Arial" w:cs="Arial"/>
        </w:rPr>
      </w:pPr>
      <w:r w:rsidRPr="00154ECD">
        <w:rPr>
          <w:rFonts w:ascii="Arial" w:hAnsi="Arial" w:cs="Arial"/>
        </w:rPr>
        <w:t>Greggs’ strategy focuses on expanding its shop estate, increasing participation in later-day occasions and improving customer access through multiple channels (Greggs plc, 2024). These priorities aim to capture a greater share of daily food consumption and reduce dependence on traditional commuter demand patterns.</w:t>
      </w:r>
    </w:p>
    <w:p w14:paraId="2733B3A5" w14:textId="77777777" w:rsidR="0089679D" w:rsidRPr="00154ECD" w:rsidRDefault="0089679D" w:rsidP="00740F96">
      <w:pPr>
        <w:spacing w:line="360" w:lineRule="auto"/>
        <w:jc w:val="both"/>
        <w:rPr>
          <w:rFonts w:ascii="Arial" w:hAnsi="Arial" w:cs="Arial"/>
        </w:rPr>
      </w:pPr>
      <w:r w:rsidRPr="00154ECD">
        <w:rPr>
          <w:rFonts w:ascii="Arial" w:hAnsi="Arial" w:cs="Arial"/>
        </w:rPr>
        <w:t>Historically, innovation has been product- and operations-led, focusing on menu development, store formats and supply chain efficiency. However, recent corporate communications indicate growing emphasis on digital capability and customer engagement. As the organisation scales, digital systems play an increasingly important role in managing demand variability and maintaining operational consistency across locations.</w:t>
      </w:r>
    </w:p>
    <w:p w14:paraId="057F9AB6" w14:textId="77777777" w:rsidR="0089679D" w:rsidRPr="00154ECD" w:rsidRDefault="0089679D" w:rsidP="00740F96">
      <w:pPr>
        <w:spacing w:line="360" w:lineRule="auto"/>
        <w:jc w:val="both"/>
        <w:rPr>
          <w:rFonts w:ascii="Arial" w:hAnsi="Arial" w:cs="Arial"/>
        </w:rPr>
      </w:pPr>
      <w:r w:rsidRPr="00154ECD">
        <w:rPr>
          <w:rFonts w:ascii="Arial" w:hAnsi="Arial" w:cs="Arial"/>
        </w:rPr>
        <w:t>The competitive environment further increases the importance of digital transformation. Leading quick-service operators use integrated mobile ordering, loyalty platforms and personalised engagement to influence customer frequency and timing. Delivery platforms aggregate multiple providers, increasing price transparency and reducing switching costs. Competition is therefore shifting from location advantage towards customer relationship management and behavioural influence.</w:t>
      </w:r>
    </w:p>
    <w:p w14:paraId="513C5204" w14:textId="6E8F52CA" w:rsidR="0089679D" w:rsidRPr="00154ECD" w:rsidRDefault="0089679D" w:rsidP="00D60294">
      <w:pPr>
        <w:spacing w:line="360" w:lineRule="auto"/>
        <w:jc w:val="both"/>
        <w:rPr>
          <w:rFonts w:ascii="Arial" w:hAnsi="Arial" w:cs="Arial"/>
        </w:rPr>
      </w:pPr>
      <w:r w:rsidRPr="00154ECD">
        <w:rPr>
          <w:rFonts w:ascii="Arial" w:hAnsi="Arial" w:cs="Arial"/>
        </w:rPr>
        <w:t>Digital transformation research suggests that sustainable advantage increasingly depends on integrated experience management and organisational capability reconfiguration rather than isolated digital features (Vial, 2019; Verhoef et al., 2021). For Greggs, the strategic challenge is to develop digital capability that enhances the customer journey while remaining consistent with its low-cost, high-throughput operating model.</w:t>
      </w:r>
    </w:p>
    <w:p w14:paraId="1223314F" w14:textId="509F8F1B" w:rsidR="0089679D" w:rsidRDefault="0089679D" w:rsidP="00740F96">
      <w:pPr>
        <w:pStyle w:val="Heading3"/>
        <w:numPr>
          <w:ilvl w:val="0"/>
          <w:numId w:val="8"/>
        </w:numPr>
        <w:rPr>
          <w:rFonts w:ascii="Arial" w:hAnsi="Arial" w:cs="Arial"/>
        </w:rPr>
      </w:pPr>
      <w:r w:rsidRPr="00740F96">
        <w:rPr>
          <w:rFonts w:ascii="Arial" w:hAnsi="Arial" w:cs="Arial"/>
        </w:rPr>
        <w:t>Key Consumer and Industry Trends Affecting Greggs</w:t>
      </w:r>
    </w:p>
    <w:p w14:paraId="53DC9727" w14:textId="77777777" w:rsidR="00740F96" w:rsidRPr="00740F96" w:rsidRDefault="00740F96" w:rsidP="00740F96">
      <w:pPr>
        <w:pStyle w:val="ListParagraph"/>
      </w:pPr>
    </w:p>
    <w:p w14:paraId="6B274C9C" w14:textId="77777777" w:rsidR="0089679D" w:rsidRPr="004A7C1B" w:rsidRDefault="0089679D" w:rsidP="00154ECD">
      <w:pPr>
        <w:spacing w:line="360" w:lineRule="auto"/>
        <w:rPr>
          <w:rFonts w:ascii="Arial" w:hAnsi="Arial" w:cs="Arial"/>
          <w:b/>
          <w:bCs/>
        </w:rPr>
      </w:pPr>
      <w:r w:rsidRPr="004A7C1B">
        <w:rPr>
          <w:rFonts w:ascii="Arial" w:hAnsi="Arial" w:cs="Arial"/>
          <w:b/>
          <w:bCs/>
        </w:rPr>
        <w:t>3.1 Convenience, speed and changing lifestyles</w:t>
      </w:r>
    </w:p>
    <w:p w14:paraId="5DB2DD41" w14:textId="77777777" w:rsidR="0089679D" w:rsidRPr="00154ECD" w:rsidRDefault="0089679D" w:rsidP="00740F96">
      <w:pPr>
        <w:spacing w:line="360" w:lineRule="auto"/>
        <w:jc w:val="both"/>
        <w:rPr>
          <w:rFonts w:ascii="Arial" w:hAnsi="Arial" w:cs="Arial"/>
        </w:rPr>
      </w:pPr>
      <w:r w:rsidRPr="00154ECD">
        <w:rPr>
          <w:rFonts w:ascii="Arial" w:hAnsi="Arial" w:cs="Arial"/>
        </w:rPr>
        <w:t>Food-to-go purchasing is strongly influenced by time pressure and routine behaviour. Customers typically make low-involvement decisions based on convenience, speed and perceived value. Customer experience research shows that value perceptions are formed across the entire journey rather than at a single transaction point (Lemon and Verhoef, 2016).</w:t>
      </w:r>
    </w:p>
    <w:p w14:paraId="31DEE5B3" w14:textId="77777777" w:rsidR="0089679D" w:rsidRPr="00154ECD" w:rsidRDefault="0089679D" w:rsidP="00740F96">
      <w:pPr>
        <w:spacing w:line="360" w:lineRule="auto"/>
        <w:jc w:val="both"/>
        <w:rPr>
          <w:rFonts w:ascii="Arial" w:hAnsi="Arial" w:cs="Arial"/>
        </w:rPr>
      </w:pPr>
      <w:r w:rsidRPr="00154ECD">
        <w:rPr>
          <w:rFonts w:ascii="Arial" w:hAnsi="Arial" w:cs="Arial"/>
        </w:rPr>
        <w:t>For Greggs, queue length and waiting uncertainty represent significant risks because time cost directly affects perceived value. Hybrid working patterns have increased demand variability across locations and times of day, making peak management more complex and increasing the importance of demand visibility and flexibility.</w:t>
      </w:r>
    </w:p>
    <w:p w14:paraId="43977455" w14:textId="51254261" w:rsidR="00576B7C" w:rsidRPr="00154ECD" w:rsidRDefault="0089679D" w:rsidP="00740F96">
      <w:pPr>
        <w:spacing w:line="360" w:lineRule="auto"/>
        <w:jc w:val="both"/>
        <w:rPr>
          <w:rFonts w:ascii="Arial" w:hAnsi="Arial" w:cs="Arial"/>
        </w:rPr>
      </w:pPr>
      <w:r w:rsidRPr="00154ECD">
        <w:rPr>
          <w:rFonts w:ascii="Arial" w:hAnsi="Arial" w:cs="Arial"/>
        </w:rPr>
        <w:t>Convenience expectations have also expanded to include pre-ordering, reliable collection and frictionless payment. Experiences in digitally advanced quick-service and coffee chains influence expectations across the sector, raising the performance benchmark for all food-to-go providers.</w:t>
      </w:r>
    </w:p>
    <w:p w14:paraId="455C2C0F" w14:textId="77777777" w:rsidR="0089679D" w:rsidRPr="004A7C1B" w:rsidRDefault="0089679D" w:rsidP="00154ECD">
      <w:pPr>
        <w:spacing w:line="360" w:lineRule="auto"/>
        <w:rPr>
          <w:rFonts w:ascii="Arial" w:hAnsi="Arial" w:cs="Arial"/>
          <w:b/>
          <w:bCs/>
        </w:rPr>
      </w:pPr>
      <w:r w:rsidRPr="004A7C1B">
        <w:rPr>
          <w:rFonts w:ascii="Arial" w:hAnsi="Arial" w:cs="Arial"/>
          <w:b/>
          <w:bCs/>
        </w:rPr>
        <w:t>3.2 Digitalisation and customer experience expectations</w:t>
      </w:r>
    </w:p>
    <w:p w14:paraId="7C131D61" w14:textId="77777777" w:rsidR="0089679D" w:rsidRPr="00154ECD" w:rsidRDefault="0089679D" w:rsidP="00576B7C">
      <w:pPr>
        <w:spacing w:line="360" w:lineRule="auto"/>
        <w:jc w:val="both"/>
        <w:rPr>
          <w:rFonts w:ascii="Arial" w:hAnsi="Arial" w:cs="Arial"/>
        </w:rPr>
      </w:pPr>
      <w:r w:rsidRPr="00154ECD">
        <w:rPr>
          <w:rFonts w:ascii="Arial" w:hAnsi="Arial" w:cs="Arial"/>
        </w:rPr>
        <w:t>Digitalisation has evolved from transaction enablement to organisational transformation. Mobile applications, customer data platforms and analytics allow organisations to personalise engagement, anticipate demand and coordinate interactions across channels (Verhoef et al., 2021).</w:t>
      </w:r>
    </w:p>
    <w:p w14:paraId="045AFB97" w14:textId="77777777" w:rsidR="0089679D" w:rsidRPr="00154ECD" w:rsidRDefault="0089679D" w:rsidP="00576B7C">
      <w:pPr>
        <w:spacing w:line="360" w:lineRule="auto"/>
        <w:jc w:val="both"/>
        <w:rPr>
          <w:rFonts w:ascii="Arial" w:hAnsi="Arial" w:cs="Arial"/>
        </w:rPr>
      </w:pPr>
      <w:r w:rsidRPr="00154ECD">
        <w:rPr>
          <w:rFonts w:ascii="Arial" w:hAnsi="Arial" w:cs="Arial"/>
        </w:rPr>
        <w:t>Digital tools increasingly influence customer behaviour through contextual prompts, saved preferences and time-based incentives. For high-volume retailers, such capabilities support both customer experience and operational efficiency by reducing decision effort and smoothing demand.</w:t>
      </w:r>
    </w:p>
    <w:p w14:paraId="06AFA30E" w14:textId="3022EEEB" w:rsidR="00576B7C" w:rsidRPr="00154ECD" w:rsidRDefault="0089679D" w:rsidP="00576B7C">
      <w:pPr>
        <w:spacing w:line="360" w:lineRule="auto"/>
        <w:jc w:val="both"/>
        <w:rPr>
          <w:rFonts w:ascii="Arial" w:hAnsi="Arial" w:cs="Arial"/>
        </w:rPr>
      </w:pPr>
      <w:r w:rsidRPr="00154ECD">
        <w:rPr>
          <w:rFonts w:ascii="Arial" w:hAnsi="Arial" w:cs="Arial"/>
        </w:rPr>
        <w:t>However, the use of customer data introduces trust risks. Customers may perceive opaque targeting as intrusive or unfair. Privacy-by-design principles, transparency and customer control are therefore critical to maintaining trust and long-term engagement (ICO, 2023; Micheli et al., 2019).</w:t>
      </w:r>
    </w:p>
    <w:p w14:paraId="002125C0" w14:textId="77777777" w:rsidR="0089679D" w:rsidRPr="004A7C1B" w:rsidRDefault="0089679D" w:rsidP="00154ECD">
      <w:pPr>
        <w:spacing w:line="360" w:lineRule="auto"/>
        <w:rPr>
          <w:rFonts w:ascii="Arial" w:hAnsi="Arial" w:cs="Arial"/>
          <w:b/>
          <w:bCs/>
        </w:rPr>
      </w:pPr>
      <w:r w:rsidRPr="004A7C1B">
        <w:rPr>
          <w:rFonts w:ascii="Arial" w:hAnsi="Arial" w:cs="Arial"/>
          <w:b/>
          <w:bCs/>
        </w:rPr>
        <w:t>3.3 Economic pressures and competitive intensity</w:t>
      </w:r>
    </w:p>
    <w:p w14:paraId="12B1DCD1" w14:textId="77777777" w:rsidR="0089679D" w:rsidRPr="00154ECD" w:rsidRDefault="0089679D" w:rsidP="00576B7C">
      <w:pPr>
        <w:spacing w:line="360" w:lineRule="auto"/>
        <w:jc w:val="both"/>
        <w:rPr>
          <w:rFonts w:ascii="Arial" w:hAnsi="Arial" w:cs="Arial"/>
        </w:rPr>
      </w:pPr>
      <w:r w:rsidRPr="00154ECD">
        <w:rPr>
          <w:rFonts w:ascii="Arial" w:hAnsi="Arial" w:cs="Arial"/>
        </w:rPr>
        <w:t>Cost-of-living pressures have increased price sensitivity among UK consumers (ONS, 2026). While this reinforces the relevance of Greggs’ value positioning, it also intensifies competition for everyday purchases. Retention and visit frequency therefore become critical drivers of profitability (Tidd and Bessant, 2020).</w:t>
      </w:r>
    </w:p>
    <w:p w14:paraId="4C70FBE4" w14:textId="77777777" w:rsidR="0089679D" w:rsidRPr="00154ECD" w:rsidRDefault="0089679D" w:rsidP="00576B7C">
      <w:pPr>
        <w:spacing w:line="360" w:lineRule="auto"/>
        <w:jc w:val="both"/>
        <w:rPr>
          <w:rFonts w:ascii="Arial" w:hAnsi="Arial" w:cs="Arial"/>
        </w:rPr>
      </w:pPr>
      <w:r w:rsidRPr="00154ECD">
        <w:rPr>
          <w:rFonts w:ascii="Arial" w:hAnsi="Arial" w:cs="Arial"/>
        </w:rPr>
        <w:t>Competition is increasingly shaped by digital capability. Delivery platforms reduce switching costs, while large quick-service operators use data-driven engagement to strengthen loyalty. Smart, connected systems shift competitive advantage towards firms that control customer relationships and behavioural insight (Porter and Heppelmann, 2014).</w:t>
      </w:r>
    </w:p>
    <w:p w14:paraId="257C4A5B" w14:textId="77777777" w:rsidR="0089679D" w:rsidRPr="00154ECD" w:rsidRDefault="0089679D" w:rsidP="00576B7C">
      <w:pPr>
        <w:spacing w:line="360" w:lineRule="auto"/>
        <w:jc w:val="both"/>
        <w:rPr>
          <w:rFonts w:ascii="Arial" w:hAnsi="Arial" w:cs="Arial"/>
        </w:rPr>
      </w:pPr>
      <w:r w:rsidRPr="00154ECD">
        <w:rPr>
          <w:rFonts w:ascii="Arial" w:hAnsi="Arial" w:cs="Arial"/>
        </w:rPr>
        <w:t>These trends indicate that operational efficiency alone may be insufficient for long-term competitive advantage.</w:t>
      </w:r>
    </w:p>
    <w:p w14:paraId="2C3D39A9" w14:textId="1B0EF5DA" w:rsidR="0089679D" w:rsidRDefault="0089679D" w:rsidP="00154ECD">
      <w:pPr>
        <w:spacing w:line="360" w:lineRule="auto"/>
        <w:rPr>
          <w:rFonts w:ascii="Arial" w:hAnsi="Arial" w:cs="Arial"/>
        </w:rPr>
      </w:pPr>
    </w:p>
    <w:p w14:paraId="4E59F6F2" w14:textId="77777777" w:rsidR="00576B7C" w:rsidRDefault="00576B7C" w:rsidP="00154ECD">
      <w:pPr>
        <w:spacing w:line="360" w:lineRule="auto"/>
        <w:rPr>
          <w:rFonts w:ascii="Arial" w:hAnsi="Arial" w:cs="Arial"/>
        </w:rPr>
      </w:pPr>
    </w:p>
    <w:p w14:paraId="425F94E1" w14:textId="77777777" w:rsidR="00D60294" w:rsidRPr="00154ECD" w:rsidRDefault="00D60294" w:rsidP="00154ECD">
      <w:pPr>
        <w:spacing w:line="360" w:lineRule="auto"/>
        <w:rPr>
          <w:rFonts w:ascii="Arial" w:hAnsi="Arial" w:cs="Arial"/>
        </w:rPr>
      </w:pPr>
    </w:p>
    <w:p w14:paraId="43D9CF80" w14:textId="6E861D6D" w:rsidR="0089679D" w:rsidRDefault="0089679D" w:rsidP="00576B7C">
      <w:pPr>
        <w:pStyle w:val="Heading3"/>
        <w:numPr>
          <w:ilvl w:val="0"/>
          <w:numId w:val="8"/>
        </w:numPr>
        <w:rPr>
          <w:rFonts w:ascii="Arial" w:hAnsi="Arial" w:cs="Arial"/>
        </w:rPr>
      </w:pPr>
      <w:r w:rsidRPr="00576B7C">
        <w:rPr>
          <w:rFonts w:ascii="Arial" w:hAnsi="Arial" w:cs="Arial"/>
        </w:rPr>
        <w:t>Part 1: Innovation and Design Thinking Analysis</w:t>
      </w:r>
    </w:p>
    <w:p w14:paraId="44CFAF55" w14:textId="77777777" w:rsidR="00576B7C" w:rsidRPr="00576B7C" w:rsidRDefault="00576B7C" w:rsidP="00576B7C">
      <w:pPr>
        <w:pStyle w:val="ListParagraph"/>
      </w:pPr>
    </w:p>
    <w:p w14:paraId="15FA49CE" w14:textId="77777777" w:rsidR="0089679D" w:rsidRPr="004A7C1B" w:rsidRDefault="0089679D" w:rsidP="00154ECD">
      <w:pPr>
        <w:spacing w:line="360" w:lineRule="auto"/>
        <w:rPr>
          <w:rFonts w:ascii="Arial" w:hAnsi="Arial" w:cs="Arial"/>
          <w:b/>
          <w:bCs/>
        </w:rPr>
      </w:pPr>
      <w:r w:rsidRPr="004A7C1B">
        <w:rPr>
          <w:rFonts w:ascii="Arial" w:hAnsi="Arial" w:cs="Arial"/>
          <w:b/>
          <w:bCs/>
        </w:rPr>
        <w:t>4.1 Greggs’ current approach to innovation</w:t>
      </w:r>
    </w:p>
    <w:p w14:paraId="3DEE1151" w14:textId="77777777" w:rsidR="0089679D" w:rsidRPr="00154ECD" w:rsidRDefault="0089679D" w:rsidP="00576B7C">
      <w:pPr>
        <w:spacing w:line="360" w:lineRule="auto"/>
        <w:jc w:val="both"/>
        <w:rPr>
          <w:rFonts w:ascii="Arial" w:hAnsi="Arial" w:cs="Arial"/>
        </w:rPr>
      </w:pPr>
      <w:r w:rsidRPr="00154ECD">
        <w:rPr>
          <w:rFonts w:ascii="Arial" w:hAnsi="Arial" w:cs="Arial"/>
        </w:rPr>
        <w:t>Greggs’ innovation strategy is pragmatic and focused on operational execution. Current initiatives include estate expansion, productivity improvement, menu optimisation and channel growth through delivery and click-and-collect (Greggs plc, 2024). This reflects an exploitation-oriented approach focused on incremental improvement rather than exploratory innovation (Tidd and Bessant, 2020).</w:t>
      </w:r>
    </w:p>
    <w:p w14:paraId="711B3414" w14:textId="77777777" w:rsidR="0089679D" w:rsidRPr="00154ECD" w:rsidRDefault="0089679D" w:rsidP="00576B7C">
      <w:pPr>
        <w:spacing w:line="360" w:lineRule="auto"/>
        <w:jc w:val="both"/>
        <w:rPr>
          <w:rFonts w:ascii="Arial" w:hAnsi="Arial" w:cs="Arial"/>
        </w:rPr>
      </w:pPr>
      <w:r w:rsidRPr="00154ECD">
        <w:rPr>
          <w:rFonts w:ascii="Arial" w:hAnsi="Arial" w:cs="Arial"/>
        </w:rPr>
        <w:t>While appropriate for a cost-sensitive environment, an excessive focus on incremental change may limit the organisation’s ability to respond to evolving customer expectations and technological change. Dynamic capabilities theory suggests that long-term advantage depends on the ability to reconfigure resources in response to environmental shifts (Teece, 2018).</w:t>
      </w:r>
    </w:p>
    <w:p w14:paraId="3BA9D36F" w14:textId="77777777" w:rsidR="0089679D" w:rsidRPr="00154ECD" w:rsidRDefault="0089679D" w:rsidP="00576B7C">
      <w:pPr>
        <w:spacing w:line="360" w:lineRule="auto"/>
        <w:jc w:val="both"/>
        <w:rPr>
          <w:rFonts w:ascii="Arial" w:hAnsi="Arial" w:cs="Arial"/>
        </w:rPr>
      </w:pPr>
      <w:r w:rsidRPr="00154ECD">
        <w:rPr>
          <w:rFonts w:ascii="Arial" w:hAnsi="Arial" w:cs="Arial"/>
        </w:rPr>
        <w:t>Although Greggs demonstrates awareness of customer needs in areas such as convenience and accessibility, its digital initiatives currently function primarily as operational enablers rather than as part of an integrated experience strategy.</w:t>
      </w:r>
    </w:p>
    <w:p w14:paraId="149DE79B" w14:textId="77777777" w:rsidR="00D01732" w:rsidRPr="00154ECD" w:rsidRDefault="00D01732" w:rsidP="00E62C40">
      <w:pPr>
        <w:spacing w:line="360" w:lineRule="auto"/>
        <w:jc w:val="both"/>
        <w:rPr>
          <w:rFonts w:ascii="Arial" w:hAnsi="Arial" w:cs="Arial"/>
        </w:rPr>
      </w:pPr>
      <w:r w:rsidRPr="00154ECD">
        <w:rPr>
          <w:rFonts w:ascii="Arial" w:hAnsi="Arial" w:cs="Arial"/>
        </w:rPr>
        <w:t>While Greggs’ operational focus has delivered efficiency and consistency, a predominantly exploitation-led approach may create strategic rigidity over time. Innovation literature highlights the importance of balancing exploitation with exploration to avoid competency traps, where organisations become increasingly efficient at existing activities but struggle to adapt when market conditions change (Tidd and Bessant, 2020). In the context of the food-to-go sector, rapid digitalisation and evolving customer expectations increase the risk that incremental improvement alone will be insufficient to sustain competitive advantage.</w:t>
      </w:r>
    </w:p>
    <w:p w14:paraId="08CAD33E" w14:textId="77777777" w:rsidR="00D01732" w:rsidRPr="00154ECD" w:rsidRDefault="00D01732" w:rsidP="00E62C40">
      <w:pPr>
        <w:spacing w:line="360" w:lineRule="auto"/>
        <w:jc w:val="both"/>
        <w:rPr>
          <w:rFonts w:ascii="Arial" w:hAnsi="Arial" w:cs="Arial"/>
        </w:rPr>
      </w:pPr>
      <w:r w:rsidRPr="00154ECD">
        <w:rPr>
          <w:rFonts w:ascii="Arial" w:hAnsi="Arial" w:cs="Arial"/>
        </w:rPr>
        <w:t>Another limitation of a core-dominated innovation approach is that it tends to prioritise internal efficiency over external experience differentiation. Many of Greggs’ recent initiatives, such as store productivity improvements or format optimisation, primarily address cost control and throughput rather than customer engagement. While these initiatives support the value proposition, they do not significantly increase switching costs or emotional loyalty. As a result, customers may remain price-sensitive and easily substitute alternative providers when convenience or location advantages shift.</w:t>
      </w:r>
    </w:p>
    <w:p w14:paraId="7D212003" w14:textId="70096ACB" w:rsidR="0089679D" w:rsidRPr="00154ECD" w:rsidRDefault="00D01732" w:rsidP="00E62C40">
      <w:pPr>
        <w:spacing w:line="360" w:lineRule="auto"/>
        <w:jc w:val="both"/>
        <w:rPr>
          <w:rFonts w:ascii="Arial" w:hAnsi="Arial" w:cs="Arial"/>
        </w:rPr>
      </w:pPr>
      <w:r w:rsidRPr="00154ECD">
        <w:rPr>
          <w:rFonts w:ascii="Arial" w:hAnsi="Arial" w:cs="Arial"/>
        </w:rPr>
        <w:t>Dynamic capabilities theory suggests that organisations must continuously sense changes in customer behaviour and reconfigure resources accordingly (Teece, 2018). For Greggs, this implies moving beyond operational optimisation towards the development of digital capabilities that provide behavioural insight and enable more proactive demand management. Without this shift, the organisation risks remaining operationally strong but strategically reactive, particularly as competitors increase investment in data-driven customer engagement.</w:t>
      </w:r>
    </w:p>
    <w:p w14:paraId="7AD6195C" w14:textId="77777777" w:rsidR="0089679D" w:rsidRPr="004A7C1B" w:rsidRDefault="0089679D" w:rsidP="00154ECD">
      <w:pPr>
        <w:spacing w:line="360" w:lineRule="auto"/>
        <w:rPr>
          <w:rFonts w:ascii="Arial" w:hAnsi="Arial" w:cs="Arial"/>
          <w:b/>
          <w:bCs/>
        </w:rPr>
      </w:pPr>
      <w:r w:rsidRPr="004A7C1B">
        <w:rPr>
          <w:rFonts w:ascii="Arial" w:hAnsi="Arial" w:cs="Arial"/>
          <w:b/>
          <w:bCs/>
        </w:rPr>
        <w:t>4.2 Innovation Ambition Matrix applied to Greggs</w:t>
      </w:r>
    </w:p>
    <w:p w14:paraId="398111F7" w14:textId="5524CD82" w:rsidR="007F7D86" w:rsidRDefault="00385BB2" w:rsidP="00E62C40">
      <w:pPr>
        <w:spacing w:line="360" w:lineRule="auto"/>
        <w:jc w:val="both"/>
        <w:rPr>
          <w:rFonts w:ascii="Arial" w:hAnsi="Arial" w:cs="Arial"/>
        </w:rPr>
      </w:pPr>
      <w:r w:rsidRPr="00CC0ED0">
        <w:rPr>
          <w:rFonts w:ascii="Arial" w:hAnsi="Arial" w:cs="Arial"/>
        </w:rPr>
        <w:t>Table 1 illustrates the distribution of Greggs’ current innovation activity across the three innovation ambition zones and highlights the strategic absence of transformational digital innovation.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1"/>
        <w:gridCol w:w="2383"/>
        <w:gridCol w:w="2520"/>
        <w:gridCol w:w="2222"/>
      </w:tblGrid>
      <w:tr w:rsidR="007F7D86" w:rsidRPr="00CC0ED0" w14:paraId="323BCBAE" w14:textId="77777777" w:rsidTr="000965FF">
        <w:trPr>
          <w:tblHeader/>
          <w:tblCellSpacing w:w="15" w:type="dxa"/>
        </w:trPr>
        <w:tc>
          <w:tcPr>
            <w:tcW w:w="0" w:type="auto"/>
            <w:shd w:val="clear" w:color="auto" w:fill="C1E4F5" w:themeFill="accent1" w:themeFillTint="33"/>
            <w:vAlign w:val="center"/>
            <w:hideMark/>
          </w:tcPr>
          <w:p w14:paraId="0805BAD9" w14:textId="77777777" w:rsidR="007F7D86" w:rsidRPr="00CC0ED0" w:rsidRDefault="007F7D86" w:rsidP="00A2490B">
            <w:pPr>
              <w:spacing w:line="360" w:lineRule="auto"/>
              <w:rPr>
                <w:rFonts w:ascii="Arial" w:hAnsi="Arial" w:cs="Arial"/>
                <w:b/>
                <w:bCs/>
              </w:rPr>
            </w:pPr>
            <w:r w:rsidRPr="00CC0ED0">
              <w:rPr>
                <w:rFonts w:ascii="Arial" w:hAnsi="Arial" w:cs="Arial"/>
                <w:b/>
                <w:bCs/>
              </w:rPr>
              <w:t>Innovation type</w:t>
            </w:r>
          </w:p>
        </w:tc>
        <w:tc>
          <w:tcPr>
            <w:tcW w:w="0" w:type="auto"/>
            <w:shd w:val="clear" w:color="auto" w:fill="C1E4F5" w:themeFill="accent1" w:themeFillTint="33"/>
            <w:vAlign w:val="center"/>
            <w:hideMark/>
          </w:tcPr>
          <w:p w14:paraId="5EDDCBF4" w14:textId="77777777" w:rsidR="007F7D86" w:rsidRPr="00CC0ED0" w:rsidRDefault="007F7D86" w:rsidP="00A2490B">
            <w:pPr>
              <w:spacing w:line="360" w:lineRule="auto"/>
              <w:rPr>
                <w:rFonts w:ascii="Arial" w:hAnsi="Arial" w:cs="Arial"/>
                <w:b/>
                <w:bCs/>
              </w:rPr>
            </w:pPr>
            <w:r w:rsidRPr="00CC0ED0">
              <w:rPr>
                <w:rFonts w:ascii="Arial" w:hAnsi="Arial" w:cs="Arial"/>
                <w:b/>
                <w:bCs/>
              </w:rPr>
              <w:t>Definition</w:t>
            </w:r>
          </w:p>
        </w:tc>
        <w:tc>
          <w:tcPr>
            <w:tcW w:w="0" w:type="auto"/>
            <w:shd w:val="clear" w:color="auto" w:fill="C1E4F5" w:themeFill="accent1" w:themeFillTint="33"/>
            <w:vAlign w:val="center"/>
            <w:hideMark/>
          </w:tcPr>
          <w:p w14:paraId="7DE64786" w14:textId="77777777" w:rsidR="007F7D86" w:rsidRPr="00CC0ED0" w:rsidRDefault="007F7D86" w:rsidP="00A2490B">
            <w:pPr>
              <w:spacing w:line="360" w:lineRule="auto"/>
              <w:rPr>
                <w:rFonts w:ascii="Arial" w:hAnsi="Arial" w:cs="Arial"/>
                <w:b/>
                <w:bCs/>
              </w:rPr>
            </w:pPr>
            <w:r w:rsidRPr="00CC0ED0">
              <w:rPr>
                <w:rFonts w:ascii="Arial" w:hAnsi="Arial" w:cs="Arial"/>
                <w:b/>
                <w:bCs/>
              </w:rPr>
              <w:t>Current Greggs examples</w:t>
            </w:r>
          </w:p>
        </w:tc>
        <w:tc>
          <w:tcPr>
            <w:tcW w:w="0" w:type="auto"/>
            <w:shd w:val="clear" w:color="auto" w:fill="C1E4F5" w:themeFill="accent1" w:themeFillTint="33"/>
            <w:vAlign w:val="center"/>
            <w:hideMark/>
          </w:tcPr>
          <w:p w14:paraId="0652D180" w14:textId="77777777" w:rsidR="007F7D86" w:rsidRPr="00CC0ED0" w:rsidRDefault="007F7D86" w:rsidP="00A2490B">
            <w:pPr>
              <w:spacing w:line="360" w:lineRule="auto"/>
              <w:rPr>
                <w:rFonts w:ascii="Arial" w:hAnsi="Arial" w:cs="Arial"/>
                <w:b/>
                <w:bCs/>
              </w:rPr>
            </w:pPr>
            <w:r w:rsidRPr="00CC0ED0">
              <w:rPr>
                <w:rFonts w:ascii="Arial" w:hAnsi="Arial" w:cs="Arial"/>
                <w:b/>
                <w:bCs/>
              </w:rPr>
              <w:t>Evaluation</w:t>
            </w:r>
          </w:p>
        </w:tc>
      </w:tr>
      <w:tr w:rsidR="007F7D86" w:rsidRPr="00CC0ED0" w14:paraId="0112AA92" w14:textId="77777777" w:rsidTr="000965FF">
        <w:trPr>
          <w:tblCellSpacing w:w="15" w:type="dxa"/>
        </w:trPr>
        <w:tc>
          <w:tcPr>
            <w:tcW w:w="0" w:type="auto"/>
            <w:shd w:val="clear" w:color="auto" w:fill="DAE9F7" w:themeFill="text2" w:themeFillTint="1A"/>
            <w:vAlign w:val="center"/>
            <w:hideMark/>
          </w:tcPr>
          <w:p w14:paraId="3B01A42F" w14:textId="77777777" w:rsidR="007F7D86" w:rsidRPr="00CC0ED0" w:rsidRDefault="007F7D86" w:rsidP="00A2490B">
            <w:pPr>
              <w:spacing w:line="360" w:lineRule="auto"/>
              <w:rPr>
                <w:rFonts w:ascii="Arial" w:hAnsi="Arial" w:cs="Arial"/>
              </w:rPr>
            </w:pPr>
            <w:r w:rsidRPr="00CC0ED0">
              <w:rPr>
                <w:rFonts w:ascii="Arial" w:hAnsi="Arial" w:cs="Arial"/>
              </w:rPr>
              <w:t>Core innovation</w:t>
            </w:r>
          </w:p>
        </w:tc>
        <w:tc>
          <w:tcPr>
            <w:tcW w:w="0" w:type="auto"/>
            <w:vAlign w:val="center"/>
            <w:hideMark/>
          </w:tcPr>
          <w:p w14:paraId="49046DF9" w14:textId="77777777" w:rsidR="007F7D86" w:rsidRPr="00CC0ED0" w:rsidRDefault="007F7D86" w:rsidP="00A2490B">
            <w:pPr>
              <w:spacing w:line="360" w:lineRule="auto"/>
              <w:rPr>
                <w:rFonts w:ascii="Arial" w:hAnsi="Arial" w:cs="Arial"/>
              </w:rPr>
            </w:pPr>
            <w:r w:rsidRPr="00CC0ED0">
              <w:rPr>
                <w:rFonts w:ascii="Arial" w:hAnsi="Arial" w:cs="Arial"/>
              </w:rPr>
              <w:t>Improvements to existing products, services and processes</w:t>
            </w:r>
          </w:p>
        </w:tc>
        <w:tc>
          <w:tcPr>
            <w:tcW w:w="0" w:type="auto"/>
            <w:vAlign w:val="center"/>
            <w:hideMark/>
          </w:tcPr>
          <w:p w14:paraId="49FBCD90" w14:textId="77777777" w:rsidR="007F7D86" w:rsidRPr="00CC0ED0" w:rsidRDefault="007F7D86" w:rsidP="00A2490B">
            <w:pPr>
              <w:spacing w:line="360" w:lineRule="auto"/>
              <w:rPr>
                <w:rFonts w:ascii="Arial" w:hAnsi="Arial" w:cs="Arial"/>
              </w:rPr>
            </w:pPr>
            <w:r w:rsidRPr="00CC0ED0">
              <w:rPr>
                <w:rFonts w:ascii="Arial" w:hAnsi="Arial" w:cs="Arial"/>
              </w:rPr>
              <w:t>Menu refreshes, operational productivity improvements, rewards app, click-and-collect</w:t>
            </w:r>
          </w:p>
        </w:tc>
        <w:tc>
          <w:tcPr>
            <w:tcW w:w="0" w:type="auto"/>
            <w:vAlign w:val="center"/>
            <w:hideMark/>
          </w:tcPr>
          <w:p w14:paraId="5C09DA90" w14:textId="77777777" w:rsidR="007F7D86" w:rsidRPr="00CC0ED0" w:rsidRDefault="007F7D86" w:rsidP="00A2490B">
            <w:pPr>
              <w:spacing w:line="360" w:lineRule="auto"/>
              <w:rPr>
                <w:rFonts w:ascii="Arial" w:hAnsi="Arial" w:cs="Arial"/>
              </w:rPr>
            </w:pPr>
            <w:r w:rsidRPr="00CC0ED0">
              <w:rPr>
                <w:rFonts w:ascii="Arial" w:hAnsi="Arial" w:cs="Arial"/>
              </w:rPr>
              <w:t>Strong execution, reinforces value proposition but limited differentiation</w:t>
            </w:r>
          </w:p>
        </w:tc>
      </w:tr>
      <w:tr w:rsidR="007F7D86" w:rsidRPr="00CC0ED0" w14:paraId="02547A62" w14:textId="77777777" w:rsidTr="000965FF">
        <w:trPr>
          <w:tblCellSpacing w:w="15" w:type="dxa"/>
        </w:trPr>
        <w:tc>
          <w:tcPr>
            <w:tcW w:w="0" w:type="auto"/>
            <w:shd w:val="clear" w:color="auto" w:fill="DAE9F7" w:themeFill="text2" w:themeFillTint="1A"/>
            <w:vAlign w:val="center"/>
            <w:hideMark/>
          </w:tcPr>
          <w:p w14:paraId="442657DD" w14:textId="77777777" w:rsidR="007F7D86" w:rsidRPr="00CC0ED0" w:rsidRDefault="007F7D86" w:rsidP="00A2490B">
            <w:pPr>
              <w:spacing w:line="360" w:lineRule="auto"/>
              <w:rPr>
                <w:rFonts w:ascii="Arial" w:hAnsi="Arial" w:cs="Arial"/>
              </w:rPr>
            </w:pPr>
            <w:r w:rsidRPr="00CC0ED0">
              <w:rPr>
                <w:rFonts w:ascii="Arial" w:hAnsi="Arial" w:cs="Arial"/>
              </w:rPr>
              <w:t>Adjacent innovation</w:t>
            </w:r>
          </w:p>
        </w:tc>
        <w:tc>
          <w:tcPr>
            <w:tcW w:w="0" w:type="auto"/>
            <w:vAlign w:val="center"/>
            <w:hideMark/>
          </w:tcPr>
          <w:p w14:paraId="0E05954D" w14:textId="77777777" w:rsidR="007F7D86" w:rsidRPr="00CC0ED0" w:rsidRDefault="007F7D86" w:rsidP="00A2490B">
            <w:pPr>
              <w:spacing w:line="360" w:lineRule="auto"/>
              <w:rPr>
                <w:rFonts w:ascii="Arial" w:hAnsi="Arial" w:cs="Arial"/>
              </w:rPr>
            </w:pPr>
            <w:r w:rsidRPr="00CC0ED0">
              <w:rPr>
                <w:rFonts w:ascii="Arial" w:hAnsi="Arial" w:cs="Arial"/>
              </w:rPr>
              <w:t>Expansion into new channels, locations, or segments using existing capabilities</w:t>
            </w:r>
          </w:p>
        </w:tc>
        <w:tc>
          <w:tcPr>
            <w:tcW w:w="0" w:type="auto"/>
            <w:vAlign w:val="center"/>
            <w:hideMark/>
          </w:tcPr>
          <w:p w14:paraId="073D6C04" w14:textId="77777777" w:rsidR="007F7D86" w:rsidRPr="00CC0ED0" w:rsidRDefault="007F7D86" w:rsidP="00A2490B">
            <w:pPr>
              <w:spacing w:line="360" w:lineRule="auto"/>
              <w:rPr>
                <w:rFonts w:ascii="Arial" w:hAnsi="Arial" w:cs="Arial"/>
              </w:rPr>
            </w:pPr>
            <w:r w:rsidRPr="00CC0ED0">
              <w:rPr>
                <w:rFonts w:ascii="Arial" w:hAnsi="Arial" w:cs="Arial"/>
              </w:rPr>
              <w:t>Delivery partnerships, new location formats, longer opening hours</w:t>
            </w:r>
          </w:p>
        </w:tc>
        <w:tc>
          <w:tcPr>
            <w:tcW w:w="0" w:type="auto"/>
            <w:vAlign w:val="center"/>
            <w:hideMark/>
          </w:tcPr>
          <w:p w14:paraId="5A657C0A" w14:textId="77777777" w:rsidR="007F7D86" w:rsidRPr="00CC0ED0" w:rsidRDefault="007F7D86" w:rsidP="00A2490B">
            <w:pPr>
              <w:spacing w:line="360" w:lineRule="auto"/>
              <w:rPr>
                <w:rFonts w:ascii="Arial" w:hAnsi="Arial" w:cs="Arial"/>
              </w:rPr>
            </w:pPr>
            <w:r w:rsidRPr="00CC0ED0">
              <w:rPr>
                <w:rFonts w:ascii="Arial" w:hAnsi="Arial" w:cs="Arial"/>
              </w:rPr>
              <w:t>Useful reach expansion but often replicates existing journey experience</w:t>
            </w:r>
          </w:p>
        </w:tc>
      </w:tr>
      <w:tr w:rsidR="007F7D86" w:rsidRPr="00CC0ED0" w14:paraId="456B133F" w14:textId="77777777" w:rsidTr="000965FF">
        <w:trPr>
          <w:tblCellSpacing w:w="15" w:type="dxa"/>
        </w:trPr>
        <w:tc>
          <w:tcPr>
            <w:tcW w:w="0" w:type="auto"/>
            <w:shd w:val="clear" w:color="auto" w:fill="DAE9F7" w:themeFill="text2" w:themeFillTint="1A"/>
            <w:vAlign w:val="center"/>
            <w:hideMark/>
          </w:tcPr>
          <w:p w14:paraId="7DE7A08B" w14:textId="77777777" w:rsidR="007F7D86" w:rsidRPr="00CC0ED0" w:rsidRDefault="007F7D86" w:rsidP="00A2490B">
            <w:pPr>
              <w:spacing w:line="360" w:lineRule="auto"/>
              <w:rPr>
                <w:rFonts w:ascii="Arial" w:hAnsi="Arial" w:cs="Arial"/>
              </w:rPr>
            </w:pPr>
            <w:r w:rsidRPr="00CC0ED0">
              <w:rPr>
                <w:rFonts w:ascii="Arial" w:hAnsi="Arial" w:cs="Arial"/>
              </w:rPr>
              <w:t>Transformational innovation</w:t>
            </w:r>
          </w:p>
        </w:tc>
        <w:tc>
          <w:tcPr>
            <w:tcW w:w="0" w:type="auto"/>
            <w:vAlign w:val="center"/>
            <w:hideMark/>
          </w:tcPr>
          <w:p w14:paraId="3A06F560" w14:textId="77777777" w:rsidR="007F7D86" w:rsidRPr="00CC0ED0" w:rsidRDefault="007F7D86" w:rsidP="00A2490B">
            <w:pPr>
              <w:spacing w:line="360" w:lineRule="auto"/>
              <w:rPr>
                <w:rFonts w:ascii="Arial" w:hAnsi="Arial" w:cs="Arial"/>
              </w:rPr>
            </w:pPr>
            <w:r w:rsidRPr="00CC0ED0">
              <w:rPr>
                <w:rFonts w:ascii="Arial" w:hAnsi="Arial" w:cs="Arial"/>
              </w:rPr>
              <w:t>New business models or fundamentally new customer experiences</w:t>
            </w:r>
          </w:p>
        </w:tc>
        <w:tc>
          <w:tcPr>
            <w:tcW w:w="0" w:type="auto"/>
            <w:vAlign w:val="center"/>
            <w:hideMark/>
          </w:tcPr>
          <w:p w14:paraId="38003E9D" w14:textId="77777777" w:rsidR="007F7D86" w:rsidRPr="00CC0ED0" w:rsidRDefault="007F7D86" w:rsidP="00A2490B">
            <w:pPr>
              <w:spacing w:line="360" w:lineRule="auto"/>
              <w:rPr>
                <w:rFonts w:ascii="Arial" w:hAnsi="Arial" w:cs="Arial"/>
              </w:rPr>
            </w:pPr>
            <w:r w:rsidRPr="00CC0ED0">
              <w:rPr>
                <w:rFonts w:ascii="Arial" w:hAnsi="Arial" w:cs="Arial"/>
              </w:rPr>
              <w:t>Limited evidence at scale</w:t>
            </w:r>
          </w:p>
        </w:tc>
        <w:tc>
          <w:tcPr>
            <w:tcW w:w="0" w:type="auto"/>
            <w:vAlign w:val="center"/>
            <w:hideMark/>
          </w:tcPr>
          <w:p w14:paraId="7C6EE599" w14:textId="77777777" w:rsidR="007F7D86" w:rsidRPr="00CC0ED0" w:rsidRDefault="007F7D86" w:rsidP="00A2490B">
            <w:pPr>
              <w:spacing w:line="360" w:lineRule="auto"/>
              <w:rPr>
                <w:rFonts w:ascii="Arial" w:hAnsi="Arial" w:cs="Arial"/>
              </w:rPr>
            </w:pPr>
            <w:r w:rsidRPr="00CC0ED0">
              <w:rPr>
                <w:rFonts w:ascii="Arial" w:hAnsi="Arial" w:cs="Arial"/>
              </w:rPr>
              <w:t>Clear opportunity space for digitally enabled journey orchestration</w:t>
            </w:r>
          </w:p>
        </w:tc>
      </w:tr>
    </w:tbl>
    <w:p w14:paraId="0098643C" w14:textId="77777777" w:rsidR="007F7D86" w:rsidRDefault="007F7D86" w:rsidP="00154ECD">
      <w:pPr>
        <w:spacing w:line="360" w:lineRule="auto"/>
        <w:rPr>
          <w:rFonts w:ascii="Arial" w:hAnsi="Arial" w:cs="Arial"/>
        </w:rPr>
      </w:pPr>
    </w:p>
    <w:p w14:paraId="3E7DC05B" w14:textId="77777777" w:rsidR="000965FF" w:rsidRDefault="000965FF" w:rsidP="00E62C40">
      <w:pPr>
        <w:spacing w:line="360" w:lineRule="auto"/>
        <w:jc w:val="both"/>
        <w:rPr>
          <w:rFonts w:ascii="Arial" w:hAnsi="Arial" w:cs="Arial"/>
        </w:rPr>
      </w:pPr>
      <w:r w:rsidRPr="00485016">
        <w:rPr>
          <w:rFonts w:ascii="Arial" w:hAnsi="Arial" w:cs="Arial"/>
        </w:rPr>
        <w:t>By contrast, Table 1 highlights a clear absence of transformational innovation within Greggs’ current portfolio. There is limited evidence of initiatives that seek to create fundamentally new customer experiences, value propositions or digitally enabled business models. This imbalance is strategically significant, as digital transformation literature emphasises that long-term competitiveness increasingly depends on the ability to orchestrate customer journeys and leverage data as a strategic asset, rather than relying solely on operational excellence (Vial, 2019; Verhoef et al., 2021).</w:t>
      </w:r>
    </w:p>
    <w:p w14:paraId="41CD1D52" w14:textId="2930A0BA" w:rsidR="00207808" w:rsidRPr="007F7D86" w:rsidRDefault="000965FF" w:rsidP="00E62C40">
      <w:pPr>
        <w:spacing w:line="360" w:lineRule="auto"/>
        <w:jc w:val="both"/>
        <w:rPr>
          <w:rFonts w:ascii="Arial" w:hAnsi="Arial" w:cs="Arial"/>
        </w:rPr>
      </w:pPr>
      <w:r w:rsidRPr="00485016">
        <w:rPr>
          <w:rFonts w:ascii="Arial" w:hAnsi="Arial" w:cs="Arial"/>
        </w:rPr>
        <w:t>To support evaluative judgement, Figure 1 provides an indicative visual representation of the relative emphasis placed on each innovation ambition zone. The figure highlights the dominance of core innovation within Greggs’ portfolio and the comparatively limited focus on transformational digital initiatives. The proportions shown are indicative rather than empirical and are intended to support critical assessment of strategic balance rather than represent precise investment allocation.</w:t>
      </w:r>
    </w:p>
    <w:p w14:paraId="510A1D63" w14:textId="1DEED6C7" w:rsidR="00077863" w:rsidRDefault="00077863" w:rsidP="00154ECD">
      <w:pPr>
        <w:spacing w:line="360" w:lineRule="auto"/>
        <w:rPr>
          <w:rFonts w:ascii="Arial" w:hAnsi="Arial" w:cs="Arial"/>
          <w:lang w:val="fr-FR"/>
        </w:rPr>
      </w:pPr>
      <w:r>
        <w:rPr>
          <w:rFonts w:ascii="Arial" w:hAnsi="Arial" w:cs="Arial"/>
          <w:noProof/>
        </w:rPr>
        <w:drawing>
          <wp:inline distT="0" distB="0" distL="0" distR="0" wp14:anchorId="6EB25C91" wp14:editId="0C96F2A4">
            <wp:extent cx="5486400" cy="3200400"/>
            <wp:effectExtent l="0" t="0" r="0" b="0"/>
            <wp:docPr id="153489193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926557F" w14:textId="77777777" w:rsidR="00E272BF" w:rsidRDefault="00E272BF" w:rsidP="00E62C40">
      <w:pPr>
        <w:spacing w:line="360" w:lineRule="auto"/>
        <w:jc w:val="both"/>
        <w:rPr>
          <w:rFonts w:ascii="Arial" w:hAnsi="Arial" w:cs="Arial"/>
        </w:rPr>
      </w:pPr>
      <w:r w:rsidRPr="00E272BF">
        <w:rPr>
          <w:rFonts w:ascii="Arial" w:hAnsi="Arial" w:cs="Arial"/>
        </w:rPr>
        <w:t xml:space="preserve">Figure 1: Pie chart showing indicative distribution of Greggs’ innovation activity by ambition level (Core 80%, Adjacent 15%, Transformational 5%) (author’s interpretation based on </w:t>
      </w:r>
      <w:proofErr w:type="spellStart"/>
      <w:r w:rsidRPr="00E272BF">
        <w:rPr>
          <w:rFonts w:ascii="Arial" w:hAnsi="Arial" w:cs="Arial"/>
        </w:rPr>
        <w:t>Nagji</w:t>
      </w:r>
      <w:proofErr w:type="spellEnd"/>
      <w:r w:rsidRPr="00E272BF">
        <w:rPr>
          <w:rFonts w:ascii="Arial" w:hAnsi="Arial" w:cs="Arial"/>
        </w:rPr>
        <w:t xml:space="preserve"> and Tuff, 2012).</w:t>
      </w:r>
    </w:p>
    <w:p w14:paraId="0D8781BE" w14:textId="114402A6" w:rsidR="00DE5F27" w:rsidRPr="00DE5F27" w:rsidRDefault="00DE5F27" w:rsidP="00E62C40">
      <w:pPr>
        <w:spacing w:line="360" w:lineRule="auto"/>
        <w:jc w:val="both"/>
        <w:rPr>
          <w:rFonts w:ascii="Arial" w:hAnsi="Arial" w:cs="Arial"/>
        </w:rPr>
      </w:pPr>
      <w:r w:rsidRPr="00DE5F27">
        <w:rPr>
          <w:rFonts w:ascii="Arial" w:hAnsi="Arial" w:cs="Arial"/>
        </w:rPr>
        <w:t>The proportions shown in Figure 1 are indicative and intended to illustrate the relative emphasis within Greggs’ innovation portfolio rather than represent precise investment data.</w:t>
      </w:r>
    </w:p>
    <w:p w14:paraId="228914BE" w14:textId="77777777" w:rsidR="00DE5F27" w:rsidRPr="00DE5F27" w:rsidRDefault="00DE5F27" w:rsidP="00E62C40">
      <w:pPr>
        <w:spacing w:line="360" w:lineRule="auto"/>
        <w:jc w:val="both"/>
        <w:rPr>
          <w:rFonts w:ascii="Arial" w:hAnsi="Arial" w:cs="Arial"/>
        </w:rPr>
      </w:pPr>
      <w:r w:rsidRPr="00DE5F27">
        <w:rPr>
          <w:rFonts w:ascii="Arial" w:hAnsi="Arial" w:cs="Arial"/>
        </w:rPr>
        <w:t>Figure 1 highlights the dominance of core innovation within Greggs’ current approach. This concentration supports operational efficiency, cost control and service consistency, which are strategically important within a high-volume, value-oriented business model. However, research suggests that organisations overly focused on incremental improvement may struggle to respond effectively to changing market conditions, particularly where digital capability and customer experience are becoming key sources of competitive advantage (Teece, 2018).</w:t>
      </w:r>
    </w:p>
    <w:p w14:paraId="53328DF9" w14:textId="77777777" w:rsidR="00DE5F27" w:rsidRPr="00DE5F27" w:rsidRDefault="00DE5F27" w:rsidP="00E62C40">
      <w:pPr>
        <w:spacing w:line="360" w:lineRule="auto"/>
        <w:jc w:val="both"/>
        <w:rPr>
          <w:rFonts w:ascii="Arial" w:hAnsi="Arial" w:cs="Arial"/>
        </w:rPr>
      </w:pPr>
      <w:r w:rsidRPr="00DE5F27">
        <w:rPr>
          <w:rFonts w:ascii="Arial" w:hAnsi="Arial" w:cs="Arial"/>
        </w:rPr>
        <w:t>It is also important to acknowledge the limitations of the Innovation Ambition Matrix. The framework does not fully account for organisational constraints such as cost sensitivity, operational complexity and risk appetite, which are particularly relevant in a value retail context (Micheli et al., 2019). However, rather than reducing the case for transformational innovation, these constraints reinforce the need for focused, capability-aligned digital development. This analysis therefore provides a clear strategic rationale for the customer experience transformation proposed in Part 2.</w:t>
      </w:r>
    </w:p>
    <w:p w14:paraId="58A8E02C" w14:textId="77777777" w:rsidR="0089679D" w:rsidRPr="004A7C1B" w:rsidRDefault="0089679D" w:rsidP="00154ECD">
      <w:pPr>
        <w:spacing w:line="360" w:lineRule="auto"/>
        <w:rPr>
          <w:rFonts w:ascii="Arial" w:hAnsi="Arial" w:cs="Arial"/>
          <w:b/>
          <w:bCs/>
        </w:rPr>
      </w:pPr>
      <w:r w:rsidRPr="004A7C1B">
        <w:rPr>
          <w:rFonts w:ascii="Arial" w:hAnsi="Arial" w:cs="Arial"/>
          <w:b/>
          <w:bCs/>
        </w:rPr>
        <w:t>4.3 Current customer journey mapping</w:t>
      </w:r>
    </w:p>
    <w:p w14:paraId="61ACD74B" w14:textId="77777777" w:rsidR="0089679D" w:rsidRDefault="0089679D" w:rsidP="00154ECD">
      <w:pPr>
        <w:spacing w:line="360" w:lineRule="auto"/>
        <w:rPr>
          <w:rFonts w:ascii="Arial" w:hAnsi="Arial" w:cs="Arial"/>
        </w:rPr>
      </w:pPr>
      <w:r w:rsidRPr="00154ECD">
        <w:rPr>
          <w:rFonts w:ascii="Arial" w:hAnsi="Arial" w:cs="Arial"/>
        </w:rPr>
        <w:t>Table 2: Current-state customer journey</w:t>
      </w:r>
    </w:p>
    <w:tbl>
      <w:tblPr>
        <w:tblW w:w="9067" w:type="dxa"/>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3"/>
        <w:gridCol w:w="2400"/>
        <w:gridCol w:w="1673"/>
        <w:gridCol w:w="1930"/>
        <w:gridCol w:w="1601"/>
      </w:tblGrid>
      <w:tr w:rsidR="00AC461C" w:rsidRPr="00CC0ED0" w14:paraId="31E0A85E" w14:textId="77777777" w:rsidTr="00AC461C">
        <w:trPr>
          <w:tblHeader/>
          <w:tblCellSpacing w:w="15" w:type="dxa"/>
        </w:trPr>
        <w:tc>
          <w:tcPr>
            <w:tcW w:w="0" w:type="auto"/>
            <w:shd w:val="clear" w:color="auto" w:fill="C1E4F5" w:themeFill="accent1" w:themeFillTint="33"/>
            <w:vAlign w:val="center"/>
            <w:hideMark/>
          </w:tcPr>
          <w:p w14:paraId="0394567B" w14:textId="77777777" w:rsidR="00AC461C" w:rsidRPr="00CC0ED0" w:rsidRDefault="00AC461C" w:rsidP="00A2490B">
            <w:pPr>
              <w:spacing w:line="360" w:lineRule="auto"/>
              <w:rPr>
                <w:rFonts w:ascii="Arial" w:hAnsi="Arial" w:cs="Arial"/>
                <w:b/>
                <w:bCs/>
              </w:rPr>
            </w:pPr>
            <w:r w:rsidRPr="00CC0ED0">
              <w:rPr>
                <w:rFonts w:ascii="Arial" w:hAnsi="Arial" w:cs="Arial"/>
                <w:b/>
                <w:bCs/>
              </w:rPr>
              <w:t>Journey stage</w:t>
            </w:r>
          </w:p>
        </w:tc>
        <w:tc>
          <w:tcPr>
            <w:tcW w:w="0" w:type="auto"/>
            <w:shd w:val="clear" w:color="auto" w:fill="C1E4F5" w:themeFill="accent1" w:themeFillTint="33"/>
            <w:vAlign w:val="center"/>
            <w:hideMark/>
          </w:tcPr>
          <w:p w14:paraId="6CC657B1" w14:textId="77777777" w:rsidR="00AC461C" w:rsidRPr="00CC0ED0" w:rsidRDefault="00AC461C" w:rsidP="00A2490B">
            <w:pPr>
              <w:spacing w:line="360" w:lineRule="auto"/>
              <w:rPr>
                <w:rFonts w:ascii="Arial" w:hAnsi="Arial" w:cs="Arial"/>
                <w:b/>
                <w:bCs/>
              </w:rPr>
            </w:pPr>
            <w:r w:rsidRPr="00CC0ED0">
              <w:rPr>
                <w:rFonts w:ascii="Arial" w:hAnsi="Arial" w:cs="Arial"/>
                <w:b/>
                <w:bCs/>
              </w:rPr>
              <w:t>Customer actions</w:t>
            </w:r>
          </w:p>
        </w:tc>
        <w:tc>
          <w:tcPr>
            <w:tcW w:w="0" w:type="auto"/>
            <w:shd w:val="clear" w:color="auto" w:fill="C1E4F5" w:themeFill="accent1" w:themeFillTint="33"/>
            <w:vAlign w:val="center"/>
            <w:hideMark/>
          </w:tcPr>
          <w:p w14:paraId="101F052F" w14:textId="77777777" w:rsidR="00AC461C" w:rsidRPr="00CC0ED0" w:rsidRDefault="00AC461C" w:rsidP="00A2490B">
            <w:pPr>
              <w:spacing w:line="360" w:lineRule="auto"/>
              <w:rPr>
                <w:rFonts w:ascii="Arial" w:hAnsi="Arial" w:cs="Arial"/>
                <w:b/>
                <w:bCs/>
              </w:rPr>
            </w:pPr>
            <w:r w:rsidRPr="00CC0ED0">
              <w:rPr>
                <w:rFonts w:ascii="Arial" w:hAnsi="Arial" w:cs="Arial"/>
                <w:b/>
                <w:bCs/>
              </w:rPr>
              <w:t>Key touchpoints</w:t>
            </w:r>
          </w:p>
        </w:tc>
        <w:tc>
          <w:tcPr>
            <w:tcW w:w="0" w:type="auto"/>
            <w:shd w:val="clear" w:color="auto" w:fill="C1E4F5" w:themeFill="accent1" w:themeFillTint="33"/>
            <w:vAlign w:val="center"/>
            <w:hideMark/>
          </w:tcPr>
          <w:p w14:paraId="11169480" w14:textId="77777777" w:rsidR="00AC461C" w:rsidRPr="00CC0ED0" w:rsidRDefault="00AC461C" w:rsidP="00A2490B">
            <w:pPr>
              <w:spacing w:line="360" w:lineRule="auto"/>
              <w:rPr>
                <w:rFonts w:ascii="Arial" w:hAnsi="Arial" w:cs="Arial"/>
                <w:b/>
                <w:bCs/>
              </w:rPr>
            </w:pPr>
            <w:r w:rsidRPr="00CC0ED0">
              <w:rPr>
                <w:rFonts w:ascii="Arial" w:hAnsi="Arial" w:cs="Arial"/>
                <w:b/>
                <w:bCs/>
              </w:rPr>
              <w:t>Pain points</w:t>
            </w:r>
          </w:p>
        </w:tc>
        <w:tc>
          <w:tcPr>
            <w:tcW w:w="0" w:type="auto"/>
            <w:shd w:val="clear" w:color="auto" w:fill="C1E4F5" w:themeFill="accent1" w:themeFillTint="33"/>
            <w:vAlign w:val="center"/>
            <w:hideMark/>
          </w:tcPr>
          <w:p w14:paraId="2A4B9D5C" w14:textId="77777777" w:rsidR="00AC461C" w:rsidRPr="00CC0ED0" w:rsidRDefault="00AC461C" w:rsidP="00A2490B">
            <w:pPr>
              <w:spacing w:line="360" w:lineRule="auto"/>
              <w:rPr>
                <w:rFonts w:ascii="Arial" w:hAnsi="Arial" w:cs="Arial"/>
                <w:b/>
                <w:bCs/>
              </w:rPr>
            </w:pPr>
            <w:r w:rsidRPr="00CC0ED0">
              <w:rPr>
                <w:rFonts w:ascii="Arial" w:hAnsi="Arial" w:cs="Arial"/>
                <w:b/>
                <w:bCs/>
              </w:rPr>
              <w:t>Gain points</w:t>
            </w:r>
          </w:p>
        </w:tc>
      </w:tr>
      <w:tr w:rsidR="00AC461C" w:rsidRPr="00CC0ED0" w14:paraId="795242C1" w14:textId="77777777" w:rsidTr="00AC461C">
        <w:trPr>
          <w:tblCellSpacing w:w="15" w:type="dxa"/>
        </w:trPr>
        <w:tc>
          <w:tcPr>
            <w:tcW w:w="0" w:type="auto"/>
            <w:shd w:val="clear" w:color="auto" w:fill="DAE9F7" w:themeFill="text2" w:themeFillTint="1A"/>
            <w:vAlign w:val="center"/>
            <w:hideMark/>
          </w:tcPr>
          <w:p w14:paraId="12A7DEBD" w14:textId="77777777" w:rsidR="00AC461C" w:rsidRPr="00CC0ED0" w:rsidRDefault="00AC461C" w:rsidP="00A2490B">
            <w:pPr>
              <w:spacing w:line="360" w:lineRule="auto"/>
              <w:rPr>
                <w:rFonts w:ascii="Arial" w:hAnsi="Arial" w:cs="Arial"/>
              </w:rPr>
            </w:pPr>
            <w:r w:rsidRPr="00CC0ED0">
              <w:rPr>
                <w:rFonts w:ascii="Arial" w:hAnsi="Arial" w:cs="Arial"/>
              </w:rPr>
              <w:t>Awareness</w:t>
            </w:r>
          </w:p>
        </w:tc>
        <w:tc>
          <w:tcPr>
            <w:tcW w:w="0" w:type="auto"/>
            <w:vAlign w:val="center"/>
            <w:hideMark/>
          </w:tcPr>
          <w:p w14:paraId="4D18C22A" w14:textId="77777777" w:rsidR="00AC461C" w:rsidRPr="00CC0ED0" w:rsidRDefault="00AC461C" w:rsidP="00A2490B">
            <w:pPr>
              <w:spacing w:line="360" w:lineRule="auto"/>
              <w:rPr>
                <w:rFonts w:ascii="Arial" w:hAnsi="Arial" w:cs="Arial"/>
              </w:rPr>
            </w:pPr>
            <w:r w:rsidRPr="00CC0ED0">
              <w:rPr>
                <w:rFonts w:ascii="Arial" w:hAnsi="Arial" w:cs="Arial"/>
              </w:rPr>
              <w:t>Notices Greggs outlet or promotion while commuting/shopping</w:t>
            </w:r>
          </w:p>
        </w:tc>
        <w:tc>
          <w:tcPr>
            <w:tcW w:w="0" w:type="auto"/>
            <w:vAlign w:val="center"/>
            <w:hideMark/>
          </w:tcPr>
          <w:p w14:paraId="49DDA65D" w14:textId="77777777" w:rsidR="00AC461C" w:rsidRPr="00CC0ED0" w:rsidRDefault="00AC461C" w:rsidP="00A2490B">
            <w:pPr>
              <w:spacing w:line="360" w:lineRule="auto"/>
              <w:rPr>
                <w:rFonts w:ascii="Arial" w:hAnsi="Arial" w:cs="Arial"/>
              </w:rPr>
            </w:pPr>
            <w:r w:rsidRPr="00CC0ED0">
              <w:rPr>
                <w:rFonts w:ascii="Arial" w:hAnsi="Arial" w:cs="Arial"/>
              </w:rPr>
              <w:t>Store visibility, outdoor signage, social media, word-of-mouth</w:t>
            </w:r>
          </w:p>
        </w:tc>
        <w:tc>
          <w:tcPr>
            <w:tcW w:w="0" w:type="auto"/>
            <w:vAlign w:val="center"/>
            <w:hideMark/>
          </w:tcPr>
          <w:p w14:paraId="57442735" w14:textId="77777777" w:rsidR="00AC461C" w:rsidRPr="00CC0ED0" w:rsidRDefault="00AC461C" w:rsidP="00A2490B">
            <w:pPr>
              <w:spacing w:line="360" w:lineRule="auto"/>
              <w:rPr>
                <w:rFonts w:ascii="Arial" w:hAnsi="Arial" w:cs="Arial"/>
              </w:rPr>
            </w:pPr>
            <w:r w:rsidRPr="00CC0ED0">
              <w:rPr>
                <w:rFonts w:ascii="Arial" w:hAnsi="Arial" w:cs="Arial"/>
              </w:rPr>
              <w:t>Limited targeted digital relevance</w:t>
            </w:r>
          </w:p>
        </w:tc>
        <w:tc>
          <w:tcPr>
            <w:tcW w:w="0" w:type="auto"/>
            <w:vAlign w:val="center"/>
            <w:hideMark/>
          </w:tcPr>
          <w:p w14:paraId="6CA10BE5" w14:textId="77777777" w:rsidR="00AC461C" w:rsidRPr="00CC0ED0" w:rsidRDefault="00AC461C" w:rsidP="00A2490B">
            <w:pPr>
              <w:spacing w:line="360" w:lineRule="auto"/>
              <w:rPr>
                <w:rFonts w:ascii="Arial" w:hAnsi="Arial" w:cs="Arial"/>
              </w:rPr>
            </w:pPr>
            <w:r w:rsidRPr="00CC0ED0">
              <w:rPr>
                <w:rFonts w:ascii="Arial" w:hAnsi="Arial" w:cs="Arial"/>
              </w:rPr>
              <w:t>Strong brand recognition and high-footfall presence</w:t>
            </w:r>
          </w:p>
        </w:tc>
      </w:tr>
      <w:tr w:rsidR="00AC461C" w:rsidRPr="00CC0ED0" w14:paraId="74EE7045" w14:textId="77777777" w:rsidTr="00AC461C">
        <w:trPr>
          <w:tblCellSpacing w:w="15" w:type="dxa"/>
        </w:trPr>
        <w:tc>
          <w:tcPr>
            <w:tcW w:w="0" w:type="auto"/>
            <w:shd w:val="clear" w:color="auto" w:fill="DAE9F7" w:themeFill="text2" w:themeFillTint="1A"/>
            <w:vAlign w:val="center"/>
            <w:hideMark/>
          </w:tcPr>
          <w:p w14:paraId="63D7DBF9" w14:textId="77777777" w:rsidR="00AC461C" w:rsidRPr="00CC0ED0" w:rsidRDefault="00AC461C" w:rsidP="00A2490B">
            <w:pPr>
              <w:spacing w:line="360" w:lineRule="auto"/>
              <w:rPr>
                <w:rFonts w:ascii="Arial" w:hAnsi="Arial" w:cs="Arial"/>
              </w:rPr>
            </w:pPr>
            <w:r w:rsidRPr="00CC0ED0">
              <w:rPr>
                <w:rFonts w:ascii="Arial" w:hAnsi="Arial" w:cs="Arial"/>
              </w:rPr>
              <w:t>Consideration</w:t>
            </w:r>
          </w:p>
        </w:tc>
        <w:tc>
          <w:tcPr>
            <w:tcW w:w="0" w:type="auto"/>
            <w:vAlign w:val="center"/>
            <w:hideMark/>
          </w:tcPr>
          <w:p w14:paraId="6B1ED504" w14:textId="77777777" w:rsidR="00AC461C" w:rsidRPr="00CC0ED0" w:rsidRDefault="00AC461C" w:rsidP="00A2490B">
            <w:pPr>
              <w:spacing w:line="360" w:lineRule="auto"/>
              <w:rPr>
                <w:rFonts w:ascii="Arial" w:hAnsi="Arial" w:cs="Arial"/>
              </w:rPr>
            </w:pPr>
            <w:r w:rsidRPr="00CC0ED0">
              <w:rPr>
                <w:rFonts w:ascii="Arial" w:hAnsi="Arial" w:cs="Arial"/>
              </w:rPr>
              <w:t>Decides whether to buy and what to choose</w:t>
            </w:r>
          </w:p>
        </w:tc>
        <w:tc>
          <w:tcPr>
            <w:tcW w:w="0" w:type="auto"/>
            <w:vAlign w:val="center"/>
            <w:hideMark/>
          </w:tcPr>
          <w:p w14:paraId="18DEFA6F" w14:textId="77777777" w:rsidR="00AC461C" w:rsidRPr="00CC0ED0" w:rsidRDefault="00AC461C" w:rsidP="00A2490B">
            <w:pPr>
              <w:spacing w:line="360" w:lineRule="auto"/>
              <w:rPr>
                <w:rFonts w:ascii="Arial" w:hAnsi="Arial" w:cs="Arial"/>
              </w:rPr>
            </w:pPr>
            <w:r w:rsidRPr="00CC0ED0">
              <w:rPr>
                <w:rFonts w:ascii="Arial" w:hAnsi="Arial" w:cs="Arial"/>
              </w:rPr>
              <w:t>In-store menu boards, rewards app, delivery apps</w:t>
            </w:r>
          </w:p>
        </w:tc>
        <w:tc>
          <w:tcPr>
            <w:tcW w:w="0" w:type="auto"/>
            <w:vAlign w:val="center"/>
            <w:hideMark/>
          </w:tcPr>
          <w:p w14:paraId="3D3A3117" w14:textId="77777777" w:rsidR="00AC461C" w:rsidRPr="00CC0ED0" w:rsidRDefault="00AC461C" w:rsidP="00A2490B">
            <w:pPr>
              <w:spacing w:line="360" w:lineRule="auto"/>
              <w:rPr>
                <w:rFonts w:ascii="Arial" w:hAnsi="Arial" w:cs="Arial"/>
              </w:rPr>
            </w:pPr>
            <w:r w:rsidRPr="00CC0ED0">
              <w:rPr>
                <w:rFonts w:ascii="Arial" w:hAnsi="Arial" w:cs="Arial"/>
              </w:rPr>
              <w:t>Limited personalisation; choice overload at peak</w:t>
            </w:r>
          </w:p>
        </w:tc>
        <w:tc>
          <w:tcPr>
            <w:tcW w:w="0" w:type="auto"/>
            <w:vAlign w:val="center"/>
            <w:hideMark/>
          </w:tcPr>
          <w:p w14:paraId="7C7A251B" w14:textId="77777777" w:rsidR="00AC461C" w:rsidRPr="00CC0ED0" w:rsidRDefault="00AC461C" w:rsidP="00A2490B">
            <w:pPr>
              <w:spacing w:line="360" w:lineRule="auto"/>
              <w:rPr>
                <w:rFonts w:ascii="Arial" w:hAnsi="Arial" w:cs="Arial"/>
              </w:rPr>
            </w:pPr>
            <w:r w:rsidRPr="00CC0ED0">
              <w:rPr>
                <w:rFonts w:ascii="Arial" w:hAnsi="Arial" w:cs="Arial"/>
              </w:rPr>
              <w:t>Familiar range; clear value cues</w:t>
            </w:r>
          </w:p>
        </w:tc>
      </w:tr>
      <w:tr w:rsidR="00AC461C" w:rsidRPr="00CC0ED0" w14:paraId="49CA7DD5" w14:textId="77777777" w:rsidTr="00AC461C">
        <w:trPr>
          <w:tblCellSpacing w:w="15" w:type="dxa"/>
        </w:trPr>
        <w:tc>
          <w:tcPr>
            <w:tcW w:w="0" w:type="auto"/>
            <w:shd w:val="clear" w:color="auto" w:fill="DAE9F7" w:themeFill="text2" w:themeFillTint="1A"/>
            <w:vAlign w:val="center"/>
            <w:hideMark/>
          </w:tcPr>
          <w:p w14:paraId="7A5603D2" w14:textId="77777777" w:rsidR="00AC461C" w:rsidRPr="00CC0ED0" w:rsidRDefault="00AC461C" w:rsidP="00A2490B">
            <w:pPr>
              <w:spacing w:line="360" w:lineRule="auto"/>
              <w:rPr>
                <w:rFonts w:ascii="Arial" w:hAnsi="Arial" w:cs="Arial"/>
              </w:rPr>
            </w:pPr>
            <w:r w:rsidRPr="00CC0ED0">
              <w:rPr>
                <w:rFonts w:ascii="Arial" w:hAnsi="Arial" w:cs="Arial"/>
              </w:rPr>
              <w:t>Purchase</w:t>
            </w:r>
          </w:p>
        </w:tc>
        <w:tc>
          <w:tcPr>
            <w:tcW w:w="0" w:type="auto"/>
            <w:vAlign w:val="center"/>
            <w:hideMark/>
          </w:tcPr>
          <w:p w14:paraId="50DD79C3" w14:textId="77777777" w:rsidR="00AC461C" w:rsidRPr="00CC0ED0" w:rsidRDefault="00AC461C" w:rsidP="00A2490B">
            <w:pPr>
              <w:spacing w:line="360" w:lineRule="auto"/>
              <w:rPr>
                <w:rFonts w:ascii="Arial" w:hAnsi="Arial" w:cs="Arial"/>
              </w:rPr>
            </w:pPr>
            <w:r w:rsidRPr="00CC0ED0">
              <w:rPr>
                <w:rFonts w:ascii="Arial" w:hAnsi="Arial" w:cs="Arial"/>
              </w:rPr>
              <w:t>Orders and pays</w:t>
            </w:r>
          </w:p>
        </w:tc>
        <w:tc>
          <w:tcPr>
            <w:tcW w:w="0" w:type="auto"/>
            <w:vAlign w:val="center"/>
            <w:hideMark/>
          </w:tcPr>
          <w:p w14:paraId="5B950C06" w14:textId="77777777" w:rsidR="00AC461C" w:rsidRPr="00CC0ED0" w:rsidRDefault="00AC461C" w:rsidP="00A2490B">
            <w:pPr>
              <w:spacing w:line="360" w:lineRule="auto"/>
              <w:rPr>
                <w:rFonts w:ascii="Arial" w:hAnsi="Arial" w:cs="Arial"/>
              </w:rPr>
            </w:pPr>
            <w:r w:rsidRPr="00CC0ED0">
              <w:rPr>
                <w:rFonts w:ascii="Arial" w:hAnsi="Arial" w:cs="Arial"/>
              </w:rPr>
              <w:t>In-store counter, payments, app, delivery platforms</w:t>
            </w:r>
          </w:p>
        </w:tc>
        <w:tc>
          <w:tcPr>
            <w:tcW w:w="0" w:type="auto"/>
            <w:vAlign w:val="center"/>
            <w:hideMark/>
          </w:tcPr>
          <w:p w14:paraId="7FFB2861" w14:textId="77777777" w:rsidR="00AC461C" w:rsidRPr="00CC0ED0" w:rsidRDefault="00AC461C" w:rsidP="00A2490B">
            <w:pPr>
              <w:spacing w:line="360" w:lineRule="auto"/>
              <w:rPr>
                <w:rFonts w:ascii="Arial" w:hAnsi="Arial" w:cs="Arial"/>
              </w:rPr>
            </w:pPr>
            <w:r w:rsidRPr="00CC0ED0">
              <w:rPr>
                <w:rFonts w:ascii="Arial" w:hAnsi="Arial" w:cs="Arial"/>
              </w:rPr>
              <w:t>Queuing; inconsistent experience by location/channel</w:t>
            </w:r>
          </w:p>
        </w:tc>
        <w:tc>
          <w:tcPr>
            <w:tcW w:w="0" w:type="auto"/>
            <w:vAlign w:val="center"/>
            <w:hideMark/>
          </w:tcPr>
          <w:p w14:paraId="61490826" w14:textId="77777777" w:rsidR="00AC461C" w:rsidRPr="00CC0ED0" w:rsidRDefault="00AC461C" w:rsidP="00A2490B">
            <w:pPr>
              <w:spacing w:line="360" w:lineRule="auto"/>
              <w:rPr>
                <w:rFonts w:ascii="Arial" w:hAnsi="Arial" w:cs="Arial"/>
              </w:rPr>
            </w:pPr>
            <w:r w:rsidRPr="00CC0ED0">
              <w:rPr>
                <w:rFonts w:ascii="Arial" w:hAnsi="Arial" w:cs="Arial"/>
              </w:rPr>
              <w:t>Speed relative to competitors; affordability</w:t>
            </w:r>
          </w:p>
        </w:tc>
      </w:tr>
      <w:tr w:rsidR="00AC461C" w:rsidRPr="00CC0ED0" w14:paraId="5599C891" w14:textId="77777777" w:rsidTr="00AC461C">
        <w:trPr>
          <w:tblCellSpacing w:w="15" w:type="dxa"/>
        </w:trPr>
        <w:tc>
          <w:tcPr>
            <w:tcW w:w="0" w:type="auto"/>
            <w:shd w:val="clear" w:color="auto" w:fill="DAE9F7" w:themeFill="text2" w:themeFillTint="1A"/>
            <w:vAlign w:val="center"/>
            <w:hideMark/>
          </w:tcPr>
          <w:p w14:paraId="784A4106" w14:textId="77777777" w:rsidR="00AC461C" w:rsidRPr="00CC0ED0" w:rsidRDefault="00AC461C" w:rsidP="00A2490B">
            <w:pPr>
              <w:spacing w:line="360" w:lineRule="auto"/>
              <w:rPr>
                <w:rFonts w:ascii="Arial" w:hAnsi="Arial" w:cs="Arial"/>
              </w:rPr>
            </w:pPr>
            <w:r w:rsidRPr="00CC0ED0">
              <w:rPr>
                <w:rFonts w:ascii="Arial" w:hAnsi="Arial" w:cs="Arial"/>
              </w:rPr>
              <w:t>Fulfilment</w:t>
            </w:r>
          </w:p>
        </w:tc>
        <w:tc>
          <w:tcPr>
            <w:tcW w:w="0" w:type="auto"/>
            <w:vAlign w:val="center"/>
            <w:hideMark/>
          </w:tcPr>
          <w:p w14:paraId="53AD6B8E" w14:textId="77777777" w:rsidR="00AC461C" w:rsidRPr="00CC0ED0" w:rsidRDefault="00AC461C" w:rsidP="00A2490B">
            <w:pPr>
              <w:spacing w:line="360" w:lineRule="auto"/>
              <w:rPr>
                <w:rFonts w:ascii="Arial" w:hAnsi="Arial" w:cs="Arial"/>
              </w:rPr>
            </w:pPr>
            <w:r w:rsidRPr="00CC0ED0">
              <w:rPr>
                <w:rFonts w:ascii="Arial" w:hAnsi="Arial" w:cs="Arial"/>
              </w:rPr>
              <w:t>Collects or receives food</w:t>
            </w:r>
          </w:p>
        </w:tc>
        <w:tc>
          <w:tcPr>
            <w:tcW w:w="0" w:type="auto"/>
            <w:vAlign w:val="center"/>
            <w:hideMark/>
          </w:tcPr>
          <w:p w14:paraId="3F040179" w14:textId="77777777" w:rsidR="00AC461C" w:rsidRPr="00CC0ED0" w:rsidRDefault="00AC461C" w:rsidP="00A2490B">
            <w:pPr>
              <w:spacing w:line="360" w:lineRule="auto"/>
              <w:rPr>
                <w:rFonts w:ascii="Arial" w:hAnsi="Arial" w:cs="Arial"/>
              </w:rPr>
            </w:pPr>
            <w:r w:rsidRPr="00CC0ED0">
              <w:rPr>
                <w:rFonts w:ascii="Arial" w:hAnsi="Arial" w:cs="Arial"/>
              </w:rPr>
              <w:t>Counter collection, delivery partner handover</w:t>
            </w:r>
          </w:p>
        </w:tc>
        <w:tc>
          <w:tcPr>
            <w:tcW w:w="0" w:type="auto"/>
            <w:vAlign w:val="center"/>
            <w:hideMark/>
          </w:tcPr>
          <w:p w14:paraId="17B96576" w14:textId="77777777" w:rsidR="00AC461C" w:rsidRPr="00CC0ED0" w:rsidRDefault="00AC461C" w:rsidP="00A2490B">
            <w:pPr>
              <w:spacing w:line="360" w:lineRule="auto"/>
              <w:rPr>
                <w:rFonts w:ascii="Arial" w:hAnsi="Arial" w:cs="Arial"/>
              </w:rPr>
            </w:pPr>
            <w:r w:rsidRPr="00CC0ED0">
              <w:rPr>
                <w:rFonts w:ascii="Arial" w:hAnsi="Arial" w:cs="Arial"/>
              </w:rPr>
              <w:t>Peak waiting; limited order status transparency</w:t>
            </w:r>
          </w:p>
        </w:tc>
        <w:tc>
          <w:tcPr>
            <w:tcW w:w="0" w:type="auto"/>
            <w:vAlign w:val="center"/>
            <w:hideMark/>
          </w:tcPr>
          <w:p w14:paraId="3E7625ED" w14:textId="77777777" w:rsidR="00AC461C" w:rsidRPr="00CC0ED0" w:rsidRDefault="00AC461C" w:rsidP="00A2490B">
            <w:pPr>
              <w:spacing w:line="360" w:lineRule="auto"/>
              <w:rPr>
                <w:rFonts w:ascii="Arial" w:hAnsi="Arial" w:cs="Arial"/>
              </w:rPr>
            </w:pPr>
            <w:r w:rsidRPr="00CC0ED0">
              <w:rPr>
                <w:rFonts w:ascii="Arial" w:hAnsi="Arial" w:cs="Arial"/>
              </w:rPr>
              <w:t>Fresh food; convenience</w:t>
            </w:r>
          </w:p>
        </w:tc>
      </w:tr>
      <w:tr w:rsidR="00AC461C" w:rsidRPr="00CC0ED0" w14:paraId="64C7708D" w14:textId="77777777" w:rsidTr="00AC461C">
        <w:trPr>
          <w:tblCellSpacing w:w="15" w:type="dxa"/>
        </w:trPr>
        <w:tc>
          <w:tcPr>
            <w:tcW w:w="0" w:type="auto"/>
            <w:shd w:val="clear" w:color="auto" w:fill="DAE9F7" w:themeFill="text2" w:themeFillTint="1A"/>
            <w:vAlign w:val="center"/>
            <w:hideMark/>
          </w:tcPr>
          <w:p w14:paraId="07B049DB" w14:textId="77777777" w:rsidR="00AC461C" w:rsidRPr="00CC0ED0" w:rsidRDefault="00AC461C" w:rsidP="00A2490B">
            <w:pPr>
              <w:spacing w:line="360" w:lineRule="auto"/>
              <w:rPr>
                <w:rFonts w:ascii="Arial" w:hAnsi="Arial" w:cs="Arial"/>
              </w:rPr>
            </w:pPr>
            <w:r w:rsidRPr="00CC0ED0">
              <w:rPr>
                <w:rFonts w:ascii="Arial" w:hAnsi="Arial" w:cs="Arial"/>
              </w:rPr>
              <w:t>Post-purchase</w:t>
            </w:r>
          </w:p>
        </w:tc>
        <w:tc>
          <w:tcPr>
            <w:tcW w:w="0" w:type="auto"/>
            <w:vAlign w:val="center"/>
            <w:hideMark/>
          </w:tcPr>
          <w:p w14:paraId="110E0E9C" w14:textId="77777777" w:rsidR="00AC461C" w:rsidRPr="00CC0ED0" w:rsidRDefault="00AC461C" w:rsidP="00A2490B">
            <w:pPr>
              <w:spacing w:line="360" w:lineRule="auto"/>
              <w:rPr>
                <w:rFonts w:ascii="Arial" w:hAnsi="Arial" w:cs="Arial"/>
              </w:rPr>
            </w:pPr>
            <w:r w:rsidRPr="00CC0ED0">
              <w:rPr>
                <w:rFonts w:ascii="Arial" w:hAnsi="Arial" w:cs="Arial"/>
              </w:rPr>
              <w:t>Considers repeat purchase and engagement</w:t>
            </w:r>
          </w:p>
        </w:tc>
        <w:tc>
          <w:tcPr>
            <w:tcW w:w="0" w:type="auto"/>
            <w:vAlign w:val="center"/>
            <w:hideMark/>
          </w:tcPr>
          <w:p w14:paraId="6353250D" w14:textId="77777777" w:rsidR="00AC461C" w:rsidRPr="00CC0ED0" w:rsidRDefault="00AC461C" w:rsidP="00A2490B">
            <w:pPr>
              <w:spacing w:line="360" w:lineRule="auto"/>
              <w:rPr>
                <w:rFonts w:ascii="Arial" w:hAnsi="Arial" w:cs="Arial"/>
              </w:rPr>
            </w:pPr>
            <w:r w:rsidRPr="00CC0ED0">
              <w:rPr>
                <w:rFonts w:ascii="Arial" w:hAnsi="Arial" w:cs="Arial"/>
              </w:rPr>
              <w:t>Rewards app, receipts, habit recall</w:t>
            </w:r>
          </w:p>
        </w:tc>
        <w:tc>
          <w:tcPr>
            <w:tcW w:w="0" w:type="auto"/>
            <w:vAlign w:val="center"/>
            <w:hideMark/>
          </w:tcPr>
          <w:p w14:paraId="07C14E46" w14:textId="77777777" w:rsidR="00AC461C" w:rsidRPr="00CC0ED0" w:rsidRDefault="00AC461C" w:rsidP="00A2490B">
            <w:pPr>
              <w:spacing w:line="360" w:lineRule="auto"/>
              <w:rPr>
                <w:rFonts w:ascii="Arial" w:hAnsi="Arial" w:cs="Arial"/>
              </w:rPr>
            </w:pPr>
            <w:r w:rsidRPr="00CC0ED0">
              <w:rPr>
                <w:rFonts w:ascii="Arial" w:hAnsi="Arial" w:cs="Arial"/>
              </w:rPr>
              <w:t>Generic rewards; weak follow-up and reactivation</w:t>
            </w:r>
          </w:p>
        </w:tc>
        <w:tc>
          <w:tcPr>
            <w:tcW w:w="0" w:type="auto"/>
            <w:vAlign w:val="center"/>
            <w:hideMark/>
          </w:tcPr>
          <w:p w14:paraId="1DE49226" w14:textId="77777777" w:rsidR="00AC461C" w:rsidRPr="00CC0ED0" w:rsidRDefault="00AC461C" w:rsidP="00A2490B">
            <w:pPr>
              <w:spacing w:line="360" w:lineRule="auto"/>
              <w:rPr>
                <w:rFonts w:ascii="Arial" w:hAnsi="Arial" w:cs="Arial"/>
              </w:rPr>
            </w:pPr>
            <w:r w:rsidRPr="00CC0ED0">
              <w:rPr>
                <w:rFonts w:ascii="Arial" w:hAnsi="Arial" w:cs="Arial"/>
              </w:rPr>
              <w:t>Good perceived value; routine buying behaviour</w:t>
            </w:r>
          </w:p>
        </w:tc>
      </w:tr>
    </w:tbl>
    <w:p w14:paraId="57DE3B43" w14:textId="77777777" w:rsidR="00AC461C" w:rsidRPr="00154ECD" w:rsidRDefault="00AC461C" w:rsidP="00154ECD">
      <w:pPr>
        <w:spacing w:line="360" w:lineRule="auto"/>
        <w:rPr>
          <w:rFonts w:ascii="Arial" w:hAnsi="Arial" w:cs="Arial"/>
        </w:rPr>
      </w:pPr>
    </w:p>
    <w:p w14:paraId="52874BD6" w14:textId="1ADA7E43" w:rsidR="0089679D" w:rsidRPr="00154ECD" w:rsidRDefault="0089679D" w:rsidP="002548F8">
      <w:pPr>
        <w:spacing w:line="360" w:lineRule="auto"/>
        <w:jc w:val="both"/>
        <w:rPr>
          <w:rFonts w:ascii="Arial" w:hAnsi="Arial" w:cs="Arial"/>
        </w:rPr>
      </w:pPr>
      <w:r w:rsidRPr="00154ECD">
        <w:rPr>
          <w:rFonts w:ascii="Arial" w:hAnsi="Arial" w:cs="Arial"/>
        </w:rPr>
        <w:t>The journey is efficient but transactional, with limited behavioural engagement beyond the point of purchase.</w:t>
      </w:r>
    </w:p>
    <w:p w14:paraId="2C51B314" w14:textId="77777777" w:rsidR="00154ECD" w:rsidRPr="00154ECD" w:rsidRDefault="00154ECD" w:rsidP="002548F8">
      <w:pPr>
        <w:spacing w:line="360" w:lineRule="auto"/>
        <w:jc w:val="both"/>
        <w:rPr>
          <w:rFonts w:ascii="Arial" w:hAnsi="Arial" w:cs="Arial"/>
        </w:rPr>
      </w:pPr>
      <w:r w:rsidRPr="00154ECD">
        <w:rPr>
          <w:rFonts w:ascii="Arial" w:hAnsi="Arial" w:cs="Arial"/>
        </w:rPr>
        <w:t>From a design thinking perspective, the current journey reflects a service model that prioritises functional efficiency but offers limited emotional or cognitive engagement. Design thinking research emphasises that value is created not only through task completion but also through perceived control, predictability and personal relevance (Micheli et al., 2019). Where customers experience uncertainty about waiting time, product availability or queue length, perceived effort increases even if the actual service time remains relatively short.</w:t>
      </w:r>
    </w:p>
    <w:p w14:paraId="554FD637" w14:textId="77777777" w:rsidR="00154ECD" w:rsidRPr="00154ECD" w:rsidRDefault="00154ECD" w:rsidP="002548F8">
      <w:pPr>
        <w:spacing w:line="360" w:lineRule="auto"/>
        <w:jc w:val="both"/>
        <w:rPr>
          <w:rFonts w:ascii="Arial" w:hAnsi="Arial" w:cs="Arial"/>
        </w:rPr>
      </w:pPr>
      <w:r w:rsidRPr="00154ECD">
        <w:rPr>
          <w:rFonts w:ascii="Arial" w:hAnsi="Arial" w:cs="Arial"/>
        </w:rPr>
        <w:t>The absence of visibility and personalisation also reduces the organisation’s ability to influence customer decision-making before arrival. In many quick-service environments, customers increasingly expect digital tools to support planning and reduce uncertainty. Without these capabilities, Greggs’ experience remains largely reactive, responding to demand rather than shaping it.</w:t>
      </w:r>
    </w:p>
    <w:p w14:paraId="2B75378C" w14:textId="500F693C" w:rsidR="0089679D" w:rsidRPr="00154ECD" w:rsidRDefault="00154ECD" w:rsidP="00476A90">
      <w:pPr>
        <w:spacing w:line="360" w:lineRule="auto"/>
        <w:jc w:val="both"/>
        <w:rPr>
          <w:rFonts w:ascii="Arial" w:hAnsi="Arial" w:cs="Arial"/>
        </w:rPr>
      </w:pPr>
      <w:r w:rsidRPr="00154ECD">
        <w:rPr>
          <w:rFonts w:ascii="Arial" w:hAnsi="Arial" w:cs="Arial"/>
        </w:rPr>
        <w:t>Furthermore, the limited role of digital engagement between visits weakens habit reinforcement. Behavioural research suggests that small prompts, reminders or progress indicators can significantly increase repeat behaviour by reinforcing routine patterns. In the absence of such mechanisms, customer frequency is determined primarily by external factors such as location or convenience rather than by relationship strength. This reinforces the conclusion that the organisation’s current digital capability supports transactions but does not yet function as a strategic tool for behavioural influence.</w:t>
      </w:r>
    </w:p>
    <w:p w14:paraId="4AE0B16D" w14:textId="77777777" w:rsidR="0089679D" w:rsidRPr="0009253A" w:rsidRDefault="0089679D" w:rsidP="00154ECD">
      <w:pPr>
        <w:spacing w:line="360" w:lineRule="auto"/>
        <w:rPr>
          <w:rFonts w:ascii="Arial" w:hAnsi="Arial" w:cs="Arial"/>
          <w:b/>
          <w:bCs/>
        </w:rPr>
      </w:pPr>
      <w:r w:rsidRPr="0009253A">
        <w:rPr>
          <w:rFonts w:ascii="Arial" w:hAnsi="Arial" w:cs="Arial"/>
          <w:b/>
          <w:bCs/>
        </w:rPr>
        <w:t>4.4 Pain points and innovation opportunities</w:t>
      </w:r>
    </w:p>
    <w:p w14:paraId="1C5D9780" w14:textId="55C38E72" w:rsidR="00D01732" w:rsidRPr="00154ECD" w:rsidRDefault="0089679D" w:rsidP="00476A90">
      <w:pPr>
        <w:spacing w:line="360" w:lineRule="auto"/>
        <w:jc w:val="both"/>
        <w:rPr>
          <w:rFonts w:ascii="Arial" w:hAnsi="Arial" w:cs="Arial"/>
        </w:rPr>
      </w:pPr>
      <w:r w:rsidRPr="00154ECD">
        <w:rPr>
          <w:rFonts w:ascii="Arial" w:hAnsi="Arial" w:cs="Arial"/>
        </w:rPr>
        <w:t>Key issues include peak congestion, generic loyalty and weak post-purchase engagement. These findings indicate that Greggs’ primary opportunity lies in developing a digitally enabled experience system that reduces friction, increases relevance and influences behaviour across the customer lifecycle.</w:t>
      </w:r>
      <w:r w:rsidR="00476A90">
        <w:rPr>
          <w:rFonts w:ascii="Arial" w:hAnsi="Arial" w:cs="Arial"/>
        </w:rPr>
        <w:t xml:space="preserve"> </w:t>
      </w:r>
      <w:r w:rsidR="00D01732" w:rsidRPr="00154ECD">
        <w:rPr>
          <w:rFonts w:ascii="Arial" w:hAnsi="Arial" w:cs="Arial"/>
        </w:rPr>
        <w:t xml:space="preserve">Taken together, these findings highlight that the </w:t>
      </w:r>
      <w:r w:rsidR="00DB3D94">
        <w:rPr>
          <w:rFonts w:ascii="Arial" w:hAnsi="Arial" w:cs="Arial"/>
        </w:rPr>
        <w:t>key</w:t>
      </w:r>
      <w:r w:rsidR="00D01732" w:rsidRPr="00154ECD">
        <w:rPr>
          <w:rFonts w:ascii="Arial" w:hAnsi="Arial" w:cs="Arial"/>
        </w:rPr>
        <w:t xml:space="preserve"> opportunity for Greggs lies in shifting from a transaction-focused service model towards a behaviourally informed experience system. Importantly, this does not require fundamental changes to the core business model. Instead, the opportunity involves using digital capability to reduce perceived effort, increase decision confidence and reinforce routine purchasing behaviour.</w:t>
      </w:r>
    </w:p>
    <w:p w14:paraId="4B4836C4" w14:textId="2D7EBE3F" w:rsidR="0089679D" w:rsidRDefault="00D01732" w:rsidP="00476A90">
      <w:pPr>
        <w:spacing w:line="360" w:lineRule="auto"/>
        <w:jc w:val="both"/>
        <w:rPr>
          <w:rFonts w:ascii="Arial" w:hAnsi="Arial" w:cs="Arial"/>
        </w:rPr>
      </w:pPr>
      <w:r w:rsidRPr="00154ECD">
        <w:rPr>
          <w:rFonts w:ascii="Arial" w:hAnsi="Arial" w:cs="Arial"/>
        </w:rPr>
        <w:t>This interpretation is consistent with contemporary digital transformation research, which emphasises that competitive advantage increasingly derives from the ability to integrate data, insight and operational execution across the customer journey (Verhoef et al., 2021). For a value-oriented retailer, such integration is particularly important because differentiation through product or price alone is limited. Developing a modest but targeted transformational capability therefore represents a strategic necessity rather than an optional enhancement.</w:t>
      </w:r>
    </w:p>
    <w:p w14:paraId="77FCFDB9" w14:textId="7144150E" w:rsidR="0021361E" w:rsidRDefault="0088707D" w:rsidP="00476A90">
      <w:pPr>
        <w:spacing w:line="360" w:lineRule="auto"/>
        <w:jc w:val="both"/>
        <w:rPr>
          <w:rFonts w:ascii="Arial" w:hAnsi="Arial" w:cs="Arial"/>
        </w:rPr>
      </w:pPr>
      <w:r w:rsidRPr="0088707D">
        <w:rPr>
          <w:rFonts w:ascii="Arial" w:hAnsi="Arial" w:cs="Arial"/>
        </w:rPr>
        <w:t>Collectively, these issues indicate that the primary challenge is not operational performance itself, but the absence of a digital capability that connects customer behaviour with operational decision-making.</w:t>
      </w:r>
    </w:p>
    <w:p w14:paraId="24D7B181" w14:textId="77777777" w:rsidR="00476A90" w:rsidRPr="00154ECD" w:rsidRDefault="00476A90" w:rsidP="00476A90">
      <w:pPr>
        <w:spacing w:line="360" w:lineRule="auto"/>
        <w:jc w:val="both"/>
        <w:rPr>
          <w:rFonts w:ascii="Arial" w:hAnsi="Arial" w:cs="Arial"/>
        </w:rPr>
      </w:pPr>
    </w:p>
    <w:p w14:paraId="1643F31E" w14:textId="787A7D9D" w:rsidR="0089679D" w:rsidRDefault="0089679D" w:rsidP="00476A90">
      <w:pPr>
        <w:pStyle w:val="Heading3"/>
        <w:numPr>
          <w:ilvl w:val="0"/>
          <w:numId w:val="8"/>
        </w:numPr>
        <w:rPr>
          <w:rFonts w:ascii="Arial" w:hAnsi="Arial" w:cs="Arial"/>
        </w:rPr>
      </w:pPr>
      <w:r w:rsidRPr="00476A90">
        <w:rPr>
          <w:rFonts w:ascii="Arial" w:hAnsi="Arial" w:cs="Arial"/>
        </w:rPr>
        <w:t>Part 2: Proposed Digital Transformation Initiative</w:t>
      </w:r>
    </w:p>
    <w:p w14:paraId="4BEA598E" w14:textId="77777777" w:rsidR="00476A90" w:rsidRPr="00476A90" w:rsidRDefault="00476A90" w:rsidP="00476A90">
      <w:pPr>
        <w:pStyle w:val="ListParagraph"/>
      </w:pPr>
    </w:p>
    <w:p w14:paraId="47D276FA" w14:textId="77777777" w:rsidR="0089679D" w:rsidRPr="0009253A" w:rsidRDefault="0089679D" w:rsidP="00154ECD">
      <w:pPr>
        <w:spacing w:line="360" w:lineRule="auto"/>
        <w:rPr>
          <w:rFonts w:ascii="Arial" w:hAnsi="Arial" w:cs="Arial"/>
          <w:b/>
          <w:bCs/>
        </w:rPr>
      </w:pPr>
      <w:r w:rsidRPr="0009253A">
        <w:rPr>
          <w:rFonts w:ascii="Arial" w:hAnsi="Arial" w:cs="Arial"/>
          <w:b/>
          <w:bCs/>
        </w:rPr>
        <w:t>5.1 Strategic challenge definition and design principles</w:t>
      </w:r>
    </w:p>
    <w:p w14:paraId="702B2DAF" w14:textId="77777777" w:rsidR="0089679D" w:rsidRPr="00154ECD" w:rsidRDefault="0089679D" w:rsidP="008E26A7">
      <w:pPr>
        <w:spacing w:line="360" w:lineRule="auto"/>
        <w:jc w:val="both"/>
        <w:rPr>
          <w:rFonts w:ascii="Arial" w:hAnsi="Arial" w:cs="Arial"/>
        </w:rPr>
      </w:pPr>
      <w:r w:rsidRPr="00154ECD">
        <w:rPr>
          <w:rFonts w:ascii="Arial" w:hAnsi="Arial" w:cs="Arial"/>
        </w:rPr>
        <w:t>The analysis in Part 1 demonstrated that Greggs’ innovation portfolio is heavily weighted towards core operational improvement, with limited transformational capability. Although existing digital tools support access through delivery and click-and-collect, they operate primarily as transactional enablers rather than as an integrated experience system. In an environment where competitors increasingly use data-driven engagement to influence customer behaviour and timing, this represents a strategic vulnerability (Verhoef et al., 2021).</w:t>
      </w:r>
    </w:p>
    <w:p w14:paraId="43847CBF" w14:textId="77777777" w:rsidR="0089679D" w:rsidRPr="00154ECD" w:rsidRDefault="0089679D" w:rsidP="008E26A7">
      <w:pPr>
        <w:spacing w:line="360" w:lineRule="auto"/>
        <w:jc w:val="both"/>
        <w:rPr>
          <w:rFonts w:ascii="Arial" w:hAnsi="Arial" w:cs="Arial"/>
        </w:rPr>
      </w:pPr>
      <w:r w:rsidRPr="00154ECD">
        <w:rPr>
          <w:rFonts w:ascii="Arial" w:hAnsi="Arial" w:cs="Arial"/>
        </w:rPr>
        <w:t>The central challenge is therefore not the absence of digital technology, but the lack of journey orchestration. Customer interactions across app, store and delivery channels are not consistently coordinated to reinforce routines, reduce friction or manage demand. Digital transformation research emphasises that value is created when organisations redesign how value is delivered, rather than simply adding isolated features (Vial, 2019).</w:t>
      </w:r>
    </w:p>
    <w:p w14:paraId="4CB29410" w14:textId="77777777" w:rsidR="0089679D" w:rsidRPr="00154ECD" w:rsidRDefault="0089679D" w:rsidP="008E26A7">
      <w:pPr>
        <w:spacing w:line="360" w:lineRule="auto"/>
        <w:jc w:val="both"/>
        <w:rPr>
          <w:rFonts w:ascii="Arial" w:hAnsi="Arial" w:cs="Arial"/>
        </w:rPr>
      </w:pPr>
      <w:r w:rsidRPr="00154ECD">
        <w:rPr>
          <w:rFonts w:ascii="Arial" w:hAnsi="Arial" w:cs="Arial"/>
        </w:rPr>
        <w:t>However, any transformation must reflect Greggs’ operating model. The organisation competes on affordability and speed, supported by high-volume throughput and operational simplicity. Technologies that increase store complexity or require significant behavioural change from staff could undermine performance. From a dynamic capabilities perspective, transformation should therefore focus on reconfiguring existing assets rather than introducing high-risk structural change (Teece, 2018).</w:t>
      </w:r>
    </w:p>
    <w:p w14:paraId="79E6FA22" w14:textId="77777777" w:rsidR="0089679D" w:rsidRPr="0009253A" w:rsidRDefault="0089679D" w:rsidP="00823E32">
      <w:pPr>
        <w:spacing w:line="360" w:lineRule="auto"/>
        <w:jc w:val="both"/>
        <w:rPr>
          <w:rFonts w:ascii="Arial" w:hAnsi="Arial" w:cs="Arial"/>
          <w:b/>
          <w:bCs/>
        </w:rPr>
      </w:pPr>
      <w:r w:rsidRPr="0009253A">
        <w:rPr>
          <w:rFonts w:ascii="Arial" w:hAnsi="Arial" w:cs="Arial"/>
          <w:b/>
          <w:bCs/>
        </w:rPr>
        <w:t>Three design principles guide the proposed initiative:</w:t>
      </w:r>
    </w:p>
    <w:p w14:paraId="2D16DFC4" w14:textId="77777777" w:rsidR="0089679D" w:rsidRPr="00154ECD" w:rsidRDefault="0089679D" w:rsidP="00823E32">
      <w:pPr>
        <w:numPr>
          <w:ilvl w:val="0"/>
          <w:numId w:val="5"/>
        </w:numPr>
        <w:spacing w:line="360" w:lineRule="auto"/>
        <w:jc w:val="both"/>
        <w:rPr>
          <w:rFonts w:ascii="Arial" w:hAnsi="Arial" w:cs="Arial"/>
        </w:rPr>
      </w:pPr>
      <w:r w:rsidRPr="00154ECD">
        <w:rPr>
          <w:rFonts w:ascii="Arial" w:hAnsi="Arial" w:cs="Arial"/>
        </w:rPr>
        <w:t>Value alignment – reinforce affordability and convenience rather than premium positioning</w:t>
      </w:r>
    </w:p>
    <w:p w14:paraId="61932DF4" w14:textId="77777777" w:rsidR="0089679D" w:rsidRPr="00154ECD" w:rsidRDefault="0089679D" w:rsidP="00823E32">
      <w:pPr>
        <w:numPr>
          <w:ilvl w:val="0"/>
          <w:numId w:val="5"/>
        </w:numPr>
        <w:spacing w:line="360" w:lineRule="auto"/>
        <w:jc w:val="both"/>
        <w:rPr>
          <w:rFonts w:ascii="Arial" w:hAnsi="Arial" w:cs="Arial"/>
        </w:rPr>
      </w:pPr>
      <w:r w:rsidRPr="00154ECD">
        <w:rPr>
          <w:rFonts w:ascii="Arial" w:hAnsi="Arial" w:cs="Arial"/>
        </w:rPr>
        <w:t>Operational feasibility – reduce friction and support throughput without increasing store workload</w:t>
      </w:r>
    </w:p>
    <w:p w14:paraId="6656DBFB" w14:textId="77777777" w:rsidR="0089679D" w:rsidRPr="00154ECD" w:rsidRDefault="0089679D" w:rsidP="00823E32">
      <w:pPr>
        <w:numPr>
          <w:ilvl w:val="0"/>
          <w:numId w:val="5"/>
        </w:numPr>
        <w:spacing w:line="360" w:lineRule="auto"/>
        <w:jc w:val="both"/>
        <w:rPr>
          <w:rFonts w:ascii="Arial" w:hAnsi="Arial" w:cs="Arial"/>
        </w:rPr>
      </w:pPr>
      <w:r w:rsidRPr="00154ECD">
        <w:rPr>
          <w:rFonts w:ascii="Arial" w:hAnsi="Arial" w:cs="Arial"/>
        </w:rPr>
        <w:t>Trust and transparency – ensure opt-in personalisation and privacy-by-design in line with UK guidance (ICO, 2023)</w:t>
      </w:r>
    </w:p>
    <w:p w14:paraId="59FC19B2" w14:textId="166B21DD" w:rsidR="0089679D" w:rsidRPr="00154ECD" w:rsidRDefault="0089679D" w:rsidP="00823E32">
      <w:pPr>
        <w:spacing w:line="360" w:lineRule="auto"/>
        <w:jc w:val="both"/>
        <w:rPr>
          <w:rFonts w:ascii="Arial" w:hAnsi="Arial" w:cs="Arial"/>
        </w:rPr>
      </w:pPr>
      <w:r w:rsidRPr="00154ECD">
        <w:rPr>
          <w:rFonts w:ascii="Arial" w:hAnsi="Arial" w:cs="Arial"/>
        </w:rPr>
        <w:t>These principles ensure that digital innovation strengthens both customer experience and operational performance.</w:t>
      </w:r>
    </w:p>
    <w:p w14:paraId="31912A2D" w14:textId="77777777" w:rsidR="00346469" w:rsidRPr="00346469" w:rsidRDefault="00346469" w:rsidP="00346469">
      <w:pPr>
        <w:spacing w:line="360" w:lineRule="auto"/>
        <w:rPr>
          <w:rFonts w:ascii="Arial" w:hAnsi="Arial" w:cs="Arial"/>
        </w:rPr>
      </w:pPr>
      <w:r w:rsidRPr="00346469">
        <w:rPr>
          <w:rFonts w:ascii="Arial" w:hAnsi="Arial" w:cs="Arial"/>
          <w:b/>
          <w:bCs/>
        </w:rPr>
        <w:t>5.2 Proposed initiative: Greggs Smart Value Journey ecosystem</w:t>
      </w:r>
      <w:r w:rsidRPr="00346469">
        <w:rPr>
          <w:rFonts w:ascii="Arial" w:hAnsi="Arial" w:cs="Arial"/>
        </w:rPr>
        <w:br/>
        <w:t>This report proposes the Greggs Smart Value Journey, a data-enabled ecosystem embedded within the existing mobile app and operational infrastructure. The initiative represents transformational innovation because it reconfigures how Greggs creates value through behavioural insight and coordinated engagement rather than through additional physical infrastructure.</w:t>
      </w:r>
    </w:p>
    <w:p w14:paraId="290BCFC6" w14:textId="77777777" w:rsidR="00346469" w:rsidRPr="00346469" w:rsidRDefault="00346469" w:rsidP="00346469">
      <w:pPr>
        <w:spacing w:line="360" w:lineRule="auto"/>
        <w:rPr>
          <w:rFonts w:ascii="Arial" w:hAnsi="Arial" w:cs="Arial"/>
        </w:rPr>
      </w:pPr>
      <w:r w:rsidRPr="00346469">
        <w:rPr>
          <w:rFonts w:ascii="Arial" w:hAnsi="Arial" w:cs="Arial"/>
        </w:rPr>
        <w:t>The ecosystem consists of four integrated components.</w:t>
      </w:r>
    </w:p>
    <w:p w14:paraId="452EA716" w14:textId="77777777" w:rsidR="00346469" w:rsidRPr="00346469" w:rsidRDefault="00346469" w:rsidP="00346469">
      <w:pPr>
        <w:spacing w:line="360" w:lineRule="auto"/>
        <w:rPr>
          <w:rFonts w:ascii="Arial" w:hAnsi="Arial" w:cs="Arial"/>
        </w:rPr>
      </w:pPr>
      <w:r w:rsidRPr="00346469">
        <w:rPr>
          <w:rFonts w:ascii="Arial" w:hAnsi="Arial" w:cs="Arial"/>
          <w:b/>
          <w:bCs/>
        </w:rPr>
        <w:t>1. Contextual value tracks</w:t>
      </w:r>
      <w:r w:rsidRPr="00346469">
        <w:rPr>
          <w:rFonts w:ascii="Arial" w:hAnsi="Arial" w:cs="Arial"/>
        </w:rPr>
        <w:br/>
        <w:t xml:space="preserve">Customers opt into routine-based loyalty pathways such as breakfast regular or lunch saver. Progress indicators and relevant rewards reinforce routine purchasing and increase perceived fairness and relevance through improved journey personalisation and orchestration (Lemon and Verhoef, 2016; Lundin, </w:t>
      </w:r>
      <w:proofErr w:type="spellStart"/>
      <w:r w:rsidRPr="00346469">
        <w:rPr>
          <w:rFonts w:ascii="Arial" w:hAnsi="Arial" w:cs="Arial"/>
        </w:rPr>
        <w:t>Kindström</w:t>
      </w:r>
      <w:proofErr w:type="spellEnd"/>
      <w:r w:rsidRPr="00346469">
        <w:rPr>
          <w:rFonts w:ascii="Arial" w:hAnsi="Arial" w:cs="Arial"/>
        </w:rPr>
        <w:t xml:space="preserve"> and Kowalkowski, 2023).</w:t>
      </w:r>
    </w:p>
    <w:p w14:paraId="29CCCDC3" w14:textId="77777777" w:rsidR="00346469" w:rsidRPr="00346469" w:rsidRDefault="00346469" w:rsidP="00346469">
      <w:pPr>
        <w:spacing w:line="360" w:lineRule="auto"/>
        <w:rPr>
          <w:rFonts w:ascii="Arial" w:hAnsi="Arial" w:cs="Arial"/>
        </w:rPr>
      </w:pPr>
      <w:r w:rsidRPr="00346469">
        <w:rPr>
          <w:rFonts w:ascii="Arial" w:hAnsi="Arial" w:cs="Arial"/>
          <w:b/>
          <w:bCs/>
        </w:rPr>
        <w:t>2. Demand-smoothing nudges</w:t>
      </w:r>
      <w:r w:rsidRPr="00346469">
        <w:rPr>
          <w:rFonts w:ascii="Arial" w:hAnsi="Arial" w:cs="Arial"/>
        </w:rPr>
        <w:br/>
        <w:t>Using time-of-day patterns and historical behaviour, the app provides optional incentives to encourage off-peak visits or pre-ordering. This helps redistribute demand and improve capacity utilisation through digitally enabled experience management, without introducing complex pricing structures (Vial, 2019; Verhoef et al., 2021).</w:t>
      </w:r>
    </w:p>
    <w:p w14:paraId="30FE725B" w14:textId="77777777" w:rsidR="00346469" w:rsidRPr="00346469" w:rsidRDefault="00346469" w:rsidP="00346469">
      <w:pPr>
        <w:spacing w:line="360" w:lineRule="auto"/>
        <w:rPr>
          <w:rFonts w:ascii="Arial" w:hAnsi="Arial" w:cs="Arial"/>
        </w:rPr>
      </w:pPr>
      <w:r w:rsidRPr="00346469">
        <w:rPr>
          <w:rFonts w:ascii="Arial" w:hAnsi="Arial" w:cs="Arial"/>
          <w:b/>
          <w:bCs/>
        </w:rPr>
        <w:t>3. Predictive ordering and friction reduction</w:t>
      </w:r>
      <w:r w:rsidRPr="00346469">
        <w:rPr>
          <w:rFonts w:ascii="Arial" w:hAnsi="Arial" w:cs="Arial"/>
        </w:rPr>
        <w:br/>
        <w:t>Customers can save favourites, receive availability prompts and view estimated preparation times. Reducing uncertainty lowers decision effort and improves conversion by enhancing the quality and usefulness of digital touchpoints across the journey (Chaffey and Ellis-Chadwick, 2022; Lemon and Verhoef, 2016).</w:t>
      </w:r>
    </w:p>
    <w:p w14:paraId="2C75CF99" w14:textId="77777777" w:rsidR="00346469" w:rsidRPr="00346469" w:rsidRDefault="00346469" w:rsidP="00346469">
      <w:pPr>
        <w:spacing w:line="360" w:lineRule="auto"/>
        <w:rPr>
          <w:rFonts w:ascii="Arial" w:hAnsi="Arial" w:cs="Arial"/>
        </w:rPr>
      </w:pPr>
      <w:r w:rsidRPr="00346469">
        <w:rPr>
          <w:rFonts w:ascii="Arial" w:hAnsi="Arial" w:cs="Arial"/>
          <w:b/>
          <w:bCs/>
        </w:rPr>
        <w:t>4. Post-purchase engagement and recovery</w:t>
      </w:r>
      <w:r w:rsidRPr="00346469">
        <w:rPr>
          <w:rFonts w:ascii="Arial" w:hAnsi="Arial" w:cs="Arial"/>
        </w:rPr>
        <w:br/>
        <w:t xml:space="preserve">Routine reminders, progress updates and simple service recovery options support relationship continuity and reduce churn by extending engagement beyond the transaction and reinforcing journey consistency over time (Lemon and Verhoef, 2016; Lundin, </w:t>
      </w:r>
      <w:proofErr w:type="spellStart"/>
      <w:r w:rsidRPr="00346469">
        <w:rPr>
          <w:rFonts w:ascii="Arial" w:hAnsi="Arial" w:cs="Arial"/>
        </w:rPr>
        <w:t>Kindström</w:t>
      </w:r>
      <w:proofErr w:type="spellEnd"/>
      <w:r w:rsidRPr="00346469">
        <w:rPr>
          <w:rFonts w:ascii="Arial" w:hAnsi="Arial" w:cs="Arial"/>
        </w:rPr>
        <w:t xml:space="preserve"> and Kowalkowski, 2023).</w:t>
      </w:r>
    </w:p>
    <w:p w14:paraId="3EA9DF73" w14:textId="77777777" w:rsidR="00346469" w:rsidRPr="00346469" w:rsidRDefault="00346469" w:rsidP="00346469">
      <w:pPr>
        <w:spacing w:line="360" w:lineRule="auto"/>
        <w:rPr>
          <w:rFonts w:ascii="Arial" w:hAnsi="Arial" w:cs="Arial"/>
        </w:rPr>
      </w:pPr>
      <w:r w:rsidRPr="00346469">
        <w:rPr>
          <w:rFonts w:ascii="Arial" w:hAnsi="Arial" w:cs="Arial"/>
        </w:rPr>
        <w:t>Together, these components shift the Greggs experience from a static transaction model to an adaptive system that supports both customer value and operational efficiency through integrated digital capability (Teece, 2018; Verhoef et al., 2021).</w:t>
      </w:r>
    </w:p>
    <w:p w14:paraId="43DE8DDA" w14:textId="77777777" w:rsidR="001E1DBF" w:rsidRDefault="001E1DBF" w:rsidP="00154ECD">
      <w:pPr>
        <w:spacing w:line="360" w:lineRule="auto"/>
        <w:rPr>
          <w:rFonts w:ascii="Arial" w:hAnsi="Arial" w:cs="Arial"/>
          <w:b/>
          <w:bCs/>
        </w:rPr>
      </w:pPr>
    </w:p>
    <w:p w14:paraId="066D797B" w14:textId="77777777" w:rsidR="001E1DBF" w:rsidRDefault="001E1DBF" w:rsidP="00154ECD">
      <w:pPr>
        <w:spacing w:line="360" w:lineRule="auto"/>
        <w:rPr>
          <w:rFonts w:ascii="Arial" w:hAnsi="Arial" w:cs="Arial"/>
          <w:b/>
          <w:bCs/>
        </w:rPr>
      </w:pPr>
    </w:p>
    <w:p w14:paraId="3A2A4C65" w14:textId="77777777" w:rsidR="001E1DBF" w:rsidRDefault="001E1DBF" w:rsidP="00154ECD">
      <w:pPr>
        <w:spacing w:line="360" w:lineRule="auto"/>
        <w:rPr>
          <w:rFonts w:ascii="Arial" w:hAnsi="Arial" w:cs="Arial"/>
          <w:b/>
          <w:bCs/>
        </w:rPr>
      </w:pPr>
    </w:p>
    <w:p w14:paraId="1F36EEB7" w14:textId="77777777" w:rsidR="001E1DBF" w:rsidRDefault="001E1DBF" w:rsidP="00154ECD">
      <w:pPr>
        <w:spacing w:line="360" w:lineRule="auto"/>
        <w:rPr>
          <w:rFonts w:ascii="Arial" w:hAnsi="Arial" w:cs="Arial"/>
          <w:b/>
          <w:bCs/>
        </w:rPr>
      </w:pPr>
    </w:p>
    <w:p w14:paraId="60CCCB31" w14:textId="7D82D51F" w:rsidR="0089679D" w:rsidRPr="00B6293F" w:rsidRDefault="0089679D" w:rsidP="00154ECD">
      <w:pPr>
        <w:spacing w:line="360" w:lineRule="auto"/>
        <w:rPr>
          <w:rFonts w:ascii="Arial" w:hAnsi="Arial" w:cs="Arial"/>
          <w:b/>
          <w:bCs/>
        </w:rPr>
      </w:pPr>
      <w:r w:rsidRPr="00B6293F">
        <w:rPr>
          <w:rFonts w:ascii="Arial" w:hAnsi="Arial" w:cs="Arial"/>
          <w:b/>
          <w:bCs/>
        </w:rPr>
        <w:t>5.3 Enhanced future-state customer journey</w:t>
      </w:r>
    </w:p>
    <w:p w14:paraId="2B9BF0B7" w14:textId="77777777" w:rsidR="0089679D" w:rsidRPr="00154ECD" w:rsidRDefault="0089679D" w:rsidP="008523D8">
      <w:pPr>
        <w:spacing w:line="360" w:lineRule="auto"/>
        <w:jc w:val="both"/>
        <w:rPr>
          <w:rFonts w:ascii="Arial" w:hAnsi="Arial" w:cs="Arial"/>
        </w:rPr>
      </w:pPr>
      <w:r w:rsidRPr="00154ECD">
        <w:rPr>
          <w:rFonts w:ascii="Arial" w:hAnsi="Arial" w:cs="Arial"/>
        </w:rPr>
        <w:t>The Smart Value Journey redesigns customer interaction by embedding contextual engagement across the entire lifecycle.</w:t>
      </w:r>
    </w:p>
    <w:p w14:paraId="186E7520" w14:textId="77777777" w:rsidR="0089679D" w:rsidRPr="00154ECD" w:rsidRDefault="0089679D" w:rsidP="00154ECD">
      <w:pPr>
        <w:spacing w:line="360" w:lineRule="auto"/>
        <w:rPr>
          <w:rFonts w:ascii="Arial" w:hAnsi="Arial" w:cs="Arial"/>
        </w:rPr>
      </w:pPr>
      <w:r w:rsidRPr="00154ECD">
        <w:rPr>
          <w:rFonts w:ascii="Arial" w:hAnsi="Arial" w:cs="Arial"/>
        </w:rPr>
        <w:t>Table 3: Future-state customer journey enabled by the Smart Value Journey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75"/>
        <w:gridCol w:w="2670"/>
        <w:gridCol w:w="2458"/>
        <w:gridCol w:w="2413"/>
      </w:tblGrid>
      <w:tr w:rsidR="0089679D" w:rsidRPr="00154ECD" w14:paraId="51DB886A" w14:textId="77777777" w:rsidTr="005D187C">
        <w:trPr>
          <w:tblHeader/>
          <w:tblCellSpacing w:w="15" w:type="dxa"/>
        </w:trPr>
        <w:tc>
          <w:tcPr>
            <w:tcW w:w="0" w:type="auto"/>
            <w:shd w:val="clear" w:color="auto" w:fill="C1E4F5" w:themeFill="accent1" w:themeFillTint="33"/>
            <w:vAlign w:val="center"/>
            <w:hideMark/>
          </w:tcPr>
          <w:p w14:paraId="608FFB87" w14:textId="77777777" w:rsidR="0089679D" w:rsidRPr="00154ECD" w:rsidRDefault="0089679D" w:rsidP="00154ECD">
            <w:pPr>
              <w:spacing w:line="360" w:lineRule="auto"/>
              <w:rPr>
                <w:rFonts w:ascii="Arial" w:hAnsi="Arial" w:cs="Arial"/>
              </w:rPr>
            </w:pPr>
            <w:r w:rsidRPr="00154ECD">
              <w:rPr>
                <w:rFonts w:ascii="Arial" w:hAnsi="Arial" w:cs="Arial"/>
              </w:rPr>
              <w:t>Journey Stage</w:t>
            </w:r>
          </w:p>
        </w:tc>
        <w:tc>
          <w:tcPr>
            <w:tcW w:w="0" w:type="auto"/>
            <w:shd w:val="clear" w:color="auto" w:fill="C1E4F5" w:themeFill="accent1" w:themeFillTint="33"/>
            <w:vAlign w:val="center"/>
            <w:hideMark/>
          </w:tcPr>
          <w:p w14:paraId="0EB15F02" w14:textId="77777777" w:rsidR="0089679D" w:rsidRPr="00154ECD" w:rsidRDefault="0089679D" w:rsidP="00154ECD">
            <w:pPr>
              <w:spacing w:line="360" w:lineRule="auto"/>
              <w:rPr>
                <w:rFonts w:ascii="Arial" w:hAnsi="Arial" w:cs="Arial"/>
              </w:rPr>
            </w:pPr>
            <w:r w:rsidRPr="00154ECD">
              <w:rPr>
                <w:rFonts w:ascii="Arial" w:hAnsi="Arial" w:cs="Arial"/>
              </w:rPr>
              <w:t>Customer Experience</w:t>
            </w:r>
          </w:p>
        </w:tc>
        <w:tc>
          <w:tcPr>
            <w:tcW w:w="0" w:type="auto"/>
            <w:shd w:val="clear" w:color="auto" w:fill="C1E4F5" w:themeFill="accent1" w:themeFillTint="33"/>
            <w:vAlign w:val="center"/>
            <w:hideMark/>
          </w:tcPr>
          <w:p w14:paraId="459697F5" w14:textId="77777777" w:rsidR="0089679D" w:rsidRPr="00154ECD" w:rsidRDefault="0089679D" w:rsidP="00154ECD">
            <w:pPr>
              <w:spacing w:line="360" w:lineRule="auto"/>
              <w:rPr>
                <w:rFonts w:ascii="Arial" w:hAnsi="Arial" w:cs="Arial"/>
              </w:rPr>
            </w:pPr>
            <w:r w:rsidRPr="00154ECD">
              <w:rPr>
                <w:rFonts w:ascii="Arial" w:hAnsi="Arial" w:cs="Arial"/>
              </w:rPr>
              <w:t>Digital Enablement</w:t>
            </w:r>
          </w:p>
        </w:tc>
        <w:tc>
          <w:tcPr>
            <w:tcW w:w="0" w:type="auto"/>
            <w:shd w:val="clear" w:color="auto" w:fill="C1E4F5" w:themeFill="accent1" w:themeFillTint="33"/>
            <w:vAlign w:val="center"/>
            <w:hideMark/>
          </w:tcPr>
          <w:p w14:paraId="3D506FBD" w14:textId="77777777" w:rsidR="0089679D" w:rsidRPr="00154ECD" w:rsidRDefault="0089679D" w:rsidP="00154ECD">
            <w:pPr>
              <w:spacing w:line="360" w:lineRule="auto"/>
              <w:rPr>
                <w:rFonts w:ascii="Arial" w:hAnsi="Arial" w:cs="Arial"/>
              </w:rPr>
            </w:pPr>
            <w:r w:rsidRPr="00154ECD">
              <w:rPr>
                <w:rFonts w:ascii="Arial" w:hAnsi="Arial" w:cs="Arial"/>
              </w:rPr>
              <w:t>Value Created</w:t>
            </w:r>
          </w:p>
        </w:tc>
      </w:tr>
      <w:tr w:rsidR="0089679D" w:rsidRPr="00154ECD" w14:paraId="27BC185F" w14:textId="77777777" w:rsidTr="00D0669D">
        <w:trPr>
          <w:tblCellSpacing w:w="15" w:type="dxa"/>
        </w:trPr>
        <w:tc>
          <w:tcPr>
            <w:tcW w:w="0" w:type="auto"/>
            <w:shd w:val="clear" w:color="auto" w:fill="DAE9F7" w:themeFill="text2" w:themeFillTint="1A"/>
            <w:vAlign w:val="center"/>
            <w:hideMark/>
          </w:tcPr>
          <w:p w14:paraId="6E0D33C8" w14:textId="77777777" w:rsidR="0089679D" w:rsidRPr="00154ECD" w:rsidRDefault="0089679D" w:rsidP="00154ECD">
            <w:pPr>
              <w:spacing w:line="360" w:lineRule="auto"/>
              <w:rPr>
                <w:rFonts w:ascii="Arial" w:hAnsi="Arial" w:cs="Arial"/>
              </w:rPr>
            </w:pPr>
            <w:r w:rsidRPr="00154ECD">
              <w:rPr>
                <w:rFonts w:ascii="Arial" w:hAnsi="Arial" w:cs="Arial"/>
              </w:rPr>
              <w:t>Awareness</w:t>
            </w:r>
          </w:p>
        </w:tc>
        <w:tc>
          <w:tcPr>
            <w:tcW w:w="0" w:type="auto"/>
            <w:vAlign w:val="center"/>
            <w:hideMark/>
          </w:tcPr>
          <w:p w14:paraId="0B88615E" w14:textId="77777777" w:rsidR="0089679D" w:rsidRPr="00154ECD" w:rsidRDefault="0089679D" w:rsidP="00154ECD">
            <w:pPr>
              <w:spacing w:line="360" w:lineRule="auto"/>
              <w:rPr>
                <w:rFonts w:ascii="Arial" w:hAnsi="Arial" w:cs="Arial"/>
              </w:rPr>
            </w:pPr>
            <w:r w:rsidRPr="00154ECD">
              <w:rPr>
                <w:rFonts w:ascii="Arial" w:hAnsi="Arial" w:cs="Arial"/>
              </w:rPr>
              <w:t>Routine-based prompts aligned with daily habits</w:t>
            </w:r>
          </w:p>
        </w:tc>
        <w:tc>
          <w:tcPr>
            <w:tcW w:w="0" w:type="auto"/>
            <w:vAlign w:val="center"/>
            <w:hideMark/>
          </w:tcPr>
          <w:p w14:paraId="0A0C013C" w14:textId="77777777" w:rsidR="0089679D" w:rsidRPr="00154ECD" w:rsidRDefault="0089679D" w:rsidP="00154ECD">
            <w:pPr>
              <w:spacing w:line="360" w:lineRule="auto"/>
              <w:rPr>
                <w:rFonts w:ascii="Arial" w:hAnsi="Arial" w:cs="Arial"/>
              </w:rPr>
            </w:pPr>
            <w:r w:rsidRPr="00154ECD">
              <w:rPr>
                <w:rFonts w:ascii="Arial" w:hAnsi="Arial" w:cs="Arial"/>
              </w:rPr>
              <w:t>Opt-in preferences, location and time signals</w:t>
            </w:r>
          </w:p>
        </w:tc>
        <w:tc>
          <w:tcPr>
            <w:tcW w:w="0" w:type="auto"/>
            <w:vAlign w:val="center"/>
            <w:hideMark/>
          </w:tcPr>
          <w:p w14:paraId="0998031D" w14:textId="77777777" w:rsidR="0089679D" w:rsidRPr="00154ECD" w:rsidRDefault="0089679D" w:rsidP="00154ECD">
            <w:pPr>
              <w:spacing w:line="360" w:lineRule="auto"/>
              <w:rPr>
                <w:rFonts w:ascii="Arial" w:hAnsi="Arial" w:cs="Arial"/>
              </w:rPr>
            </w:pPr>
            <w:r w:rsidRPr="00154ECD">
              <w:rPr>
                <w:rFonts w:ascii="Arial" w:hAnsi="Arial" w:cs="Arial"/>
              </w:rPr>
              <w:t>Higher relevance and conversion</w:t>
            </w:r>
          </w:p>
        </w:tc>
      </w:tr>
      <w:tr w:rsidR="0089679D" w:rsidRPr="00154ECD" w14:paraId="24D8BFD5" w14:textId="77777777" w:rsidTr="00D0669D">
        <w:trPr>
          <w:tblCellSpacing w:w="15" w:type="dxa"/>
        </w:trPr>
        <w:tc>
          <w:tcPr>
            <w:tcW w:w="0" w:type="auto"/>
            <w:shd w:val="clear" w:color="auto" w:fill="DAE9F7" w:themeFill="text2" w:themeFillTint="1A"/>
            <w:vAlign w:val="center"/>
            <w:hideMark/>
          </w:tcPr>
          <w:p w14:paraId="75FFCE1F" w14:textId="77777777" w:rsidR="0089679D" w:rsidRPr="00154ECD" w:rsidRDefault="0089679D" w:rsidP="00154ECD">
            <w:pPr>
              <w:spacing w:line="360" w:lineRule="auto"/>
              <w:rPr>
                <w:rFonts w:ascii="Arial" w:hAnsi="Arial" w:cs="Arial"/>
              </w:rPr>
            </w:pPr>
            <w:r w:rsidRPr="00154ECD">
              <w:rPr>
                <w:rFonts w:ascii="Arial" w:hAnsi="Arial" w:cs="Arial"/>
              </w:rPr>
              <w:t>Consideration</w:t>
            </w:r>
          </w:p>
        </w:tc>
        <w:tc>
          <w:tcPr>
            <w:tcW w:w="0" w:type="auto"/>
            <w:vAlign w:val="center"/>
            <w:hideMark/>
          </w:tcPr>
          <w:p w14:paraId="719384C1" w14:textId="77777777" w:rsidR="0089679D" w:rsidRPr="00154ECD" w:rsidRDefault="0089679D" w:rsidP="00154ECD">
            <w:pPr>
              <w:spacing w:line="360" w:lineRule="auto"/>
              <w:rPr>
                <w:rFonts w:ascii="Arial" w:hAnsi="Arial" w:cs="Arial"/>
              </w:rPr>
            </w:pPr>
            <w:r w:rsidRPr="00154ECD">
              <w:rPr>
                <w:rFonts w:ascii="Arial" w:hAnsi="Arial" w:cs="Arial"/>
              </w:rPr>
              <w:t>Personalised favourites and value cues</w:t>
            </w:r>
          </w:p>
        </w:tc>
        <w:tc>
          <w:tcPr>
            <w:tcW w:w="0" w:type="auto"/>
            <w:vAlign w:val="center"/>
            <w:hideMark/>
          </w:tcPr>
          <w:p w14:paraId="4358C5F1" w14:textId="77777777" w:rsidR="0089679D" w:rsidRPr="00154ECD" w:rsidRDefault="0089679D" w:rsidP="00154ECD">
            <w:pPr>
              <w:spacing w:line="360" w:lineRule="auto"/>
              <w:rPr>
                <w:rFonts w:ascii="Arial" w:hAnsi="Arial" w:cs="Arial"/>
              </w:rPr>
            </w:pPr>
            <w:r w:rsidRPr="00154ECD">
              <w:rPr>
                <w:rFonts w:ascii="Arial" w:hAnsi="Arial" w:cs="Arial"/>
              </w:rPr>
              <w:t>Behavioural insights, saved preferences</w:t>
            </w:r>
          </w:p>
        </w:tc>
        <w:tc>
          <w:tcPr>
            <w:tcW w:w="0" w:type="auto"/>
            <w:vAlign w:val="center"/>
            <w:hideMark/>
          </w:tcPr>
          <w:p w14:paraId="3FAE82B2" w14:textId="77777777" w:rsidR="0089679D" w:rsidRPr="00154ECD" w:rsidRDefault="0089679D" w:rsidP="00154ECD">
            <w:pPr>
              <w:spacing w:line="360" w:lineRule="auto"/>
              <w:rPr>
                <w:rFonts w:ascii="Arial" w:hAnsi="Arial" w:cs="Arial"/>
              </w:rPr>
            </w:pPr>
            <w:r w:rsidRPr="00154ECD">
              <w:rPr>
                <w:rFonts w:ascii="Arial" w:hAnsi="Arial" w:cs="Arial"/>
              </w:rPr>
              <w:t>Reduced decision effort</w:t>
            </w:r>
          </w:p>
        </w:tc>
      </w:tr>
      <w:tr w:rsidR="0089679D" w:rsidRPr="00154ECD" w14:paraId="347A8E6C" w14:textId="77777777" w:rsidTr="00D0669D">
        <w:trPr>
          <w:tblCellSpacing w:w="15" w:type="dxa"/>
        </w:trPr>
        <w:tc>
          <w:tcPr>
            <w:tcW w:w="0" w:type="auto"/>
            <w:shd w:val="clear" w:color="auto" w:fill="DAE9F7" w:themeFill="text2" w:themeFillTint="1A"/>
            <w:vAlign w:val="center"/>
            <w:hideMark/>
          </w:tcPr>
          <w:p w14:paraId="2A4407B3" w14:textId="77777777" w:rsidR="0089679D" w:rsidRPr="00154ECD" w:rsidRDefault="0089679D" w:rsidP="00154ECD">
            <w:pPr>
              <w:spacing w:line="360" w:lineRule="auto"/>
              <w:rPr>
                <w:rFonts w:ascii="Arial" w:hAnsi="Arial" w:cs="Arial"/>
              </w:rPr>
            </w:pPr>
            <w:r w:rsidRPr="00154ECD">
              <w:rPr>
                <w:rFonts w:ascii="Arial" w:hAnsi="Arial" w:cs="Arial"/>
              </w:rPr>
              <w:t>Purchase</w:t>
            </w:r>
          </w:p>
        </w:tc>
        <w:tc>
          <w:tcPr>
            <w:tcW w:w="0" w:type="auto"/>
            <w:vAlign w:val="center"/>
            <w:hideMark/>
          </w:tcPr>
          <w:p w14:paraId="0EE83625" w14:textId="77777777" w:rsidR="0089679D" w:rsidRPr="00154ECD" w:rsidRDefault="0089679D" w:rsidP="00154ECD">
            <w:pPr>
              <w:spacing w:line="360" w:lineRule="auto"/>
              <w:rPr>
                <w:rFonts w:ascii="Arial" w:hAnsi="Arial" w:cs="Arial"/>
              </w:rPr>
            </w:pPr>
            <w:r w:rsidRPr="00154ECD">
              <w:rPr>
                <w:rFonts w:ascii="Arial" w:hAnsi="Arial" w:cs="Arial"/>
              </w:rPr>
              <w:t>Pre-order and flexible timing options</w:t>
            </w:r>
          </w:p>
        </w:tc>
        <w:tc>
          <w:tcPr>
            <w:tcW w:w="0" w:type="auto"/>
            <w:vAlign w:val="center"/>
            <w:hideMark/>
          </w:tcPr>
          <w:p w14:paraId="7D71F44B" w14:textId="77777777" w:rsidR="0089679D" w:rsidRPr="00154ECD" w:rsidRDefault="0089679D" w:rsidP="00154ECD">
            <w:pPr>
              <w:spacing w:line="360" w:lineRule="auto"/>
              <w:rPr>
                <w:rFonts w:ascii="Arial" w:hAnsi="Arial" w:cs="Arial"/>
              </w:rPr>
            </w:pPr>
            <w:r w:rsidRPr="00154ECD">
              <w:rPr>
                <w:rFonts w:ascii="Arial" w:hAnsi="Arial" w:cs="Arial"/>
              </w:rPr>
              <w:t>Integrated ordering and payment</w:t>
            </w:r>
          </w:p>
        </w:tc>
        <w:tc>
          <w:tcPr>
            <w:tcW w:w="0" w:type="auto"/>
            <w:vAlign w:val="center"/>
            <w:hideMark/>
          </w:tcPr>
          <w:p w14:paraId="17B5CCB2" w14:textId="77777777" w:rsidR="0089679D" w:rsidRPr="00154ECD" w:rsidRDefault="0089679D" w:rsidP="00154ECD">
            <w:pPr>
              <w:spacing w:line="360" w:lineRule="auto"/>
              <w:rPr>
                <w:rFonts w:ascii="Arial" w:hAnsi="Arial" w:cs="Arial"/>
              </w:rPr>
            </w:pPr>
            <w:r w:rsidRPr="00154ECD">
              <w:rPr>
                <w:rFonts w:ascii="Arial" w:hAnsi="Arial" w:cs="Arial"/>
              </w:rPr>
              <w:t>Reduced queues and smoother peak demand</w:t>
            </w:r>
          </w:p>
        </w:tc>
      </w:tr>
      <w:tr w:rsidR="0089679D" w:rsidRPr="00154ECD" w14:paraId="6BDB1780" w14:textId="77777777" w:rsidTr="00D0669D">
        <w:trPr>
          <w:tblCellSpacing w:w="15" w:type="dxa"/>
        </w:trPr>
        <w:tc>
          <w:tcPr>
            <w:tcW w:w="0" w:type="auto"/>
            <w:shd w:val="clear" w:color="auto" w:fill="DAE9F7" w:themeFill="text2" w:themeFillTint="1A"/>
            <w:vAlign w:val="center"/>
            <w:hideMark/>
          </w:tcPr>
          <w:p w14:paraId="5CB6A331" w14:textId="77777777" w:rsidR="0089679D" w:rsidRPr="00154ECD" w:rsidRDefault="0089679D" w:rsidP="00154ECD">
            <w:pPr>
              <w:spacing w:line="360" w:lineRule="auto"/>
              <w:rPr>
                <w:rFonts w:ascii="Arial" w:hAnsi="Arial" w:cs="Arial"/>
              </w:rPr>
            </w:pPr>
            <w:r w:rsidRPr="00154ECD">
              <w:rPr>
                <w:rFonts w:ascii="Arial" w:hAnsi="Arial" w:cs="Arial"/>
              </w:rPr>
              <w:t>Fulfilment</w:t>
            </w:r>
          </w:p>
        </w:tc>
        <w:tc>
          <w:tcPr>
            <w:tcW w:w="0" w:type="auto"/>
            <w:vAlign w:val="center"/>
            <w:hideMark/>
          </w:tcPr>
          <w:p w14:paraId="659F8676" w14:textId="77777777" w:rsidR="0089679D" w:rsidRPr="00154ECD" w:rsidRDefault="0089679D" w:rsidP="00154ECD">
            <w:pPr>
              <w:spacing w:line="360" w:lineRule="auto"/>
              <w:rPr>
                <w:rFonts w:ascii="Arial" w:hAnsi="Arial" w:cs="Arial"/>
              </w:rPr>
            </w:pPr>
            <w:r w:rsidRPr="00154ECD">
              <w:rPr>
                <w:rFonts w:ascii="Arial" w:hAnsi="Arial" w:cs="Arial"/>
              </w:rPr>
              <w:t>Clear readiness visibility and time certainty</w:t>
            </w:r>
          </w:p>
        </w:tc>
        <w:tc>
          <w:tcPr>
            <w:tcW w:w="0" w:type="auto"/>
            <w:vAlign w:val="center"/>
            <w:hideMark/>
          </w:tcPr>
          <w:p w14:paraId="33F639C8" w14:textId="77777777" w:rsidR="0089679D" w:rsidRPr="00154ECD" w:rsidRDefault="0089679D" w:rsidP="00154ECD">
            <w:pPr>
              <w:spacing w:line="360" w:lineRule="auto"/>
              <w:rPr>
                <w:rFonts w:ascii="Arial" w:hAnsi="Arial" w:cs="Arial"/>
              </w:rPr>
            </w:pPr>
            <w:r w:rsidRPr="00154ECD">
              <w:rPr>
                <w:rFonts w:ascii="Arial" w:hAnsi="Arial" w:cs="Arial"/>
              </w:rPr>
              <w:t>Status notifications and collection alerts</w:t>
            </w:r>
          </w:p>
        </w:tc>
        <w:tc>
          <w:tcPr>
            <w:tcW w:w="0" w:type="auto"/>
            <w:vAlign w:val="center"/>
            <w:hideMark/>
          </w:tcPr>
          <w:p w14:paraId="08136A21" w14:textId="77777777" w:rsidR="0089679D" w:rsidRPr="00154ECD" w:rsidRDefault="0089679D" w:rsidP="00154ECD">
            <w:pPr>
              <w:spacing w:line="360" w:lineRule="auto"/>
              <w:rPr>
                <w:rFonts w:ascii="Arial" w:hAnsi="Arial" w:cs="Arial"/>
              </w:rPr>
            </w:pPr>
            <w:r w:rsidRPr="00154ECD">
              <w:rPr>
                <w:rFonts w:ascii="Arial" w:hAnsi="Arial" w:cs="Arial"/>
              </w:rPr>
              <w:t>Lower uncertainty and improved satisfaction</w:t>
            </w:r>
          </w:p>
        </w:tc>
      </w:tr>
      <w:tr w:rsidR="0089679D" w:rsidRPr="00154ECD" w14:paraId="7853874D" w14:textId="77777777" w:rsidTr="00D0669D">
        <w:trPr>
          <w:tblCellSpacing w:w="15" w:type="dxa"/>
        </w:trPr>
        <w:tc>
          <w:tcPr>
            <w:tcW w:w="0" w:type="auto"/>
            <w:shd w:val="clear" w:color="auto" w:fill="DAE9F7" w:themeFill="text2" w:themeFillTint="1A"/>
            <w:vAlign w:val="center"/>
            <w:hideMark/>
          </w:tcPr>
          <w:p w14:paraId="4F218D73" w14:textId="77777777" w:rsidR="0089679D" w:rsidRPr="00154ECD" w:rsidRDefault="0089679D" w:rsidP="00154ECD">
            <w:pPr>
              <w:spacing w:line="360" w:lineRule="auto"/>
              <w:rPr>
                <w:rFonts w:ascii="Arial" w:hAnsi="Arial" w:cs="Arial"/>
              </w:rPr>
            </w:pPr>
            <w:r w:rsidRPr="00154ECD">
              <w:rPr>
                <w:rFonts w:ascii="Arial" w:hAnsi="Arial" w:cs="Arial"/>
              </w:rPr>
              <w:t>Post-purchase</w:t>
            </w:r>
          </w:p>
        </w:tc>
        <w:tc>
          <w:tcPr>
            <w:tcW w:w="0" w:type="auto"/>
            <w:vAlign w:val="center"/>
            <w:hideMark/>
          </w:tcPr>
          <w:p w14:paraId="553C49AC" w14:textId="77777777" w:rsidR="0089679D" w:rsidRPr="00154ECD" w:rsidRDefault="0089679D" w:rsidP="00154ECD">
            <w:pPr>
              <w:spacing w:line="360" w:lineRule="auto"/>
              <w:rPr>
                <w:rFonts w:ascii="Arial" w:hAnsi="Arial" w:cs="Arial"/>
              </w:rPr>
            </w:pPr>
            <w:r w:rsidRPr="00154ECD">
              <w:rPr>
                <w:rFonts w:ascii="Arial" w:hAnsi="Arial" w:cs="Arial"/>
              </w:rPr>
              <w:t>Progress tracking, reminders and recovery options</w:t>
            </w:r>
          </w:p>
        </w:tc>
        <w:tc>
          <w:tcPr>
            <w:tcW w:w="0" w:type="auto"/>
            <w:vAlign w:val="center"/>
            <w:hideMark/>
          </w:tcPr>
          <w:p w14:paraId="04E31D9C" w14:textId="77777777" w:rsidR="0089679D" w:rsidRPr="00154ECD" w:rsidRDefault="0089679D" w:rsidP="00154ECD">
            <w:pPr>
              <w:spacing w:line="360" w:lineRule="auto"/>
              <w:rPr>
                <w:rFonts w:ascii="Arial" w:hAnsi="Arial" w:cs="Arial"/>
              </w:rPr>
            </w:pPr>
            <w:r w:rsidRPr="00154ECD">
              <w:rPr>
                <w:rFonts w:ascii="Arial" w:hAnsi="Arial" w:cs="Arial"/>
              </w:rPr>
              <w:t>Behavioural nudges and automated follow-up</w:t>
            </w:r>
          </w:p>
        </w:tc>
        <w:tc>
          <w:tcPr>
            <w:tcW w:w="0" w:type="auto"/>
            <w:vAlign w:val="center"/>
            <w:hideMark/>
          </w:tcPr>
          <w:p w14:paraId="17F3A026" w14:textId="77777777" w:rsidR="0089679D" w:rsidRPr="00154ECD" w:rsidRDefault="0089679D" w:rsidP="00154ECD">
            <w:pPr>
              <w:spacing w:line="360" w:lineRule="auto"/>
              <w:rPr>
                <w:rFonts w:ascii="Arial" w:hAnsi="Arial" w:cs="Arial"/>
              </w:rPr>
            </w:pPr>
            <w:r w:rsidRPr="00154ECD">
              <w:rPr>
                <w:rFonts w:ascii="Arial" w:hAnsi="Arial" w:cs="Arial"/>
              </w:rPr>
              <w:t>Increased retention and visit frequency</w:t>
            </w:r>
          </w:p>
        </w:tc>
      </w:tr>
    </w:tbl>
    <w:p w14:paraId="12113362" w14:textId="77777777" w:rsidR="005D187C" w:rsidRDefault="005D187C" w:rsidP="00154ECD">
      <w:pPr>
        <w:spacing w:line="360" w:lineRule="auto"/>
        <w:rPr>
          <w:rFonts w:ascii="Arial" w:hAnsi="Arial" w:cs="Arial"/>
        </w:rPr>
      </w:pPr>
    </w:p>
    <w:p w14:paraId="72F38586" w14:textId="088926FC" w:rsidR="0089679D" w:rsidRPr="00154ECD" w:rsidRDefault="0089679D" w:rsidP="00C3071C">
      <w:pPr>
        <w:spacing w:line="360" w:lineRule="auto"/>
        <w:jc w:val="both"/>
        <w:rPr>
          <w:rFonts w:ascii="Arial" w:hAnsi="Arial" w:cs="Arial"/>
        </w:rPr>
      </w:pPr>
      <w:r w:rsidRPr="00154ECD">
        <w:rPr>
          <w:rFonts w:ascii="Arial" w:hAnsi="Arial" w:cs="Arial"/>
        </w:rPr>
        <w:t>Compared with the current journey, the future experience is continuous and adaptive rather than transactional. This strengthens direct customer relationships and reduces reliance on third-party platforms.</w:t>
      </w:r>
    </w:p>
    <w:p w14:paraId="03566B5B" w14:textId="77777777" w:rsidR="0089679D" w:rsidRPr="00B6293F" w:rsidRDefault="0089679D" w:rsidP="00154ECD">
      <w:pPr>
        <w:spacing w:line="360" w:lineRule="auto"/>
        <w:rPr>
          <w:rFonts w:ascii="Arial" w:hAnsi="Arial" w:cs="Arial"/>
          <w:b/>
          <w:bCs/>
        </w:rPr>
      </w:pPr>
      <w:r w:rsidRPr="00B6293F">
        <w:rPr>
          <w:rFonts w:ascii="Arial" w:hAnsi="Arial" w:cs="Arial"/>
          <w:b/>
          <w:bCs/>
        </w:rPr>
        <w:t>5.4 Causal mapping and intervention logic</w:t>
      </w:r>
    </w:p>
    <w:p w14:paraId="51494ADF" w14:textId="648E1A66" w:rsidR="00D0669D" w:rsidRDefault="0089679D" w:rsidP="00C3071C">
      <w:pPr>
        <w:spacing w:line="360" w:lineRule="auto"/>
        <w:jc w:val="both"/>
        <w:rPr>
          <w:rFonts w:ascii="Arial" w:hAnsi="Arial" w:cs="Arial"/>
        </w:rPr>
      </w:pPr>
      <w:r w:rsidRPr="00154ECD">
        <w:rPr>
          <w:rFonts w:ascii="Arial" w:hAnsi="Arial" w:cs="Arial"/>
        </w:rPr>
        <w:t>To ensure practical alignment, causal mapping was used to identify how operational and behavioural issues reinforce each other. This approach supports targeted intervention rather than broad digital investment (Tidd and Bessant, 2020).</w:t>
      </w:r>
    </w:p>
    <w:p w14:paraId="00B29CE0" w14:textId="77777777" w:rsidR="009D1AF0" w:rsidRDefault="009D1AF0" w:rsidP="00C3071C">
      <w:pPr>
        <w:spacing w:line="360" w:lineRule="auto"/>
        <w:jc w:val="both"/>
        <w:rPr>
          <w:rFonts w:ascii="Arial" w:hAnsi="Arial" w:cs="Arial"/>
        </w:rPr>
      </w:pPr>
    </w:p>
    <w:p w14:paraId="2399EE1B" w14:textId="77777777" w:rsidR="009D1AF0" w:rsidRDefault="009D1AF0" w:rsidP="00C3071C">
      <w:pPr>
        <w:spacing w:line="360" w:lineRule="auto"/>
        <w:jc w:val="both"/>
        <w:rPr>
          <w:rFonts w:ascii="Arial" w:hAnsi="Arial" w:cs="Arial"/>
        </w:rPr>
      </w:pPr>
    </w:p>
    <w:p w14:paraId="1C3D87F6" w14:textId="77777777" w:rsidR="009D1AF0" w:rsidRDefault="009D1AF0" w:rsidP="00C3071C">
      <w:pPr>
        <w:spacing w:line="360" w:lineRule="auto"/>
        <w:jc w:val="both"/>
        <w:rPr>
          <w:rFonts w:ascii="Arial" w:hAnsi="Arial" w:cs="Arial"/>
        </w:rPr>
      </w:pPr>
    </w:p>
    <w:p w14:paraId="1D949757" w14:textId="30EEB959" w:rsidR="0089679D" w:rsidRPr="00154ECD" w:rsidRDefault="0089679D" w:rsidP="00154ECD">
      <w:pPr>
        <w:spacing w:line="360" w:lineRule="auto"/>
        <w:rPr>
          <w:rFonts w:ascii="Arial" w:hAnsi="Arial" w:cs="Arial"/>
        </w:rPr>
      </w:pPr>
      <w:r w:rsidRPr="00154ECD">
        <w:rPr>
          <w:rFonts w:ascii="Arial" w:hAnsi="Arial" w:cs="Arial"/>
        </w:rPr>
        <w:t>Table 4: Causal map of current problems and intervention logic</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1"/>
        <w:gridCol w:w="1662"/>
        <w:gridCol w:w="2028"/>
        <w:gridCol w:w="1771"/>
        <w:gridCol w:w="1804"/>
      </w:tblGrid>
      <w:tr w:rsidR="0089679D" w:rsidRPr="00154ECD" w14:paraId="29670ECD" w14:textId="77777777" w:rsidTr="00D0669D">
        <w:trPr>
          <w:tblHeader/>
          <w:tblCellSpacing w:w="15" w:type="dxa"/>
        </w:trPr>
        <w:tc>
          <w:tcPr>
            <w:tcW w:w="0" w:type="auto"/>
            <w:shd w:val="clear" w:color="auto" w:fill="C1E4F5" w:themeFill="accent1" w:themeFillTint="33"/>
            <w:vAlign w:val="center"/>
            <w:hideMark/>
          </w:tcPr>
          <w:p w14:paraId="687EA7D0" w14:textId="77777777" w:rsidR="0089679D" w:rsidRPr="00154ECD" w:rsidRDefault="0089679D" w:rsidP="00154ECD">
            <w:pPr>
              <w:spacing w:line="360" w:lineRule="auto"/>
              <w:rPr>
                <w:rFonts w:ascii="Arial" w:hAnsi="Arial" w:cs="Arial"/>
              </w:rPr>
            </w:pPr>
            <w:r w:rsidRPr="00154ECD">
              <w:rPr>
                <w:rFonts w:ascii="Arial" w:hAnsi="Arial" w:cs="Arial"/>
              </w:rPr>
              <w:t>Root Cause</w:t>
            </w:r>
          </w:p>
        </w:tc>
        <w:tc>
          <w:tcPr>
            <w:tcW w:w="0" w:type="auto"/>
            <w:shd w:val="clear" w:color="auto" w:fill="C1E4F5" w:themeFill="accent1" w:themeFillTint="33"/>
            <w:vAlign w:val="center"/>
            <w:hideMark/>
          </w:tcPr>
          <w:p w14:paraId="5DF8D424" w14:textId="77777777" w:rsidR="0089679D" w:rsidRPr="00154ECD" w:rsidRDefault="0089679D" w:rsidP="00154ECD">
            <w:pPr>
              <w:spacing w:line="360" w:lineRule="auto"/>
              <w:rPr>
                <w:rFonts w:ascii="Arial" w:hAnsi="Arial" w:cs="Arial"/>
              </w:rPr>
            </w:pPr>
            <w:r w:rsidRPr="00154ECD">
              <w:rPr>
                <w:rFonts w:ascii="Arial" w:hAnsi="Arial" w:cs="Arial"/>
              </w:rPr>
              <w:t>Observable Issue</w:t>
            </w:r>
          </w:p>
        </w:tc>
        <w:tc>
          <w:tcPr>
            <w:tcW w:w="0" w:type="auto"/>
            <w:shd w:val="clear" w:color="auto" w:fill="C1E4F5" w:themeFill="accent1" w:themeFillTint="33"/>
            <w:vAlign w:val="center"/>
            <w:hideMark/>
          </w:tcPr>
          <w:p w14:paraId="2DEF5367" w14:textId="77777777" w:rsidR="0089679D" w:rsidRPr="00154ECD" w:rsidRDefault="0089679D" w:rsidP="00154ECD">
            <w:pPr>
              <w:spacing w:line="360" w:lineRule="auto"/>
              <w:rPr>
                <w:rFonts w:ascii="Arial" w:hAnsi="Arial" w:cs="Arial"/>
              </w:rPr>
            </w:pPr>
            <w:r w:rsidRPr="00154ECD">
              <w:rPr>
                <w:rFonts w:ascii="Arial" w:hAnsi="Arial" w:cs="Arial"/>
              </w:rPr>
              <w:t>Customer Impact</w:t>
            </w:r>
          </w:p>
        </w:tc>
        <w:tc>
          <w:tcPr>
            <w:tcW w:w="0" w:type="auto"/>
            <w:shd w:val="clear" w:color="auto" w:fill="C1E4F5" w:themeFill="accent1" w:themeFillTint="33"/>
            <w:vAlign w:val="center"/>
            <w:hideMark/>
          </w:tcPr>
          <w:p w14:paraId="515F6697" w14:textId="77777777" w:rsidR="0089679D" w:rsidRPr="00154ECD" w:rsidRDefault="0089679D" w:rsidP="00154ECD">
            <w:pPr>
              <w:spacing w:line="360" w:lineRule="auto"/>
              <w:rPr>
                <w:rFonts w:ascii="Arial" w:hAnsi="Arial" w:cs="Arial"/>
              </w:rPr>
            </w:pPr>
            <w:r w:rsidRPr="00154ECD">
              <w:rPr>
                <w:rFonts w:ascii="Arial" w:hAnsi="Arial" w:cs="Arial"/>
              </w:rPr>
              <w:t>Organisational Impact</w:t>
            </w:r>
          </w:p>
        </w:tc>
        <w:tc>
          <w:tcPr>
            <w:tcW w:w="0" w:type="auto"/>
            <w:shd w:val="clear" w:color="auto" w:fill="C1E4F5" w:themeFill="accent1" w:themeFillTint="33"/>
            <w:vAlign w:val="center"/>
            <w:hideMark/>
          </w:tcPr>
          <w:p w14:paraId="53EF9655" w14:textId="77777777" w:rsidR="0089679D" w:rsidRPr="00154ECD" w:rsidRDefault="0089679D" w:rsidP="00154ECD">
            <w:pPr>
              <w:spacing w:line="360" w:lineRule="auto"/>
              <w:rPr>
                <w:rFonts w:ascii="Arial" w:hAnsi="Arial" w:cs="Arial"/>
              </w:rPr>
            </w:pPr>
            <w:r w:rsidRPr="00154ECD">
              <w:rPr>
                <w:rFonts w:ascii="Arial" w:hAnsi="Arial" w:cs="Arial"/>
              </w:rPr>
              <w:t>Initiative Response</w:t>
            </w:r>
          </w:p>
        </w:tc>
      </w:tr>
      <w:tr w:rsidR="0089679D" w:rsidRPr="00154ECD" w14:paraId="54C94C4F" w14:textId="77777777" w:rsidTr="00D0669D">
        <w:trPr>
          <w:tblCellSpacing w:w="15" w:type="dxa"/>
        </w:trPr>
        <w:tc>
          <w:tcPr>
            <w:tcW w:w="0" w:type="auto"/>
            <w:shd w:val="clear" w:color="auto" w:fill="DAE9F7" w:themeFill="text2" w:themeFillTint="1A"/>
            <w:vAlign w:val="center"/>
            <w:hideMark/>
          </w:tcPr>
          <w:p w14:paraId="71AF92BB" w14:textId="77777777" w:rsidR="0089679D" w:rsidRPr="00154ECD" w:rsidRDefault="0089679D" w:rsidP="00154ECD">
            <w:pPr>
              <w:spacing w:line="360" w:lineRule="auto"/>
              <w:rPr>
                <w:rFonts w:ascii="Arial" w:hAnsi="Arial" w:cs="Arial"/>
              </w:rPr>
            </w:pPr>
            <w:r w:rsidRPr="00154ECD">
              <w:rPr>
                <w:rFonts w:ascii="Arial" w:hAnsi="Arial" w:cs="Arial"/>
              </w:rPr>
              <w:t>Peak demand concentration</w:t>
            </w:r>
          </w:p>
        </w:tc>
        <w:tc>
          <w:tcPr>
            <w:tcW w:w="0" w:type="auto"/>
            <w:vAlign w:val="center"/>
            <w:hideMark/>
          </w:tcPr>
          <w:p w14:paraId="779CFBFA" w14:textId="77777777" w:rsidR="0089679D" w:rsidRPr="00154ECD" w:rsidRDefault="0089679D" w:rsidP="00154ECD">
            <w:pPr>
              <w:spacing w:line="360" w:lineRule="auto"/>
              <w:rPr>
                <w:rFonts w:ascii="Arial" w:hAnsi="Arial" w:cs="Arial"/>
              </w:rPr>
            </w:pPr>
            <w:r w:rsidRPr="00154ECD">
              <w:rPr>
                <w:rFonts w:ascii="Arial" w:hAnsi="Arial" w:cs="Arial"/>
              </w:rPr>
              <w:t>Long queues and congestion</w:t>
            </w:r>
          </w:p>
        </w:tc>
        <w:tc>
          <w:tcPr>
            <w:tcW w:w="0" w:type="auto"/>
            <w:vAlign w:val="center"/>
            <w:hideMark/>
          </w:tcPr>
          <w:p w14:paraId="5C7BA353" w14:textId="77777777" w:rsidR="0089679D" w:rsidRPr="00154ECD" w:rsidRDefault="0089679D" w:rsidP="00154ECD">
            <w:pPr>
              <w:spacing w:line="360" w:lineRule="auto"/>
              <w:rPr>
                <w:rFonts w:ascii="Arial" w:hAnsi="Arial" w:cs="Arial"/>
              </w:rPr>
            </w:pPr>
            <w:r w:rsidRPr="00154ECD">
              <w:rPr>
                <w:rFonts w:ascii="Arial" w:hAnsi="Arial" w:cs="Arial"/>
              </w:rPr>
              <w:t>Reduced convenience and occasional abandonment</w:t>
            </w:r>
          </w:p>
        </w:tc>
        <w:tc>
          <w:tcPr>
            <w:tcW w:w="0" w:type="auto"/>
            <w:vAlign w:val="center"/>
            <w:hideMark/>
          </w:tcPr>
          <w:p w14:paraId="0E358A96" w14:textId="77777777" w:rsidR="0089679D" w:rsidRPr="00154ECD" w:rsidRDefault="0089679D" w:rsidP="00154ECD">
            <w:pPr>
              <w:spacing w:line="360" w:lineRule="auto"/>
              <w:rPr>
                <w:rFonts w:ascii="Arial" w:hAnsi="Arial" w:cs="Arial"/>
              </w:rPr>
            </w:pPr>
            <w:r w:rsidRPr="00154ECD">
              <w:rPr>
                <w:rFonts w:ascii="Arial" w:hAnsi="Arial" w:cs="Arial"/>
              </w:rPr>
              <w:t>Lower throughput and lost sales</w:t>
            </w:r>
          </w:p>
        </w:tc>
        <w:tc>
          <w:tcPr>
            <w:tcW w:w="0" w:type="auto"/>
            <w:vAlign w:val="center"/>
            <w:hideMark/>
          </w:tcPr>
          <w:p w14:paraId="37125164" w14:textId="77777777" w:rsidR="0089679D" w:rsidRPr="00154ECD" w:rsidRDefault="0089679D" w:rsidP="00154ECD">
            <w:pPr>
              <w:spacing w:line="360" w:lineRule="auto"/>
              <w:rPr>
                <w:rFonts w:ascii="Arial" w:hAnsi="Arial" w:cs="Arial"/>
              </w:rPr>
            </w:pPr>
            <w:r w:rsidRPr="00154ECD">
              <w:rPr>
                <w:rFonts w:ascii="Arial" w:hAnsi="Arial" w:cs="Arial"/>
              </w:rPr>
              <w:t>Off-peak nudges and pre-order time slots</w:t>
            </w:r>
          </w:p>
        </w:tc>
      </w:tr>
      <w:tr w:rsidR="0089679D" w:rsidRPr="00154ECD" w14:paraId="4D5342E7" w14:textId="77777777" w:rsidTr="00D0669D">
        <w:trPr>
          <w:tblCellSpacing w:w="15" w:type="dxa"/>
        </w:trPr>
        <w:tc>
          <w:tcPr>
            <w:tcW w:w="0" w:type="auto"/>
            <w:shd w:val="clear" w:color="auto" w:fill="DAE9F7" w:themeFill="text2" w:themeFillTint="1A"/>
            <w:vAlign w:val="center"/>
            <w:hideMark/>
          </w:tcPr>
          <w:p w14:paraId="49814A84" w14:textId="77777777" w:rsidR="0089679D" w:rsidRPr="00154ECD" w:rsidRDefault="0089679D" w:rsidP="00154ECD">
            <w:pPr>
              <w:spacing w:line="360" w:lineRule="auto"/>
              <w:rPr>
                <w:rFonts w:ascii="Arial" w:hAnsi="Arial" w:cs="Arial"/>
              </w:rPr>
            </w:pPr>
            <w:r w:rsidRPr="00154ECD">
              <w:rPr>
                <w:rFonts w:ascii="Arial" w:hAnsi="Arial" w:cs="Arial"/>
              </w:rPr>
              <w:t>Generic loyalty structure</w:t>
            </w:r>
          </w:p>
        </w:tc>
        <w:tc>
          <w:tcPr>
            <w:tcW w:w="0" w:type="auto"/>
            <w:vAlign w:val="center"/>
            <w:hideMark/>
          </w:tcPr>
          <w:p w14:paraId="00147F4D" w14:textId="77777777" w:rsidR="0089679D" w:rsidRPr="00154ECD" w:rsidRDefault="0089679D" w:rsidP="00154ECD">
            <w:pPr>
              <w:spacing w:line="360" w:lineRule="auto"/>
              <w:rPr>
                <w:rFonts w:ascii="Arial" w:hAnsi="Arial" w:cs="Arial"/>
              </w:rPr>
            </w:pPr>
            <w:r w:rsidRPr="00154ECD">
              <w:rPr>
                <w:rFonts w:ascii="Arial" w:hAnsi="Arial" w:cs="Arial"/>
              </w:rPr>
              <w:t>Low engagement</w:t>
            </w:r>
          </w:p>
        </w:tc>
        <w:tc>
          <w:tcPr>
            <w:tcW w:w="0" w:type="auto"/>
            <w:vAlign w:val="center"/>
            <w:hideMark/>
          </w:tcPr>
          <w:p w14:paraId="2D645C2E" w14:textId="77777777" w:rsidR="0089679D" w:rsidRPr="00154ECD" w:rsidRDefault="0089679D" w:rsidP="00154ECD">
            <w:pPr>
              <w:spacing w:line="360" w:lineRule="auto"/>
              <w:rPr>
                <w:rFonts w:ascii="Arial" w:hAnsi="Arial" w:cs="Arial"/>
              </w:rPr>
            </w:pPr>
            <w:r w:rsidRPr="00154ECD">
              <w:rPr>
                <w:rFonts w:ascii="Arial" w:hAnsi="Arial" w:cs="Arial"/>
              </w:rPr>
              <w:t>Limited perceived relevance</w:t>
            </w:r>
          </w:p>
        </w:tc>
        <w:tc>
          <w:tcPr>
            <w:tcW w:w="0" w:type="auto"/>
            <w:vAlign w:val="center"/>
            <w:hideMark/>
          </w:tcPr>
          <w:p w14:paraId="7E3114D2" w14:textId="77777777" w:rsidR="0089679D" w:rsidRPr="00154ECD" w:rsidRDefault="0089679D" w:rsidP="00154ECD">
            <w:pPr>
              <w:spacing w:line="360" w:lineRule="auto"/>
              <w:rPr>
                <w:rFonts w:ascii="Arial" w:hAnsi="Arial" w:cs="Arial"/>
              </w:rPr>
            </w:pPr>
            <w:r w:rsidRPr="00154ECD">
              <w:rPr>
                <w:rFonts w:ascii="Arial" w:hAnsi="Arial" w:cs="Arial"/>
              </w:rPr>
              <w:t>Weak behavioural influence</w:t>
            </w:r>
          </w:p>
        </w:tc>
        <w:tc>
          <w:tcPr>
            <w:tcW w:w="0" w:type="auto"/>
            <w:vAlign w:val="center"/>
            <w:hideMark/>
          </w:tcPr>
          <w:p w14:paraId="3BF8A809" w14:textId="77777777" w:rsidR="0089679D" w:rsidRPr="00154ECD" w:rsidRDefault="0089679D" w:rsidP="00154ECD">
            <w:pPr>
              <w:spacing w:line="360" w:lineRule="auto"/>
              <w:rPr>
                <w:rFonts w:ascii="Arial" w:hAnsi="Arial" w:cs="Arial"/>
              </w:rPr>
            </w:pPr>
            <w:r w:rsidRPr="00154ECD">
              <w:rPr>
                <w:rFonts w:ascii="Arial" w:hAnsi="Arial" w:cs="Arial"/>
              </w:rPr>
              <w:t>Contextual value tracks</w:t>
            </w:r>
          </w:p>
        </w:tc>
      </w:tr>
      <w:tr w:rsidR="0089679D" w:rsidRPr="00154ECD" w14:paraId="5EF49E0B" w14:textId="77777777" w:rsidTr="00D0669D">
        <w:trPr>
          <w:tblCellSpacing w:w="15" w:type="dxa"/>
        </w:trPr>
        <w:tc>
          <w:tcPr>
            <w:tcW w:w="0" w:type="auto"/>
            <w:shd w:val="clear" w:color="auto" w:fill="DAE9F7" w:themeFill="text2" w:themeFillTint="1A"/>
            <w:vAlign w:val="center"/>
            <w:hideMark/>
          </w:tcPr>
          <w:p w14:paraId="0E3A6566" w14:textId="77777777" w:rsidR="0089679D" w:rsidRPr="00154ECD" w:rsidRDefault="0089679D" w:rsidP="00154ECD">
            <w:pPr>
              <w:spacing w:line="360" w:lineRule="auto"/>
              <w:rPr>
                <w:rFonts w:ascii="Arial" w:hAnsi="Arial" w:cs="Arial"/>
              </w:rPr>
            </w:pPr>
            <w:r w:rsidRPr="00154ECD">
              <w:rPr>
                <w:rFonts w:ascii="Arial" w:hAnsi="Arial" w:cs="Arial"/>
              </w:rPr>
              <w:t>Channel fragmentation</w:t>
            </w:r>
          </w:p>
        </w:tc>
        <w:tc>
          <w:tcPr>
            <w:tcW w:w="0" w:type="auto"/>
            <w:vAlign w:val="center"/>
            <w:hideMark/>
          </w:tcPr>
          <w:p w14:paraId="7150A67C" w14:textId="77777777" w:rsidR="0089679D" w:rsidRPr="00154ECD" w:rsidRDefault="0089679D" w:rsidP="00154ECD">
            <w:pPr>
              <w:spacing w:line="360" w:lineRule="auto"/>
              <w:rPr>
                <w:rFonts w:ascii="Arial" w:hAnsi="Arial" w:cs="Arial"/>
              </w:rPr>
            </w:pPr>
            <w:r w:rsidRPr="00154ECD">
              <w:rPr>
                <w:rFonts w:ascii="Arial" w:hAnsi="Arial" w:cs="Arial"/>
              </w:rPr>
              <w:t>Inconsistent experience</w:t>
            </w:r>
          </w:p>
        </w:tc>
        <w:tc>
          <w:tcPr>
            <w:tcW w:w="0" w:type="auto"/>
            <w:vAlign w:val="center"/>
            <w:hideMark/>
          </w:tcPr>
          <w:p w14:paraId="3E0FD83C" w14:textId="77777777" w:rsidR="0089679D" w:rsidRPr="00154ECD" w:rsidRDefault="0089679D" w:rsidP="00154ECD">
            <w:pPr>
              <w:spacing w:line="360" w:lineRule="auto"/>
              <w:rPr>
                <w:rFonts w:ascii="Arial" w:hAnsi="Arial" w:cs="Arial"/>
              </w:rPr>
            </w:pPr>
            <w:r w:rsidRPr="00154ECD">
              <w:rPr>
                <w:rFonts w:ascii="Arial" w:hAnsi="Arial" w:cs="Arial"/>
              </w:rPr>
              <w:t>Reduced trust and satisfaction</w:t>
            </w:r>
          </w:p>
        </w:tc>
        <w:tc>
          <w:tcPr>
            <w:tcW w:w="0" w:type="auto"/>
            <w:vAlign w:val="center"/>
            <w:hideMark/>
          </w:tcPr>
          <w:p w14:paraId="00E752F0" w14:textId="77777777" w:rsidR="0089679D" w:rsidRPr="00154ECD" w:rsidRDefault="0089679D" w:rsidP="00154ECD">
            <w:pPr>
              <w:spacing w:line="360" w:lineRule="auto"/>
              <w:rPr>
                <w:rFonts w:ascii="Arial" w:hAnsi="Arial" w:cs="Arial"/>
              </w:rPr>
            </w:pPr>
            <w:r w:rsidRPr="00154ECD">
              <w:rPr>
                <w:rFonts w:ascii="Arial" w:hAnsi="Arial" w:cs="Arial"/>
              </w:rPr>
              <w:t>Limited data insight</w:t>
            </w:r>
          </w:p>
        </w:tc>
        <w:tc>
          <w:tcPr>
            <w:tcW w:w="0" w:type="auto"/>
            <w:vAlign w:val="center"/>
            <w:hideMark/>
          </w:tcPr>
          <w:p w14:paraId="45656C32" w14:textId="77777777" w:rsidR="0089679D" w:rsidRPr="00154ECD" w:rsidRDefault="0089679D" w:rsidP="00154ECD">
            <w:pPr>
              <w:spacing w:line="360" w:lineRule="auto"/>
              <w:rPr>
                <w:rFonts w:ascii="Arial" w:hAnsi="Arial" w:cs="Arial"/>
              </w:rPr>
            </w:pPr>
            <w:r w:rsidRPr="00154ECD">
              <w:rPr>
                <w:rFonts w:ascii="Arial" w:hAnsi="Arial" w:cs="Arial"/>
              </w:rPr>
              <w:t>Integrated omni-channel orchestration</w:t>
            </w:r>
          </w:p>
        </w:tc>
      </w:tr>
      <w:tr w:rsidR="0089679D" w:rsidRPr="00154ECD" w14:paraId="0C7B9D79" w14:textId="77777777" w:rsidTr="00D0669D">
        <w:trPr>
          <w:tblCellSpacing w:w="15" w:type="dxa"/>
        </w:trPr>
        <w:tc>
          <w:tcPr>
            <w:tcW w:w="0" w:type="auto"/>
            <w:shd w:val="clear" w:color="auto" w:fill="DAE9F7" w:themeFill="text2" w:themeFillTint="1A"/>
            <w:vAlign w:val="center"/>
            <w:hideMark/>
          </w:tcPr>
          <w:p w14:paraId="695FF62B" w14:textId="77777777" w:rsidR="0089679D" w:rsidRPr="00154ECD" w:rsidRDefault="0089679D" w:rsidP="00154ECD">
            <w:pPr>
              <w:spacing w:line="360" w:lineRule="auto"/>
              <w:rPr>
                <w:rFonts w:ascii="Arial" w:hAnsi="Arial" w:cs="Arial"/>
              </w:rPr>
            </w:pPr>
            <w:r w:rsidRPr="00154ECD">
              <w:rPr>
                <w:rFonts w:ascii="Arial" w:hAnsi="Arial" w:cs="Arial"/>
              </w:rPr>
              <w:t>Minimal post-purchase interaction</w:t>
            </w:r>
          </w:p>
        </w:tc>
        <w:tc>
          <w:tcPr>
            <w:tcW w:w="0" w:type="auto"/>
            <w:vAlign w:val="center"/>
            <w:hideMark/>
          </w:tcPr>
          <w:p w14:paraId="2173B839" w14:textId="77777777" w:rsidR="0089679D" w:rsidRPr="00154ECD" w:rsidRDefault="0089679D" w:rsidP="00154ECD">
            <w:pPr>
              <w:spacing w:line="360" w:lineRule="auto"/>
              <w:rPr>
                <w:rFonts w:ascii="Arial" w:hAnsi="Arial" w:cs="Arial"/>
              </w:rPr>
            </w:pPr>
            <w:r w:rsidRPr="00154ECD">
              <w:rPr>
                <w:rFonts w:ascii="Arial" w:hAnsi="Arial" w:cs="Arial"/>
              </w:rPr>
              <w:t>Weak habit reinforcement</w:t>
            </w:r>
          </w:p>
        </w:tc>
        <w:tc>
          <w:tcPr>
            <w:tcW w:w="0" w:type="auto"/>
            <w:vAlign w:val="center"/>
            <w:hideMark/>
          </w:tcPr>
          <w:p w14:paraId="6F6F2C0F" w14:textId="77777777" w:rsidR="0089679D" w:rsidRPr="00154ECD" w:rsidRDefault="0089679D" w:rsidP="00154ECD">
            <w:pPr>
              <w:spacing w:line="360" w:lineRule="auto"/>
              <w:rPr>
                <w:rFonts w:ascii="Arial" w:hAnsi="Arial" w:cs="Arial"/>
              </w:rPr>
            </w:pPr>
            <w:r w:rsidRPr="00154ECD">
              <w:rPr>
                <w:rFonts w:ascii="Arial" w:hAnsi="Arial" w:cs="Arial"/>
              </w:rPr>
              <w:t>Lower frequency and retention</w:t>
            </w:r>
          </w:p>
        </w:tc>
        <w:tc>
          <w:tcPr>
            <w:tcW w:w="0" w:type="auto"/>
            <w:vAlign w:val="center"/>
            <w:hideMark/>
          </w:tcPr>
          <w:p w14:paraId="16FA34FC" w14:textId="77777777" w:rsidR="0089679D" w:rsidRPr="00154ECD" w:rsidRDefault="0089679D" w:rsidP="00154ECD">
            <w:pPr>
              <w:spacing w:line="360" w:lineRule="auto"/>
              <w:rPr>
                <w:rFonts w:ascii="Arial" w:hAnsi="Arial" w:cs="Arial"/>
              </w:rPr>
            </w:pPr>
            <w:r w:rsidRPr="00154ECD">
              <w:rPr>
                <w:rFonts w:ascii="Arial" w:hAnsi="Arial" w:cs="Arial"/>
              </w:rPr>
              <w:t>Higher churn risk</w:t>
            </w:r>
          </w:p>
        </w:tc>
        <w:tc>
          <w:tcPr>
            <w:tcW w:w="0" w:type="auto"/>
            <w:vAlign w:val="center"/>
            <w:hideMark/>
          </w:tcPr>
          <w:p w14:paraId="17CF7301" w14:textId="77777777" w:rsidR="0089679D" w:rsidRPr="00154ECD" w:rsidRDefault="0089679D" w:rsidP="00154ECD">
            <w:pPr>
              <w:spacing w:line="360" w:lineRule="auto"/>
              <w:rPr>
                <w:rFonts w:ascii="Arial" w:hAnsi="Arial" w:cs="Arial"/>
              </w:rPr>
            </w:pPr>
            <w:r w:rsidRPr="00154ECD">
              <w:rPr>
                <w:rFonts w:ascii="Arial" w:hAnsi="Arial" w:cs="Arial"/>
              </w:rPr>
              <w:t>Automated follow-up and reminders</w:t>
            </w:r>
          </w:p>
        </w:tc>
      </w:tr>
    </w:tbl>
    <w:p w14:paraId="7D6F48CB" w14:textId="77777777" w:rsidR="00D0669D" w:rsidRDefault="00D0669D" w:rsidP="00154ECD">
      <w:pPr>
        <w:spacing w:line="360" w:lineRule="auto"/>
        <w:rPr>
          <w:rFonts w:ascii="Arial" w:hAnsi="Arial" w:cs="Arial"/>
        </w:rPr>
      </w:pPr>
    </w:p>
    <w:p w14:paraId="7D54CF98" w14:textId="03CA280E" w:rsidR="0089679D" w:rsidRPr="00154ECD" w:rsidRDefault="0089679D" w:rsidP="00D0669D">
      <w:pPr>
        <w:spacing w:line="360" w:lineRule="auto"/>
        <w:jc w:val="both"/>
        <w:rPr>
          <w:rFonts w:ascii="Arial" w:hAnsi="Arial" w:cs="Arial"/>
        </w:rPr>
      </w:pPr>
      <w:r w:rsidRPr="00154ECD">
        <w:rPr>
          <w:rFonts w:ascii="Arial" w:hAnsi="Arial" w:cs="Arial"/>
        </w:rPr>
        <w:t>This analysis highlights that relatively small behavioural interventions can influence multiple performance outcomes simultaneously, making the initiative cost-efficient compared with infrastructure-heavy alternatives.</w:t>
      </w:r>
    </w:p>
    <w:p w14:paraId="3B0A3EAD" w14:textId="53B4B6C4" w:rsidR="0089679D" w:rsidRPr="00154ECD" w:rsidRDefault="0089679D" w:rsidP="00D0669D">
      <w:pPr>
        <w:spacing w:line="360" w:lineRule="auto"/>
        <w:jc w:val="both"/>
        <w:rPr>
          <w:rFonts w:ascii="Arial" w:hAnsi="Arial" w:cs="Arial"/>
        </w:rPr>
      </w:pPr>
      <w:r w:rsidRPr="00154ECD">
        <w:rPr>
          <w:rFonts w:ascii="Arial" w:hAnsi="Arial" w:cs="Arial"/>
        </w:rPr>
        <w:t>Alternative approaches considered included extensive self-service kiosks, proprietary delivery operations and dynamic pricing. These options were rejected due to higher capital requirements, operational risk and potential misalignment with Greggs’ value positioning.</w:t>
      </w:r>
    </w:p>
    <w:p w14:paraId="131343A0" w14:textId="77777777" w:rsidR="0089679D" w:rsidRPr="00B6293F" w:rsidRDefault="0089679D" w:rsidP="00154ECD">
      <w:pPr>
        <w:spacing w:line="360" w:lineRule="auto"/>
        <w:rPr>
          <w:rFonts w:ascii="Arial" w:hAnsi="Arial" w:cs="Arial"/>
          <w:b/>
          <w:bCs/>
        </w:rPr>
      </w:pPr>
      <w:r w:rsidRPr="00B6293F">
        <w:rPr>
          <w:rFonts w:ascii="Arial" w:hAnsi="Arial" w:cs="Arial"/>
          <w:b/>
          <w:bCs/>
        </w:rPr>
        <w:t>5.5 Organisational value, risks and governance</w:t>
      </w:r>
    </w:p>
    <w:p w14:paraId="6515FD41" w14:textId="77777777" w:rsidR="0089679D" w:rsidRPr="00154ECD" w:rsidRDefault="0089679D" w:rsidP="00154ECD">
      <w:pPr>
        <w:spacing w:line="360" w:lineRule="auto"/>
        <w:rPr>
          <w:rFonts w:ascii="Arial" w:hAnsi="Arial" w:cs="Arial"/>
        </w:rPr>
      </w:pPr>
      <w:r w:rsidRPr="00154ECD">
        <w:rPr>
          <w:rFonts w:ascii="Arial" w:hAnsi="Arial" w:cs="Arial"/>
        </w:rPr>
        <w:t>The Smart Value Journey creates value across three dimensions.</w:t>
      </w:r>
    </w:p>
    <w:p w14:paraId="7FE1E49D" w14:textId="4ADF5AD7" w:rsidR="00D0669D" w:rsidRDefault="0089679D" w:rsidP="00D0669D">
      <w:pPr>
        <w:spacing w:line="360" w:lineRule="auto"/>
        <w:rPr>
          <w:rFonts w:ascii="Arial" w:hAnsi="Arial" w:cs="Arial"/>
        </w:rPr>
      </w:pPr>
      <w:r w:rsidRPr="00B6293F">
        <w:rPr>
          <w:rFonts w:ascii="Arial" w:hAnsi="Arial" w:cs="Arial"/>
          <w:b/>
          <w:bCs/>
        </w:rPr>
        <w:t>Customer value</w:t>
      </w:r>
      <w:r w:rsidRPr="00154ECD">
        <w:rPr>
          <w:rFonts w:ascii="Arial" w:hAnsi="Arial" w:cs="Arial"/>
        </w:rPr>
        <w:br/>
        <w:t>Reduced waiting uncertainty, clearer value signals and more relevant engagement improve perceived convenience and satisfaction.</w:t>
      </w:r>
    </w:p>
    <w:p w14:paraId="03B90698" w14:textId="77777777" w:rsidR="008042EA" w:rsidRDefault="008042EA" w:rsidP="00D0669D">
      <w:pPr>
        <w:spacing w:line="360" w:lineRule="auto"/>
        <w:rPr>
          <w:rFonts w:ascii="Arial" w:hAnsi="Arial" w:cs="Arial"/>
          <w:b/>
          <w:bCs/>
        </w:rPr>
      </w:pPr>
    </w:p>
    <w:p w14:paraId="39145AC5" w14:textId="77777777" w:rsidR="008042EA" w:rsidRDefault="008042EA" w:rsidP="00D0669D">
      <w:pPr>
        <w:spacing w:line="360" w:lineRule="auto"/>
        <w:rPr>
          <w:rFonts w:ascii="Arial" w:hAnsi="Arial" w:cs="Arial"/>
          <w:b/>
          <w:bCs/>
        </w:rPr>
      </w:pPr>
    </w:p>
    <w:p w14:paraId="42E301DF" w14:textId="6C3E9CDA" w:rsidR="00D0669D" w:rsidRPr="00B6293F" w:rsidRDefault="0089679D" w:rsidP="00D0669D">
      <w:pPr>
        <w:spacing w:line="360" w:lineRule="auto"/>
        <w:rPr>
          <w:rFonts w:ascii="Arial" w:hAnsi="Arial" w:cs="Arial"/>
          <w:b/>
          <w:bCs/>
        </w:rPr>
      </w:pPr>
      <w:r w:rsidRPr="00B6293F">
        <w:rPr>
          <w:rFonts w:ascii="Arial" w:hAnsi="Arial" w:cs="Arial"/>
          <w:b/>
          <w:bCs/>
        </w:rPr>
        <w:t>Operation</w:t>
      </w:r>
      <w:r w:rsidR="00BE6455" w:rsidRPr="00B6293F">
        <w:rPr>
          <w:rFonts w:ascii="Arial" w:hAnsi="Arial" w:cs="Arial"/>
          <w:b/>
          <w:bCs/>
        </w:rPr>
        <w:t>a</w:t>
      </w:r>
      <w:r w:rsidRPr="00B6293F">
        <w:rPr>
          <w:rFonts w:ascii="Arial" w:hAnsi="Arial" w:cs="Arial"/>
          <w:b/>
          <w:bCs/>
        </w:rPr>
        <w:t>l value</w:t>
      </w:r>
    </w:p>
    <w:p w14:paraId="2F755281" w14:textId="725708B4" w:rsidR="0089679D" w:rsidRPr="00154ECD" w:rsidRDefault="0089679D" w:rsidP="00D0669D">
      <w:pPr>
        <w:spacing w:line="360" w:lineRule="auto"/>
        <w:rPr>
          <w:rFonts w:ascii="Arial" w:hAnsi="Arial" w:cs="Arial"/>
        </w:rPr>
      </w:pPr>
      <w:r w:rsidRPr="00154ECD">
        <w:rPr>
          <w:rFonts w:ascii="Arial" w:hAnsi="Arial" w:cs="Arial"/>
        </w:rPr>
        <w:t>Demand smoothing improves capacity utilisation and reduces peak pressure without proportional increases in labour or store space.</w:t>
      </w:r>
    </w:p>
    <w:p w14:paraId="42EAEEBD" w14:textId="79F01110" w:rsidR="0089679D" w:rsidRPr="00154ECD" w:rsidRDefault="0089679D" w:rsidP="00D0669D">
      <w:pPr>
        <w:spacing w:line="360" w:lineRule="auto"/>
        <w:rPr>
          <w:rFonts w:ascii="Arial" w:hAnsi="Arial" w:cs="Arial"/>
        </w:rPr>
      </w:pPr>
      <w:r w:rsidRPr="00B6293F">
        <w:rPr>
          <w:rFonts w:ascii="Arial" w:hAnsi="Arial" w:cs="Arial"/>
          <w:b/>
          <w:bCs/>
        </w:rPr>
        <w:t>Financial value</w:t>
      </w:r>
      <w:r w:rsidRPr="00154ECD">
        <w:rPr>
          <w:rFonts w:ascii="Arial" w:hAnsi="Arial" w:cs="Arial"/>
        </w:rPr>
        <w:br/>
        <w:t>Higher retention and visit frequency increase customer lifetime value and reduce reliance on acquisition through price promotions or third-party platforms.</w:t>
      </w:r>
    </w:p>
    <w:p w14:paraId="49D59443" w14:textId="77777777" w:rsidR="0089679D" w:rsidRPr="00154ECD" w:rsidRDefault="0089679D" w:rsidP="00D0669D">
      <w:pPr>
        <w:spacing w:line="360" w:lineRule="auto"/>
        <w:jc w:val="both"/>
        <w:rPr>
          <w:rFonts w:ascii="Arial" w:hAnsi="Arial" w:cs="Arial"/>
        </w:rPr>
      </w:pPr>
      <w:r w:rsidRPr="00154ECD">
        <w:rPr>
          <w:rFonts w:ascii="Arial" w:hAnsi="Arial" w:cs="Arial"/>
        </w:rPr>
        <w:t>From a strategic perspective, the initiative strengthens a digital capability that complements Greggs’ existing operational strengths. Dynamic capabilities theory suggests that competitive advantage emerges when organisations align new capabilities with existing business models rather than replacing them (Teece, 2018).</w:t>
      </w:r>
    </w:p>
    <w:p w14:paraId="21A5B2BF" w14:textId="77777777" w:rsidR="0089679D" w:rsidRPr="00154ECD" w:rsidRDefault="0089679D" w:rsidP="00154ECD">
      <w:pPr>
        <w:spacing w:line="360" w:lineRule="auto"/>
        <w:rPr>
          <w:rFonts w:ascii="Arial" w:hAnsi="Arial" w:cs="Arial"/>
        </w:rPr>
      </w:pPr>
      <w:r w:rsidRPr="00154ECD">
        <w:rPr>
          <w:rFonts w:ascii="Arial" w:hAnsi="Arial" w:cs="Arial"/>
        </w:rPr>
        <w:t>However, several risks must be managed:</w:t>
      </w:r>
    </w:p>
    <w:p w14:paraId="6CC70C25" w14:textId="77777777" w:rsidR="0089679D" w:rsidRPr="00154ECD" w:rsidRDefault="0089679D" w:rsidP="00BC52B0">
      <w:pPr>
        <w:numPr>
          <w:ilvl w:val="0"/>
          <w:numId w:val="10"/>
        </w:numPr>
        <w:spacing w:line="360" w:lineRule="auto"/>
        <w:rPr>
          <w:rFonts w:ascii="Arial" w:hAnsi="Arial" w:cs="Arial"/>
        </w:rPr>
      </w:pPr>
      <w:r w:rsidRPr="00154ECD">
        <w:rPr>
          <w:rFonts w:ascii="Arial" w:hAnsi="Arial" w:cs="Arial"/>
        </w:rPr>
        <w:t>Customer concerns about data privacy or perceived intrusiveness</w:t>
      </w:r>
    </w:p>
    <w:p w14:paraId="2B29E193" w14:textId="77777777" w:rsidR="0089679D" w:rsidRPr="00154ECD" w:rsidRDefault="0089679D" w:rsidP="00BC52B0">
      <w:pPr>
        <w:numPr>
          <w:ilvl w:val="0"/>
          <w:numId w:val="10"/>
        </w:numPr>
        <w:spacing w:line="360" w:lineRule="auto"/>
        <w:rPr>
          <w:rFonts w:ascii="Arial" w:hAnsi="Arial" w:cs="Arial"/>
        </w:rPr>
      </w:pPr>
      <w:r w:rsidRPr="00154ECD">
        <w:rPr>
          <w:rFonts w:ascii="Arial" w:hAnsi="Arial" w:cs="Arial"/>
        </w:rPr>
        <w:t>Perceived unfairness if incentives appear inconsistent</w:t>
      </w:r>
    </w:p>
    <w:p w14:paraId="00BFA13E" w14:textId="77777777" w:rsidR="0089679D" w:rsidRPr="00154ECD" w:rsidRDefault="0089679D" w:rsidP="00BC52B0">
      <w:pPr>
        <w:numPr>
          <w:ilvl w:val="0"/>
          <w:numId w:val="10"/>
        </w:numPr>
        <w:spacing w:line="360" w:lineRule="auto"/>
        <w:rPr>
          <w:rFonts w:ascii="Arial" w:hAnsi="Arial" w:cs="Arial"/>
        </w:rPr>
      </w:pPr>
      <w:r w:rsidRPr="00154ECD">
        <w:rPr>
          <w:rFonts w:ascii="Arial" w:hAnsi="Arial" w:cs="Arial"/>
        </w:rPr>
        <w:t>Technical complexity associated with data integration</w:t>
      </w:r>
    </w:p>
    <w:p w14:paraId="52997D05" w14:textId="77777777" w:rsidR="0089679D" w:rsidRPr="00154ECD" w:rsidRDefault="0089679D" w:rsidP="00BE6455">
      <w:pPr>
        <w:spacing w:line="360" w:lineRule="auto"/>
        <w:jc w:val="both"/>
        <w:rPr>
          <w:rFonts w:ascii="Arial" w:hAnsi="Arial" w:cs="Arial"/>
        </w:rPr>
      </w:pPr>
      <w:r w:rsidRPr="00154ECD">
        <w:rPr>
          <w:rFonts w:ascii="Arial" w:hAnsi="Arial" w:cs="Arial"/>
        </w:rPr>
        <w:t>Governance should therefore emphasise transparency, explicit opt-in, clear value communication and minimal data collection aligned to purpose (ICO, 2023). Implementation should follow a phased pilot approach to support learning and reduce operational risk.</w:t>
      </w:r>
    </w:p>
    <w:p w14:paraId="0FAE26DA" w14:textId="77777777" w:rsidR="00D01732" w:rsidRPr="00154ECD" w:rsidRDefault="00D01732" w:rsidP="00BE6455">
      <w:pPr>
        <w:spacing w:line="360" w:lineRule="auto"/>
        <w:jc w:val="both"/>
        <w:rPr>
          <w:rFonts w:ascii="Arial" w:hAnsi="Arial" w:cs="Arial"/>
        </w:rPr>
      </w:pPr>
      <w:r w:rsidRPr="00154ECD">
        <w:rPr>
          <w:rFonts w:ascii="Arial" w:hAnsi="Arial" w:cs="Arial"/>
        </w:rPr>
        <w:t>Beyond operational and financial benefits, the initiative also has implications for organisational learning and capability development. Implementing a behaviourally informed digital system requires the organisation to develop stronger analytics capability, cross-functional coordination and experimentation processes. Over time, these capabilities can support broader strategic decision-making, including location planning, product development and demand forecasting.</w:t>
      </w:r>
    </w:p>
    <w:p w14:paraId="27152841" w14:textId="77777777" w:rsidR="00D01732" w:rsidRPr="00154ECD" w:rsidRDefault="00D01732" w:rsidP="00BE6455">
      <w:pPr>
        <w:spacing w:line="360" w:lineRule="auto"/>
        <w:jc w:val="both"/>
        <w:rPr>
          <w:rFonts w:ascii="Arial" w:hAnsi="Arial" w:cs="Arial"/>
        </w:rPr>
      </w:pPr>
      <w:r w:rsidRPr="00154ECD">
        <w:rPr>
          <w:rFonts w:ascii="Arial" w:hAnsi="Arial" w:cs="Arial"/>
        </w:rPr>
        <w:t>However, capability development introduces organisational challenges. Front-line staff may require training to understand new processes, while management must ensure that digital metrics complement rather than replace operational performance measures. There is also a risk that excessive reliance on automated decision logic could reduce managerial judgement or create unintended service inconsistencies. Effective governance should therefore combine data-driven insight with clear operational accountability.</w:t>
      </w:r>
    </w:p>
    <w:p w14:paraId="655E1D2E" w14:textId="4B502781" w:rsidR="0089679D" w:rsidRDefault="00D01732" w:rsidP="00BE6455">
      <w:pPr>
        <w:spacing w:line="360" w:lineRule="auto"/>
        <w:jc w:val="both"/>
        <w:rPr>
          <w:rFonts w:ascii="Arial" w:hAnsi="Arial" w:cs="Arial"/>
        </w:rPr>
      </w:pPr>
      <w:r w:rsidRPr="00154ECD">
        <w:rPr>
          <w:rFonts w:ascii="Arial" w:hAnsi="Arial" w:cs="Arial"/>
        </w:rPr>
        <w:t>From a cultural perspective, successful implementation depends on positioning digital tools as mechanisms that support employees rather than as systems that increase monitoring or control. Research suggests that employee acceptance is critical to realising the operational benefits of digital transformation, particularly in service environments where customer experience depends on front-line execution (Tidd and Bessant, 2020). Addressing these organisational factors strengthens the feasibility of the proposed initiative.</w:t>
      </w:r>
    </w:p>
    <w:p w14:paraId="1EB57A38" w14:textId="2E744697" w:rsidR="00606670" w:rsidRPr="00154ECD" w:rsidRDefault="00606670" w:rsidP="00BE6455">
      <w:pPr>
        <w:spacing w:line="360" w:lineRule="auto"/>
        <w:jc w:val="both"/>
        <w:rPr>
          <w:rFonts w:ascii="Arial" w:hAnsi="Arial" w:cs="Arial"/>
        </w:rPr>
      </w:pPr>
      <w:r w:rsidRPr="00606670">
        <w:rPr>
          <w:rFonts w:ascii="Arial" w:hAnsi="Arial" w:cs="Arial"/>
        </w:rPr>
        <w:t>However, the effectiveness of the Smart Value Journey depends on sufficient customer adoption and data quality, and behavioural nudges may deliver incremental rather than transformational change if engagement levels remain low.</w:t>
      </w:r>
    </w:p>
    <w:p w14:paraId="66925662" w14:textId="77777777" w:rsidR="0089679D" w:rsidRPr="00B6293F" w:rsidRDefault="0089679D" w:rsidP="00154ECD">
      <w:pPr>
        <w:spacing w:line="360" w:lineRule="auto"/>
        <w:rPr>
          <w:rFonts w:ascii="Arial" w:hAnsi="Arial" w:cs="Arial"/>
          <w:b/>
          <w:bCs/>
        </w:rPr>
      </w:pPr>
      <w:r w:rsidRPr="00B6293F">
        <w:rPr>
          <w:rFonts w:ascii="Arial" w:hAnsi="Arial" w:cs="Arial"/>
          <w:b/>
          <w:bCs/>
        </w:rPr>
        <w:t>5.6 Measuring impact and success</w:t>
      </w:r>
    </w:p>
    <w:p w14:paraId="1708E44A" w14:textId="77777777" w:rsidR="0089679D" w:rsidRPr="00154ECD" w:rsidRDefault="0089679D" w:rsidP="00BE6455">
      <w:pPr>
        <w:spacing w:line="360" w:lineRule="auto"/>
        <w:jc w:val="both"/>
        <w:rPr>
          <w:rFonts w:ascii="Arial" w:hAnsi="Arial" w:cs="Arial"/>
        </w:rPr>
      </w:pPr>
      <w:r w:rsidRPr="00154ECD">
        <w:rPr>
          <w:rFonts w:ascii="Arial" w:hAnsi="Arial" w:cs="Arial"/>
        </w:rPr>
        <w:t>Digital transformation should be evaluated through customer, operational and financial outcomes rather than technology adoption alone (Verhoef et al., 2021).</w:t>
      </w:r>
    </w:p>
    <w:p w14:paraId="4B2AB9EF" w14:textId="77777777" w:rsidR="0089679D" w:rsidRPr="00154ECD" w:rsidRDefault="0089679D" w:rsidP="00154ECD">
      <w:pPr>
        <w:spacing w:line="360" w:lineRule="auto"/>
        <w:rPr>
          <w:rFonts w:ascii="Arial" w:hAnsi="Arial" w:cs="Arial"/>
        </w:rPr>
      </w:pPr>
      <w:r w:rsidRPr="00154ECD">
        <w:rPr>
          <w:rFonts w:ascii="Arial" w:hAnsi="Arial" w:cs="Arial"/>
        </w:rPr>
        <w:t>Table 5: Measurement framework for the Smart Value Journey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5"/>
        <w:gridCol w:w="2571"/>
        <w:gridCol w:w="2390"/>
        <w:gridCol w:w="2370"/>
      </w:tblGrid>
      <w:tr w:rsidR="0089679D" w:rsidRPr="00154ECD" w14:paraId="51A44DBF" w14:textId="77777777" w:rsidTr="00BE6455">
        <w:trPr>
          <w:tblHeader/>
          <w:tblCellSpacing w:w="15" w:type="dxa"/>
        </w:trPr>
        <w:tc>
          <w:tcPr>
            <w:tcW w:w="0" w:type="auto"/>
            <w:shd w:val="clear" w:color="auto" w:fill="C1E4F5" w:themeFill="accent1" w:themeFillTint="33"/>
            <w:vAlign w:val="center"/>
            <w:hideMark/>
          </w:tcPr>
          <w:p w14:paraId="412BD181" w14:textId="77777777" w:rsidR="0089679D" w:rsidRPr="00154ECD" w:rsidRDefault="0089679D" w:rsidP="00154ECD">
            <w:pPr>
              <w:spacing w:line="360" w:lineRule="auto"/>
              <w:rPr>
                <w:rFonts w:ascii="Arial" w:hAnsi="Arial" w:cs="Arial"/>
              </w:rPr>
            </w:pPr>
            <w:r w:rsidRPr="00154ECD">
              <w:rPr>
                <w:rFonts w:ascii="Arial" w:hAnsi="Arial" w:cs="Arial"/>
              </w:rPr>
              <w:t>Objective</w:t>
            </w:r>
          </w:p>
        </w:tc>
        <w:tc>
          <w:tcPr>
            <w:tcW w:w="0" w:type="auto"/>
            <w:shd w:val="clear" w:color="auto" w:fill="C1E4F5" w:themeFill="accent1" w:themeFillTint="33"/>
            <w:vAlign w:val="center"/>
            <w:hideMark/>
          </w:tcPr>
          <w:p w14:paraId="491106DF" w14:textId="77777777" w:rsidR="0089679D" w:rsidRPr="00154ECD" w:rsidRDefault="0089679D" w:rsidP="00154ECD">
            <w:pPr>
              <w:spacing w:line="360" w:lineRule="auto"/>
              <w:rPr>
                <w:rFonts w:ascii="Arial" w:hAnsi="Arial" w:cs="Arial"/>
              </w:rPr>
            </w:pPr>
            <w:r w:rsidRPr="00154ECD">
              <w:rPr>
                <w:rFonts w:ascii="Arial" w:hAnsi="Arial" w:cs="Arial"/>
              </w:rPr>
              <w:t>KPI</w:t>
            </w:r>
          </w:p>
        </w:tc>
        <w:tc>
          <w:tcPr>
            <w:tcW w:w="0" w:type="auto"/>
            <w:shd w:val="clear" w:color="auto" w:fill="C1E4F5" w:themeFill="accent1" w:themeFillTint="33"/>
            <w:vAlign w:val="center"/>
            <w:hideMark/>
          </w:tcPr>
          <w:p w14:paraId="2D417E04" w14:textId="77777777" w:rsidR="0089679D" w:rsidRPr="00154ECD" w:rsidRDefault="0089679D" w:rsidP="00154ECD">
            <w:pPr>
              <w:spacing w:line="360" w:lineRule="auto"/>
              <w:rPr>
                <w:rFonts w:ascii="Arial" w:hAnsi="Arial" w:cs="Arial"/>
              </w:rPr>
            </w:pPr>
            <w:r w:rsidRPr="00154ECD">
              <w:rPr>
                <w:rFonts w:ascii="Arial" w:hAnsi="Arial" w:cs="Arial"/>
              </w:rPr>
              <w:t>Measurement Approach</w:t>
            </w:r>
          </w:p>
        </w:tc>
        <w:tc>
          <w:tcPr>
            <w:tcW w:w="0" w:type="auto"/>
            <w:shd w:val="clear" w:color="auto" w:fill="C1E4F5" w:themeFill="accent1" w:themeFillTint="33"/>
            <w:vAlign w:val="center"/>
            <w:hideMark/>
          </w:tcPr>
          <w:p w14:paraId="448C3399" w14:textId="77777777" w:rsidR="0089679D" w:rsidRPr="00154ECD" w:rsidRDefault="0089679D" w:rsidP="00154ECD">
            <w:pPr>
              <w:spacing w:line="360" w:lineRule="auto"/>
              <w:rPr>
                <w:rFonts w:ascii="Arial" w:hAnsi="Arial" w:cs="Arial"/>
              </w:rPr>
            </w:pPr>
            <w:r w:rsidRPr="00154ECD">
              <w:rPr>
                <w:rFonts w:ascii="Arial" w:hAnsi="Arial" w:cs="Arial"/>
              </w:rPr>
              <w:t>Expected Direction</w:t>
            </w:r>
          </w:p>
        </w:tc>
      </w:tr>
      <w:tr w:rsidR="0089679D" w:rsidRPr="00154ECD" w14:paraId="49E264B4" w14:textId="77777777" w:rsidTr="00BE6455">
        <w:trPr>
          <w:tblCellSpacing w:w="15" w:type="dxa"/>
        </w:trPr>
        <w:tc>
          <w:tcPr>
            <w:tcW w:w="0" w:type="auto"/>
            <w:shd w:val="clear" w:color="auto" w:fill="DAE9F7" w:themeFill="text2" w:themeFillTint="1A"/>
            <w:vAlign w:val="center"/>
            <w:hideMark/>
          </w:tcPr>
          <w:p w14:paraId="27477812" w14:textId="77777777" w:rsidR="0089679D" w:rsidRPr="00154ECD" w:rsidRDefault="0089679D" w:rsidP="00154ECD">
            <w:pPr>
              <w:spacing w:line="360" w:lineRule="auto"/>
              <w:rPr>
                <w:rFonts w:ascii="Arial" w:hAnsi="Arial" w:cs="Arial"/>
              </w:rPr>
            </w:pPr>
            <w:r w:rsidRPr="00154ECD">
              <w:rPr>
                <w:rFonts w:ascii="Arial" w:hAnsi="Arial" w:cs="Arial"/>
              </w:rPr>
              <w:t>Increase retention</w:t>
            </w:r>
          </w:p>
        </w:tc>
        <w:tc>
          <w:tcPr>
            <w:tcW w:w="0" w:type="auto"/>
            <w:vAlign w:val="center"/>
            <w:hideMark/>
          </w:tcPr>
          <w:p w14:paraId="7BD622A7" w14:textId="77777777" w:rsidR="0089679D" w:rsidRPr="00154ECD" w:rsidRDefault="0089679D" w:rsidP="00154ECD">
            <w:pPr>
              <w:spacing w:line="360" w:lineRule="auto"/>
              <w:rPr>
                <w:rFonts w:ascii="Arial" w:hAnsi="Arial" w:cs="Arial"/>
              </w:rPr>
            </w:pPr>
            <w:r w:rsidRPr="00154ECD">
              <w:rPr>
                <w:rFonts w:ascii="Arial" w:hAnsi="Arial" w:cs="Arial"/>
              </w:rPr>
              <w:t>90-day repeat rate, churn rate</w:t>
            </w:r>
          </w:p>
        </w:tc>
        <w:tc>
          <w:tcPr>
            <w:tcW w:w="0" w:type="auto"/>
            <w:vAlign w:val="center"/>
            <w:hideMark/>
          </w:tcPr>
          <w:p w14:paraId="60FC51E2" w14:textId="77777777" w:rsidR="0089679D" w:rsidRPr="00154ECD" w:rsidRDefault="0089679D" w:rsidP="00154ECD">
            <w:pPr>
              <w:spacing w:line="360" w:lineRule="auto"/>
              <w:rPr>
                <w:rFonts w:ascii="Arial" w:hAnsi="Arial" w:cs="Arial"/>
              </w:rPr>
            </w:pPr>
            <w:r w:rsidRPr="00154ECD">
              <w:rPr>
                <w:rFonts w:ascii="Arial" w:hAnsi="Arial" w:cs="Arial"/>
              </w:rPr>
              <w:t>Cohort analysis pre/post rollout</w:t>
            </w:r>
          </w:p>
        </w:tc>
        <w:tc>
          <w:tcPr>
            <w:tcW w:w="0" w:type="auto"/>
            <w:vAlign w:val="center"/>
            <w:hideMark/>
          </w:tcPr>
          <w:p w14:paraId="4ADE36A0" w14:textId="77777777" w:rsidR="0089679D" w:rsidRPr="00154ECD" w:rsidRDefault="0089679D" w:rsidP="00154ECD">
            <w:pPr>
              <w:spacing w:line="360" w:lineRule="auto"/>
              <w:rPr>
                <w:rFonts w:ascii="Arial" w:hAnsi="Arial" w:cs="Arial"/>
              </w:rPr>
            </w:pPr>
            <w:r w:rsidRPr="00154ECD">
              <w:rPr>
                <w:rFonts w:ascii="Arial" w:hAnsi="Arial" w:cs="Arial"/>
              </w:rPr>
              <w:t>Increase</w:t>
            </w:r>
          </w:p>
        </w:tc>
      </w:tr>
      <w:tr w:rsidR="0089679D" w:rsidRPr="00154ECD" w14:paraId="2DDE9862" w14:textId="77777777" w:rsidTr="00BE6455">
        <w:trPr>
          <w:tblCellSpacing w:w="15" w:type="dxa"/>
        </w:trPr>
        <w:tc>
          <w:tcPr>
            <w:tcW w:w="0" w:type="auto"/>
            <w:shd w:val="clear" w:color="auto" w:fill="DAE9F7" w:themeFill="text2" w:themeFillTint="1A"/>
            <w:vAlign w:val="center"/>
            <w:hideMark/>
          </w:tcPr>
          <w:p w14:paraId="0D3E194C" w14:textId="77777777" w:rsidR="0089679D" w:rsidRPr="00154ECD" w:rsidRDefault="0089679D" w:rsidP="00154ECD">
            <w:pPr>
              <w:spacing w:line="360" w:lineRule="auto"/>
              <w:rPr>
                <w:rFonts w:ascii="Arial" w:hAnsi="Arial" w:cs="Arial"/>
              </w:rPr>
            </w:pPr>
            <w:r w:rsidRPr="00154ECD">
              <w:rPr>
                <w:rFonts w:ascii="Arial" w:hAnsi="Arial" w:cs="Arial"/>
              </w:rPr>
              <w:t>Increase frequency</w:t>
            </w:r>
          </w:p>
        </w:tc>
        <w:tc>
          <w:tcPr>
            <w:tcW w:w="0" w:type="auto"/>
            <w:vAlign w:val="center"/>
            <w:hideMark/>
          </w:tcPr>
          <w:p w14:paraId="225D2C2A" w14:textId="77777777" w:rsidR="0089679D" w:rsidRPr="00154ECD" w:rsidRDefault="0089679D" w:rsidP="00154ECD">
            <w:pPr>
              <w:spacing w:line="360" w:lineRule="auto"/>
              <w:rPr>
                <w:rFonts w:ascii="Arial" w:hAnsi="Arial" w:cs="Arial"/>
              </w:rPr>
            </w:pPr>
            <w:r w:rsidRPr="00154ECD">
              <w:rPr>
                <w:rFonts w:ascii="Arial" w:hAnsi="Arial" w:cs="Arial"/>
              </w:rPr>
              <w:t>Visits per customer per month</w:t>
            </w:r>
          </w:p>
        </w:tc>
        <w:tc>
          <w:tcPr>
            <w:tcW w:w="0" w:type="auto"/>
            <w:vAlign w:val="center"/>
            <w:hideMark/>
          </w:tcPr>
          <w:p w14:paraId="6B73F988" w14:textId="77777777" w:rsidR="0089679D" w:rsidRPr="00154ECD" w:rsidRDefault="0089679D" w:rsidP="00154ECD">
            <w:pPr>
              <w:spacing w:line="360" w:lineRule="auto"/>
              <w:rPr>
                <w:rFonts w:ascii="Arial" w:hAnsi="Arial" w:cs="Arial"/>
              </w:rPr>
            </w:pPr>
            <w:r w:rsidRPr="00154ECD">
              <w:rPr>
                <w:rFonts w:ascii="Arial" w:hAnsi="Arial" w:cs="Arial"/>
              </w:rPr>
              <w:t>App and POS integration</w:t>
            </w:r>
          </w:p>
        </w:tc>
        <w:tc>
          <w:tcPr>
            <w:tcW w:w="0" w:type="auto"/>
            <w:vAlign w:val="center"/>
            <w:hideMark/>
          </w:tcPr>
          <w:p w14:paraId="5B38D209" w14:textId="77777777" w:rsidR="0089679D" w:rsidRPr="00154ECD" w:rsidRDefault="0089679D" w:rsidP="00154ECD">
            <w:pPr>
              <w:spacing w:line="360" w:lineRule="auto"/>
              <w:rPr>
                <w:rFonts w:ascii="Arial" w:hAnsi="Arial" w:cs="Arial"/>
              </w:rPr>
            </w:pPr>
            <w:r w:rsidRPr="00154ECD">
              <w:rPr>
                <w:rFonts w:ascii="Arial" w:hAnsi="Arial" w:cs="Arial"/>
              </w:rPr>
              <w:t>Increase</w:t>
            </w:r>
          </w:p>
        </w:tc>
      </w:tr>
      <w:tr w:rsidR="0089679D" w:rsidRPr="00154ECD" w14:paraId="4EA579DF" w14:textId="77777777" w:rsidTr="00BE6455">
        <w:trPr>
          <w:tblCellSpacing w:w="15" w:type="dxa"/>
        </w:trPr>
        <w:tc>
          <w:tcPr>
            <w:tcW w:w="0" w:type="auto"/>
            <w:shd w:val="clear" w:color="auto" w:fill="DAE9F7" w:themeFill="text2" w:themeFillTint="1A"/>
            <w:vAlign w:val="center"/>
            <w:hideMark/>
          </w:tcPr>
          <w:p w14:paraId="4F88BDC5" w14:textId="77777777" w:rsidR="0089679D" w:rsidRPr="00154ECD" w:rsidRDefault="0089679D" w:rsidP="00154ECD">
            <w:pPr>
              <w:spacing w:line="360" w:lineRule="auto"/>
              <w:rPr>
                <w:rFonts w:ascii="Arial" w:hAnsi="Arial" w:cs="Arial"/>
              </w:rPr>
            </w:pPr>
            <w:r w:rsidRPr="00154ECD">
              <w:rPr>
                <w:rFonts w:ascii="Arial" w:hAnsi="Arial" w:cs="Arial"/>
              </w:rPr>
              <w:t>Reduce peak pressure</w:t>
            </w:r>
          </w:p>
        </w:tc>
        <w:tc>
          <w:tcPr>
            <w:tcW w:w="0" w:type="auto"/>
            <w:vAlign w:val="center"/>
            <w:hideMark/>
          </w:tcPr>
          <w:p w14:paraId="4BE5040F" w14:textId="77777777" w:rsidR="0089679D" w:rsidRPr="00154ECD" w:rsidRDefault="0089679D" w:rsidP="00154ECD">
            <w:pPr>
              <w:spacing w:line="360" w:lineRule="auto"/>
              <w:rPr>
                <w:rFonts w:ascii="Arial" w:hAnsi="Arial" w:cs="Arial"/>
              </w:rPr>
            </w:pPr>
            <w:r w:rsidRPr="00154ECD">
              <w:rPr>
                <w:rFonts w:ascii="Arial" w:hAnsi="Arial" w:cs="Arial"/>
              </w:rPr>
              <w:t>Average queue time, peak throughput</w:t>
            </w:r>
          </w:p>
        </w:tc>
        <w:tc>
          <w:tcPr>
            <w:tcW w:w="0" w:type="auto"/>
            <w:vAlign w:val="center"/>
            <w:hideMark/>
          </w:tcPr>
          <w:p w14:paraId="2BD996F5" w14:textId="77777777" w:rsidR="0089679D" w:rsidRPr="00154ECD" w:rsidRDefault="0089679D" w:rsidP="00154ECD">
            <w:pPr>
              <w:spacing w:line="360" w:lineRule="auto"/>
              <w:rPr>
                <w:rFonts w:ascii="Arial" w:hAnsi="Arial" w:cs="Arial"/>
              </w:rPr>
            </w:pPr>
            <w:r w:rsidRPr="00154ECD">
              <w:rPr>
                <w:rFonts w:ascii="Arial" w:hAnsi="Arial" w:cs="Arial"/>
              </w:rPr>
              <w:t>In-store observation and operational data</w:t>
            </w:r>
          </w:p>
        </w:tc>
        <w:tc>
          <w:tcPr>
            <w:tcW w:w="0" w:type="auto"/>
            <w:vAlign w:val="center"/>
            <w:hideMark/>
          </w:tcPr>
          <w:p w14:paraId="5580F0DF" w14:textId="77777777" w:rsidR="0089679D" w:rsidRPr="00154ECD" w:rsidRDefault="0089679D" w:rsidP="00154ECD">
            <w:pPr>
              <w:spacing w:line="360" w:lineRule="auto"/>
              <w:rPr>
                <w:rFonts w:ascii="Arial" w:hAnsi="Arial" w:cs="Arial"/>
              </w:rPr>
            </w:pPr>
            <w:r w:rsidRPr="00154ECD">
              <w:rPr>
                <w:rFonts w:ascii="Arial" w:hAnsi="Arial" w:cs="Arial"/>
              </w:rPr>
              <w:t>Queue time decreases, throughput increases</w:t>
            </w:r>
          </w:p>
        </w:tc>
      </w:tr>
      <w:tr w:rsidR="0089679D" w:rsidRPr="00154ECD" w14:paraId="6748BD8E" w14:textId="77777777" w:rsidTr="00BE6455">
        <w:trPr>
          <w:tblCellSpacing w:w="15" w:type="dxa"/>
        </w:trPr>
        <w:tc>
          <w:tcPr>
            <w:tcW w:w="0" w:type="auto"/>
            <w:shd w:val="clear" w:color="auto" w:fill="DAE9F7" w:themeFill="text2" w:themeFillTint="1A"/>
            <w:vAlign w:val="center"/>
            <w:hideMark/>
          </w:tcPr>
          <w:p w14:paraId="3D413834" w14:textId="77777777" w:rsidR="0089679D" w:rsidRPr="00154ECD" w:rsidRDefault="0089679D" w:rsidP="00154ECD">
            <w:pPr>
              <w:spacing w:line="360" w:lineRule="auto"/>
              <w:rPr>
                <w:rFonts w:ascii="Arial" w:hAnsi="Arial" w:cs="Arial"/>
              </w:rPr>
            </w:pPr>
            <w:r w:rsidRPr="00154ECD">
              <w:rPr>
                <w:rFonts w:ascii="Arial" w:hAnsi="Arial" w:cs="Arial"/>
              </w:rPr>
              <w:t>Improve engagement</w:t>
            </w:r>
          </w:p>
        </w:tc>
        <w:tc>
          <w:tcPr>
            <w:tcW w:w="0" w:type="auto"/>
            <w:vAlign w:val="center"/>
            <w:hideMark/>
          </w:tcPr>
          <w:p w14:paraId="0A15F4B7" w14:textId="77777777" w:rsidR="0089679D" w:rsidRPr="00154ECD" w:rsidRDefault="0089679D" w:rsidP="00154ECD">
            <w:pPr>
              <w:spacing w:line="360" w:lineRule="auto"/>
              <w:rPr>
                <w:rFonts w:ascii="Arial" w:hAnsi="Arial" w:cs="Arial"/>
              </w:rPr>
            </w:pPr>
            <w:r w:rsidRPr="00154ECD">
              <w:rPr>
                <w:rFonts w:ascii="Arial" w:hAnsi="Arial" w:cs="Arial"/>
              </w:rPr>
              <w:t>Monthly active users, offer redemption, opt-in rate</w:t>
            </w:r>
          </w:p>
        </w:tc>
        <w:tc>
          <w:tcPr>
            <w:tcW w:w="0" w:type="auto"/>
            <w:vAlign w:val="center"/>
            <w:hideMark/>
          </w:tcPr>
          <w:p w14:paraId="0759D172" w14:textId="77777777" w:rsidR="0089679D" w:rsidRPr="00154ECD" w:rsidRDefault="0089679D" w:rsidP="00154ECD">
            <w:pPr>
              <w:spacing w:line="360" w:lineRule="auto"/>
              <w:rPr>
                <w:rFonts w:ascii="Arial" w:hAnsi="Arial" w:cs="Arial"/>
              </w:rPr>
            </w:pPr>
            <w:r w:rsidRPr="00154ECD">
              <w:rPr>
                <w:rFonts w:ascii="Arial" w:hAnsi="Arial" w:cs="Arial"/>
              </w:rPr>
              <w:t>Digital analytics dashboard</w:t>
            </w:r>
          </w:p>
        </w:tc>
        <w:tc>
          <w:tcPr>
            <w:tcW w:w="0" w:type="auto"/>
            <w:vAlign w:val="center"/>
            <w:hideMark/>
          </w:tcPr>
          <w:p w14:paraId="1BC4C866" w14:textId="77777777" w:rsidR="0089679D" w:rsidRPr="00154ECD" w:rsidRDefault="0089679D" w:rsidP="00154ECD">
            <w:pPr>
              <w:spacing w:line="360" w:lineRule="auto"/>
              <w:rPr>
                <w:rFonts w:ascii="Arial" w:hAnsi="Arial" w:cs="Arial"/>
              </w:rPr>
            </w:pPr>
            <w:r w:rsidRPr="00154ECD">
              <w:rPr>
                <w:rFonts w:ascii="Arial" w:hAnsi="Arial" w:cs="Arial"/>
              </w:rPr>
              <w:t>Increase</w:t>
            </w:r>
          </w:p>
        </w:tc>
      </w:tr>
      <w:tr w:rsidR="0089679D" w:rsidRPr="00154ECD" w14:paraId="1491DB8E" w14:textId="77777777" w:rsidTr="00BE6455">
        <w:trPr>
          <w:tblCellSpacing w:w="15" w:type="dxa"/>
        </w:trPr>
        <w:tc>
          <w:tcPr>
            <w:tcW w:w="0" w:type="auto"/>
            <w:shd w:val="clear" w:color="auto" w:fill="DAE9F7" w:themeFill="text2" w:themeFillTint="1A"/>
            <w:vAlign w:val="center"/>
            <w:hideMark/>
          </w:tcPr>
          <w:p w14:paraId="6C9CDBE1" w14:textId="77777777" w:rsidR="0089679D" w:rsidRPr="00154ECD" w:rsidRDefault="0089679D" w:rsidP="00154ECD">
            <w:pPr>
              <w:spacing w:line="360" w:lineRule="auto"/>
              <w:rPr>
                <w:rFonts w:ascii="Arial" w:hAnsi="Arial" w:cs="Arial"/>
              </w:rPr>
            </w:pPr>
            <w:r w:rsidRPr="00154ECD">
              <w:rPr>
                <w:rFonts w:ascii="Arial" w:hAnsi="Arial" w:cs="Arial"/>
              </w:rPr>
              <w:t>Financial performance</w:t>
            </w:r>
          </w:p>
        </w:tc>
        <w:tc>
          <w:tcPr>
            <w:tcW w:w="0" w:type="auto"/>
            <w:vAlign w:val="center"/>
            <w:hideMark/>
          </w:tcPr>
          <w:p w14:paraId="58AC4B23" w14:textId="77777777" w:rsidR="0089679D" w:rsidRPr="00154ECD" w:rsidRDefault="0089679D" w:rsidP="00154ECD">
            <w:pPr>
              <w:spacing w:line="360" w:lineRule="auto"/>
              <w:rPr>
                <w:rFonts w:ascii="Arial" w:hAnsi="Arial" w:cs="Arial"/>
              </w:rPr>
            </w:pPr>
            <w:r w:rsidRPr="00154ECD">
              <w:rPr>
                <w:rFonts w:ascii="Arial" w:hAnsi="Arial" w:cs="Arial"/>
              </w:rPr>
              <w:t>Incremental gross profit vs digital cost</w:t>
            </w:r>
          </w:p>
        </w:tc>
        <w:tc>
          <w:tcPr>
            <w:tcW w:w="0" w:type="auto"/>
            <w:vAlign w:val="center"/>
            <w:hideMark/>
          </w:tcPr>
          <w:p w14:paraId="64CB560E" w14:textId="77777777" w:rsidR="0089679D" w:rsidRPr="00154ECD" w:rsidRDefault="0089679D" w:rsidP="00154ECD">
            <w:pPr>
              <w:spacing w:line="360" w:lineRule="auto"/>
              <w:rPr>
                <w:rFonts w:ascii="Arial" w:hAnsi="Arial" w:cs="Arial"/>
              </w:rPr>
            </w:pPr>
            <w:r w:rsidRPr="00154ECD">
              <w:rPr>
                <w:rFonts w:ascii="Arial" w:hAnsi="Arial" w:cs="Arial"/>
              </w:rPr>
              <w:t>Test-and-control financial analysis</w:t>
            </w:r>
          </w:p>
        </w:tc>
        <w:tc>
          <w:tcPr>
            <w:tcW w:w="0" w:type="auto"/>
            <w:vAlign w:val="center"/>
            <w:hideMark/>
          </w:tcPr>
          <w:p w14:paraId="67B136D8" w14:textId="77777777" w:rsidR="0089679D" w:rsidRPr="00154ECD" w:rsidRDefault="0089679D" w:rsidP="00154ECD">
            <w:pPr>
              <w:spacing w:line="360" w:lineRule="auto"/>
              <w:rPr>
                <w:rFonts w:ascii="Arial" w:hAnsi="Arial" w:cs="Arial"/>
              </w:rPr>
            </w:pPr>
            <w:r w:rsidRPr="00154ECD">
              <w:rPr>
                <w:rFonts w:ascii="Arial" w:hAnsi="Arial" w:cs="Arial"/>
              </w:rPr>
              <w:t>Positive ROI</w:t>
            </w:r>
          </w:p>
        </w:tc>
      </w:tr>
    </w:tbl>
    <w:p w14:paraId="113979AF" w14:textId="77777777" w:rsidR="00BE6455" w:rsidRDefault="00BE6455" w:rsidP="00154ECD">
      <w:pPr>
        <w:spacing w:line="360" w:lineRule="auto"/>
        <w:rPr>
          <w:rFonts w:ascii="Arial" w:hAnsi="Arial" w:cs="Arial"/>
        </w:rPr>
      </w:pPr>
    </w:p>
    <w:p w14:paraId="3EC0183F" w14:textId="22AD7471" w:rsidR="0089679D" w:rsidRPr="00154ECD" w:rsidRDefault="0089679D" w:rsidP="006E6442">
      <w:pPr>
        <w:spacing w:line="360" w:lineRule="auto"/>
        <w:jc w:val="both"/>
        <w:rPr>
          <w:rFonts w:ascii="Arial" w:hAnsi="Arial" w:cs="Arial"/>
        </w:rPr>
      </w:pPr>
      <w:r w:rsidRPr="00154ECD">
        <w:rPr>
          <w:rFonts w:ascii="Arial" w:hAnsi="Arial" w:cs="Arial"/>
        </w:rPr>
        <w:t>A staged rollout using matched-store pilots and A/B testing is recommended to validate assumptions before scaling. This approach aligns with design thinking principles of iterative learning and evidence-based decision-making (Micheli et al., 2019).</w:t>
      </w:r>
    </w:p>
    <w:p w14:paraId="40CE170A" w14:textId="77777777" w:rsidR="008042EA" w:rsidRDefault="008042EA" w:rsidP="00A84A65">
      <w:pPr>
        <w:spacing w:line="360" w:lineRule="auto"/>
        <w:rPr>
          <w:rFonts w:ascii="Arial" w:hAnsi="Arial" w:cs="Arial"/>
          <w:b/>
          <w:bCs/>
        </w:rPr>
      </w:pPr>
    </w:p>
    <w:p w14:paraId="431F8E94" w14:textId="77777777" w:rsidR="008042EA" w:rsidRDefault="008042EA" w:rsidP="00A84A65">
      <w:pPr>
        <w:spacing w:line="360" w:lineRule="auto"/>
        <w:rPr>
          <w:rFonts w:ascii="Arial" w:hAnsi="Arial" w:cs="Arial"/>
          <w:b/>
          <w:bCs/>
        </w:rPr>
      </w:pPr>
    </w:p>
    <w:p w14:paraId="71550738" w14:textId="3D56B9B8" w:rsidR="00A84A65" w:rsidRPr="00FA4036" w:rsidRDefault="00A84A65" w:rsidP="00A84A65">
      <w:pPr>
        <w:spacing w:line="360" w:lineRule="auto"/>
        <w:rPr>
          <w:rFonts w:ascii="Arial" w:hAnsi="Arial" w:cs="Arial"/>
          <w:b/>
          <w:bCs/>
        </w:rPr>
      </w:pPr>
      <w:r w:rsidRPr="00FA4036">
        <w:rPr>
          <w:rFonts w:ascii="Arial" w:hAnsi="Arial" w:cs="Arial"/>
          <w:b/>
          <w:bCs/>
        </w:rPr>
        <w:t>5.7 Critical evaluation of alternative digital approaches</w:t>
      </w:r>
    </w:p>
    <w:p w14:paraId="6602E92D" w14:textId="77777777" w:rsidR="00A84A65" w:rsidRPr="00A84A65" w:rsidRDefault="00A84A65" w:rsidP="006E6442">
      <w:pPr>
        <w:spacing w:line="360" w:lineRule="auto"/>
        <w:jc w:val="both"/>
        <w:rPr>
          <w:rFonts w:ascii="Arial" w:hAnsi="Arial" w:cs="Arial"/>
        </w:rPr>
      </w:pPr>
      <w:r w:rsidRPr="00A84A65">
        <w:rPr>
          <w:rFonts w:ascii="Arial" w:hAnsi="Arial" w:cs="Arial"/>
        </w:rPr>
        <w:t>Although the Smart Value Journey provides a strategically aligned transformation pathway, alternative digital innovation approaches could also be considered. Evaluating these options is important in order to demonstrate the robustness of the proposed solution and to recognise the trade-offs inherent in digital investment decisions.</w:t>
      </w:r>
    </w:p>
    <w:p w14:paraId="18B84AAD" w14:textId="77777777" w:rsidR="00A84A65" w:rsidRPr="00A84A65" w:rsidRDefault="00A84A65" w:rsidP="006E6442">
      <w:pPr>
        <w:spacing w:line="360" w:lineRule="auto"/>
        <w:jc w:val="both"/>
        <w:rPr>
          <w:rFonts w:ascii="Arial" w:hAnsi="Arial" w:cs="Arial"/>
        </w:rPr>
      </w:pPr>
      <w:r w:rsidRPr="00A84A65">
        <w:rPr>
          <w:rFonts w:ascii="Arial" w:hAnsi="Arial" w:cs="Arial"/>
        </w:rPr>
        <w:t>One alternative would involve extensive in-store automation, such as self-service ordering kiosks or automated checkout systems. While such technologies are increasingly used in quick-service environments and may improve labour efficiency, they also introduce operational complexity and potential customer friction. In a high-throughput environment where simplicity and speed are central to the value proposition, unfamiliar interfaces or technical failures could undermine the customer experience rather than improve it.</w:t>
      </w:r>
    </w:p>
    <w:p w14:paraId="711594D4" w14:textId="77777777" w:rsidR="00A84A65" w:rsidRPr="00A84A65" w:rsidRDefault="00A84A65" w:rsidP="006E6442">
      <w:pPr>
        <w:spacing w:line="360" w:lineRule="auto"/>
        <w:jc w:val="both"/>
        <w:rPr>
          <w:rFonts w:ascii="Arial" w:hAnsi="Arial" w:cs="Arial"/>
        </w:rPr>
      </w:pPr>
      <w:r w:rsidRPr="00A84A65">
        <w:rPr>
          <w:rFonts w:ascii="Arial" w:hAnsi="Arial" w:cs="Arial"/>
        </w:rPr>
        <w:t>A second option would be the use of dynamic pricing or algorithmic promotion to optimise revenue based on demand patterns. Although this approach may increase short-term margins, it carries reputational risk for a value-oriented brand. Customers may perceive variable pricing as unfair or inconsistent, particularly during periods of economic pressure. Research suggests that perceived pricing fairness is critical to maintaining trust and long-term loyalty in value retail contexts (Micheli et al., 2019).</w:t>
      </w:r>
    </w:p>
    <w:p w14:paraId="63FB7BE1" w14:textId="77777777" w:rsidR="00A84A65" w:rsidRPr="00A84A65" w:rsidRDefault="00A84A65" w:rsidP="006E6442">
      <w:pPr>
        <w:spacing w:line="360" w:lineRule="auto"/>
        <w:jc w:val="both"/>
        <w:rPr>
          <w:rFonts w:ascii="Arial" w:hAnsi="Arial" w:cs="Arial"/>
        </w:rPr>
      </w:pPr>
      <w:r w:rsidRPr="00A84A65">
        <w:rPr>
          <w:rFonts w:ascii="Arial" w:hAnsi="Arial" w:cs="Arial"/>
        </w:rPr>
        <w:t xml:space="preserve">A third alternative would involve greater reliance on third-party delivery platforms to drive customer acquisition and engagement. While this may reduce internal development costs, it risks weakening direct customer relationships and limiting access to behavioural data. Porter and </w:t>
      </w:r>
      <w:proofErr w:type="spellStart"/>
      <w:r w:rsidRPr="00A84A65">
        <w:rPr>
          <w:rFonts w:ascii="Arial" w:hAnsi="Arial" w:cs="Arial"/>
        </w:rPr>
        <w:t>Heppelmann</w:t>
      </w:r>
      <w:proofErr w:type="spellEnd"/>
      <w:r w:rsidRPr="00A84A65">
        <w:rPr>
          <w:rFonts w:ascii="Arial" w:hAnsi="Arial" w:cs="Arial"/>
        </w:rPr>
        <w:t xml:space="preserve"> (2014) argue that reliance on external platforms can constrain long-term competitive advantage by reducing organisational control over customer insight and experience design.</w:t>
      </w:r>
    </w:p>
    <w:p w14:paraId="41CC521C" w14:textId="77777777" w:rsidR="00A84A65" w:rsidRPr="00A84A65" w:rsidRDefault="00A84A65" w:rsidP="006E6442">
      <w:pPr>
        <w:spacing w:line="360" w:lineRule="auto"/>
        <w:jc w:val="both"/>
        <w:rPr>
          <w:rFonts w:ascii="Arial" w:hAnsi="Arial" w:cs="Arial"/>
        </w:rPr>
      </w:pPr>
      <w:r w:rsidRPr="00A84A65">
        <w:rPr>
          <w:rFonts w:ascii="Arial" w:hAnsi="Arial" w:cs="Arial"/>
        </w:rPr>
        <w:t>Compared with these alternatives, the Smart Value Journey represents a more strategically coherent approach. Rather than investing in high-cost infrastructure or surrendering control to external platforms, the initiative focuses on integrating existing assets to improve journey orchestration and behavioural engagement. Innovation research emphasises that the effectiveness of transformation depends not on technological sophistication but on alignment with organisational capabilities and customer expectations (</w:t>
      </w:r>
      <w:proofErr w:type="spellStart"/>
      <w:r w:rsidRPr="00A84A65">
        <w:rPr>
          <w:rFonts w:ascii="Arial" w:hAnsi="Arial" w:cs="Arial"/>
        </w:rPr>
        <w:t>Nagji</w:t>
      </w:r>
      <w:proofErr w:type="spellEnd"/>
      <w:r w:rsidRPr="00A84A65">
        <w:rPr>
          <w:rFonts w:ascii="Arial" w:hAnsi="Arial" w:cs="Arial"/>
        </w:rPr>
        <w:t xml:space="preserve"> and Tuff, 2012).</w:t>
      </w:r>
    </w:p>
    <w:p w14:paraId="281A08A1" w14:textId="0A553851" w:rsidR="009E59D7" w:rsidRPr="00154ECD" w:rsidRDefault="00A84A65" w:rsidP="006E6442">
      <w:pPr>
        <w:spacing w:line="360" w:lineRule="auto"/>
        <w:jc w:val="both"/>
        <w:rPr>
          <w:rFonts w:ascii="Arial" w:hAnsi="Arial" w:cs="Arial"/>
        </w:rPr>
      </w:pPr>
      <w:r w:rsidRPr="00A84A65">
        <w:rPr>
          <w:rFonts w:ascii="Arial" w:hAnsi="Arial" w:cs="Arial"/>
        </w:rPr>
        <w:t>The Smart Value Journey can therefore be understood as a focused transformation, delivering strategic impact through experience integration rather than large-scale technological disruption. This approach reduces implementation risk while enabling the organisation to build digital capability progressively through pilot testing and iterative learning (Tidd and Bessant, 2020).</w:t>
      </w:r>
    </w:p>
    <w:p w14:paraId="613DDC42" w14:textId="22A8DA72" w:rsidR="0089679D" w:rsidRDefault="0089679D" w:rsidP="006E6442">
      <w:pPr>
        <w:pStyle w:val="Heading3"/>
        <w:numPr>
          <w:ilvl w:val="0"/>
          <w:numId w:val="8"/>
        </w:numPr>
        <w:rPr>
          <w:rFonts w:ascii="Arial" w:hAnsi="Arial" w:cs="Arial"/>
        </w:rPr>
      </w:pPr>
      <w:r w:rsidRPr="006E6442">
        <w:rPr>
          <w:rFonts w:ascii="Arial" w:hAnsi="Arial" w:cs="Arial"/>
        </w:rPr>
        <w:t>Conclusion</w:t>
      </w:r>
    </w:p>
    <w:p w14:paraId="55EA9026" w14:textId="77777777" w:rsidR="006E6442" w:rsidRPr="006E6442" w:rsidRDefault="006E6442" w:rsidP="006E6442">
      <w:pPr>
        <w:pStyle w:val="ListParagraph"/>
      </w:pPr>
    </w:p>
    <w:p w14:paraId="1D37C1B8" w14:textId="77777777" w:rsidR="0089679D" w:rsidRPr="00154ECD" w:rsidRDefault="0089679D" w:rsidP="006E6442">
      <w:pPr>
        <w:spacing w:line="360" w:lineRule="auto"/>
        <w:jc w:val="both"/>
        <w:rPr>
          <w:rFonts w:ascii="Arial" w:hAnsi="Arial" w:cs="Arial"/>
        </w:rPr>
      </w:pPr>
      <w:r w:rsidRPr="00154ECD">
        <w:rPr>
          <w:rFonts w:ascii="Arial" w:hAnsi="Arial" w:cs="Arial"/>
        </w:rPr>
        <w:t>This report critically evaluated Greggs’ innovation approach within the context of a UK food-to-go market shaped by economic pressure, changing consumer behaviour and increasing digital competition. Using the Innovation Ambition Matrix and customer journey analysis, the assessment examined how the organisation currently innovates and identified capability gaps that may constrain future performance.</w:t>
      </w:r>
    </w:p>
    <w:p w14:paraId="7F0F7F57" w14:textId="77777777" w:rsidR="0089679D" w:rsidRPr="00154ECD" w:rsidRDefault="0089679D" w:rsidP="006E6442">
      <w:pPr>
        <w:spacing w:line="360" w:lineRule="auto"/>
        <w:jc w:val="both"/>
        <w:rPr>
          <w:rFonts w:ascii="Arial" w:hAnsi="Arial" w:cs="Arial"/>
        </w:rPr>
      </w:pPr>
      <w:r w:rsidRPr="00154ECD">
        <w:rPr>
          <w:rFonts w:ascii="Arial" w:hAnsi="Arial" w:cs="Arial"/>
        </w:rPr>
        <w:t>The analysis showed that Greggs has developed strong operational capability supported by a sustained focus on core innovation. Incremental improvements to products, store operations and channel access have enabled the organisation to deliver consistent value at scale. This emphasis aligns with its high-volume, low-margin business model and has supported continued growth. However, the Innovation Ambition Matrix highlighted a structural imbalance within the portfolio, with limited investment in transformational innovation. While this approach reduces operational risk in the short term, it may constrain the development of capabilities required to compete in an increasingly digital and experience-led market.</w:t>
      </w:r>
    </w:p>
    <w:p w14:paraId="10952219" w14:textId="77777777" w:rsidR="0089679D" w:rsidRPr="00154ECD" w:rsidRDefault="0089679D" w:rsidP="006E6442">
      <w:pPr>
        <w:spacing w:line="360" w:lineRule="auto"/>
        <w:jc w:val="both"/>
        <w:rPr>
          <w:rFonts w:ascii="Arial" w:hAnsi="Arial" w:cs="Arial"/>
        </w:rPr>
      </w:pPr>
      <w:r w:rsidRPr="00154ECD">
        <w:rPr>
          <w:rFonts w:ascii="Arial" w:hAnsi="Arial" w:cs="Arial"/>
        </w:rPr>
        <w:t>Customer journey mapping provided further insight into the implications of this imbalance. Although the current experience is efficient and familiar, it remains largely transactional and offers limited behavioural engagement beyond the point of purchase. Three strategic risks were identified: peak-time congestion that undermines perceived convenience, generic loyalty mechanisms that provide weak behavioural reinforcement, and minimal post-purchase interaction that fails to support habit formation. In a market where competitors increasingly use data to influence customer frequency and timing, these limitations reduce Greggs’ ability to manage demand, strengthen retention and maximise customer lifetime value.</w:t>
      </w:r>
    </w:p>
    <w:p w14:paraId="4449C55D" w14:textId="77777777" w:rsidR="0089679D" w:rsidRPr="00154ECD" w:rsidRDefault="0089679D" w:rsidP="006E6442">
      <w:pPr>
        <w:spacing w:line="360" w:lineRule="auto"/>
        <w:jc w:val="both"/>
        <w:rPr>
          <w:rFonts w:ascii="Arial" w:hAnsi="Arial" w:cs="Arial"/>
        </w:rPr>
      </w:pPr>
      <w:r w:rsidRPr="00154ECD">
        <w:rPr>
          <w:rFonts w:ascii="Arial" w:hAnsi="Arial" w:cs="Arial"/>
        </w:rPr>
        <w:t>Part 2 addressed this capability gap through the proposed Smart Value Journey ecosystem. Rather than introducing complex infrastructure or disruptive automation, the initiative focuses on transformational innovation through experience orchestration. By integrating contextual loyalty, demand-smoothing nudges, predictive ordering and post-purchase engagement, the solution enhances customer relevance while supporting operational efficiency and capacity utilisation. Importantly, the proposal aligns with Greggs’ strategic constraints by prioritising operational feasibility, transparent value and privacy-by-design governance.</w:t>
      </w:r>
    </w:p>
    <w:p w14:paraId="5D256809" w14:textId="77777777" w:rsidR="0089679D" w:rsidRPr="00154ECD" w:rsidRDefault="0089679D" w:rsidP="006E6442">
      <w:pPr>
        <w:spacing w:line="360" w:lineRule="auto"/>
        <w:jc w:val="both"/>
        <w:rPr>
          <w:rFonts w:ascii="Arial" w:hAnsi="Arial" w:cs="Arial"/>
        </w:rPr>
      </w:pPr>
      <w:r w:rsidRPr="00154ECD">
        <w:rPr>
          <w:rFonts w:ascii="Arial" w:hAnsi="Arial" w:cs="Arial"/>
        </w:rPr>
        <w:t>The analysis also demonstrated that transformational innovation for a value-oriented retailer does not require radical technological change. Instead, competitive advantage can be achieved by reconfiguring existing assets to influence customer behaviour and reduce friction across the journey. Supported by a phased pilot approach and a clear measurement framework, the Smart Value Journey represents a feasible pathway to improving retention, increasing visit frequency and strengthening long-term profitability.</w:t>
      </w:r>
    </w:p>
    <w:p w14:paraId="7F1506A5" w14:textId="77777777" w:rsidR="0089679D" w:rsidRDefault="0089679D" w:rsidP="006E6442">
      <w:pPr>
        <w:spacing w:line="360" w:lineRule="auto"/>
        <w:jc w:val="both"/>
        <w:rPr>
          <w:rFonts w:ascii="Arial" w:hAnsi="Arial" w:cs="Arial"/>
        </w:rPr>
      </w:pPr>
      <w:r w:rsidRPr="00154ECD">
        <w:rPr>
          <w:rFonts w:ascii="Arial" w:hAnsi="Arial" w:cs="Arial"/>
        </w:rPr>
        <w:t>Overall, the findings suggest that Greggs’ future success will depend on its ability to complement operational excellence with a coherent digital capability that actively manages customer relationships. As competition shifts towards data-enabled experience management, organisations that combine efficiency with behavioural insight will be better positioned to sustain advantage. By adopting a targeted and capability-aligned approach to transformational innovation, Greggs can strengthen its value proposition while building the dynamic capabilities required to compete in an evolving food-to-go market.</w:t>
      </w:r>
    </w:p>
    <w:p w14:paraId="617706AF" w14:textId="4805ED37" w:rsidR="00BC297F" w:rsidRDefault="00BC297F" w:rsidP="006E6442">
      <w:pPr>
        <w:spacing w:line="360" w:lineRule="auto"/>
        <w:jc w:val="both"/>
        <w:rPr>
          <w:rFonts w:ascii="Arial" w:hAnsi="Arial" w:cs="Arial"/>
        </w:rPr>
      </w:pPr>
      <w:r w:rsidRPr="00BC297F">
        <w:rPr>
          <w:rFonts w:ascii="Arial" w:hAnsi="Arial" w:cs="Arial"/>
        </w:rPr>
        <w:t>Future research could evaluate the initiative through longitudinal pilot data to assess behavioural change and long-term customer lifetime value.</w:t>
      </w:r>
    </w:p>
    <w:p w14:paraId="2879948B" w14:textId="329B4F26" w:rsidR="006E6442" w:rsidRDefault="007847FD" w:rsidP="007847FD">
      <w:pPr>
        <w:spacing w:line="360" w:lineRule="auto"/>
        <w:jc w:val="both"/>
        <w:rPr>
          <w:rFonts w:ascii="Arial" w:hAnsi="Arial" w:cs="Arial"/>
        </w:rPr>
      </w:pPr>
      <w:r w:rsidRPr="007847FD">
        <w:rPr>
          <w:rFonts w:ascii="Arial" w:hAnsi="Arial" w:cs="Arial"/>
        </w:rPr>
        <w:t>As competition in the food-to-go sector becomes increasingly data-driven, Greggs’ long-term competitiveness will depend not only on operational efficiency but on its ability to use digital capability to actively shape customer behaviour and demand patterns.</w:t>
      </w:r>
    </w:p>
    <w:p w14:paraId="0380E2E4" w14:textId="77777777" w:rsidR="007847FD" w:rsidRDefault="007847FD" w:rsidP="007847FD">
      <w:pPr>
        <w:spacing w:line="360" w:lineRule="auto"/>
        <w:jc w:val="both"/>
        <w:rPr>
          <w:rFonts w:ascii="Arial" w:hAnsi="Arial" w:cs="Arial"/>
        </w:rPr>
      </w:pPr>
    </w:p>
    <w:p w14:paraId="3ADB1D5B" w14:textId="77777777" w:rsidR="009903F4" w:rsidRDefault="009903F4" w:rsidP="007847FD">
      <w:pPr>
        <w:spacing w:line="360" w:lineRule="auto"/>
        <w:jc w:val="both"/>
        <w:rPr>
          <w:rFonts w:ascii="Arial" w:hAnsi="Arial" w:cs="Arial"/>
        </w:rPr>
      </w:pPr>
    </w:p>
    <w:p w14:paraId="7D253731" w14:textId="77777777" w:rsidR="009903F4" w:rsidRDefault="009903F4" w:rsidP="007847FD">
      <w:pPr>
        <w:spacing w:line="360" w:lineRule="auto"/>
        <w:jc w:val="both"/>
        <w:rPr>
          <w:rFonts w:ascii="Arial" w:hAnsi="Arial" w:cs="Arial"/>
        </w:rPr>
      </w:pPr>
    </w:p>
    <w:p w14:paraId="3B9EF2AD" w14:textId="77777777" w:rsidR="009903F4" w:rsidRDefault="009903F4" w:rsidP="007847FD">
      <w:pPr>
        <w:spacing w:line="360" w:lineRule="auto"/>
        <w:jc w:val="both"/>
        <w:rPr>
          <w:rFonts w:ascii="Arial" w:hAnsi="Arial" w:cs="Arial"/>
        </w:rPr>
      </w:pPr>
    </w:p>
    <w:p w14:paraId="6FDAC453" w14:textId="77777777" w:rsidR="009903F4" w:rsidRDefault="009903F4" w:rsidP="007847FD">
      <w:pPr>
        <w:spacing w:line="360" w:lineRule="auto"/>
        <w:jc w:val="both"/>
        <w:rPr>
          <w:rFonts w:ascii="Arial" w:hAnsi="Arial" w:cs="Arial"/>
        </w:rPr>
      </w:pPr>
    </w:p>
    <w:p w14:paraId="47179AC8" w14:textId="77777777" w:rsidR="009903F4" w:rsidRDefault="009903F4" w:rsidP="007847FD">
      <w:pPr>
        <w:spacing w:line="360" w:lineRule="auto"/>
        <w:jc w:val="both"/>
        <w:rPr>
          <w:rFonts w:ascii="Arial" w:hAnsi="Arial" w:cs="Arial"/>
        </w:rPr>
      </w:pPr>
    </w:p>
    <w:p w14:paraId="768D4AE7" w14:textId="77777777" w:rsidR="009903F4" w:rsidRDefault="009903F4" w:rsidP="007847FD">
      <w:pPr>
        <w:spacing w:line="360" w:lineRule="auto"/>
        <w:jc w:val="both"/>
        <w:rPr>
          <w:rFonts w:ascii="Arial" w:hAnsi="Arial" w:cs="Arial"/>
        </w:rPr>
      </w:pPr>
    </w:p>
    <w:p w14:paraId="284EAC68" w14:textId="77777777" w:rsidR="009903F4" w:rsidRDefault="009903F4" w:rsidP="007847FD">
      <w:pPr>
        <w:spacing w:line="360" w:lineRule="auto"/>
        <w:jc w:val="both"/>
        <w:rPr>
          <w:rFonts w:ascii="Arial" w:hAnsi="Arial" w:cs="Arial"/>
        </w:rPr>
      </w:pPr>
    </w:p>
    <w:p w14:paraId="38080EB9" w14:textId="77777777" w:rsidR="009903F4" w:rsidRDefault="009903F4" w:rsidP="007847FD">
      <w:pPr>
        <w:spacing w:line="360" w:lineRule="auto"/>
        <w:jc w:val="both"/>
        <w:rPr>
          <w:rFonts w:ascii="Arial" w:hAnsi="Arial" w:cs="Arial"/>
        </w:rPr>
      </w:pPr>
    </w:p>
    <w:p w14:paraId="61F37B45" w14:textId="77777777" w:rsidR="009903F4" w:rsidRDefault="009903F4" w:rsidP="007847FD">
      <w:pPr>
        <w:spacing w:line="360" w:lineRule="auto"/>
        <w:jc w:val="both"/>
        <w:rPr>
          <w:rFonts w:ascii="Arial" w:hAnsi="Arial" w:cs="Arial"/>
        </w:rPr>
      </w:pPr>
    </w:p>
    <w:p w14:paraId="55D5B500" w14:textId="77777777" w:rsidR="009903F4" w:rsidRDefault="009903F4" w:rsidP="007847FD">
      <w:pPr>
        <w:spacing w:line="360" w:lineRule="auto"/>
        <w:jc w:val="both"/>
        <w:rPr>
          <w:rFonts w:ascii="Arial" w:hAnsi="Arial" w:cs="Arial"/>
        </w:rPr>
      </w:pPr>
    </w:p>
    <w:p w14:paraId="0E31F381" w14:textId="77777777" w:rsidR="009903F4" w:rsidRDefault="009903F4" w:rsidP="007847FD">
      <w:pPr>
        <w:spacing w:line="360" w:lineRule="auto"/>
        <w:jc w:val="both"/>
        <w:rPr>
          <w:rFonts w:ascii="Arial" w:hAnsi="Arial" w:cs="Arial"/>
        </w:rPr>
      </w:pPr>
    </w:p>
    <w:p w14:paraId="53A3BB67" w14:textId="77777777" w:rsidR="009903F4" w:rsidRDefault="009903F4" w:rsidP="007847FD">
      <w:pPr>
        <w:spacing w:line="360" w:lineRule="auto"/>
        <w:jc w:val="both"/>
        <w:rPr>
          <w:rFonts w:ascii="Arial" w:hAnsi="Arial" w:cs="Arial"/>
        </w:rPr>
      </w:pPr>
    </w:p>
    <w:p w14:paraId="5E1BE838" w14:textId="77777777" w:rsidR="008042EA" w:rsidRDefault="008042EA" w:rsidP="007847FD">
      <w:pPr>
        <w:spacing w:line="360" w:lineRule="auto"/>
        <w:jc w:val="both"/>
        <w:rPr>
          <w:rFonts w:ascii="Arial" w:hAnsi="Arial" w:cs="Arial"/>
        </w:rPr>
      </w:pPr>
    </w:p>
    <w:p w14:paraId="1D41BA7C" w14:textId="2A96AB8B" w:rsidR="0065438E" w:rsidRDefault="0065438E" w:rsidP="0069470B">
      <w:pPr>
        <w:pStyle w:val="Heading3"/>
        <w:numPr>
          <w:ilvl w:val="0"/>
          <w:numId w:val="8"/>
        </w:numPr>
        <w:rPr>
          <w:rFonts w:ascii="Arial" w:hAnsi="Arial" w:cs="Arial"/>
        </w:rPr>
      </w:pPr>
      <w:r w:rsidRPr="0069470B">
        <w:rPr>
          <w:rFonts w:ascii="Arial" w:hAnsi="Arial" w:cs="Arial"/>
        </w:rPr>
        <w:t>Reference List</w:t>
      </w:r>
    </w:p>
    <w:p w14:paraId="7CFDAB04" w14:textId="77777777" w:rsidR="0069470B" w:rsidRPr="0069470B" w:rsidRDefault="0069470B" w:rsidP="0069470B">
      <w:pPr>
        <w:pStyle w:val="ListParagraph"/>
      </w:pPr>
    </w:p>
    <w:p w14:paraId="63E9E118" w14:textId="77777777" w:rsidR="00C91D12" w:rsidRPr="00C91D12" w:rsidRDefault="00C91D12" w:rsidP="00C91D12">
      <w:pPr>
        <w:spacing w:line="360" w:lineRule="auto"/>
        <w:rPr>
          <w:rFonts w:ascii="Arial" w:hAnsi="Arial" w:cs="Arial"/>
        </w:rPr>
      </w:pPr>
      <w:r w:rsidRPr="00C91D12">
        <w:rPr>
          <w:rFonts w:ascii="Arial" w:hAnsi="Arial" w:cs="Arial"/>
        </w:rPr>
        <w:t xml:space="preserve">Chaffey, D. and Ellis-Chadwick, F. (2022) </w:t>
      </w:r>
      <w:r w:rsidRPr="00C91D12">
        <w:rPr>
          <w:rFonts w:ascii="Arial" w:hAnsi="Arial" w:cs="Arial"/>
          <w:i/>
          <w:iCs/>
        </w:rPr>
        <w:t>Digital marketing: strategy, implementation and practice</w:t>
      </w:r>
      <w:r w:rsidRPr="00C91D12">
        <w:rPr>
          <w:rFonts w:ascii="Arial" w:hAnsi="Arial" w:cs="Arial"/>
        </w:rPr>
        <w:t xml:space="preserve">. 8th </w:t>
      </w:r>
      <w:proofErr w:type="spellStart"/>
      <w:r w:rsidRPr="00C91D12">
        <w:rPr>
          <w:rFonts w:ascii="Arial" w:hAnsi="Arial" w:cs="Arial"/>
        </w:rPr>
        <w:t>edn</w:t>
      </w:r>
      <w:proofErr w:type="spellEnd"/>
      <w:r w:rsidRPr="00C91D12">
        <w:rPr>
          <w:rFonts w:ascii="Arial" w:hAnsi="Arial" w:cs="Arial"/>
        </w:rPr>
        <w:t>. Harlow: Pearson.</w:t>
      </w:r>
    </w:p>
    <w:p w14:paraId="1E6D3A0D" w14:textId="77777777" w:rsidR="00C91D12" w:rsidRPr="00C91D12" w:rsidRDefault="00C91D12" w:rsidP="00C91D12">
      <w:pPr>
        <w:spacing w:line="360" w:lineRule="auto"/>
        <w:rPr>
          <w:rFonts w:ascii="Arial" w:hAnsi="Arial" w:cs="Arial"/>
        </w:rPr>
      </w:pPr>
      <w:r w:rsidRPr="00C91D12">
        <w:rPr>
          <w:rFonts w:ascii="Arial" w:hAnsi="Arial" w:cs="Arial"/>
        </w:rPr>
        <w:t xml:space="preserve">Greggs plc (2024) </w:t>
      </w:r>
      <w:r w:rsidRPr="00C91D12">
        <w:rPr>
          <w:rFonts w:ascii="Arial" w:hAnsi="Arial" w:cs="Arial"/>
          <w:i/>
          <w:iCs/>
        </w:rPr>
        <w:t>Annual Report and Accounts 2024</w:t>
      </w:r>
      <w:r w:rsidRPr="00C91D12">
        <w:rPr>
          <w:rFonts w:ascii="Arial" w:hAnsi="Arial" w:cs="Arial"/>
        </w:rPr>
        <w:t xml:space="preserve">. Available at: </w:t>
      </w:r>
      <w:hyperlink r:id="rId9" w:tgtFrame="_new" w:history="1">
        <w:r w:rsidRPr="00C91D12">
          <w:rPr>
            <w:rStyle w:val="Hyperlink"/>
            <w:rFonts w:ascii="Arial" w:hAnsi="Arial" w:cs="Arial"/>
          </w:rPr>
          <w:t>https://www.greggs.co.uk/investors/reports</w:t>
        </w:r>
      </w:hyperlink>
      <w:r w:rsidRPr="00C91D12">
        <w:rPr>
          <w:rFonts w:ascii="Arial" w:hAnsi="Arial" w:cs="Arial"/>
        </w:rPr>
        <w:t xml:space="preserve"> (Accessed: 30 January 2026).</w:t>
      </w:r>
    </w:p>
    <w:p w14:paraId="5F58C084" w14:textId="77777777" w:rsidR="00C91D12" w:rsidRPr="00C91D12" w:rsidRDefault="00C91D12" w:rsidP="00C91D12">
      <w:pPr>
        <w:spacing w:line="360" w:lineRule="auto"/>
        <w:rPr>
          <w:rFonts w:ascii="Arial" w:hAnsi="Arial" w:cs="Arial"/>
        </w:rPr>
      </w:pPr>
      <w:r w:rsidRPr="00C91D12">
        <w:rPr>
          <w:rFonts w:ascii="Arial" w:hAnsi="Arial" w:cs="Arial"/>
        </w:rPr>
        <w:t xml:space="preserve">IGD (2023) </w:t>
      </w:r>
      <w:r w:rsidRPr="00C91D12">
        <w:rPr>
          <w:rFonts w:ascii="Arial" w:hAnsi="Arial" w:cs="Arial"/>
          <w:i/>
          <w:iCs/>
        </w:rPr>
        <w:t>UK food-to-go market forecast 2023–2028</w:t>
      </w:r>
      <w:r w:rsidRPr="00C91D12">
        <w:rPr>
          <w:rFonts w:ascii="Arial" w:hAnsi="Arial" w:cs="Arial"/>
        </w:rPr>
        <w:t xml:space="preserve">. Available at: </w:t>
      </w:r>
      <w:hyperlink r:id="rId10" w:tgtFrame="_new" w:history="1">
        <w:r w:rsidRPr="00C91D12">
          <w:rPr>
            <w:rStyle w:val="Hyperlink"/>
            <w:rFonts w:ascii="Arial" w:hAnsi="Arial" w:cs="Arial"/>
          </w:rPr>
          <w:t>https://www.igd.com</w:t>
        </w:r>
      </w:hyperlink>
      <w:r w:rsidRPr="00C91D12">
        <w:rPr>
          <w:rFonts w:ascii="Arial" w:hAnsi="Arial" w:cs="Arial"/>
        </w:rPr>
        <w:t xml:space="preserve"> (Accessed: 30 January 2026).</w:t>
      </w:r>
    </w:p>
    <w:p w14:paraId="6ADE5FD7" w14:textId="77777777" w:rsidR="00C91D12" w:rsidRPr="00C91D12" w:rsidRDefault="00C91D12" w:rsidP="00C91D12">
      <w:pPr>
        <w:spacing w:line="360" w:lineRule="auto"/>
        <w:rPr>
          <w:rFonts w:ascii="Arial" w:hAnsi="Arial" w:cs="Arial"/>
        </w:rPr>
      </w:pPr>
      <w:r w:rsidRPr="00C91D12">
        <w:rPr>
          <w:rFonts w:ascii="Arial" w:hAnsi="Arial" w:cs="Arial"/>
        </w:rPr>
        <w:t xml:space="preserve">Information Commissioner’s Office (ICO) (2023) </w:t>
      </w:r>
      <w:r w:rsidRPr="00C91D12">
        <w:rPr>
          <w:rFonts w:ascii="Arial" w:hAnsi="Arial" w:cs="Arial"/>
          <w:i/>
          <w:iCs/>
        </w:rPr>
        <w:t>Data protection by design and default</w:t>
      </w:r>
      <w:r w:rsidRPr="00C91D12">
        <w:rPr>
          <w:rFonts w:ascii="Arial" w:hAnsi="Arial" w:cs="Arial"/>
        </w:rPr>
        <w:t xml:space="preserve">. Available at: </w:t>
      </w:r>
      <w:hyperlink r:id="rId11" w:tgtFrame="_new" w:history="1">
        <w:r w:rsidRPr="00C91D12">
          <w:rPr>
            <w:rStyle w:val="Hyperlink"/>
            <w:rFonts w:ascii="Arial" w:hAnsi="Arial" w:cs="Arial"/>
          </w:rPr>
          <w:t>https://ico.org.uk</w:t>
        </w:r>
      </w:hyperlink>
      <w:r w:rsidRPr="00C91D12">
        <w:rPr>
          <w:rFonts w:ascii="Arial" w:hAnsi="Arial" w:cs="Arial"/>
        </w:rPr>
        <w:t xml:space="preserve"> (Accessed: 30 January 2026).</w:t>
      </w:r>
    </w:p>
    <w:p w14:paraId="700FBDC7" w14:textId="77777777" w:rsidR="00C91D12" w:rsidRPr="00C91D12" w:rsidRDefault="00C91D12" w:rsidP="00C91D12">
      <w:pPr>
        <w:spacing w:line="360" w:lineRule="auto"/>
        <w:rPr>
          <w:rFonts w:ascii="Arial" w:hAnsi="Arial" w:cs="Arial"/>
        </w:rPr>
      </w:pPr>
      <w:r w:rsidRPr="00C91D12">
        <w:rPr>
          <w:rFonts w:ascii="Arial" w:hAnsi="Arial" w:cs="Arial"/>
        </w:rPr>
        <w:t xml:space="preserve">Lemon, K.N. and Verhoef, P.C. (2016) ‘Understanding customer experience throughout the customer journey’, </w:t>
      </w:r>
      <w:r w:rsidRPr="00C91D12">
        <w:rPr>
          <w:rFonts w:ascii="Arial" w:hAnsi="Arial" w:cs="Arial"/>
          <w:i/>
          <w:iCs/>
        </w:rPr>
        <w:t>Journal of Marketing</w:t>
      </w:r>
      <w:r w:rsidRPr="00C91D12">
        <w:rPr>
          <w:rFonts w:ascii="Arial" w:hAnsi="Arial" w:cs="Arial"/>
        </w:rPr>
        <w:t>, 80(6), pp. 69–96. doi:10.1509/jm.15.0420.</w:t>
      </w:r>
    </w:p>
    <w:p w14:paraId="26F0731B" w14:textId="77777777" w:rsidR="00C91D12" w:rsidRPr="00C91D12" w:rsidRDefault="00C91D12" w:rsidP="00C91D12">
      <w:pPr>
        <w:spacing w:line="360" w:lineRule="auto"/>
        <w:rPr>
          <w:rFonts w:ascii="Arial" w:hAnsi="Arial" w:cs="Arial"/>
        </w:rPr>
      </w:pPr>
      <w:r w:rsidRPr="00C91D12">
        <w:rPr>
          <w:rFonts w:ascii="Arial" w:hAnsi="Arial" w:cs="Arial"/>
        </w:rPr>
        <w:t xml:space="preserve">Lundin, L., </w:t>
      </w:r>
      <w:proofErr w:type="spellStart"/>
      <w:r w:rsidRPr="00C91D12">
        <w:rPr>
          <w:rFonts w:ascii="Arial" w:hAnsi="Arial" w:cs="Arial"/>
        </w:rPr>
        <w:t>Kindström</w:t>
      </w:r>
      <w:proofErr w:type="spellEnd"/>
      <w:r w:rsidRPr="00C91D12">
        <w:rPr>
          <w:rFonts w:ascii="Arial" w:hAnsi="Arial" w:cs="Arial"/>
        </w:rPr>
        <w:t xml:space="preserve">, D. and Kowalkowski, C. (2023) ‘Digitalizing customer journeys: value creation and orchestration’, </w:t>
      </w:r>
      <w:r w:rsidRPr="00C91D12">
        <w:rPr>
          <w:rFonts w:ascii="Arial" w:hAnsi="Arial" w:cs="Arial"/>
          <w:i/>
          <w:iCs/>
        </w:rPr>
        <w:t>Journal of Business Research</w:t>
      </w:r>
      <w:r w:rsidRPr="00C91D12">
        <w:rPr>
          <w:rFonts w:ascii="Arial" w:hAnsi="Arial" w:cs="Arial"/>
        </w:rPr>
        <w:t>, 157, 113591. doi:10.1016/j.jbusres.2022.113591.</w:t>
      </w:r>
    </w:p>
    <w:p w14:paraId="717C975E" w14:textId="77777777" w:rsidR="00C91D12" w:rsidRPr="00C91D12" w:rsidRDefault="00C91D12" w:rsidP="00C91D12">
      <w:pPr>
        <w:spacing w:line="360" w:lineRule="auto"/>
        <w:rPr>
          <w:rFonts w:ascii="Arial" w:hAnsi="Arial" w:cs="Arial"/>
        </w:rPr>
      </w:pPr>
      <w:r w:rsidRPr="00C91D12">
        <w:rPr>
          <w:rFonts w:ascii="Arial" w:hAnsi="Arial" w:cs="Arial"/>
        </w:rPr>
        <w:t xml:space="preserve">Micheli, P., Wilner, S.J.S., Bhatti, S.H., Mura, M. and </w:t>
      </w:r>
      <w:proofErr w:type="spellStart"/>
      <w:r w:rsidRPr="00C91D12">
        <w:rPr>
          <w:rFonts w:ascii="Arial" w:hAnsi="Arial" w:cs="Arial"/>
        </w:rPr>
        <w:t>Beverland</w:t>
      </w:r>
      <w:proofErr w:type="spellEnd"/>
      <w:r w:rsidRPr="00C91D12">
        <w:rPr>
          <w:rFonts w:ascii="Arial" w:hAnsi="Arial" w:cs="Arial"/>
        </w:rPr>
        <w:t xml:space="preserve">, M.B. (2019) ‘Doing design thinking: conceptual review, synthesis, and research agenda’, </w:t>
      </w:r>
      <w:r w:rsidRPr="00C91D12">
        <w:rPr>
          <w:rFonts w:ascii="Arial" w:hAnsi="Arial" w:cs="Arial"/>
          <w:i/>
          <w:iCs/>
        </w:rPr>
        <w:t>Journal of Product Innovation Management</w:t>
      </w:r>
      <w:r w:rsidRPr="00C91D12">
        <w:rPr>
          <w:rFonts w:ascii="Arial" w:hAnsi="Arial" w:cs="Arial"/>
        </w:rPr>
        <w:t>, 36(2), pp. 124–148. doi:10.1111/jpim.12466.</w:t>
      </w:r>
    </w:p>
    <w:p w14:paraId="53C7D2B4" w14:textId="77777777" w:rsidR="00C91D12" w:rsidRPr="00C91D12" w:rsidRDefault="00C91D12" w:rsidP="00C91D12">
      <w:pPr>
        <w:spacing w:line="360" w:lineRule="auto"/>
        <w:rPr>
          <w:rFonts w:ascii="Arial" w:hAnsi="Arial" w:cs="Arial"/>
        </w:rPr>
      </w:pPr>
      <w:proofErr w:type="spellStart"/>
      <w:r w:rsidRPr="00C91D12">
        <w:rPr>
          <w:rFonts w:ascii="Arial" w:hAnsi="Arial" w:cs="Arial"/>
        </w:rPr>
        <w:t>Nagji</w:t>
      </w:r>
      <w:proofErr w:type="spellEnd"/>
      <w:r w:rsidRPr="00C91D12">
        <w:rPr>
          <w:rFonts w:ascii="Arial" w:hAnsi="Arial" w:cs="Arial"/>
        </w:rPr>
        <w:t xml:space="preserve">, B. and Tuff, G. (2012) ‘Managing your innovation portfolio’, </w:t>
      </w:r>
      <w:r w:rsidRPr="00C91D12">
        <w:rPr>
          <w:rFonts w:ascii="Arial" w:hAnsi="Arial" w:cs="Arial"/>
          <w:i/>
          <w:iCs/>
        </w:rPr>
        <w:t>Harvard Business Review</w:t>
      </w:r>
      <w:r w:rsidRPr="00C91D12">
        <w:rPr>
          <w:rFonts w:ascii="Arial" w:hAnsi="Arial" w:cs="Arial"/>
        </w:rPr>
        <w:t>, 90(5), pp. 66–74.</w:t>
      </w:r>
    </w:p>
    <w:p w14:paraId="33EB306A" w14:textId="77777777" w:rsidR="00C91D12" w:rsidRPr="00C91D12" w:rsidRDefault="00C91D12" w:rsidP="00C91D12">
      <w:pPr>
        <w:spacing w:line="360" w:lineRule="auto"/>
        <w:rPr>
          <w:rFonts w:ascii="Arial" w:hAnsi="Arial" w:cs="Arial"/>
        </w:rPr>
      </w:pPr>
      <w:r w:rsidRPr="00C91D12">
        <w:rPr>
          <w:rFonts w:ascii="Arial" w:hAnsi="Arial" w:cs="Arial"/>
        </w:rPr>
        <w:t xml:space="preserve">Office for National Statistics (ONS) (2026) </w:t>
      </w:r>
      <w:r w:rsidRPr="00C91D12">
        <w:rPr>
          <w:rFonts w:ascii="Arial" w:hAnsi="Arial" w:cs="Arial"/>
          <w:i/>
          <w:iCs/>
        </w:rPr>
        <w:t>Consumer price inflation, UK: December 2025</w:t>
      </w:r>
      <w:r w:rsidRPr="00C91D12">
        <w:rPr>
          <w:rFonts w:ascii="Arial" w:hAnsi="Arial" w:cs="Arial"/>
        </w:rPr>
        <w:t xml:space="preserve">. Available at: </w:t>
      </w:r>
      <w:hyperlink r:id="rId12" w:tgtFrame="_new" w:history="1">
        <w:r w:rsidRPr="00C91D12">
          <w:rPr>
            <w:rStyle w:val="Hyperlink"/>
            <w:rFonts w:ascii="Arial" w:hAnsi="Arial" w:cs="Arial"/>
          </w:rPr>
          <w:t>https://www.ons.gov.uk</w:t>
        </w:r>
      </w:hyperlink>
      <w:r w:rsidRPr="00C91D12">
        <w:rPr>
          <w:rFonts w:ascii="Arial" w:hAnsi="Arial" w:cs="Arial"/>
        </w:rPr>
        <w:t xml:space="preserve"> (Accessed: 30 January 2026).</w:t>
      </w:r>
    </w:p>
    <w:p w14:paraId="60AD10FF" w14:textId="77777777" w:rsidR="00C91D12" w:rsidRPr="00C91D12" w:rsidRDefault="00C91D12" w:rsidP="00C91D12">
      <w:pPr>
        <w:spacing w:line="360" w:lineRule="auto"/>
        <w:rPr>
          <w:rFonts w:ascii="Arial" w:hAnsi="Arial" w:cs="Arial"/>
        </w:rPr>
      </w:pPr>
      <w:r w:rsidRPr="00C91D12">
        <w:rPr>
          <w:rFonts w:ascii="Arial" w:hAnsi="Arial" w:cs="Arial"/>
        </w:rPr>
        <w:t xml:space="preserve">Porter, M.E. and Heppelmann, J.E. (2014) ‘How smart, connected products are transforming competition’, </w:t>
      </w:r>
      <w:r w:rsidRPr="00C91D12">
        <w:rPr>
          <w:rFonts w:ascii="Arial" w:hAnsi="Arial" w:cs="Arial"/>
          <w:i/>
          <w:iCs/>
        </w:rPr>
        <w:t>Harvard Business Review</w:t>
      </w:r>
      <w:r w:rsidRPr="00C91D12">
        <w:rPr>
          <w:rFonts w:ascii="Arial" w:hAnsi="Arial" w:cs="Arial"/>
        </w:rPr>
        <w:t>, 92(11), pp. 64–88.</w:t>
      </w:r>
    </w:p>
    <w:p w14:paraId="6A71F335" w14:textId="77777777" w:rsidR="00C91D12" w:rsidRPr="00C91D12" w:rsidRDefault="00C91D12" w:rsidP="00C91D12">
      <w:pPr>
        <w:spacing w:line="360" w:lineRule="auto"/>
        <w:rPr>
          <w:rFonts w:ascii="Arial" w:hAnsi="Arial" w:cs="Arial"/>
        </w:rPr>
      </w:pPr>
      <w:r w:rsidRPr="00C91D12">
        <w:rPr>
          <w:rFonts w:ascii="Arial" w:hAnsi="Arial" w:cs="Arial"/>
        </w:rPr>
        <w:t xml:space="preserve">Reuters (2026) ‘UK shop prices rise at fastest pace in nearly two years’, 27 January. Available at: </w:t>
      </w:r>
      <w:hyperlink r:id="rId13" w:tgtFrame="_new" w:history="1">
        <w:r w:rsidRPr="00C91D12">
          <w:rPr>
            <w:rStyle w:val="Hyperlink"/>
            <w:rFonts w:ascii="Arial" w:hAnsi="Arial" w:cs="Arial"/>
          </w:rPr>
          <w:t>https://www.reuters.com</w:t>
        </w:r>
      </w:hyperlink>
      <w:r w:rsidRPr="00C91D12">
        <w:rPr>
          <w:rFonts w:ascii="Arial" w:hAnsi="Arial" w:cs="Arial"/>
        </w:rPr>
        <w:t xml:space="preserve"> (Accessed: 30 January 2026).</w:t>
      </w:r>
    </w:p>
    <w:p w14:paraId="308C19A9" w14:textId="77777777" w:rsidR="00C91D12" w:rsidRPr="00C91D12" w:rsidRDefault="00C91D12" w:rsidP="00C91D12">
      <w:pPr>
        <w:spacing w:line="360" w:lineRule="auto"/>
        <w:rPr>
          <w:rFonts w:ascii="Arial" w:hAnsi="Arial" w:cs="Arial"/>
        </w:rPr>
      </w:pPr>
      <w:r w:rsidRPr="00C91D12">
        <w:rPr>
          <w:rFonts w:ascii="Arial" w:hAnsi="Arial" w:cs="Arial"/>
        </w:rPr>
        <w:t xml:space="preserve">Teece, D.J. (2018) ‘Business models and dynamic capabilities’, </w:t>
      </w:r>
      <w:r w:rsidRPr="00C91D12">
        <w:rPr>
          <w:rFonts w:ascii="Arial" w:hAnsi="Arial" w:cs="Arial"/>
          <w:i/>
          <w:iCs/>
        </w:rPr>
        <w:t>Long Range Planning</w:t>
      </w:r>
      <w:r w:rsidRPr="00C91D12">
        <w:rPr>
          <w:rFonts w:ascii="Arial" w:hAnsi="Arial" w:cs="Arial"/>
        </w:rPr>
        <w:t>, 51(1), pp. 40–49. doi:10.1016/j.lrp.2017.06.007.</w:t>
      </w:r>
    </w:p>
    <w:p w14:paraId="09C14755" w14:textId="77777777" w:rsidR="00C91D12" w:rsidRPr="00C91D12" w:rsidRDefault="00C91D12" w:rsidP="00C91D12">
      <w:pPr>
        <w:spacing w:line="360" w:lineRule="auto"/>
        <w:rPr>
          <w:rFonts w:ascii="Arial" w:hAnsi="Arial" w:cs="Arial"/>
        </w:rPr>
      </w:pPr>
      <w:r w:rsidRPr="00C91D12">
        <w:rPr>
          <w:rFonts w:ascii="Arial" w:hAnsi="Arial" w:cs="Arial"/>
        </w:rPr>
        <w:t xml:space="preserve">Tidd, J. and Bessant, J. (2020) </w:t>
      </w:r>
      <w:r w:rsidRPr="00C91D12">
        <w:rPr>
          <w:rFonts w:ascii="Arial" w:hAnsi="Arial" w:cs="Arial"/>
          <w:i/>
          <w:iCs/>
        </w:rPr>
        <w:t>Managing innovation: integrating technological, market and organizational change</w:t>
      </w:r>
      <w:r w:rsidRPr="00C91D12">
        <w:rPr>
          <w:rFonts w:ascii="Arial" w:hAnsi="Arial" w:cs="Arial"/>
        </w:rPr>
        <w:t xml:space="preserve">. 7th </w:t>
      </w:r>
      <w:proofErr w:type="spellStart"/>
      <w:r w:rsidRPr="00C91D12">
        <w:rPr>
          <w:rFonts w:ascii="Arial" w:hAnsi="Arial" w:cs="Arial"/>
        </w:rPr>
        <w:t>edn</w:t>
      </w:r>
      <w:proofErr w:type="spellEnd"/>
      <w:r w:rsidRPr="00C91D12">
        <w:rPr>
          <w:rFonts w:ascii="Arial" w:hAnsi="Arial" w:cs="Arial"/>
        </w:rPr>
        <w:t>. Hoboken, NJ: Wiley.</w:t>
      </w:r>
    </w:p>
    <w:p w14:paraId="56DA40AC" w14:textId="77777777" w:rsidR="00C91D12" w:rsidRPr="00C91D12" w:rsidRDefault="00C91D12" w:rsidP="00C91D12">
      <w:pPr>
        <w:spacing w:line="360" w:lineRule="auto"/>
        <w:rPr>
          <w:rFonts w:ascii="Arial" w:hAnsi="Arial" w:cs="Arial"/>
        </w:rPr>
      </w:pPr>
      <w:r w:rsidRPr="00C91D12">
        <w:rPr>
          <w:rFonts w:ascii="Arial" w:hAnsi="Arial" w:cs="Arial"/>
        </w:rPr>
        <w:t xml:space="preserve">Verhoef, P.C., Broekhuizen, T., Bart, Y., Bhattacharya, A., Dong, J.Q., Fabian, N. and Haenlein, M. (2021) ‘Digital transformation: a multidisciplinary reflection and research agenda’, </w:t>
      </w:r>
      <w:r w:rsidRPr="00C91D12">
        <w:rPr>
          <w:rFonts w:ascii="Arial" w:hAnsi="Arial" w:cs="Arial"/>
          <w:i/>
          <w:iCs/>
        </w:rPr>
        <w:t>Journal of Business Research</w:t>
      </w:r>
      <w:r w:rsidRPr="00C91D12">
        <w:rPr>
          <w:rFonts w:ascii="Arial" w:hAnsi="Arial" w:cs="Arial"/>
        </w:rPr>
        <w:t>, 122, pp. 889–901. doi:10.1016/j.jbusres.2019.09.022.</w:t>
      </w:r>
    </w:p>
    <w:p w14:paraId="0DEFFA8D" w14:textId="77777777" w:rsidR="00C91D12" w:rsidRPr="00C91D12" w:rsidRDefault="00C91D12" w:rsidP="00C91D12">
      <w:pPr>
        <w:spacing w:line="360" w:lineRule="auto"/>
        <w:rPr>
          <w:rFonts w:ascii="Arial" w:hAnsi="Arial" w:cs="Arial"/>
        </w:rPr>
      </w:pPr>
      <w:r w:rsidRPr="00C91D12">
        <w:rPr>
          <w:rFonts w:ascii="Arial" w:hAnsi="Arial" w:cs="Arial"/>
        </w:rPr>
        <w:t xml:space="preserve">Vial, G. (2019) ‘Understanding digital transformation: a review and a research agenda’, </w:t>
      </w:r>
      <w:r w:rsidRPr="00C91D12">
        <w:rPr>
          <w:rFonts w:ascii="Arial" w:hAnsi="Arial" w:cs="Arial"/>
          <w:i/>
          <w:iCs/>
        </w:rPr>
        <w:t>Journal of Strategic Information Systems</w:t>
      </w:r>
      <w:r w:rsidRPr="00C91D12">
        <w:rPr>
          <w:rFonts w:ascii="Arial" w:hAnsi="Arial" w:cs="Arial"/>
        </w:rPr>
        <w:t>, 28(2), pp. 118–144. doi:10.1016/j.jsis.2019.01.003.</w:t>
      </w:r>
    </w:p>
    <w:p w14:paraId="3D069676" w14:textId="6B6384C8" w:rsidR="00C91D12" w:rsidRPr="00C91D12" w:rsidRDefault="00C91D12" w:rsidP="00C91D12">
      <w:pPr>
        <w:spacing w:line="360" w:lineRule="auto"/>
        <w:rPr>
          <w:rFonts w:ascii="Arial" w:hAnsi="Arial" w:cs="Arial"/>
        </w:rPr>
      </w:pPr>
    </w:p>
    <w:p w14:paraId="5DE19F38" w14:textId="0570C2CB" w:rsidR="0065438E" w:rsidRPr="0065438E" w:rsidRDefault="0065438E" w:rsidP="0065438E">
      <w:pPr>
        <w:spacing w:line="360" w:lineRule="auto"/>
        <w:rPr>
          <w:rFonts w:ascii="Arial" w:hAnsi="Arial" w:cs="Arial"/>
        </w:rPr>
      </w:pPr>
    </w:p>
    <w:p w14:paraId="33A600CF" w14:textId="02A742D2" w:rsidR="0065438E" w:rsidRPr="0065438E" w:rsidRDefault="0065438E" w:rsidP="0065438E">
      <w:pPr>
        <w:spacing w:line="360" w:lineRule="auto"/>
        <w:rPr>
          <w:rFonts w:ascii="Arial" w:hAnsi="Arial" w:cs="Arial"/>
          <w:b/>
          <w:bCs/>
        </w:rPr>
      </w:pPr>
    </w:p>
    <w:p w14:paraId="39B31D34" w14:textId="77777777" w:rsidR="00154ECD" w:rsidRPr="00154ECD" w:rsidRDefault="00154ECD" w:rsidP="00154ECD">
      <w:pPr>
        <w:spacing w:line="360" w:lineRule="auto"/>
        <w:rPr>
          <w:rFonts w:ascii="Arial" w:hAnsi="Arial" w:cs="Arial"/>
        </w:rPr>
      </w:pPr>
    </w:p>
    <w:p w14:paraId="04096327" w14:textId="77777777" w:rsidR="0089679D" w:rsidRPr="00154ECD" w:rsidRDefault="0089679D" w:rsidP="00154ECD">
      <w:pPr>
        <w:spacing w:line="360" w:lineRule="auto"/>
        <w:rPr>
          <w:rFonts w:ascii="Arial" w:hAnsi="Arial" w:cs="Arial"/>
        </w:rPr>
      </w:pPr>
    </w:p>
    <w:p w14:paraId="75DB569A" w14:textId="77777777" w:rsidR="0089679D" w:rsidRPr="00154ECD" w:rsidRDefault="0089679D" w:rsidP="00154ECD">
      <w:pPr>
        <w:spacing w:line="360" w:lineRule="auto"/>
        <w:rPr>
          <w:rFonts w:ascii="Arial" w:hAnsi="Arial" w:cs="Arial"/>
        </w:rPr>
      </w:pPr>
    </w:p>
    <w:p w14:paraId="053495A5" w14:textId="77777777" w:rsidR="00C825C9" w:rsidRPr="00154ECD" w:rsidRDefault="00C825C9" w:rsidP="00154ECD">
      <w:pPr>
        <w:spacing w:line="360" w:lineRule="auto"/>
        <w:rPr>
          <w:rFonts w:ascii="Arial" w:hAnsi="Arial" w:cs="Arial"/>
        </w:rPr>
      </w:pPr>
    </w:p>
    <w:sectPr w:rsidR="00C825C9" w:rsidRPr="00154EC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29EC6" w14:textId="77777777" w:rsidR="0069470B" w:rsidRDefault="0069470B" w:rsidP="0069470B">
      <w:pPr>
        <w:spacing w:after="0" w:line="240" w:lineRule="auto"/>
      </w:pPr>
      <w:r>
        <w:separator/>
      </w:r>
    </w:p>
  </w:endnote>
  <w:endnote w:type="continuationSeparator" w:id="0">
    <w:p w14:paraId="51D3C23E" w14:textId="77777777" w:rsidR="0069470B" w:rsidRDefault="0069470B" w:rsidP="00694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9523864"/>
      <w:docPartObj>
        <w:docPartGallery w:val="Page Numbers (Bottom of Page)"/>
        <w:docPartUnique/>
      </w:docPartObj>
    </w:sdtPr>
    <w:sdtEndPr>
      <w:rPr>
        <w:noProof/>
      </w:rPr>
    </w:sdtEndPr>
    <w:sdtContent>
      <w:p w14:paraId="3245EA02" w14:textId="586C35F6" w:rsidR="0069470B" w:rsidRDefault="006947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96291E" w14:textId="77777777" w:rsidR="0069470B" w:rsidRDefault="006947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C0E8B" w14:textId="77777777" w:rsidR="0069470B" w:rsidRDefault="0069470B" w:rsidP="0069470B">
      <w:pPr>
        <w:spacing w:after="0" w:line="240" w:lineRule="auto"/>
      </w:pPr>
      <w:r>
        <w:separator/>
      </w:r>
    </w:p>
  </w:footnote>
  <w:footnote w:type="continuationSeparator" w:id="0">
    <w:p w14:paraId="62142AA4" w14:textId="77777777" w:rsidR="0069470B" w:rsidRDefault="0069470B" w:rsidP="006947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5A6"/>
    <w:multiLevelType w:val="multilevel"/>
    <w:tmpl w:val="DB12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4C5BD0"/>
    <w:multiLevelType w:val="hybridMultilevel"/>
    <w:tmpl w:val="B478E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476E88"/>
    <w:multiLevelType w:val="multilevel"/>
    <w:tmpl w:val="E69A6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AF5903"/>
    <w:multiLevelType w:val="multilevel"/>
    <w:tmpl w:val="1CBE2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B775EE"/>
    <w:multiLevelType w:val="multilevel"/>
    <w:tmpl w:val="126C3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BB4D51"/>
    <w:multiLevelType w:val="multilevel"/>
    <w:tmpl w:val="A8483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9A359E"/>
    <w:multiLevelType w:val="multilevel"/>
    <w:tmpl w:val="3BA6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8A7979"/>
    <w:multiLevelType w:val="multilevel"/>
    <w:tmpl w:val="B7BE7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1067F8"/>
    <w:multiLevelType w:val="multilevel"/>
    <w:tmpl w:val="5AF4A94E"/>
    <w:lvl w:ilvl="0">
      <w:start w:val="1"/>
      <w:numFmt w:val="bullet"/>
      <w:lvlText w:val="•"/>
      <w:lvlJc w:val="left"/>
      <w:pPr>
        <w:tabs>
          <w:tab w:val="num" w:pos="720"/>
        </w:tabs>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4F30B8"/>
    <w:multiLevelType w:val="multilevel"/>
    <w:tmpl w:val="99306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4712232">
    <w:abstractNumId w:val="0"/>
  </w:num>
  <w:num w:numId="2" w16cid:durableId="511647240">
    <w:abstractNumId w:val="4"/>
  </w:num>
  <w:num w:numId="3" w16cid:durableId="1209607633">
    <w:abstractNumId w:val="5"/>
  </w:num>
  <w:num w:numId="4" w16cid:durableId="701518093">
    <w:abstractNumId w:val="7"/>
  </w:num>
  <w:num w:numId="5" w16cid:durableId="366487506">
    <w:abstractNumId w:val="6"/>
  </w:num>
  <w:num w:numId="6" w16cid:durableId="951285904">
    <w:abstractNumId w:val="3"/>
  </w:num>
  <w:num w:numId="7" w16cid:durableId="158159696">
    <w:abstractNumId w:val="9"/>
  </w:num>
  <w:num w:numId="8" w16cid:durableId="591669709">
    <w:abstractNumId w:val="1"/>
  </w:num>
  <w:num w:numId="9" w16cid:durableId="676812271">
    <w:abstractNumId w:val="2"/>
  </w:num>
  <w:num w:numId="10" w16cid:durableId="19712835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171"/>
    <w:rsid w:val="0006116E"/>
    <w:rsid w:val="00077863"/>
    <w:rsid w:val="000836CE"/>
    <w:rsid w:val="0009253A"/>
    <w:rsid w:val="000965FF"/>
    <w:rsid w:val="000E62D7"/>
    <w:rsid w:val="000F63F1"/>
    <w:rsid w:val="00135153"/>
    <w:rsid w:val="00137BCE"/>
    <w:rsid w:val="00154ECD"/>
    <w:rsid w:val="00163AE5"/>
    <w:rsid w:val="001E1DBF"/>
    <w:rsid w:val="00207808"/>
    <w:rsid w:val="002102AC"/>
    <w:rsid w:val="0021361E"/>
    <w:rsid w:val="00224A55"/>
    <w:rsid w:val="002548F8"/>
    <w:rsid w:val="00270E88"/>
    <w:rsid w:val="003442C0"/>
    <w:rsid w:val="00346469"/>
    <w:rsid w:val="00385BB2"/>
    <w:rsid w:val="003E7C9F"/>
    <w:rsid w:val="003F5DA5"/>
    <w:rsid w:val="004514B0"/>
    <w:rsid w:val="00476A90"/>
    <w:rsid w:val="004A7C1B"/>
    <w:rsid w:val="004B327A"/>
    <w:rsid w:val="004B58D4"/>
    <w:rsid w:val="00537235"/>
    <w:rsid w:val="00576B7C"/>
    <w:rsid w:val="005D187C"/>
    <w:rsid w:val="005F6C8D"/>
    <w:rsid w:val="00606670"/>
    <w:rsid w:val="00637F15"/>
    <w:rsid w:val="006436F5"/>
    <w:rsid w:val="0065438E"/>
    <w:rsid w:val="00660D87"/>
    <w:rsid w:val="00686E59"/>
    <w:rsid w:val="0069470B"/>
    <w:rsid w:val="006E6442"/>
    <w:rsid w:val="00740F96"/>
    <w:rsid w:val="007847FD"/>
    <w:rsid w:val="007D1490"/>
    <w:rsid w:val="007F7D86"/>
    <w:rsid w:val="008042EA"/>
    <w:rsid w:val="00823E32"/>
    <w:rsid w:val="00842E6F"/>
    <w:rsid w:val="00847590"/>
    <w:rsid w:val="008523D8"/>
    <w:rsid w:val="008624E7"/>
    <w:rsid w:val="0086638C"/>
    <w:rsid w:val="0088707D"/>
    <w:rsid w:val="0089679D"/>
    <w:rsid w:val="008E26A7"/>
    <w:rsid w:val="009903F4"/>
    <w:rsid w:val="009C3D08"/>
    <w:rsid w:val="009D1AF0"/>
    <w:rsid w:val="009E59D7"/>
    <w:rsid w:val="00A14958"/>
    <w:rsid w:val="00A238D0"/>
    <w:rsid w:val="00A47A25"/>
    <w:rsid w:val="00A64EE6"/>
    <w:rsid w:val="00A74009"/>
    <w:rsid w:val="00A7734F"/>
    <w:rsid w:val="00A82245"/>
    <w:rsid w:val="00A84A65"/>
    <w:rsid w:val="00AA6516"/>
    <w:rsid w:val="00AC461C"/>
    <w:rsid w:val="00AD1006"/>
    <w:rsid w:val="00AD4378"/>
    <w:rsid w:val="00AD4E0C"/>
    <w:rsid w:val="00B6293F"/>
    <w:rsid w:val="00BC297F"/>
    <w:rsid w:val="00BC52B0"/>
    <w:rsid w:val="00BE2D19"/>
    <w:rsid w:val="00BE6455"/>
    <w:rsid w:val="00C3071C"/>
    <w:rsid w:val="00C825C9"/>
    <w:rsid w:val="00C852E0"/>
    <w:rsid w:val="00C91D12"/>
    <w:rsid w:val="00D01732"/>
    <w:rsid w:val="00D0669D"/>
    <w:rsid w:val="00D373D3"/>
    <w:rsid w:val="00D60294"/>
    <w:rsid w:val="00D659C6"/>
    <w:rsid w:val="00D674F1"/>
    <w:rsid w:val="00DB3D94"/>
    <w:rsid w:val="00DC29A5"/>
    <w:rsid w:val="00DE5F27"/>
    <w:rsid w:val="00E272BF"/>
    <w:rsid w:val="00E35000"/>
    <w:rsid w:val="00E5081F"/>
    <w:rsid w:val="00E62C40"/>
    <w:rsid w:val="00ED6358"/>
    <w:rsid w:val="00EF06AF"/>
    <w:rsid w:val="00EF2171"/>
    <w:rsid w:val="00F22606"/>
    <w:rsid w:val="00F30D8E"/>
    <w:rsid w:val="00F3196D"/>
    <w:rsid w:val="00F51FCA"/>
    <w:rsid w:val="00F61208"/>
    <w:rsid w:val="00FA3AA9"/>
    <w:rsid w:val="00FA4036"/>
    <w:rsid w:val="00FA487C"/>
    <w:rsid w:val="00FF1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99A08"/>
  <w15:chartTrackingRefBased/>
  <w15:docId w15:val="{08AAB858-B36D-4361-97E0-403860D1E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171"/>
  </w:style>
  <w:style w:type="paragraph" w:styleId="Heading1">
    <w:name w:val="heading 1"/>
    <w:basedOn w:val="Normal"/>
    <w:next w:val="Normal"/>
    <w:link w:val="Heading1Char"/>
    <w:uiPriority w:val="9"/>
    <w:qFormat/>
    <w:rsid w:val="00EF21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21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21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1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1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1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1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1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1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1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21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21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1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1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1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1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1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171"/>
    <w:rPr>
      <w:rFonts w:eastAsiaTheme="majorEastAsia" w:cstheme="majorBidi"/>
      <w:color w:val="272727" w:themeColor="text1" w:themeTint="D8"/>
    </w:rPr>
  </w:style>
  <w:style w:type="paragraph" w:styleId="Title">
    <w:name w:val="Title"/>
    <w:basedOn w:val="Normal"/>
    <w:next w:val="Normal"/>
    <w:link w:val="TitleChar"/>
    <w:uiPriority w:val="10"/>
    <w:qFormat/>
    <w:rsid w:val="00EF21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1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1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1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171"/>
    <w:pPr>
      <w:spacing w:before="160"/>
      <w:jc w:val="center"/>
    </w:pPr>
    <w:rPr>
      <w:i/>
      <w:iCs/>
      <w:color w:val="404040" w:themeColor="text1" w:themeTint="BF"/>
    </w:rPr>
  </w:style>
  <w:style w:type="character" w:customStyle="1" w:styleId="QuoteChar">
    <w:name w:val="Quote Char"/>
    <w:basedOn w:val="DefaultParagraphFont"/>
    <w:link w:val="Quote"/>
    <w:uiPriority w:val="29"/>
    <w:rsid w:val="00EF2171"/>
    <w:rPr>
      <w:i/>
      <w:iCs/>
      <w:color w:val="404040" w:themeColor="text1" w:themeTint="BF"/>
    </w:rPr>
  </w:style>
  <w:style w:type="paragraph" w:styleId="ListParagraph">
    <w:name w:val="List Paragraph"/>
    <w:basedOn w:val="Normal"/>
    <w:uiPriority w:val="34"/>
    <w:qFormat/>
    <w:rsid w:val="00EF2171"/>
    <w:pPr>
      <w:ind w:left="720"/>
      <w:contextualSpacing/>
    </w:pPr>
  </w:style>
  <w:style w:type="character" w:styleId="IntenseEmphasis">
    <w:name w:val="Intense Emphasis"/>
    <w:basedOn w:val="DefaultParagraphFont"/>
    <w:uiPriority w:val="21"/>
    <w:qFormat/>
    <w:rsid w:val="00EF2171"/>
    <w:rPr>
      <w:i/>
      <w:iCs/>
      <w:color w:val="0F4761" w:themeColor="accent1" w:themeShade="BF"/>
    </w:rPr>
  </w:style>
  <w:style w:type="paragraph" w:styleId="IntenseQuote">
    <w:name w:val="Intense Quote"/>
    <w:basedOn w:val="Normal"/>
    <w:next w:val="Normal"/>
    <w:link w:val="IntenseQuoteChar"/>
    <w:uiPriority w:val="30"/>
    <w:qFormat/>
    <w:rsid w:val="00EF21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171"/>
    <w:rPr>
      <w:i/>
      <w:iCs/>
      <w:color w:val="0F4761" w:themeColor="accent1" w:themeShade="BF"/>
    </w:rPr>
  </w:style>
  <w:style w:type="character" w:styleId="IntenseReference">
    <w:name w:val="Intense Reference"/>
    <w:basedOn w:val="DefaultParagraphFont"/>
    <w:uiPriority w:val="32"/>
    <w:qFormat/>
    <w:rsid w:val="00EF2171"/>
    <w:rPr>
      <w:b/>
      <w:bCs/>
      <w:smallCaps/>
      <w:color w:val="0F4761" w:themeColor="accent1" w:themeShade="BF"/>
      <w:spacing w:val="5"/>
    </w:rPr>
  </w:style>
  <w:style w:type="character" w:styleId="Hyperlink">
    <w:name w:val="Hyperlink"/>
    <w:basedOn w:val="DefaultParagraphFont"/>
    <w:uiPriority w:val="99"/>
    <w:unhideWhenUsed/>
    <w:rsid w:val="00154ECD"/>
    <w:rPr>
      <w:color w:val="467886" w:themeColor="hyperlink"/>
      <w:u w:val="single"/>
    </w:rPr>
  </w:style>
  <w:style w:type="character" w:styleId="UnresolvedMention">
    <w:name w:val="Unresolved Mention"/>
    <w:basedOn w:val="DefaultParagraphFont"/>
    <w:uiPriority w:val="99"/>
    <w:semiHidden/>
    <w:unhideWhenUsed/>
    <w:rsid w:val="00154ECD"/>
    <w:rPr>
      <w:color w:val="605E5C"/>
      <w:shd w:val="clear" w:color="auto" w:fill="E1DFDD"/>
    </w:rPr>
  </w:style>
  <w:style w:type="paragraph" w:styleId="NormalWeb">
    <w:name w:val="Normal (Web)"/>
    <w:basedOn w:val="Normal"/>
    <w:uiPriority w:val="99"/>
    <w:unhideWhenUsed/>
    <w:rsid w:val="00C852E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694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70B"/>
  </w:style>
  <w:style w:type="paragraph" w:styleId="Footer">
    <w:name w:val="footer"/>
    <w:basedOn w:val="Normal"/>
    <w:link w:val="FooterChar"/>
    <w:uiPriority w:val="99"/>
    <w:unhideWhenUsed/>
    <w:rsid w:val="00694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reuters.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ons.gov.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gd.com" TargetMode="External"/><Relationship Id="rId4" Type="http://schemas.openxmlformats.org/officeDocument/2006/relationships/webSettings" Target="webSettings.xml"/><Relationship Id="rId9" Type="http://schemas.openxmlformats.org/officeDocument/2006/relationships/hyperlink" Target="https://www.greggs.co.uk/investors/reports"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Indicative Distribution of Greggs - Innovation Activity</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AAD8-42F4-AF8A-B0EFE84C3B0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AAD8-42F4-AF8A-B0EFE84C3B0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AAD8-42F4-AF8A-B0EFE84C3B02}"/>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AAD8-42F4-AF8A-B0EFE84C3B02}"/>
              </c:ext>
            </c:extLst>
          </c:dPt>
          <c:dLbls>
            <c:dLbl>
              <c:idx val="0"/>
              <c:tx>
                <c:rich>
                  <a:bodyPr/>
                  <a:lstStyle/>
                  <a:p>
                    <a:r>
                      <a:rPr lang="en-US"/>
                      <a:t>5%</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AAD8-42F4-AF8A-B0EFE84C3B02}"/>
                </c:ext>
              </c:extLst>
            </c:dLbl>
            <c:dLbl>
              <c:idx val="1"/>
              <c:tx>
                <c:rich>
                  <a:bodyPr/>
                  <a:lstStyle/>
                  <a:p>
                    <a:r>
                      <a:rPr lang="en-US"/>
                      <a:t>15%</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AAD8-42F4-AF8A-B0EFE84C3B02}"/>
                </c:ext>
              </c:extLst>
            </c:dLbl>
            <c:dLbl>
              <c:idx val="2"/>
              <c:tx>
                <c:rich>
                  <a:bodyPr/>
                  <a:lstStyle/>
                  <a:p>
                    <a:r>
                      <a:rPr lang="en-US"/>
                      <a:t>80%</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AAD8-42F4-AF8A-B0EFE84C3B0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Sheet1!$A$2:$A$5</c:f>
              <c:strCache>
                <c:ptCount val="3"/>
                <c:pt idx="0">
                  <c:v>Transformational Innovation</c:v>
                </c:pt>
                <c:pt idx="1">
                  <c:v>Adjacent Innovation </c:v>
                </c:pt>
                <c:pt idx="2">
                  <c:v>Core Innovation</c:v>
                </c:pt>
              </c:strCache>
            </c:strRef>
          </c:cat>
          <c:val>
            <c:numRef>
              <c:f>Sheet1!$B$2:$B$5</c:f>
              <c:numCache>
                <c:formatCode>0%</c:formatCode>
                <c:ptCount val="4"/>
                <c:pt idx="0">
                  <c:v>0.08</c:v>
                </c:pt>
                <c:pt idx="1">
                  <c:v>0.22</c:v>
                </c:pt>
                <c:pt idx="2">
                  <c:v>0.7</c:v>
                </c:pt>
              </c:numCache>
            </c:numRef>
          </c:val>
          <c:extLst>
            <c:ext xmlns:c16="http://schemas.microsoft.com/office/drawing/2014/chart" uri="{C3380CC4-5D6E-409C-BE32-E72D297353CC}">
              <c16:uniqueId val="{00000008-AAD8-42F4-AF8A-B0EFE84C3B02}"/>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6265</Words>
  <Characters>35714</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Suleha Azad</dc:creator>
  <cp:keywords/>
  <dc:description/>
  <cp:lastModifiedBy>Suleha Azad</cp:lastModifiedBy>
  <cp:revision>2</cp:revision>
  <dcterms:created xsi:type="dcterms:W3CDTF">2026-02-28T11:24:00Z</dcterms:created>
  <dcterms:modified xsi:type="dcterms:W3CDTF">2026-02-28T11:24:00Z</dcterms:modified>
</cp:coreProperties>
</file>