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459CA6FE" w14:textId="77777777" w:rsidR="00FA1DC1" w:rsidRPr="00E72B4B" w:rsidRDefault="00FA1DC1" w:rsidP="00065B39">
      <w:pPr>
        <w:rPr>
          <w:sz w:val="24"/>
          <w:szCs w:val="24"/>
        </w:rPr>
      </w:pPr>
      <w:bookmarkStart w:id="0" w:name="_GoBack"/>
    </w:p>
    <w:p w14:paraId="00C2E526" w14:textId="7FAA5C1C" w:rsidR="00065B39" w:rsidRPr="00E72B4B" w:rsidRDefault="00065B39" w:rsidP="00065B39">
      <w:pPr>
        <w:rPr>
          <w:sz w:val="24"/>
          <w:szCs w:val="24"/>
        </w:rPr>
      </w:pPr>
      <w:r w:rsidRPr="00E72B4B">
        <w:rPr>
          <w:sz w:val="24"/>
          <w:szCs w:val="24"/>
        </w:rPr>
        <w:t xml:space="preserve">Being in the training environment has been a bit of culture shock as I had become used to patrolling outside and completing various activities and events at different locations in my last role as a PCSO in Cardiff. And it has been 10 years since I completed my degree going back to a learning environment for 6 months was a big change. Starting the process of becoming a police constable has been a learning curve but I have enjoyed the change of pace and I’m looking forward to starting my new role and putting all of the aspects I have been learning into practice. The classroom setting took a few weeks to adjust to and thankfully my colleagues were good natured and all willing to learn which helped me to settle in. </w:t>
      </w:r>
    </w:p>
    <w:p w14:paraId="4FDD9E86" w14:textId="77777777" w:rsidR="00065B39" w:rsidRPr="00E72B4B" w:rsidRDefault="00065B39" w:rsidP="00065B39">
      <w:pPr>
        <w:rPr>
          <w:sz w:val="24"/>
          <w:szCs w:val="24"/>
        </w:rPr>
      </w:pPr>
    </w:p>
    <w:p w14:paraId="04174B9B" w14:textId="77777777" w:rsidR="00065B39" w:rsidRPr="00E72B4B" w:rsidRDefault="00065B39" w:rsidP="00065B39">
      <w:pPr>
        <w:rPr>
          <w:sz w:val="24"/>
          <w:szCs w:val="24"/>
        </w:rPr>
      </w:pPr>
      <w:r w:rsidRPr="00E72B4B">
        <w:rPr>
          <w:sz w:val="24"/>
          <w:szCs w:val="24"/>
        </w:rPr>
        <w:t xml:space="preserve">I found Boyatzis’ Theory of Self-Directed Learning (Goleman, Boyatzis and McKee, 2002) particularly useful as I was adapting into the life of a trainee police constable. Moving through the initial part of the process of My Ideal Self – who do I want to be and My Real Self – Who am I? and what are my strengths and weaknesses. I realised that to be successful in training I needed to work on these. Going through the stages of the model, Boyatzis describes them as discoveries, it gave me the opportunity to look at my strengths and work on my weaknesses. I had a set idea of how I thought training would be and within a few weeks I was worrying that I wasn’t hitting my self-imposed targets or that I wasn’t performing like I should be. This model taught me to understand myself, visualise who I want to be and then build on my strengths by trying new things, thinking more positively and having the confidence to say I’m good at a specific task or know an answer. And keep this model going by being more positive about myself. </w:t>
      </w:r>
    </w:p>
    <w:p w14:paraId="0CBC3ED8" w14:textId="77777777" w:rsidR="00065B39" w:rsidRPr="00E72B4B" w:rsidRDefault="00065B39" w:rsidP="00065B39">
      <w:pPr>
        <w:rPr>
          <w:sz w:val="24"/>
          <w:szCs w:val="24"/>
        </w:rPr>
      </w:pPr>
    </w:p>
    <w:p w14:paraId="2CC3AD86" w14:textId="77777777" w:rsidR="00065B39" w:rsidRPr="00E72B4B" w:rsidRDefault="00065B39" w:rsidP="00065B39">
      <w:pPr>
        <w:rPr>
          <w:rFonts w:cstheme="minorHAnsi"/>
          <w:color w:val="333333"/>
          <w:sz w:val="24"/>
          <w:szCs w:val="24"/>
        </w:rPr>
      </w:pPr>
      <w:r w:rsidRPr="00E72B4B">
        <w:rPr>
          <w:sz w:val="24"/>
          <w:szCs w:val="24"/>
        </w:rPr>
        <w:t xml:space="preserve">I found the practical scenarios quite stressful to begin with because I focused too much on minor details and “What if’s?” rather than what was in front of me. As the training continued my confidence and ability to diffuse situations quicker improved because I was using feedback from all of the practicals, slightly adapting or trying something new entirely to get the job done, </w:t>
      </w:r>
      <w:r w:rsidRPr="00E72B4B">
        <w:rPr>
          <w:i/>
          <w:sz w:val="24"/>
          <w:szCs w:val="24"/>
        </w:rPr>
        <w:t xml:space="preserve">“It may involve trying something different in a current setting, reflecting on what occurs, and experimenting further in this </w:t>
      </w:r>
      <w:r w:rsidRPr="00E72B4B">
        <w:rPr>
          <w:rFonts w:cstheme="minorHAnsi"/>
          <w:i/>
          <w:sz w:val="24"/>
          <w:szCs w:val="24"/>
        </w:rPr>
        <w:t xml:space="preserve">setting” </w:t>
      </w:r>
      <w:r w:rsidRPr="00E72B4B">
        <w:rPr>
          <w:rFonts w:cstheme="minorHAnsi"/>
          <w:sz w:val="24"/>
          <w:szCs w:val="24"/>
        </w:rPr>
        <w:t>(</w:t>
      </w:r>
      <w:r w:rsidRPr="00E72B4B">
        <w:rPr>
          <w:rFonts w:cstheme="minorHAnsi"/>
          <w:color w:val="333333"/>
          <w:sz w:val="24"/>
          <w:szCs w:val="24"/>
        </w:rPr>
        <w:t>Boyatzis, Richard E., 2004)</w:t>
      </w:r>
    </w:p>
    <w:p w14:paraId="69E4CB56" w14:textId="77777777" w:rsidR="00065B39" w:rsidRPr="00E72B4B" w:rsidRDefault="00065B39" w:rsidP="00065B39">
      <w:pPr>
        <w:rPr>
          <w:sz w:val="24"/>
          <w:szCs w:val="24"/>
        </w:rPr>
      </w:pPr>
      <w:r w:rsidRPr="00E72B4B">
        <w:rPr>
          <w:rFonts w:cstheme="minorHAnsi"/>
          <w:color w:val="333333"/>
          <w:sz w:val="24"/>
          <w:szCs w:val="24"/>
        </w:rPr>
        <w:t>Even in a controlled environment, the role players could only react to a script and how you deal with them. If your tactical communication was inappropriate then situations would escalate or you would get no response at all. So I was quick to recognise the non-verbal cues from the role players and just how the tone of voice you used would make a difference.</w:t>
      </w:r>
    </w:p>
    <w:p w14:paraId="0959A465" w14:textId="77777777" w:rsidR="00065B39" w:rsidRPr="00E72B4B" w:rsidRDefault="00065B39" w:rsidP="00065B39">
      <w:pPr>
        <w:rPr>
          <w:rFonts w:cstheme="minorHAnsi"/>
          <w:color w:val="333333"/>
          <w:sz w:val="24"/>
          <w:szCs w:val="24"/>
        </w:rPr>
      </w:pPr>
    </w:p>
    <w:p w14:paraId="4F047DB9" w14:textId="77777777" w:rsidR="00065B39" w:rsidRPr="00E72B4B" w:rsidRDefault="00065B39" w:rsidP="00065B39">
      <w:pPr>
        <w:rPr>
          <w:sz w:val="24"/>
          <w:szCs w:val="24"/>
        </w:rPr>
      </w:pPr>
      <w:r w:rsidRPr="00E72B4B">
        <w:rPr>
          <w:rFonts w:cstheme="minorHAnsi"/>
          <w:color w:val="333333"/>
          <w:sz w:val="24"/>
          <w:szCs w:val="24"/>
        </w:rPr>
        <w:lastRenderedPageBreak/>
        <w:t xml:space="preserve">One of the most interesting parts of training was the peer to peer reviews, we would constantly give each other feedback and be constructive. The idea was to get the best out of each person by explaining the positives and negatives so we always had something to work on, and by highlighting these strengths and weaknesses in my opinion it made it easier for me to see what I needed to do to be better next time. </w:t>
      </w:r>
      <w:r w:rsidRPr="00E72B4B">
        <w:rPr>
          <w:i/>
          <w:sz w:val="24"/>
          <w:szCs w:val="24"/>
        </w:rPr>
        <w:t>‘Reflection is an important human activity in which people recapture their experience, think about it, mull over &amp; evaluate it. It is this working with experience that is important in learning’ (Boud, D., Keogh, R. &amp; Walker, D. 1985)</w:t>
      </w:r>
    </w:p>
    <w:p w14:paraId="7A580389" w14:textId="77777777" w:rsidR="00065B39" w:rsidRPr="00E72B4B" w:rsidRDefault="00065B39" w:rsidP="00065B39">
      <w:pPr>
        <w:rPr>
          <w:sz w:val="24"/>
          <w:szCs w:val="24"/>
        </w:rPr>
      </w:pPr>
    </w:p>
    <w:p w14:paraId="1D8C9D1A" w14:textId="77777777" w:rsidR="00065B39" w:rsidRPr="00E72B4B" w:rsidRDefault="00065B39" w:rsidP="00065B39">
      <w:pPr>
        <w:rPr>
          <w:sz w:val="24"/>
          <w:szCs w:val="24"/>
        </w:rPr>
      </w:pPr>
      <w:r w:rsidRPr="00E72B4B">
        <w:rPr>
          <w:sz w:val="24"/>
          <w:szCs w:val="24"/>
        </w:rPr>
        <w:t xml:space="preserve">Donald Schon looked at reflection in action and reflection on action and I think both have been relevant to my time in training. Schon said that </w:t>
      </w:r>
      <w:r w:rsidRPr="00E72B4B">
        <w:rPr>
          <w:rFonts w:cs="Times New Roman"/>
          <w:i/>
          <w:sz w:val="24"/>
          <w:szCs w:val="24"/>
        </w:rPr>
        <w:t>“each new experience of reflection-in-action en</w:t>
      </w:r>
      <w:r w:rsidRPr="00E72B4B">
        <w:rPr>
          <w:rFonts w:cs="Times New Roman"/>
          <w:i/>
          <w:sz w:val="24"/>
          <w:szCs w:val="24"/>
        </w:rPr>
        <w:softHyphen/>
        <w:t>riches his repertoire”</w:t>
      </w:r>
      <w:r w:rsidRPr="00E72B4B">
        <w:rPr>
          <w:i/>
          <w:sz w:val="24"/>
          <w:szCs w:val="24"/>
        </w:rPr>
        <w:t xml:space="preserve"> (Schon 1983</w:t>
      </w:r>
      <w:r w:rsidRPr="00E72B4B">
        <w:rPr>
          <w:sz w:val="24"/>
          <w:szCs w:val="24"/>
        </w:rPr>
        <w:t>) and I believe that this is the case for myself as I can be very critical of my own work and actions and over analyse things. I am learning to take each experience as a chance to improve or adapt and this mind-set is definitely something that I can continue into my career. The principles are to be used time and again.</w:t>
      </w:r>
    </w:p>
    <w:p w14:paraId="3673AB83" w14:textId="77777777" w:rsidR="00065B39" w:rsidRPr="00E72B4B" w:rsidRDefault="00065B39" w:rsidP="00065B39">
      <w:pPr>
        <w:rPr>
          <w:sz w:val="24"/>
          <w:szCs w:val="24"/>
        </w:rPr>
      </w:pPr>
      <w:r w:rsidRPr="00E72B4B">
        <w:rPr>
          <w:sz w:val="24"/>
          <w:szCs w:val="24"/>
        </w:rPr>
        <w:t>Sometimes it is appropriate to reflect as a situation is ongoing, if for example during group work you don’t all agree, it may be the opportunity for a compromise or plan what is going to happen next, for example trying to decide on long-term solutions for a location’s anti-social behaviour problem, what might work in one area may not be appropriate for another, the ideas are valid but you need to understand that problems can be individual and not a one size fits all solution.</w:t>
      </w:r>
    </w:p>
    <w:p w14:paraId="0E879BDB" w14:textId="77777777" w:rsidR="00065B39" w:rsidRPr="00E72B4B" w:rsidRDefault="00065B39" w:rsidP="00065B39">
      <w:pPr>
        <w:rPr>
          <w:sz w:val="24"/>
          <w:szCs w:val="24"/>
        </w:rPr>
      </w:pPr>
      <w:r w:rsidRPr="00E72B4B">
        <w:rPr>
          <w:sz w:val="24"/>
          <w:szCs w:val="24"/>
        </w:rPr>
        <w:t xml:space="preserve">But reflection on action involves a situation that has ended and you have more time to decide what you would do differently, if anything. It doesn’t mean you are wrong just there is chance to make another decision next time. However, according to Derek Jones </w:t>
      </w:r>
      <w:r w:rsidRPr="00E72B4B">
        <w:rPr>
          <w:i/>
          <w:sz w:val="24"/>
          <w:szCs w:val="24"/>
        </w:rPr>
        <w:t>“‘reflection-on-reflection’ itself takes place less frequently than it perhaps should in design.”</w:t>
      </w:r>
      <w:r w:rsidRPr="00E72B4B">
        <w:rPr>
          <w:sz w:val="24"/>
          <w:szCs w:val="24"/>
        </w:rPr>
        <w:t xml:space="preserve"> (Jones, 2015) which is why it is important to follow many different models as Jones believes that memories cannot be an objective store of information or data.</w:t>
      </w:r>
    </w:p>
    <w:p w14:paraId="0372DD2E" w14:textId="77777777" w:rsidR="00065B39" w:rsidRPr="00E72B4B" w:rsidRDefault="00065B39" w:rsidP="00065B39">
      <w:pPr>
        <w:rPr>
          <w:sz w:val="24"/>
          <w:szCs w:val="24"/>
        </w:rPr>
      </w:pPr>
      <w:r w:rsidRPr="00E72B4B">
        <w:rPr>
          <w:sz w:val="24"/>
          <w:szCs w:val="24"/>
        </w:rPr>
        <w:t xml:space="preserve">  </w:t>
      </w:r>
    </w:p>
    <w:p w14:paraId="689BDF29" w14:textId="77777777" w:rsidR="00065B39" w:rsidRPr="00E72B4B" w:rsidRDefault="00065B39" w:rsidP="00065B39">
      <w:pPr>
        <w:jc w:val="both"/>
        <w:rPr>
          <w:sz w:val="24"/>
          <w:szCs w:val="24"/>
        </w:rPr>
      </w:pPr>
      <w:r w:rsidRPr="00E72B4B">
        <w:rPr>
          <w:sz w:val="24"/>
          <w:szCs w:val="24"/>
        </w:rPr>
        <w:t xml:space="preserve">Having a range of strategies to consult and use is important they all get you thinking in a different way and it is that perspective which can improve resilience.  For example my time in training has impacted on my family life and this is something that I had to try and overcome so as not to add any stress and strain to my relationships. I have been unable to take part in activities for my children and this has been stressful and has shown I have to explain my job role to my children as they grow up and ensure that my spare time is quality time with them. This is an area that I will be constantly adapting to increase my resilience and minimise the stress it could cause.  I have always struggled with maintaining a good sleep pattern so during my time in training I have made a conscious effort to stick to a routine because we have been working a strict 8-4pm rota and I appreciate how much disrupted sleep can affect me. This will have to be adapted when I start shift working and I appreciate there will be an adjustment period. </w:t>
      </w:r>
    </w:p>
    <w:p w14:paraId="3ECD239A" w14:textId="77777777" w:rsidR="00065B39" w:rsidRPr="00E72B4B" w:rsidRDefault="00065B39" w:rsidP="00065B39">
      <w:pPr>
        <w:rPr>
          <w:sz w:val="24"/>
          <w:szCs w:val="24"/>
        </w:rPr>
      </w:pPr>
    </w:p>
    <w:p w14:paraId="5EDBA083" w14:textId="77777777" w:rsidR="00065B39" w:rsidRPr="00E72B4B" w:rsidRDefault="00065B39" w:rsidP="00065B39">
      <w:pPr>
        <w:rPr>
          <w:sz w:val="24"/>
          <w:szCs w:val="24"/>
        </w:rPr>
      </w:pPr>
      <w:r w:rsidRPr="00E72B4B">
        <w:rPr>
          <w:sz w:val="24"/>
          <w:szCs w:val="24"/>
        </w:rPr>
        <w:t xml:space="preserve">Gibbs’ Model of Reflection (Gibbs, 1988) is a model that I will use more after attending incidents when I am on division because it is a more detailed reflection going through the incident and giving context of exactly what happened, how I felt during and after the incident and then an evaluation and analysis of what went well or not and how my own experiences have contributed to how I behaved and dealt with a situation and if this experience had a positive or negative effect on how I feel the incident played out. Did my experience or my expectation of an incident make a positive impact? The conclusion is the opportunity for identifying areas to improve and if anything can be developed for the next </w:t>
      </w:r>
      <w:r w:rsidRPr="00E72B4B">
        <w:rPr>
          <w:sz w:val="24"/>
          <w:szCs w:val="24"/>
        </w:rPr>
        <w:lastRenderedPageBreak/>
        <w:t>incident which has similar attributes. This can lead to an action plan being formulated which I believe would be a great asset for interviewing a suspect, for example, and developing a bank of questions for specific crimes and building on them and adding to them as I progress through my police career but also seeing which questions weren’t very good or if they provided detailed responses.</w:t>
      </w:r>
    </w:p>
    <w:p w14:paraId="2AA9AC11" w14:textId="77777777" w:rsidR="00065B39" w:rsidRPr="00E72B4B" w:rsidRDefault="00065B39" w:rsidP="00065B39">
      <w:pPr>
        <w:rPr>
          <w:sz w:val="24"/>
          <w:szCs w:val="24"/>
        </w:rPr>
      </w:pPr>
    </w:p>
    <w:p w14:paraId="4A3ABFEC" w14:textId="77777777" w:rsidR="00065B39" w:rsidRPr="00E72B4B" w:rsidRDefault="00065B39" w:rsidP="00065B39">
      <w:pPr>
        <w:rPr>
          <w:sz w:val="24"/>
          <w:szCs w:val="24"/>
        </w:rPr>
      </w:pPr>
      <w:r w:rsidRPr="00E72B4B">
        <w:rPr>
          <w:sz w:val="24"/>
          <w:szCs w:val="24"/>
        </w:rPr>
        <w:t>I think that Schon provides the best model for me in terms of when it can be used and it allows me to be dynamic in reflecting on what’s happening in that moment or when an incident is finished because I can be very critical of my own performance and sometimes I need to recognise that I am doing a good job or that my intervention is a positive one.</w:t>
      </w:r>
    </w:p>
    <w:p w14:paraId="4AE19FF8" w14:textId="77777777" w:rsidR="00065B39" w:rsidRPr="00E72B4B" w:rsidRDefault="00065B39" w:rsidP="00065B39">
      <w:pPr>
        <w:rPr>
          <w:sz w:val="24"/>
          <w:szCs w:val="24"/>
        </w:rPr>
      </w:pPr>
    </w:p>
    <w:p w14:paraId="4CC2C1C3" w14:textId="77777777" w:rsidR="00065B39" w:rsidRPr="00E72B4B" w:rsidRDefault="00065B39" w:rsidP="00065B39">
      <w:pPr>
        <w:rPr>
          <w:b/>
          <w:sz w:val="24"/>
          <w:szCs w:val="24"/>
          <w:u w:val="single"/>
        </w:rPr>
      </w:pPr>
    </w:p>
    <w:p w14:paraId="6690396B" w14:textId="77777777" w:rsidR="00065B39" w:rsidRPr="00E72B4B" w:rsidRDefault="00065B39" w:rsidP="00065B39">
      <w:pPr>
        <w:rPr>
          <w:b/>
          <w:sz w:val="24"/>
          <w:szCs w:val="24"/>
        </w:rPr>
      </w:pPr>
      <w:r w:rsidRPr="00E72B4B">
        <w:rPr>
          <w:b/>
          <w:sz w:val="24"/>
          <w:szCs w:val="24"/>
        </w:rPr>
        <w:t>1458 words</w:t>
      </w:r>
    </w:p>
    <w:p w14:paraId="0590AAF8" w14:textId="71FA638F" w:rsidR="00FF7784" w:rsidRPr="00E72B4B" w:rsidRDefault="00FF7784" w:rsidP="00E6298B">
      <w:pPr>
        <w:ind w:right="107"/>
        <w:jc w:val="both"/>
        <w:rPr>
          <w:sz w:val="24"/>
          <w:szCs w:val="24"/>
        </w:rPr>
      </w:pPr>
    </w:p>
    <w:p w14:paraId="19FBAC4F" w14:textId="49932BED" w:rsidR="00FF7784" w:rsidRPr="00E72B4B" w:rsidRDefault="00FF7784" w:rsidP="00E6298B">
      <w:pPr>
        <w:ind w:right="107"/>
        <w:jc w:val="both"/>
        <w:rPr>
          <w:sz w:val="24"/>
          <w:szCs w:val="24"/>
        </w:rPr>
      </w:pPr>
    </w:p>
    <w:p w14:paraId="49BE00D5" w14:textId="77777777" w:rsidR="00FA1DC1" w:rsidRPr="00E72B4B" w:rsidRDefault="00FA1DC1" w:rsidP="00FA1DC1">
      <w:pPr>
        <w:rPr>
          <w:b/>
          <w:sz w:val="24"/>
          <w:szCs w:val="24"/>
          <w:u w:val="single"/>
        </w:rPr>
      </w:pPr>
      <w:r w:rsidRPr="00E72B4B">
        <w:rPr>
          <w:b/>
          <w:sz w:val="24"/>
          <w:szCs w:val="24"/>
          <w:u w:val="single"/>
        </w:rPr>
        <w:t>References – Task 1</w:t>
      </w:r>
    </w:p>
    <w:p w14:paraId="1932B663" w14:textId="77777777" w:rsidR="00FA1DC1" w:rsidRPr="00E72B4B" w:rsidRDefault="00FA1DC1" w:rsidP="00FA1DC1">
      <w:pPr>
        <w:rPr>
          <w:b/>
          <w:sz w:val="24"/>
          <w:szCs w:val="24"/>
          <w:u w:val="single"/>
        </w:rPr>
      </w:pPr>
    </w:p>
    <w:p w14:paraId="498BA09F" w14:textId="77777777" w:rsidR="00FA1DC1" w:rsidRPr="00E72B4B" w:rsidRDefault="00FA1DC1" w:rsidP="00FA1DC1">
      <w:pPr>
        <w:rPr>
          <w:rFonts w:cstheme="minorHAnsi"/>
          <w:sz w:val="24"/>
          <w:szCs w:val="24"/>
        </w:rPr>
      </w:pPr>
      <w:r w:rsidRPr="00E72B4B">
        <w:rPr>
          <w:rFonts w:cstheme="minorHAnsi"/>
          <w:color w:val="333333"/>
          <w:sz w:val="24"/>
          <w:szCs w:val="24"/>
        </w:rPr>
        <w:t>Boyatzis, Richard E. Executive Excellence; Provo Vol. 21. Issue 2, (Feb 2004): 11-12</w:t>
      </w:r>
    </w:p>
    <w:p w14:paraId="0C9DD77F" w14:textId="77777777" w:rsidR="00FA1DC1" w:rsidRPr="00E72B4B" w:rsidRDefault="00FA1DC1" w:rsidP="00FA1DC1">
      <w:pPr>
        <w:rPr>
          <w:rFonts w:cstheme="minorHAnsi"/>
          <w:sz w:val="24"/>
          <w:szCs w:val="24"/>
        </w:rPr>
      </w:pPr>
      <w:r w:rsidRPr="00E72B4B">
        <w:rPr>
          <w:rFonts w:cstheme="minorHAnsi"/>
          <w:sz w:val="24"/>
          <w:szCs w:val="24"/>
        </w:rPr>
        <w:t>Boud, D., Keogh, R. &amp; Walker, D. (1985) p 43 Reflection: Turning Experience into Learning. London: Kogan Page.</w:t>
      </w:r>
    </w:p>
    <w:p w14:paraId="1E60CD8C" w14:textId="77777777" w:rsidR="00FA1DC1" w:rsidRPr="00E72B4B" w:rsidRDefault="00FA1DC1" w:rsidP="00FA1DC1">
      <w:pPr>
        <w:rPr>
          <w:rFonts w:cstheme="minorHAnsi"/>
          <w:sz w:val="24"/>
          <w:szCs w:val="24"/>
        </w:rPr>
      </w:pPr>
      <w:r w:rsidRPr="00E72B4B">
        <w:rPr>
          <w:sz w:val="24"/>
          <w:szCs w:val="24"/>
        </w:rPr>
        <w:t>Gibbs, G. (1988) Learning by doing: A guide to teaching and learning methods. Further Educational Unit, Oxford Polytechnic, Oxford.</w:t>
      </w:r>
    </w:p>
    <w:p w14:paraId="02BA465C" w14:textId="77777777" w:rsidR="00FA1DC1" w:rsidRPr="00E72B4B" w:rsidRDefault="00FA1DC1" w:rsidP="00FA1DC1">
      <w:pPr>
        <w:rPr>
          <w:rFonts w:cstheme="minorHAnsi"/>
          <w:color w:val="333333"/>
          <w:sz w:val="24"/>
          <w:szCs w:val="24"/>
        </w:rPr>
      </w:pPr>
      <w:r w:rsidRPr="00E72B4B">
        <w:rPr>
          <w:rFonts w:cstheme="minorHAnsi"/>
          <w:color w:val="333333"/>
          <w:sz w:val="24"/>
          <w:szCs w:val="24"/>
        </w:rPr>
        <w:t xml:space="preserve">Goleman, D., Boyatzis, R. , and McKee, A. (2002). The emotional reality of teams. </w:t>
      </w:r>
      <w:r w:rsidRPr="00E72B4B">
        <w:rPr>
          <w:rStyle w:val="Emphasis"/>
          <w:rFonts w:cstheme="minorHAnsi"/>
          <w:color w:val="333333"/>
          <w:sz w:val="24"/>
          <w:szCs w:val="24"/>
        </w:rPr>
        <w:t>Journal of Organizational Excellence</w:t>
      </w:r>
      <w:r w:rsidRPr="00E72B4B">
        <w:rPr>
          <w:rFonts w:cstheme="minorHAnsi"/>
          <w:color w:val="333333"/>
          <w:sz w:val="24"/>
          <w:szCs w:val="24"/>
        </w:rPr>
        <w:t>, 21(2), 55-65.</w:t>
      </w:r>
    </w:p>
    <w:p w14:paraId="3F29EA60" w14:textId="77777777" w:rsidR="00FA1DC1" w:rsidRPr="00E72B4B" w:rsidRDefault="00FA1DC1" w:rsidP="00FA1DC1">
      <w:pPr>
        <w:rPr>
          <w:sz w:val="24"/>
          <w:szCs w:val="24"/>
        </w:rPr>
      </w:pPr>
      <w:r w:rsidRPr="00E72B4B">
        <w:rPr>
          <w:sz w:val="24"/>
          <w:szCs w:val="24"/>
        </w:rPr>
        <w:t>Jones, Derek (2015). Reﬂection-in-action and motivated reasoning. In: Proceedings of the 3rd International Conference for Design Education Researchers (VandeZande, Robin; Bohemia, Erik and Digranes, Ingvild eds.), Aalto University, pp. 1599–1615</w:t>
      </w:r>
    </w:p>
    <w:p w14:paraId="46112C22" w14:textId="77777777" w:rsidR="00FA1DC1" w:rsidRPr="00E72B4B" w:rsidRDefault="00FA1DC1" w:rsidP="00FA1DC1">
      <w:pPr>
        <w:rPr>
          <w:sz w:val="24"/>
          <w:szCs w:val="24"/>
        </w:rPr>
      </w:pPr>
      <w:r w:rsidRPr="00E72B4B">
        <w:rPr>
          <w:sz w:val="24"/>
          <w:szCs w:val="24"/>
        </w:rPr>
        <w:t>Kings College London: 2015 Reflective Practice – Social Car workforce Research Unit [ONLINE]</w:t>
      </w:r>
    </w:p>
    <w:p w14:paraId="1BD6FB3B" w14:textId="221A1E76" w:rsidR="00FA1DC1" w:rsidRPr="00E72B4B" w:rsidRDefault="00E72B4B" w:rsidP="00FA1DC1">
      <w:pPr>
        <w:rPr>
          <w:rStyle w:val="Hyperlink"/>
          <w:b/>
          <w:sz w:val="24"/>
          <w:szCs w:val="24"/>
        </w:rPr>
      </w:pPr>
      <w:hyperlink r:id="rId12" w:history="1">
        <w:r w:rsidR="00FA1DC1" w:rsidRPr="00E72B4B">
          <w:rPr>
            <w:rStyle w:val="Hyperlink"/>
            <w:b/>
            <w:sz w:val="24"/>
            <w:szCs w:val="24"/>
          </w:rPr>
          <w:t>https://www.kcl.ac.uk/scwru/pubs/2015/conf/manthorpe-and-baginsky-15jan15.pdf Accessed 21/10/2019</w:t>
        </w:r>
      </w:hyperlink>
    </w:p>
    <w:p w14:paraId="5F0F500F" w14:textId="77777777" w:rsidR="00230E02" w:rsidRPr="00E72B4B" w:rsidRDefault="00230E02" w:rsidP="00FA1DC1">
      <w:pPr>
        <w:rPr>
          <w:b/>
          <w:sz w:val="24"/>
          <w:szCs w:val="24"/>
          <w:u w:val="single"/>
        </w:rPr>
      </w:pPr>
    </w:p>
    <w:p w14:paraId="2170C8F9" w14:textId="77777777" w:rsidR="00FA1DC1" w:rsidRPr="00E72B4B" w:rsidRDefault="00FA1DC1" w:rsidP="00FA1DC1">
      <w:pPr>
        <w:rPr>
          <w:sz w:val="24"/>
          <w:szCs w:val="24"/>
        </w:rPr>
      </w:pPr>
      <w:r w:rsidRPr="00E72B4B">
        <w:rPr>
          <w:sz w:val="24"/>
          <w:szCs w:val="24"/>
        </w:rPr>
        <w:t>Oxford Brookes:  Reflective writing: About Gibbs reflective cycle [ONLINE]</w:t>
      </w:r>
    </w:p>
    <w:p w14:paraId="7EDAB752" w14:textId="2FDF4FA5" w:rsidR="00FA1DC1" w:rsidRPr="00E72B4B" w:rsidRDefault="00E72B4B" w:rsidP="00FA1DC1">
      <w:pPr>
        <w:rPr>
          <w:sz w:val="24"/>
          <w:szCs w:val="24"/>
        </w:rPr>
      </w:pPr>
      <w:hyperlink r:id="rId13" w:history="1">
        <w:r w:rsidR="00FA1DC1" w:rsidRPr="00E72B4B">
          <w:rPr>
            <w:rStyle w:val="Hyperlink"/>
            <w:sz w:val="24"/>
            <w:szCs w:val="24"/>
          </w:rPr>
          <w:t>https://www.brookes.ac.uk/students/upgrade/study-skills/reflective-writing-gibbs/</w:t>
        </w:r>
      </w:hyperlink>
      <w:r w:rsidR="00FA1DC1" w:rsidRPr="00E72B4B">
        <w:rPr>
          <w:sz w:val="24"/>
          <w:szCs w:val="24"/>
        </w:rPr>
        <w:t xml:space="preserve"> Accessed 22/10/2019</w:t>
      </w:r>
    </w:p>
    <w:p w14:paraId="24FF4A4E" w14:textId="77777777" w:rsidR="00230E02" w:rsidRPr="00E72B4B" w:rsidRDefault="00230E02" w:rsidP="00FA1DC1">
      <w:pPr>
        <w:rPr>
          <w:sz w:val="24"/>
          <w:szCs w:val="24"/>
        </w:rPr>
      </w:pPr>
    </w:p>
    <w:p w14:paraId="27B7ADD7" w14:textId="77777777" w:rsidR="00FA1DC1" w:rsidRPr="00E72B4B" w:rsidRDefault="00FA1DC1" w:rsidP="00FA1DC1">
      <w:pPr>
        <w:rPr>
          <w:rFonts w:cstheme="minorHAnsi"/>
          <w:sz w:val="24"/>
          <w:szCs w:val="24"/>
        </w:rPr>
      </w:pPr>
      <w:r w:rsidRPr="00E72B4B">
        <w:rPr>
          <w:rFonts w:cstheme="minorHAnsi"/>
          <w:sz w:val="24"/>
          <w:szCs w:val="24"/>
        </w:rPr>
        <w:t xml:space="preserve">Schon, D. (1983). </w:t>
      </w:r>
      <w:r w:rsidRPr="00E72B4B">
        <w:rPr>
          <w:rFonts w:cstheme="minorHAnsi"/>
          <w:i/>
          <w:iCs/>
          <w:sz w:val="24"/>
          <w:szCs w:val="24"/>
        </w:rPr>
        <w:t>The Reflective Practitioner How Professionals Think in Action</w:t>
      </w:r>
      <w:r w:rsidRPr="00E72B4B">
        <w:rPr>
          <w:rFonts w:cstheme="minorHAnsi"/>
          <w:sz w:val="24"/>
          <w:szCs w:val="24"/>
        </w:rPr>
        <w:t xml:space="preserve"> p140-160 Aldershot: Ashgate Publishing.</w:t>
      </w:r>
    </w:p>
    <w:bookmarkEnd w:id="0"/>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935EBC">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11DDFD4" w14:textId="77777777" w:rsidR="005A4939" w:rsidRPr="005A4939" w:rsidRDefault="005A4939" w:rsidP="005A4939">
      <w:pPr>
        <w:rPr>
          <w:rFonts w:asciiTheme="minorHAnsi" w:hAnsiTheme="minorHAnsi" w:cstheme="minorHAnsi"/>
          <w:b/>
          <w:sz w:val="22"/>
          <w:szCs w:val="22"/>
          <w:u w:val="single"/>
        </w:rPr>
      </w:pPr>
      <w:r w:rsidRPr="005A4939">
        <w:rPr>
          <w:rFonts w:asciiTheme="minorHAnsi" w:hAnsiTheme="minorHAnsi" w:cstheme="minorHAnsi"/>
          <w:b/>
          <w:sz w:val="22"/>
          <w:szCs w:val="22"/>
          <w:u w:val="single"/>
        </w:rPr>
        <w:t xml:space="preserve">Task 2 </w:t>
      </w:r>
    </w:p>
    <w:p w14:paraId="1220932C"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The initial call made to the public service centre was a male trying the door handles of properties at a cul-de-sac containing houses and flats, myself and two male colleagues responded to the emergency call and a description was given of the male we were looking for.</w:t>
      </w:r>
    </w:p>
    <w:p w14:paraId="06BAB995"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 xml:space="preserve">On attendance I activated my Body Worn camera and I could see a young, mixed race male matching the description we had been given, who was standing near the front door of the reporting person. As I approached the male, I asked him to stop so we could speak to him and he immediately said he hadn’t done anything and that he was leaving.  He was asked to stay again by my colleague and it was explained that we had been called to the area following a report of a suspicious male and that he matched the description passed and for that reason there were reasonable grounds for him to be searched. </w:t>
      </w:r>
    </w:p>
    <w:p w14:paraId="446E3E41" w14:textId="77777777" w:rsidR="005A4939" w:rsidRPr="005A4939" w:rsidRDefault="005A4939" w:rsidP="005A4939">
      <w:pPr>
        <w:spacing w:after="150" w:line="330" w:lineRule="atLeast"/>
        <w:rPr>
          <w:rFonts w:asciiTheme="minorHAnsi" w:hAnsiTheme="minorHAnsi" w:cstheme="minorHAnsi"/>
          <w:color w:val="333333"/>
          <w:sz w:val="22"/>
          <w:szCs w:val="22"/>
          <w:lang w:val="en-US"/>
        </w:rPr>
      </w:pPr>
      <w:r w:rsidRPr="005A4939">
        <w:rPr>
          <w:rFonts w:asciiTheme="minorHAnsi" w:hAnsiTheme="minorHAnsi" w:cstheme="minorHAnsi"/>
          <w:sz w:val="22"/>
          <w:szCs w:val="22"/>
        </w:rPr>
        <w:t>Referring to the Association of Chief Police Officers Risk Principles, “</w:t>
      </w:r>
      <w:r w:rsidRPr="005A4939">
        <w:rPr>
          <w:rFonts w:asciiTheme="minorHAnsi" w:hAnsiTheme="minorHAnsi" w:cstheme="minorHAnsi"/>
          <w:i/>
          <w:color w:val="333333"/>
          <w:sz w:val="22"/>
          <w:szCs w:val="22"/>
          <w:lang w:val="en-US"/>
        </w:rPr>
        <w:t xml:space="preserve">Maintaining or achieving the safety, security and wellbeing of individuals and communities is a primary consideration in risk decision making.” (ACPO Risk Principles 2018). </w:t>
      </w:r>
      <w:r w:rsidRPr="005A4939">
        <w:rPr>
          <w:rFonts w:asciiTheme="minorHAnsi" w:hAnsiTheme="minorHAnsi" w:cstheme="minorHAnsi"/>
          <w:color w:val="333333"/>
          <w:sz w:val="22"/>
          <w:szCs w:val="22"/>
          <w:lang w:val="en-US"/>
        </w:rPr>
        <w:t xml:space="preserve">On finding the male, he was asked </w:t>
      </w:r>
      <w:r w:rsidRPr="005A4939">
        <w:rPr>
          <w:rFonts w:asciiTheme="minorHAnsi" w:hAnsiTheme="minorHAnsi" w:cstheme="minorHAnsi"/>
          <w:sz w:val="22"/>
          <w:szCs w:val="22"/>
        </w:rPr>
        <w:t>if he had any good reason to be trying door handles or attempting to climb into nearby gardens. Initially the male was happy to answer questions saying</w:t>
      </w:r>
      <w:r w:rsidRPr="005A4939">
        <w:rPr>
          <w:rFonts w:asciiTheme="minorHAnsi" w:hAnsiTheme="minorHAnsi" w:cstheme="minorHAnsi"/>
          <w:color w:val="333333"/>
          <w:sz w:val="22"/>
          <w:szCs w:val="22"/>
          <w:lang w:val="en-US"/>
        </w:rPr>
        <w:t xml:space="preserve"> he was attempting to get into his girlfriend’s house and had previously climbed through the back gardens to gain access. When he was talking I was considering the plausibility of his claim and how his risk taking </w:t>
      </w:r>
      <w:r w:rsidRPr="005A4939">
        <w:rPr>
          <w:rFonts w:asciiTheme="minorHAnsi" w:hAnsiTheme="minorHAnsi" w:cstheme="minorHAnsi"/>
          <w:color w:val="333333"/>
          <w:sz w:val="22"/>
          <w:szCs w:val="22"/>
          <w:lang w:val="en-US"/>
        </w:rPr>
        <w:lastRenderedPageBreak/>
        <w:t xml:space="preserve">behavior had caused alarm </w:t>
      </w:r>
      <w:r w:rsidRPr="005A4939">
        <w:rPr>
          <w:rFonts w:asciiTheme="minorHAnsi" w:hAnsiTheme="minorHAnsi" w:cstheme="minorHAnsi"/>
          <w:sz w:val="22"/>
          <w:szCs w:val="22"/>
        </w:rPr>
        <w:t xml:space="preserve">and the neighbours to be concerned that it was more serious </w:t>
      </w:r>
      <w:r w:rsidRPr="005A4939">
        <w:rPr>
          <w:rFonts w:asciiTheme="minorHAnsi" w:hAnsiTheme="minorHAnsi" w:cstheme="minorHAnsi"/>
          <w:color w:val="333333"/>
          <w:sz w:val="22"/>
          <w:szCs w:val="22"/>
          <w:lang w:val="en-US"/>
        </w:rPr>
        <w:t>and that the reporting person had been scared so it is part of the responsibility of the attending officers to maintain the safety of the community and to reassure them.</w:t>
      </w:r>
    </w:p>
    <w:p w14:paraId="54571522" w14:textId="77777777" w:rsidR="005A4939" w:rsidRPr="005A4939" w:rsidRDefault="005A4939" w:rsidP="005A4939">
      <w:pPr>
        <w:spacing w:after="150" w:line="330" w:lineRule="atLeast"/>
        <w:rPr>
          <w:rFonts w:asciiTheme="minorHAnsi" w:hAnsiTheme="minorHAnsi" w:cstheme="minorHAnsi"/>
          <w:color w:val="333333"/>
          <w:sz w:val="22"/>
          <w:szCs w:val="22"/>
          <w:lang w:val="en-US"/>
        </w:rPr>
      </w:pPr>
      <w:r w:rsidRPr="005A4939">
        <w:rPr>
          <w:rFonts w:asciiTheme="minorHAnsi" w:hAnsiTheme="minorHAnsi" w:cstheme="minorHAnsi"/>
          <w:color w:val="333333"/>
          <w:sz w:val="22"/>
          <w:szCs w:val="22"/>
          <w:lang w:val="en-US"/>
        </w:rPr>
        <w:t>Under the Equality Act 2010, any search of a suspect has to be conducted by a member of the same sex because an officer has a “</w:t>
      </w:r>
      <w:r w:rsidRPr="005A4939">
        <w:rPr>
          <w:rFonts w:asciiTheme="minorHAnsi" w:hAnsiTheme="minorHAnsi" w:cstheme="minorHAnsi"/>
          <w:i/>
          <w:color w:val="333333"/>
          <w:sz w:val="22"/>
          <w:szCs w:val="22"/>
          <w:lang w:val="en-US"/>
        </w:rPr>
        <w:t xml:space="preserve">duty to have due regard to the need to eliminate unlawful discrimination, harassment and victimization” (Equality Act 2010) </w:t>
      </w:r>
      <w:r w:rsidRPr="005A4939">
        <w:rPr>
          <w:rFonts w:asciiTheme="minorHAnsi" w:hAnsiTheme="minorHAnsi" w:cstheme="minorHAnsi"/>
          <w:color w:val="333333"/>
          <w:sz w:val="22"/>
          <w:szCs w:val="22"/>
          <w:lang w:val="en-US"/>
        </w:rPr>
        <w:t xml:space="preserve">and in this instance </w:t>
      </w:r>
      <w:r w:rsidRPr="005A4939">
        <w:rPr>
          <w:rFonts w:asciiTheme="minorHAnsi" w:hAnsiTheme="minorHAnsi" w:cstheme="minorHAnsi"/>
          <w:sz w:val="22"/>
          <w:szCs w:val="22"/>
        </w:rPr>
        <w:t>my colleague explained the stop and search process under Code A of PACE 1984. A stop and search is used to confirm or negate an officer’s suspicions about an individual</w:t>
      </w:r>
    </w:p>
    <w:p w14:paraId="2BD2AB2B" w14:textId="77777777" w:rsidR="005A4939" w:rsidRPr="005A4939" w:rsidRDefault="005A4939" w:rsidP="005A4939">
      <w:pPr>
        <w:spacing w:after="150" w:line="330" w:lineRule="atLeast"/>
        <w:rPr>
          <w:rFonts w:asciiTheme="minorHAnsi" w:hAnsiTheme="minorHAnsi" w:cstheme="minorHAnsi"/>
          <w:color w:val="333333"/>
          <w:sz w:val="22"/>
          <w:szCs w:val="22"/>
          <w:lang w:val="en-US"/>
        </w:rPr>
      </w:pPr>
      <w:r w:rsidRPr="005A4939">
        <w:rPr>
          <w:rFonts w:asciiTheme="minorHAnsi" w:hAnsiTheme="minorHAnsi" w:cstheme="minorHAnsi"/>
          <w:sz w:val="22"/>
          <w:szCs w:val="22"/>
        </w:rPr>
        <w:t xml:space="preserve">And in Section 1 of PACE 1984 it states that a person can be detained if a constable has reasonable grounds to suspect that he/she would be carrying stolen or prohibited articles or for controlled drugs, in this instance any instrument that could be used to gain access to the property. </w:t>
      </w:r>
    </w:p>
    <w:p w14:paraId="4BFD6717"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 xml:space="preserve">With any search, considerations have to be made; </w:t>
      </w:r>
      <w:r w:rsidRPr="005A4939">
        <w:rPr>
          <w:rFonts w:asciiTheme="minorHAnsi" w:hAnsiTheme="minorHAnsi" w:cstheme="minorHAnsi"/>
          <w:i/>
          <w:sz w:val="22"/>
          <w:szCs w:val="22"/>
        </w:rPr>
        <w:t>“Powers to stop and search must be used fairly, responsibly, with respect for people being searched and without unlawful discrimination” (PACE 1984 Code A)</w:t>
      </w:r>
      <w:r w:rsidRPr="005A4939">
        <w:rPr>
          <w:rFonts w:asciiTheme="minorHAnsi" w:hAnsiTheme="minorHAnsi" w:cstheme="minorHAnsi"/>
          <w:sz w:val="22"/>
          <w:szCs w:val="22"/>
        </w:rPr>
        <w:t xml:space="preserve"> </w:t>
      </w:r>
    </w:p>
    <w:p w14:paraId="5368A85C"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 xml:space="preserve">The male said that he couldn’t be detained for search as he hadn’t done anything. Stop and search is a valuable power for constables but it is important to use discretion and explain what is going on to the subject because they need to understand the purpose of the search and that it is justified. By placing your hands on an individual that can cause conflict because they could be scared or feel it is unfair to be searched if they are innocent and sometimes it is a distrust in police that can aggravate a situation and make it dangerous for the officer and subject. If a subject is hiding a prohibited article it could make the officer vulnerable as the subject could do anything to protect themselves and make off. </w:t>
      </w:r>
    </w:p>
    <w:p w14:paraId="710FA471"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The search began and the male attempted to remove all of his clothes in the street, he was shouting very loudly and was quite fidgety and agitated. I quickly told him to put his clothes back on because it wasn’t appropriate and that it was a search of his outer clothing only and my colleague stood in front of him so he could not be seen by other residents, a few residents had gathered about 25metres away trying to see what was happening. No prohibited items were found on the male during the search.</w:t>
      </w:r>
    </w:p>
    <w:p w14:paraId="002466C9"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He started to pace the car park area in front of the houses and was clenching his fists and walking quickly around in circles, he was becoming more agitated and said words to the effect of “I WANT TO LEAVE”. Whilst the stop/search form was being completed the male was asked to stay so as he was pacing back and forth, he kept shouting louder and louder “I WANT TO LEAVE”, “YOU CAN’T DETAIN ME” and “I KNOW MY RIGHTS”.</w:t>
      </w:r>
    </w:p>
    <w:p w14:paraId="0F87D782"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 xml:space="preserve">Myself and one of my colleagues positioned ourselves in a ten and two position so we could block any potential avenue for the male to leave.  The male then sat on the doorstep of a property nearby and it was at this point that I noticed a small plastic bag protruding from his left trouser leg and when he stood up, the packet fell from his trouser leg and the male reached down picked it up and put it in his wallet. He was very quick to do this so as no one would notice. The male was asked what he had put in his wallet and he showed us and it was seized as it contained Class B Cannabis and on closer inspection it also contained 10 unknown tablets to which he said words to the effect of “THEY’RE DIAZEPAM, I DON’T HAVE A  PRESCRIPTION, I NEED THEM”. It was explained to the male that without a prescription it was illegal for him to be in possession of the drugs and his response was “IF I DON’T TAKE THEM, I’LL GET ILL AND IT WILL BE ALL YOUR FAULT”. </w:t>
      </w:r>
    </w:p>
    <w:p w14:paraId="69634954"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Once the male was found with drugs in his possession, the decision to arrest him was made and due to the male’s behaviour during the incident, I was unsure of how he would react to being arrested and needed to maintain good communication with both of my colleagues so we all knew what to do next. I was a little apprehensive of the male suddenly making a run for it or turning violent as I moved forward to arrest him.</w:t>
      </w:r>
    </w:p>
    <w:p w14:paraId="2100FF14" w14:textId="77777777" w:rsidR="005A4939" w:rsidRPr="005A4939" w:rsidRDefault="005A4939" w:rsidP="005A4939">
      <w:pPr>
        <w:rPr>
          <w:rFonts w:asciiTheme="minorHAnsi" w:hAnsiTheme="minorHAnsi" w:cstheme="minorHAnsi"/>
          <w:sz w:val="22"/>
          <w:szCs w:val="22"/>
        </w:rPr>
      </w:pPr>
    </w:p>
    <w:p w14:paraId="3E466CF8"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 xml:space="preserve">Under Code of Practice G of PACE </w:t>
      </w:r>
      <w:r w:rsidRPr="005A4939">
        <w:rPr>
          <w:rFonts w:asciiTheme="minorHAnsi" w:hAnsiTheme="minorHAnsi" w:cstheme="minorHAnsi"/>
          <w:i/>
          <w:sz w:val="22"/>
          <w:szCs w:val="22"/>
        </w:rPr>
        <w:t xml:space="preserve">“When the power of arrest is exercised it is essential that it is exercised in a non-discriminatory and proportionate manner” </w:t>
      </w:r>
      <w:r w:rsidRPr="005A4939">
        <w:rPr>
          <w:rFonts w:asciiTheme="minorHAnsi" w:hAnsiTheme="minorHAnsi" w:cstheme="minorHAnsi"/>
          <w:sz w:val="22"/>
          <w:szCs w:val="22"/>
        </w:rPr>
        <w:t xml:space="preserve">which means consideration of a person’s right to liberty </w:t>
      </w:r>
      <w:r w:rsidRPr="005A4939">
        <w:rPr>
          <w:rFonts w:asciiTheme="minorHAnsi" w:hAnsiTheme="minorHAnsi" w:cstheme="minorHAnsi"/>
          <w:sz w:val="22"/>
          <w:szCs w:val="22"/>
        </w:rPr>
        <w:lastRenderedPageBreak/>
        <w:t xml:space="preserve">needs to be taken,  under Article 5 </w:t>
      </w:r>
      <w:r w:rsidRPr="005A4939">
        <w:rPr>
          <w:rFonts w:asciiTheme="minorHAnsi" w:hAnsiTheme="minorHAnsi" w:cstheme="minorHAnsi"/>
          <w:i/>
          <w:sz w:val="22"/>
          <w:szCs w:val="22"/>
        </w:rPr>
        <w:t xml:space="preserve">“(c)the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 </w:t>
      </w:r>
      <w:r w:rsidRPr="005A4939">
        <w:rPr>
          <w:rFonts w:asciiTheme="minorHAnsi" w:hAnsiTheme="minorHAnsi" w:cstheme="minorHAnsi"/>
          <w:sz w:val="22"/>
          <w:szCs w:val="22"/>
        </w:rPr>
        <w:t xml:space="preserve">(Article 5, Schedule 1, Human Rights Act 1998) </w:t>
      </w:r>
    </w:p>
    <w:p w14:paraId="2ECF439B"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Taking a person’s liberty is very serious and is governed by specific safeguard’s as stated above, the person must be told reasons for their detention, must be put before a judge as soon as is practicable, the detention can be challenged and if for any reason there is an instance of unlawful detention the person is entitled to compensation (Liberty Human Rights, 2019)</w:t>
      </w:r>
    </w:p>
    <w:p w14:paraId="60615F28" w14:textId="77777777" w:rsidR="005A4939" w:rsidRPr="005A4939" w:rsidRDefault="005A4939" w:rsidP="005A4939">
      <w:pPr>
        <w:rPr>
          <w:rFonts w:asciiTheme="minorHAnsi" w:hAnsiTheme="minorHAnsi" w:cstheme="minorHAnsi"/>
          <w:sz w:val="22"/>
          <w:szCs w:val="22"/>
        </w:rPr>
      </w:pPr>
    </w:p>
    <w:p w14:paraId="128C772C"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The male’s demeanour was aggressive and argumentative and I was mindful of Betari’s box and how my behaviour and attitude can have a direct correlation to the behaviour of the suspect and how I needed to maintain a calm demeanour and not raise my voice in order to deescalate the male’s aggression, I didn’t want to increase the volatility of the situation. Myself and my colleagues spoke clearly and continued speaking to the male so he understood what was happening. The male was slurring and mumbling and I believe this was exacerbated by the fact that he was under the influence of alcohol.</w:t>
      </w:r>
    </w:p>
    <w:p w14:paraId="31C48D34" w14:textId="77777777" w:rsidR="005A4939" w:rsidRPr="005A4939" w:rsidRDefault="005A4939" w:rsidP="005A4939">
      <w:pPr>
        <w:rPr>
          <w:rFonts w:asciiTheme="minorHAnsi" w:hAnsiTheme="minorHAnsi" w:cstheme="minorHAnsi"/>
          <w:b/>
          <w:sz w:val="22"/>
          <w:szCs w:val="22"/>
        </w:rPr>
      </w:pPr>
    </w:p>
    <w:p w14:paraId="5C69E2E6"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We kept a safe distance from the male approximately 2-3 metres, so we were close enough to challenge the male if needed, I continued talking to the male trying to establish a rapport with him. On occasion he would have an outburst saying “YOU CAN’T DETAIN ME” and “I’VE BEEN TO PRISON SO I WOULDN’T DO ANYTHING TO GO BACK THERE” When he had these outbursts I was very aware of my body language and I remember thinking that he wasn’t really listening at times but kept making eye contact and was watching my feet, so he was taking notice of me and my colleagues but it was our movements and tone that was holding his attention not the words. I tried to keep my body language as open as possible and use a calm tone even though I sometimes needed to be more assertive to keep better control of the situation.</w:t>
      </w:r>
    </w:p>
    <w:p w14:paraId="653277AE" w14:textId="77777777" w:rsidR="005A4939" w:rsidRPr="005A4939" w:rsidRDefault="005A4939" w:rsidP="005A4939">
      <w:pPr>
        <w:rPr>
          <w:rFonts w:asciiTheme="minorHAnsi" w:hAnsiTheme="minorHAnsi" w:cstheme="minorHAnsi"/>
          <w:sz w:val="22"/>
          <w:szCs w:val="22"/>
        </w:rPr>
      </w:pPr>
    </w:p>
    <w:p w14:paraId="5C263E27"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As I moved to arrest the male, he turned away from me very quickly and lunged toward my colleague attempting to take the small plastic bag containing drugs from him and run away. My second colleague has then taken hold of the male by the tops of his arms and they have both gone to the floor, he was told to stop resisting and stay still, the male continued to resist and be verbally aggressive and actively resisting the handcuffs being applied. Myself and colleagues were telling the male to stop resisting .After approximately 30 seconds, I handcuffed him in the rear back to back position and picked up to the standing position.</w:t>
      </w:r>
    </w:p>
    <w:p w14:paraId="422B463E" w14:textId="77777777" w:rsidR="005A4939" w:rsidRPr="005A4939" w:rsidRDefault="005A4939" w:rsidP="005A4939">
      <w:pPr>
        <w:rPr>
          <w:rFonts w:asciiTheme="minorHAnsi" w:hAnsiTheme="minorHAnsi" w:cstheme="minorHAnsi"/>
          <w:sz w:val="22"/>
          <w:szCs w:val="22"/>
        </w:rPr>
      </w:pPr>
    </w:p>
    <w:p w14:paraId="11329DD4" w14:textId="77777777" w:rsidR="005A4939" w:rsidRPr="005A4939" w:rsidRDefault="005A4939" w:rsidP="005A4939">
      <w:pPr>
        <w:widowControl w:val="0"/>
        <w:jc w:val="both"/>
        <w:rPr>
          <w:rFonts w:asciiTheme="minorHAnsi" w:hAnsiTheme="minorHAnsi" w:cstheme="minorHAnsi"/>
          <w:sz w:val="22"/>
          <w:szCs w:val="22"/>
        </w:rPr>
      </w:pPr>
      <w:r w:rsidRPr="005A4939">
        <w:rPr>
          <w:rFonts w:asciiTheme="minorHAnsi" w:hAnsiTheme="minorHAnsi" w:cstheme="minorHAnsi"/>
          <w:sz w:val="22"/>
          <w:szCs w:val="22"/>
        </w:rPr>
        <w:t>The male was conveyed to the police station whilst en-route to custody he repeatedly made threats towards us saying words to the effect of “WAIT TILL I GET OUT OF HERE I’LL PUT YOU TO SLEEP, I’M A PROFESSIONAL BOXER”. He continued his aggressive and threatening behaviour in custody where he made threats towards detention officers stating he was going to hit them.</w:t>
      </w:r>
    </w:p>
    <w:p w14:paraId="5DDD97AB" w14:textId="77777777" w:rsidR="005A4939" w:rsidRPr="005A4939" w:rsidRDefault="005A4939" w:rsidP="005A4939">
      <w:pPr>
        <w:tabs>
          <w:tab w:val="left" w:pos="1134"/>
        </w:tabs>
        <w:rPr>
          <w:rFonts w:asciiTheme="minorHAnsi" w:hAnsiTheme="minorHAnsi" w:cstheme="minorHAnsi"/>
          <w:sz w:val="22"/>
          <w:szCs w:val="22"/>
        </w:rPr>
      </w:pPr>
    </w:p>
    <w:p w14:paraId="19106A2B" w14:textId="77777777" w:rsidR="005A4939" w:rsidRPr="005A4939" w:rsidRDefault="005A4939" w:rsidP="005A4939">
      <w:pPr>
        <w:tabs>
          <w:tab w:val="left" w:pos="1134"/>
        </w:tabs>
        <w:rPr>
          <w:rFonts w:asciiTheme="minorHAnsi" w:hAnsiTheme="minorHAnsi" w:cstheme="minorHAnsi"/>
          <w:sz w:val="22"/>
          <w:szCs w:val="22"/>
        </w:rPr>
      </w:pPr>
      <w:r w:rsidRPr="005A4939">
        <w:rPr>
          <w:rFonts w:asciiTheme="minorHAnsi" w:hAnsiTheme="minorHAnsi" w:cstheme="minorHAnsi"/>
          <w:sz w:val="22"/>
          <w:szCs w:val="22"/>
        </w:rPr>
        <w:t xml:space="preserve">The male’s behaviour throughout was aggressive so the fact he was making threats didn’t phase me, I just wanted to make sure my colleagues and I were safe. I didn’t fear for my safety and we kept the male under control during handcuffing and transporting to make sure he was safe at all times. </w:t>
      </w:r>
    </w:p>
    <w:p w14:paraId="25C5AE71" w14:textId="77777777" w:rsidR="005A4939" w:rsidRPr="005A4939" w:rsidRDefault="005A4939" w:rsidP="005A4939">
      <w:pPr>
        <w:rPr>
          <w:rFonts w:asciiTheme="minorHAnsi" w:hAnsiTheme="minorHAnsi" w:cstheme="minorHAnsi"/>
          <w:sz w:val="22"/>
          <w:szCs w:val="22"/>
        </w:rPr>
      </w:pPr>
    </w:p>
    <w:p w14:paraId="2BC1EF15" w14:textId="77777777" w:rsidR="005A4939" w:rsidRPr="005A4939" w:rsidRDefault="005A4939" w:rsidP="005A4939">
      <w:pPr>
        <w:rPr>
          <w:rFonts w:asciiTheme="minorHAnsi" w:hAnsiTheme="minorHAnsi" w:cstheme="minorHAnsi"/>
          <w:bCs/>
          <w:sz w:val="22"/>
          <w:szCs w:val="22"/>
        </w:rPr>
      </w:pPr>
      <w:r w:rsidRPr="005A4939">
        <w:rPr>
          <w:rFonts w:asciiTheme="minorHAnsi" w:hAnsiTheme="minorHAnsi" w:cstheme="minorHAnsi"/>
          <w:sz w:val="22"/>
          <w:szCs w:val="22"/>
        </w:rPr>
        <w:t xml:space="preserve">The National Decision Making Model was at the forefront when dealing with the male to think of further actions and also put the male’s behaviour into context, by arriving at the scene we already made an impact on the male. </w:t>
      </w:r>
      <w:r w:rsidRPr="005A4939">
        <w:rPr>
          <w:rFonts w:asciiTheme="minorHAnsi" w:hAnsiTheme="minorHAnsi" w:cstheme="minorHAnsi"/>
          <w:bCs/>
          <w:sz w:val="22"/>
          <w:szCs w:val="22"/>
        </w:rPr>
        <w:t xml:space="preserve">By maintaining open communication between myself and my colleagues I was always considering our tactical options and contingencies because we were never quite sure if the male’s behaviour would escalate. Our presence alone meant that his body language was quite closed and he would throw his arms out to the side as he shouted, palms facing towards us. </w:t>
      </w:r>
      <w:r w:rsidRPr="005A4939">
        <w:rPr>
          <w:rFonts w:asciiTheme="minorHAnsi" w:hAnsiTheme="minorHAnsi" w:cstheme="minorHAnsi"/>
          <w:sz w:val="22"/>
          <w:szCs w:val="22"/>
        </w:rPr>
        <w:t xml:space="preserve">He was not happy to see us and was very quick to try and leave the location when we got there. I think his physical gestures were meant to be intimidating. He was difficult to engage with and throughout the incident the male was verbally resistant and was gesturing with his arms that he wanted to leave. </w:t>
      </w:r>
    </w:p>
    <w:p w14:paraId="49FDBDCA" w14:textId="77777777" w:rsidR="005A4939" w:rsidRPr="005A4939" w:rsidRDefault="005A4939" w:rsidP="005A4939">
      <w:pPr>
        <w:rPr>
          <w:rFonts w:asciiTheme="minorHAnsi" w:hAnsiTheme="minorHAnsi" w:cstheme="minorHAnsi"/>
          <w:bCs/>
          <w:sz w:val="22"/>
          <w:szCs w:val="22"/>
        </w:rPr>
      </w:pPr>
    </w:p>
    <w:p w14:paraId="2666BAF6" w14:textId="77777777" w:rsidR="005A4939" w:rsidRPr="005A4939" w:rsidRDefault="005A4939" w:rsidP="005A4939">
      <w:pPr>
        <w:rPr>
          <w:rFonts w:asciiTheme="minorHAnsi" w:hAnsiTheme="minorHAnsi" w:cstheme="minorHAnsi"/>
          <w:bCs/>
          <w:sz w:val="22"/>
          <w:szCs w:val="22"/>
        </w:rPr>
      </w:pPr>
      <w:r w:rsidRPr="005A4939">
        <w:rPr>
          <w:rFonts w:asciiTheme="minorHAnsi" w:hAnsiTheme="minorHAnsi" w:cstheme="minorHAnsi"/>
          <w:bCs/>
          <w:sz w:val="22"/>
          <w:szCs w:val="22"/>
        </w:rPr>
        <w:lastRenderedPageBreak/>
        <w:t>The dynamic risk assessment for this incident was based on the type of call as an emergency, the report itself and then the warning markers for the male once we had ascertained who he was. The environment was a factor because we were in the middle of a housing estate and the male was actively trying to leave the area. And the male was intoxicated which contributed to his erratic behaviour.</w:t>
      </w:r>
    </w:p>
    <w:p w14:paraId="4E1F3B45" w14:textId="77777777" w:rsidR="005A4939" w:rsidRPr="005A4939" w:rsidRDefault="005A4939" w:rsidP="005A4939">
      <w:pPr>
        <w:rPr>
          <w:rFonts w:asciiTheme="minorHAnsi" w:hAnsiTheme="minorHAnsi" w:cstheme="minorHAnsi"/>
          <w:sz w:val="22"/>
          <w:szCs w:val="22"/>
        </w:rPr>
      </w:pPr>
    </w:p>
    <w:p w14:paraId="1F319FFC"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 xml:space="preserve">As part of the powers and policy aspect of the NDM, I went back to the basics of Peelian principles in relation to use of force, </w:t>
      </w:r>
      <w:r w:rsidRPr="005A4939">
        <w:rPr>
          <w:rFonts w:asciiTheme="minorHAnsi" w:hAnsiTheme="minorHAnsi" w:cstheme="minorHAnsi"/>
          <w:i/>
          <w:sz w:val="22"/>
          <w:szCs w:val="22"/>
        </w:rPr>
        <w:t xml:space="preserve">“Police use physical force to the extent necessary to secure observance of the law or to restore order only when the exercise of persuasion, advice and warning is found to be insufficient”(College of Policing, July 2014) </w:t>
      </w:r>
      <w:r w:rsidRPr="005A4939">
        <w:rPr>
          <w:rFonts w:asciiTheme="minorHAnsi" w:hAnsiTheme="minorHAnsi" w:cstheme="minorHAnsi"/>
          <w:sz w:val="22"/>
          <w:szCs w:val="22"/>
        </w:rPr>
        <w:t xml:space="preserve">The expectation I have as an officer is that if I can resolve a situation by speaking to someone and talking through what they have experienced, the outcome will be more favourable than getting hands on and arresting someone. In this instance it was the only outcome as the male was found to have Class B controlled drugs and suspected Class A controlled drugs in his possession. </w:t>
      </w:r>
    </w:p>
    <w:p w14:paraId="4DD338D3" w14:textId="77777777" w:rsidR="005A4939" w:rsidRPr="005A4939" w:rsidRDefault="005A4939" w:rsidP="005A4939">
      <w:pPr>
        <w:rPr>
          <w:rFonts w:asciiTheme="minorHAnsi" w:hAnsiTheme="minorHAnsi" w:cstheme="minorHAnsi"/>
          <w:sz w:val="22"/>
          <w:szCs w:val="22"/>
        </w:rPr>
      </w:pPr>
    </w:p>
    <w:p w14:paraId="3B37CBEC"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 xml:space="preserve">The application of use of force during arrest has to be justified and reasonable in the circumstances </w:t>
      </w:r>
    </w:p>
    <w:p w14:paraId="6696EB55"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i/>
          <w:sz w:val="22"/>
          <w:szCs w:val="22"/>
        </w:rPr>
        <w:t>“Section 3(1) A person may use such force as is reasonable in the circumstances in the prevention of crime, or in effecting or assisting in the lawful arrest of offenders or suspected offenders or of persons unlawfully qt large”(Criminal Law Act 1967)</w:t>
      </w:r>
    </w:p>
    <w:p w14:paraId="46CF0A79" w14:textId="77777777" w:rsidR="005A4939" w:rsidRPr="005A4939" w:rsidRDefault="005A4939" w:rsidP="005A4939">
      <w:pPr>
        <w:rPr>
          <w:rFonts w:asciiTheme="minorHAnsi" w:hAnsiTheme="minorHAnsi" w:cstheme="minorHAnsi"/>
          <w:i/>
          <w:sz w:val="22"/>
          <w:szCs w:val="22"/>
        </w:rPr>
      </w:pPr>
    </w:p>
    <w:p w14:paraId="0FD1A1B2" w14:textId="77777777" w:rsidR="005A4939" w:rsidRPr="005A4939" w:rsidRDefault="005A4939" w:rsidP="005A4939">
      <w:pPr>
        <w:rPr>
          <w:rFonts w:asciiTheme="minorHAnsi" w:hAnsiTheme="minorHAnsi" w:cstheme="minorHAnsi"/>
          <w:sz w:val="22"/>
          <w:szCs w:val="22"/>
        </w:rPr>
      </w:pPr>
    </w:p>
    <w:p w14:paraId="7834E60E"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 xml:space="preserve">Each decision has to be justified and proportionate and legal, these elements are covered by the Criminal Law Act 1967 in relation to use of force and the force being reasonable in the circumstances in this incident. As the officer undertaking the arrest I am accountable for my actions and they are recorded so that I am able to explain my course of action and why I chose one course over another. The arrest was necessary so that the suspect could be taken to custody for questioning and the investigation could be progressed by testing the items found for identification purposes and to prevent the male from disappearing. </w:t>
      </w:r>
    </w:p>
    <w:p w14:paraId="206A905D" w14:textId="77777777" w:rsidR="005A4939" w:rsidRPr="005A4939" w:rsidRDefault="005A4939" w:rsidP="005A4939">
      <w:pPr>
        <w:rPr>
          <w:rFonts w:asciiTheme="minorHAnsi" w:hAnsiTheme="minorHAnsi" w:cstheme="minorHAnsi"/>
          <w:sz w:val="22"/>
          <w:szCs w:val="22"/>
        </w:rPr>
      </w:pPr>
    </w:p>
    <w:p w14:paraId="3330FB34" w14:textId="77777777" w:rsidR="005A4939" w:rsidRPr="005A4939" w:rsidRDefault="005A4939" w:rsidP="005A4939">
      <w:pPr>
        <w:rPr>
          <w:rFonts w:asciiTheme="minorHAnsi" w:hAnsiTheme="minorHAnsi" w:cstheme="minorHAnsi"/>
          <w:bCs/>
          <w:sz w:val="22"/>
          <w:szCs w:val="22"/>
        </w:rPr>
      </w:pPr>
      <w:r w:rsidRPr="005A4939">
        <w:rPr>
          <w:rFonts w:asciiTheme="minorHAnsi" w:hAnsiTheme="minorHAnsi" w:cstheme="minorHAnsi"/>
          <w:bCs/>
          <w:sz w:val="22"/>
          <w:szCs w:val="22"/>
        </w:rPr>
        <w:t xml:space="preserve"> Throughout the arrest I considered the code of ethics and behaved in accordance with my training and the professional standards of behaviour that are a cornerstone of all actions I undertake as an officer.</w:t>
      </w:r>
    </w:p>
    <w:p w14:paraId="7921D54D" w14:textId="77777777" w:rsidR="005A4939" w:rsidRPr="005A4939" w:rsidRDefault="005A4939" w:rsidP="005A4939">
      <w:pPr>
        <w:rPr>
          <w:rFonts w:asciiTheme="minorHAnsi" w:hAnsiTheme="minorHAnsi" w:cstheme="minorHAnsi"/>
          <w:bCs/>
          <w:sz w:val="22"/>
          <w:szCs w:val="22"/>
        </w:rPr>
      </w:pPr>
      <w:r w:rsidRPr="005A4939">
        <w:rPr>
          <w:rFonts w:asciiTheme="minorHAnsi" w:hAnsiTheme="minorHAnsi" w:cstheme="minorHAnsi"/>
          <w:bCs/>
          <w:sz w:val="22"/>
          <w:szCs w:val="22"/>
        </w:rPr>
        <w:t xml:space="preserve"> </w:t>
      </w:r>
    </w:p>
    <w:p w14:paraId="2200DBE4" w14:textId="77777777" w:rsidR="005A4939" w:rsidRPr="005A4939" w:rsidRDefault="005A4939" w:rsidP="005A4939">
      <w:pPr>
        <w:rPr>
          <w:rFonts w:asciiTheme="minorHAnsi" w:hAnsiTheme="minorHAnsi" w:cstheme="minorHAnsi"/>
          <w:sz w:val="22"/>
          <w:szCs w:val="22"/>
        </w:rPr>
      </w:pPr>
    </w:p>
    <w:p w14:paraId="1600897B"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Action in this incident was the arrest of the male for possession of controlled drugs offences, the call began as a suspicious male trying door handles of properties and ended with his arrest. I could not have foreseen that the call would have ended in that way from the initial call because of the information that we had received but it just proves that calls are not what they seem.</w:t>
      </w:r>
    </w:p>
    <w:p w14:paraId="2DA6EA62" w14:textId="77777777" w:rsidR="005A4939" w:rsidRPr="005A4939" w:rsidRDefault="005A4939" w:rsidP="005A4939">
      <w:pPr>
        <w:rPr>
          <w:rFonts w:asciiTheme="minorHAnsi" w:hAnsiTheme="minorHAnsi" w:cstheme="minorHAnsi"/>
          <w:sz w:val="22"/>
          <w:szCs w:val="22"/>
        </w:rPr>
      </w:pPr>
    </w:p>
    <w:p w14:paraId="777A7C01"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In future I would be quicker to arrest and be more assertive, I feel I gave him too much space to pace back and forth which gave him the opportunity to lunge at my colleague when he was trying to retrieve the bag of drugs, in other circumstances that could have proved dangerous if he had been armed or as an impact factor if he had skills greater than the officers dealing. Even though the incident had some moments of non-compliance from the suspect, it was a straight forward call and I need to fine tune my skills for when it isn’t so simple or I am single crewed.</w:t>
      </w:r>
    </w:p>
    <w:p w14:paraId="30F41A5D"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Due to his behaviour the arrest was physically difficult but we gained compliance quickly which meant we kept him under control and he was unable to make off.</w:t>
      </w:r>
    </w:p>
    <w:p w14:paraId="1FA4401F" w14:textId="77777777" w:rsidR="005A4939" w:rsidRPr="005A4939" w:rsidRDefault="005A4939" w:rsidP="005A4939">
      <w:pPr>
        <w:rPr>
          <w:rFonts w:asciiTheme="minorHAnsi" w:hAnsiTheme="minorHAnsi" w:cstheme="minorHAnsi"/>
          <w:sz w:val="22"/>
          <w:szCs w:val="22"/>
        </w:rPr>
      </w:pPr>
    </w:p>
    <w:p w14:paraId="7B3CB309"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Word Count - 2454</w:t>
      </w:r>
    </w:p>
    <w:p w14:paraId="62AD4EF0" w14:textId="77777777" w:rsidR="005A4939" w:rsidRPr="005A4939" w:rsidRDefault="005A4939" w:rsidP="005A4939">
      <w:pPr>
        <w:rPr>
          <w:rFonts w:asciiTheme="minorHAnsi" w:hAnsiTheme="minorHAnsi" w:cstheme="minorHAnsi"/>
          <w:sz w:val="22"/>
          <w:szCs w:val="22"/>
        </w:rPr>
      </w:pPr>
    </w:p>
    <w:p w14:paraId="2DBA31F8" w14:textId="74A195DE" w:rsidR="005A4939" w:rsidRDefault="005A4939" w:rsidP="005A4939">
      <w:pPr>
        <w:rPr>
          <w:rFonts w:asciiTheme="minorHAnsi" w:hAnsiTheme="minorHAnsi" w:cstheme="minorHAnsi"/>
          <w:sz w:val="22"/>
          <w:szCs w:val="22"/>
        </w:rPr>
      </w:pPr>
    </w:p>
    <w:p w14:paraId="75FF5297" w14:textId="770F3C4E" w:rsidR="005A4939" w:rsidRDefault="005A4939" w:rsidP="005A4939">
      <w:pPr>
        <w:rPr>
          <w:rFonts w:asciiTheme="minorHAnsi" w:hAnsiTheme="minorHAnsi" w:cstheme="minorHAnsi"/>
          <w:sz w:val="22"/>
          <w:szCs w:val="22"/>
        </w:rPr>
      </w:pPr>
    </w:p>
    <w:p w14:paraId="1E89847C" w14:textId="25FFA440" w:rsidR="005A4939" w:rsidRDefault="005A4939" w:rsidP="005A4939">
      <w:pPr>
        <w:rPr>
          <w:rFonts w:asciiTheme="minorHAnsi" w:hAnsiTheme="minorHAnsi" w:cstheme="minorHAnsi"/>
          <w:sz w:val="22"/>
          <w:szCs w:val="22"/>
        </w:rPr>
      </w:pPr>
    </w:p>
    <w:p w14:paraId="5B4D0490" w14:textId="038A6D2C" w:rsidR="005A4939" w:rsidRDefault="005A4939" w:rsidP="005A4939">
      <w:pPr>
        <w:rPr>
          <w:rFonts w:asciiTheme="minorHAnsi" w:hAnsiTheme="minorHAnsi" w:cstheme="minorHAnsi"/>
          <w:sz w:val="22"/>
          <w:szCs w:val="22"/>
        </w:rPr>
      </w:pPr>
    </w:p>
    <w:p w14:paraId="708AD459" w14:textId="77777777" w:rsidR="005A4939" w:rsidRPr="005A4939" w:rsidRDefault="005A4939" w:rsidP="005A4939">
      <w:pPr>
        <w:rPr>
          <w:rFonts w:asciiTheme="minorHAnsi" w:hAnsiTheme="minorHAnsi" w:cstheme="minorHAnsi"/>
          <w:sz w:val="22"/>
          <w:szCs w:val="22"/>
        </w:rPr>
      </w:pPr>
    </w:p>
    <w:p w14:paraId="5B1BB655" w14:textId="77777777" w:rsidR="005A4939" w:rsidRPr="005A4939" w:rsidRDefault="005A4939" w:rsidP="005A4939">
      <w:pPr>
        <w:rPr>
          <w:rFonts w:asciiTheme="minorHAnsi" w:hAnsiTheme="minorHAnsi" w:cstheme="minorHAnsi"/>
          <w:b/>
          <w:sz w:val="22"/>
          <w:szCs w:val="22"/>
          <w:u w:val="single"/>
        </w:rPr>
      </w:pPr>
      <w:r w:rsidRPr="005A4939">
        <w:rPr>
          <w:rFonts w:asciiTheme="minorHAnsi" w:hAnsiTheme="minorHAnsi" w:cstheme="minorHAnsi"/>
          <w:b/>
          <w:sz w:val="22"/>
          <w:szCs w:val="22"/>
          <w:u w:val="single"/>
        </w:rPr>
        <w:t>References – Task 2</w:t>
      </w:r>
    </w:p>
    <w:p w14:paraId="512EC068"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10 ACPO Risk Principles September 2018</w:t>
      </w:r>
    </w:p>
    <w:p w14:paraId="09983458" w14:textId="77777777" w:rsidR="005A4939" w:rsidRPr="005A4939" w:rsidRDefault="005A4939" w:rsidP="005A4939">
      <w:pPr>
        <w:rPr>
          <w:rFonts w:asciiTheme="minorHAnsi" w:hAnsiTheme="minorHAnsi" w:cstheme="minorHAnsi"/>
          <w:color w:val="0563C1" w:themeColor="hyperlink"/>
          <w:sz w:val="22"/>
          <w:szCs w:val="22"/>
          <w:u w:val="single"/>
        </w:rPr>
      </w:pPr>
      <w:r w:rsidRPr="005A4939">
        <w:rPr>
          <w:rFonts w:asciiTheme="minorHAnsi" w:hAnsiTheme="minorHAnsi" w:cstheme="minorHAnsi"/>
          <w:sz w:val="22"/>
          <w:szCs w:val="22"/>
        </w:rPr>
        <w:t xml:space="preserve">College of Policing (2014) – Code of Ethics Supporting Documents </w:t>
      </w:r>
      <w:hyperlink r:id="rId20" w:history="1">
        <w:r w:rsidRPr="005A4939">
          <w:rPr>
            <w:rStyle w:val="Hyperlink"/>
            <w:rFonts w:asciiTheme="minorHAnsi" w:hAnsiTheme="minorHAnsi" w:cstheme="minorHAnsi"/>
            <w:sz w:val="22"/>
            <w:szCs w:val="22"/>
          </w:rPr>
          <w:t>https://www.college.police.uk/What-we-do/Ethics/Ethics-home/Documents/Code_of_Ethics_ReadingList.pdf  Accessed 17/11/2019</w:t>
        </w:r>
      </w:hyperlink>
    </w:p>
    <w:p w14:paraId="2F1CD04A"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 xml:space="preserve">College of Policing (2019) – Conflict Management using de-escalation, communication and negotiation- Consultation </w:t>
      </w:r>
      <w:hyperlink r:id="rId21" w:history="1">
        <w:r w:rsidRPr="005A4939">
          <w:rPr>
            <w:rStyle w:val="Hyperlink"/>
            <w:rFonts w:asciiTheme="minorHAnsi" w:hAnsiTheme="minorHAnsi" w:cstheme="minorHAnsi"/>
            <w:sz w:val="22"/>
            <w:szCs w:val="22"/>
          </w:rPr>
          <w:t>https://leadership.college.police.uk/pluginfile.php/3725/mod_resource/content/4/Conflict_management_consultation260219.pdf Accessed 24/11/2019</w:t>
        </w:r>
      </w:hyperlink>
    </w:p>
    <w:p w14:paraId="7F6F62D2"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Criminal Law Act 1967 Section 3</w:t>
      </w:r>
    </w:p>
    <w:p w14:paraId="6F2F1E7A"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Equality Act 2010</w:t>
      </w:r>
    </w:p>
    <w:p w14:paraId="7DB128D3" w14:textId="77777777" w:rsidR="005A4939" w:rsidRPr="005A4939" w:rsidRDefault="005A4939" w:rsidP="005A4939">
      <w:pPr>
        <w:spacing w:before="100" w:after="100"/>
        <w:rPr>
          <w:rFonts w:asciiTheme="minorHAnsi" w:hAnsiTheme="minorHAnsi" w:cstheme="minorHAnsi"/>
          <w:sz w:val="22"/>
          <w:szCs w:val="22"/>
        </w:rPr>
      </w:pPr>
      <w:r w:rsidRPr="005A4939">
        <w:rPr>
          <w:rFonts w:asciiTheme="minorHAnsi" w:hAnsiTheme="minorHAnsi" w:cstheme="minorHAnsi"/>
          <w:sz w:val="22"/>
          <w:szCs w:val="22"/>
        </w:rPr>
        <w:t xml:space="preserve">Hartley, M and Sampson, F (2017) </w:t>
      </w:r>
      <w:r w:rsidRPr="005A4939">
        <w:rPr>
          <w:rFonts w:asciiTheme="minorHAnsi" w:hAnsiTheme="minorHAnsi" w:cstheme="minorHAnsi"/>
          <w:i/>
          <w:iCs/>
          <w:sz w:val="22"/>
          <w:szCs w:val="22"/>
        </w:rPr>
        <w:t>Police Operational Handbook 2018 LAW</w:t>
      </w:r>
      <w:r w:rsidRPr="005A4939">
        <w:rPr>
          <w:rFonts w:asciiTheme="minorHAnsi" w:hAnsiTheme="minorHAnsi" w:cstheme="minorHAnsi"/>
          <w:sz w:val="22"/>
          <w:szCs w:val="22"/>
        </w:rPr>
        <w:t>, 12th edn., : Oxford University Press.</w:t>
      </w:r>
    </w:p>
    <w:p w14:paraId="10782642"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Human Rights Act 1998</w:t>
      </w:r>
    </w:p>
    <w:p w14:paraId="6C607256"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Liberty Human Rights – Article 5 Right to Liberty</w:t>
      </w:r>
    </w:p>
    <w:p w14:paraId="4B0F4E91" w14:textId="77777777" w:rsidR="005A4939" w:rsidRPr="005A4939" w:rsidRDefault="00E72B4B" w:rsidP="005A4939">
      <w:pPr>
        <w:rPr>
          <w:rFonts w:asciiTheme="minorHAnsi" w:hAnsiTheme="minorHAnsi" w:cstheme="minorHAnsi"/>
          <w:sz w:val="22"/>
          <w:szCs w:val="22"/>
        </w:rPr>
      </w:pPr>
      <w:hyperlink r:id="rId22" w:history="1">
        <w:r w:rsidR="005A4939" w:rsidRPr="005A4939">
          <w:rPr>
            <w:rStyle w:val="Hyperlink"/>
            <w:rFonts w:asciiTheme="minorHAnsi" w:hAnsiTheme="minorHAnsi" w:cstheme="minorHAnsi"/>
            <w:sz w:val="22"/>
            <w:szCs w:val="22"/>
          </w:rPr>
          <w:t>https://www.libertyhumanrights.org.uk/human-rights/what-are-human-rights/human-rights-act/article-5-right-liberty</w:t>
        </w:r>
      </w:hyperlink>
      <w:r w:rsidR="005A4939" w:rsidRPr="005A4939">
        <w:rPr>
          <w:rFonts w:asciiTheme="minorHAnsi" w:hAnsiTheme="minorHAnsi" w:cstheme="minorHAnsi"/>
          <w:sz w:val="22"/>
          <w:szCs w:val="22"/>
        </w:rPr>
        <w:t xml:space="preserve"> Accessed 10/12/2019</w:t>
      </w:r>
    </w:p>
    <w:p w14:paraId="2545FE4C" w14:textId="77777777" w:rsidR="005A4939" w:rsidRPr="005A4939" w:rsidRDefault="005A4939" w:rsidP="005A4939">
      <w:pPr>
        <w:rPr>
          <w:rFonts w:asciiTheme="minorHAnsi" w:hAnsiTheme="minorHAnsi" w:cstheme="minorHAnsi"/>
          <w:sz w:val="22"/>
          <w:szCs w:val="22"/>
        </w:rPr>
      </w:pPr>
    </w:p>
    <w:p w14:paraId="0939797D" w14:textId="77777777" w:rsidR="005A4939" w:rsidRPr="005A4939" w:rsidRDefault="005A4939" w:rsidP="005A4939">
      <w:pPr>
        <w:rPr>
          <w:rFonts w:asciiTheme="minorHAnsi" w:hAnsiTheme="minorHAnsi" w:cstheme="minorHAnsi"/>
          <w:sz w:val="22"/>
          <w:szCs w:val="22"/>
        </w:rPr>
      </w:pPr>
    </w:p>
    <w:p w14:paraId="7CF655A5"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Paoline Iii, E.A. &amp; Terrill, W. (2007). Police education, experience, and the use of force. Criminal Justice &amp; Behavior, 34(2), pp.179–196.</w:t>
      </w:r>
    </w:p>
    <w:p w14:paraId="1140A5B6" w14:textId="77777777" w:rsidR="005A4939" w:rsidRPr="005A4939" w:rsidRDefault="005A4939" w:rsidP="005A4939">
      <w:pPr>
        <w:rPr>
          <w:rFonts w:asciiTheme="minorHAnsi" w:hAnsiTheme="minorHAnsi" w:cstheme="minorHAnsi"/>
          <w:sz w:val="22"/>
          <w:szCs w:val="22"/>
        </w:rPr>
      </w:pPr>
    </w:p>
    <w:p w14:paraId="7821F9E0"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Police and Criminal Evidence Act 1984</w:t>
      </w:r>
    </w:p>
    <w:p w14:paraId="4A7C0082"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Police and Criminal Evidence Act 1984 Code A – Amended 2014</w:t>
      </w:r>
    </w:p>
    <w:p w14:paraId="122C5811"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Police and Criminal Evidence Act 1984 Code G</w:t>
      </w:r>
    </w:p>
    <w:p w14:paraId="4A3B39AD" w14:textId="77777777" w:rsidR="005A4939" w:rsidRPr="005A4939" w:rsidRDefault="005A4939" w:rsidP="005A4939">
      <w:pPr>
        <w:rPr>
          <w:rFonts w:asciiTheme="minorHAnsi" w:hAnsiTheme="minorHAnsi" w:cstheme="minorHAnsi"/>
          <w:sz w:val="22"/>
          <w:szCs w:val="22"/>
        </w:rPr>
      </w:pPr>
      <w:r w:rsidRPr="005A4939">
        <w:rPr>
          <w:rFonts w:asciiTheme="minorHAnsi" w:hAnsiTheme="minorHAnsi" w:cstheme="minorHAnsi"/>
          <w:sz w:val="22"/>
          <w:szCs w:val="22"/>
        </w:rPr>
        <w:t>Police (Conduct) Regulations 2012</w:t>
      </w:r>
    </w:p>
    <w:p w14:paraId="5D206FD9" w14:textId="77777777" w:rsidR="005A4939" w:rsidRPr="005A4939" w:rsidRDefault="005A4939" w:rsidP="005A4939">
      <w:pPr>
        <w:spacing w:before="100" w:after="100"/>
        <w:rPr>
          <w:rFonts w:asciiTheme="minorHAnsi" w:hAnsiTheme="minorHAnsi" w:cstheme="minorHAnsi"/>
          <w:sz w:val="22"/>
          <w:szCs w:val="22"/>
        </w:rPr>
      </w:pPr>
      <w:r w:rsidRPr="005A4939">
        <w:rPr>
          <w:rFonts w:asciiTheme="minorHAnsi" w:hAnsiTheme="minorHAnsi" w:cstheme="minorHAnsi"/>
          <w:sz w:val="22"/>
          <w:szCs w:val="22"/>
        </w:rPr>
        <w:t>Serious Organised Crime and Police Act 2005</w:t>
      </w:r>
    </w:p>
    <w:p w14:paraId="406FB50B" w14:textId="77777777" w:rsidR="005A4939" w:rsidRPr="005A4939" w:rsidRDefault="005A4939" w:rsidP="005A4939">
      <w:pPr>
        <w:rPr>
          <w:rFonts w:asciiTheme="minorHAnsi" w:hAnsiTheme="minorHAnsi" w:cstheme="minorHAnsi"/>
          <w:sz w:val="22"/>
          <w:szCs w:val="22"/>
        </w:rPr>
      </w:pPr>
    </w:p>
    <w:p w14:paraId="79C6F38B" w14:textId="77777777" w:rsidR="00AA666E" w:rsidRPr="005A4939" w:rsidRDefault="00AA666E" w:rsidP="00E6298B">
      <w:pPr>
        <w:ind w:right="107"/>
        <w:jc w:val="both"/>
        <w:rPr>
          <w:rFonts w:asciiTheme="minorHAnsi" w:hAnsiTheme="minorHAnsi" w:cstheme="minorHAnsi"/>
          <w:sz w:val="22"/>
          <w:szCs w:val="22"/>
        </w:rPr>
      </w:pPr>
    </w:p>
    <w:p w14:paraId="607A0D29" w14:textId="77777777" w:rsidR="00AA666E" w:rsidRPr="005A4939" w:rsidRDefault="00AA666E" w:rsidP="00E6298B">
      <w:pPr>
        <w:ind w:right="107"/>
        <w:jc w:val="both"/>
        <w:rPr>
          <w:rFonts w:asciiTheme="minorHAnsi" w:hAnsiTheme="minorHAnsi" w:cstheme="minorHAnsi"/>
          <w:sz w:val="22"/>
          <w:szCs w:val="22"/>
        </w:rPr>
      </w:pPr>
    </w:p>
    <w:p w14:paraId="4557CCDD" w14:textId="77777777" w:rsidR="008B28E7" w:rsidRPr="005A4939" w:rsidRDefault="008B28E7" w:rsidP="00E6298B">
      <w:pPr>
        <w:ind w:right="107"/>
        <w:jc w:val="both"/>
        <w:rPr>
          <w:rFonts w:asciiTheme="minorHAnsi" w:hAnsiTheme="minorHAnsi" w:cstheme="minorHAnsi"/>
          <w:sz w:val="22"/>
          <w:szCs w:val="22"/>
        </w:rPr>
      </w:pPr>
    </w:p>
    <w:p w14:paraId="545B147F" w14:textId="77777777" w:rsidR="008B28E7" w:rsidRPr="005A4939" w:rsidRDefault="008B28E7" w:rsidP="00E6298B">
      <w:pPr>
        <w:ind w:right="107"/>
        <w:jc w:val="both"/>
        <w:rPr>
          <w:rFonts w:asciiTheme="minorHAnsi" w:hAnsiTheme="minorHAnsi" w:cstheme="minorHAnsi"/>
          <w:sz w:val="22"/>
          <w:szCs w:val="22"/>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6A3F6BB" w:rsidR="00112751" w:rsidRDefault="00112751" w:rsidP="00E6298B">
      <w:pPr>
        <w:ind w:right="107"/>
        <w:jc w:val="both"/>
        <w:rPr>
          <w:sz w:val="24"/>
          <w:szCs w:val="24"/>
        </w:rPr>
      </w:pPr>
    </w:p>
    <w:p w14:paraId="1DBE00A5" w14:textId="5D2428E3" w:rsidR="003A1B10" w:rsidRPr="003A1B10" w:rsidRDefault="003A1B10" w:rsidP="003A1B10">
      <w:pPr>
        <w:rPr>
          <w:rFonts w:asciiTheme="minorHAnsi" w:hAnsiTheme="minorHAnsi" w:cstheme="minorHAnsi"/>
          <w:sz w:val="24"/>
          <w:szCs w:val="24"/>
        </w:rPr>
      </w:pPr>
      <w:r>
        <w:rPr>
          <w:rFonts w:asciiTheme="minorHAnsi" w:hAnsiTheme="minorHAnsi" w:cstheme="minorHAnsi"/>
          <w:sz w:val="24"/>
          <w:szCs w:val="24"/>
        </w:rPr>
        <w:t>I</w:t>
      </w:r>
      <w:r w:rsidRPr="003A1B10">
        <w:rPr>
          <w:rFonts w:asciiTheme="minorHAnsi" w:hAnsiTheme="minorHAnsi" w:cstheme="minorHAnsi"/>
          <w:sz w:val="24"/>
          <w:szCs w:val="24"/>
        </w:rPr>
        <w:t>n this task I will be discussing a domestic incident that I attended</w:t>
      </w:r>
      <w:r w:rsidRPr="003A1B10">
        <w:rPr>
          <w:rFonts w:asciiTheme="minorHAnsi" w:hAnsiTheme="minorHAnsi" w:cstheme="minorHAnsi"/>
          <w:bCs/>
          <w:sz w:val="24"/>
          <w:szCs w:val="24"/>
        </w:rPr>
        <w:t>,</w:t>
      </w:r>
      <w:r w:rsidRPr="003A1B10">
        <w:rPr>
          <w:rFonts w:asciiTheme="minorHAnsi" w:hAnsiTheme="minorHAnsi" w:cstheme="minorHAnsi"/>
          <w:sz w:val="24"/>
          <w:szCs w:val="24"/>
        </w:rPr>
        <w:t xml:space="preserve"> in order to conduct a welfare check on an assault victim. </w:t>
      </w:r>
    </w:p>
    <w:p w14:paraId="1D2B7656" w14:textId="77777777" w:rsidR="003A1B10" w:rsidRPr="003A1B10" w:rsidRDefault="003A1B10" w:rsidP="003A1B10">
      <w:pPr>
        <w:pStyle w:val="NormalWeb"/>
        <w:spacing w:before="300" w:beforeAutospacing="0" w:after="300" w:afterAutospacing="0"/>
        <w:rPr>
          <w:rFonts w:asciiTheme="minorHAnsi" w:hAnsiTheme="minorHAnsi" w:cstheme="minorHAnsi"/>
        </w:rPr>
      </w:pPr>
      <w:r w:rsidRPr="003A1B10">
        <w:rPr>
          <w:rFonts w:asciiTheme="minorHAnsi" w:hAnsiTheme="minorHAnsi" w:cstheme="minorHAnsi"/>
        </w:rPr>
        <w:t xml:space="preserve">Domestic Violence is not defined itself but a proposal from the Home Office in 2013 put forward this definition, </w:t>
      </w:r>
      <w:r w:rsidRPr="003A1B10">
        <w:rPr>
          <w:rFonts w:asciiTheme="minorHAnsi" w:hAnsiTheme="minorHAnsi" w:cstheme="minorHAnsi"/>
          <w:i/>
        </w:rPr>
        <w:t>“</w:t>
      </w:r>
      <w:r w:rsidRPr="003A1B10">
        <w:rPr>
          <w:rFonts w:asciiTheme="minorHAnsi" w:hAnsiTheme="minorHAnsi" w:cstheme="minorHAnsi"/>
          <w:i/>
          <w:color w:val="0B0C0C"/>
        </w:rPr>
        <w:t>Any incident or pattern of incidents of controlling, coercive or threatening behaviour,  violence or abuse between those aged 16 or over who are or have been intimate partners or family members regardless of gender or sexuality. This can encompass but is not limited to psychological, physical, sexual, financial and emotional abuse” (Blackstone’s,</w:t>
      </w:r>
      <w:r w:rsidRPr="003A1B10">
        <w:rPr>
          <w:rFonts w:asciiTheme="minorHAnsi" w:hAnsiTheme="minorHAnsi" w:cstheme="minorHAnsi"/>
          <w:color w:val="0B0C0C"/>
        </w:rPr>
        <w:t xml:space="preserve"> 2018)</w:t>
      </w:r>
    </w:p>
    <w:p w14:paraId="27678428"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Before I arrived I read </w:t>
      </w:r>
      <w:r w:rsidRPr="003A1B10">
        <w:rPr>
          <w:rFonts w:asciiTheme="minorHAnsi" w:hAnsiTheme="minorHAnsi" w:cstheme="minorHAnsi"/>
          <w:bCs/>
          <w:sz w:val="24"/>
          <w:szCs w:val="24"/>
        </w:rPr>
        <w:t>over</w:t>
      </w:r>
      <w:r w:rsidRPr="003A1B10">
        <w:rPr>
          <w:rFonts w:asciiTheme="minorHAnsi" w:hAnsiTheme="minorHAnsi" w:cstheme="minorHAnsi"/>
          <w:sz w:val="24"/>
          <w:szCs w:val="24"/>
        </w:rPr>
        <w:t xml:space="preserve"> the incident that she had been involved in. </w:t>
      </w:r>
      <w:r w:rsidRPr="003A1B10">
        <w:rPr>
          <w:rFonts w:asciiTheme="minorHAnsi" w:hAnsiTheme="minorHAnsi" w:cstheme="minorHAnsi"/>
          <w:bCs/>
          <w:sz w:val="24"/>
          <w:szCs w:val="24"/>
        </w:rPr>
        <w:t xml:space="preserve">There were </w:t>
      </w:r>
      <w:r w:rsidRPr="003A1B10">
        <w:rPr>
          <w:rFonts w:asciiTheme="minorHAnsi" w:hAnsiTheme="minorHAnsi" w:cstheme="minorHAnsi"/>
          <w:sz w:val="24"/>
          <w:szCs w:val="24"/>
        </w:rPr>
        <w:t xml:space="preserve">warning markers attached to the property and the female and past incidents </w:t>
      </w:r>
      <w:r w:rsidRPr="003A1B10">
        <w:rPr>
          <w:rFonts w:asciiTheme="minorHAnsi" w:hAnsiTheme="minorHAnsi" w:cstheme="minorHAnsi"/>
          <w:bCs/>
          <w:sz w:val="24"/>
          <w:szCs w:val="24"/>
        </w:rPr>
        <w:t>which helped me</w:t>
      </w:r>
      <w:r w:rsidRPr="003A1B10">
        <w:rPr>
          <w:rFonts w:asciiTheme="minorHAnsi" w:hAnsiTheme="minorHAnsi" w:cstheme="minorHAnsi"/>
          <w:sz w:val="24"/>
          <w:szCs w:val="24"/>
        </w:rPr>
        <w:t xml:space="preserve"> </w:t>
      </w:r>
      <w:r w:rsidRPr="003A1B10">
        <w:rPr>
          <w:rFonts w:asciiTheme="minorHAnsi" w:hAnsiTheme="minorHAnsi" w:cstheme="minorHAnsi"/>
          <w:bCs/>
          <w:sz w:val="24"/>
          <w:szCs w:val="24"/>
        </w:rPr>
        <w:t>to</w:t>
      </w:r>
      <w:r w:rsidRPr="003A1B10">
        <w:rPr>
          <w:rFonts w:asciiTheme="minorHAnsi" w:hAnsiTheme="minorHAnsi" w:cstheme="minorHAnsi"/>
          <w:sz w:val="24"/>
          <w:szCs w:val="24"/>
        </w:rPr>
        <w:t xml:space="preserve"> gather information. </w:t>
      </w:r>
    </w:p>
    <w:p w14:paraId="4945ADE0"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When I arrived </w:t>
      </w:r>
      <w:r w:rsidRPr="003A1B10">
        <w:rPr>
          <w:rFonts w:asciiTheme="minorHAnsi" w:hAnsiTheme="minorHAnsi" w:cstheme="minorHAnsi"/>
          <w:bCs/>
          <w:sz w:val="24"/>
          <w:szCs w:val="24"/>
        </w:rPr>
        <w:t>at the property,</w:t>
      </w:r>
      <w:r w:rsidRPr="003A1B10">
        <w:rPr>
          <w:rFonts w:asciiTheme="minorHAnsi" w:hAnsiTheme="minorHAnsi" w:cstheme="minorHAnsi"/>
          <w:sz w:val="24"/>
          <w:szCs w:val="24"/>
        </w:rPr>
        <w:t xml:space="preserve"> the female was very angry and was reluctant to speak to me</w:t>
      </w:r>
      <w:r w:rsidRPr="003A1B10">
        <w:rPr>
          <w:rFonts w:asciiTheme="minorHAnsi" w:hAnsiTheme="minorHAnsi" w:cstheme="minorHAnsi"/>
          <w:bCs/>
          <w:sz w:val="24"/>
          <w:szCs w:val="24"/>
        </w:rPr>
        <w:t>.</w:t>
      </w:r>
      <w:r w:rsidRPr="003A1B10">
        <w:rPr>
          <w:rFonts w:asciiTheme="minorHAnsi" w:hAnsiTheme="minorHAnsi" w:cstheme="minorHAnsi"/>
          <w:sz w:val="24"/>
          <w:szCs w:val="24"/>
        </w:rPr>
        <w:t xml:space="preserve"> I explained that I was there </w:t>
      </w:r>
      <w:r w:rsidRPr="003A1B10">
        <w:rPr>
          <w:rFonts w:asciiTheme="minorHAnsi" w:hAnsiTheme="minorHAnsi" w:cstheme="minorHAnsi"/>
          <w:bCs/>
          <w:sz w:val="24"/>
          <w:szCs w:val="24"/>
        </w:rPr>
        <w:t>simply</w:t>
      </w:r>
      <w:r w:rsidRPr="003A1B10">
        <w:rPr>
          <w:rFonts w:asciiTheme="minorHAnsi" w:hAnsiTheme="minorHAnsi" w:cstheme="minorHAnsi"/>
          <w:sz w:val="24"/>
          <w:szCs w:val="24"/>
        </w:rPr>
        <w:t xml:space="preserve"> to check on her and</w:t>
      </w:r>
      <w:r w:rsidRPr="003A1B10">
        <w:rPr>
          <w:rFonts w:asciiTheme="minorHAnsi" w:hAnsiTheme="minorHAnsi" w:cstheme="minorHAnsi"/>
          <w:bCs/>
          <w:sz w:val="24"/>
          <w:szCs w:val="24"/>
        </w:rPr>
        <w:t xml:space="preserve"> as soon as</w:t>
      </w:r>
      <w:r w:rsidRPr="003A1B10">
        <w:rPr>
          <w:rFonts w:asciiTheme="minorHAnsi" w:hAnsiTheme="minorHAnsi" w:cstheme="minorHAnsi"/>
          <w:sz w:val="24"/>
          <w:szCs w:val="24"/>
        </w:rPr>
        <w:t xml:space="preserve"> she was ready we could talk about what had happened.</w:t>
      </w:r>
      <w:r w:rsidRPr="003A1B10">
        <w:rPr>
          <w:rFonts w:asciiTheme="minorHAnsi" w:hAnsiTheme="minorHAnsi" w:cstheme="minorHAnsi"/>
          <w:bCs/>
          <w:sz w:val="24"/>
          <w:szCs w:val="24"/>
        </w:rPr>
        <w:t xml:space="preserve"> Following this, </w:t>
      </w:r>
      <w:r w:rsidRPr="003A1B10">
        <w:rPr>
          <w:rFonts w:asciiTheme="minorHAnsi" w:hAnsiTheme="minorHAnsi" w:cstheme="minorHAnsi"/>
          <w:sz w:val="24"/>
          <w:szCs w:val="24"/>
        </w:rPr>
        <w:t>her demeanour changed and she let me into her property. The female said she was in lots of pain and was quite upset.</w:t>
      </w:r>
    </w:p>
    <w:p w14:paraId="112C3ED3" w14:textId="77777777" w:rsidR="003A1B10" w:rsidRPr="003A1B10" w:rsidRDefault="003A1B10" w:rsidP="003A1B10">
      <w:pPr>
        <w:rPr>
          <w:rFonts w:asciiTheme="minorHAnsi" w:hAnsiTheme="minorHAnsi" w:cstheme="minorHAnsi"/>
          <w:sz w:val="24"/>
          <w:szCs w:val="24"/>
        </w:rPr>
      </w:pPr>
    </w:p>
    <w:p w14:paraId="6972CCF6"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The female</w:t>
      </w:r>
      <w:r w:rsidRPr="003A1B10">
        <w:rPr>
          <w:rFonts w:asciiTheme="minorHAnsi" w:hAnsiTheme="minorHAnsi" w:cstheme="minorHAnsi"/>
          <w:bCs/>
          <w:sz w:val="24"/>
          <w:szCs w:val="24"/>
        </w:rPr>
        <w:t xml:space="preserve"> had been</w:t>
      </w:r>
      <w:r w:rsidRPr="003A1B10">
        <w:rPr>
          <w:rFonts w:asciiTheme="minorHAnsi" w:hAnsiTheme="minorHAnsi" w:cstheme="minorHAnsi"/>
          <w:sz w:val="24"/>
          <w:szCs w:val="24"/>
        </w:rPr>
        <w:t xml:space="preserve"> a victim of many domestic violence incidents over the last 10 years and following the latest incident she had decided that she wanted to make a statement against her ex-partner. </w:t>
      </w:r>
    </w:p>
    <w:p w14:paraId="742DEEED"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lastRenderedPageBreak/>
        <w:t xml:space="preserve">I was able to establish a good rapport with the female and this meant she </w:t>
      </w:r>
      <w:r w:rsidRPr="003A1B10">
        <w:rPr>
          <w:rFonts w:asciiTheme="minorHAnsi" w:hAnsiTheme="minorHAnsi" w:cstheme="minorHAnsi"/>
          <w:bCs/>
          <w:sz w:val="24"/>
          <w:szCs w:val="24"/>
        </w:rPr>
        <w:t>felt comfortable enough to talk</w:t>
      </w:r>
      <w:r w:rsidRPr="003A1B10">
        <w:rPr>
          <w:rFonts w:asciiTheme="minorHAnsi" w:hAnsiTheme="minorHAnsi" w:cstheme="minorHAnsi"/>
          <w:sz w:val="24"/>
          <w:szCs w:val="24"/>
        </w:rPr>
        <w:t xml:space="preserve"> openly to me about her experiences. </w:t>
      </w:r>
      <w:r w:rsidRPr="003A1B10">
        <w:rPr>
          <w:rFonts w:asciiTheme="minorHAnsi" w:hAnsiTheme="minorHAnsi" w:cstheme="minorHAnsi"/>
          <w:bCs/>
          <w:sz w:val="24"/>
          <w:szCs w:val="24"/>
        </w:rPr>
        <w:t>She explained</w:t>
      </w:r>
      <w:r w:rsidRPr="003A1B10">
        <w:rPr>
          <w:rFonts w:asciiTheme="minorHAnsi" w:hAnsiTheme="minorHAnsi" w:cstheme="minorHAnsi"/>
          <w:sz w:val="24"/>
          <w:szCs w:val="24"/>
        </w:rPr>
        <w:t xml:space="preserve"> what had led up to her being assaulted, there had been a verbal altercation that had turned violent and that it had been a prolonged attack which had ended on the street outside her house. She had facial injuries and bruises all over her back and arms. The property was in disarray and every room within the flat had been damaged in some way, broken glass was strewn across the hallway and items had been pushed onto the floor and smashed against the wall. I considered when I entered the property that the female’s apparent safe place, her home, had been destroyed and that to improve her situation I had to make her feel safe and then concentrate on taking a statement.</w:t>
      </w:r>
    </w:p>
    <w:p w14:paraId="2133FA14" w14:textId="77777777" w:rsidR="003A1B10" w:rsidRPr="003A1B10" w:rsidRDefault="003A1B10" w:rsidP="003A1B10">
      <w:pPr>
        <w:rPr>
          <w:rFonts w:asciiTheme="minorHAnsi" w:hAnsiTheme="minorHAnsi" w:cstheme="minorHAnsi"/>
          <w:sz w:val="24"/>
          <w:szCs w:val="24"/>
        </w:rPr>
      </w:pPr>
    </w:p>
    <w:p w14:paraId="620D8E08"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Whilst speaking to the female she asked me how was I able to deal with these violent types of incidents </w:t>
      </w:r>
      <w:r w:rsidRPr="003A1B10">
        <w:rPr>
          <w:rFonts w:asciiTheme="minorHAnsi" w:hAnsiTheme="minorHAnsi" w:cstheme="minorHAnsi"/>
          <w:bCs/>
          <w:sz w:val="24"/>
          <w:szCs w:val="24"/>
        </w:rPr>
        <w:t>on a day</w:t>
      </w:r>
      <w:r w:rsidRPr="003A1B10">
        <w:rPr>
          <w:rFonts w:asciiTheme="minorHAnsi" w:hAnsiTheme="minorHAnsi" w:cstheme="minorHAnsi"/>
          <w:sz w:val="24"/>
          <w:szCs w:val="24"/>
        </w:rPr>
        <w:t xml:space="preserve"> in, day out </w:t>
      </w:r>
      <w:r w:rsidRPr="003A1B10">
        <w:rPr>
          <w:rFonts w:asciiTheme="minorHAnsi" w:hAnsiTheme="minorHAnsi" w:cstheme="minorHAnsi"/>
          <w:bCs/>
          <w:sz w:val="24"/>
          <w:szCs w:val="24"/>
        </w:rPr>
        <w:t>basis</w:t>
      </w:r>
      <w:r w:rsidRPr="003A1B10">
        <w:rPr>
          <w:rFonts w:asciiTheme="minorHAnsi" w:hAnsiTheme="minorHAnsi" w:cstheme="minorHAnsi"/>
          <w:sz w:val="24"/>
          <w:szCs w:val="24"/>
        </w:rPr>
        <w:t xml:space="preserve">. I told her that I treated everyone as an individual, listened to their accounts and adapted my responses to what </w:t>
      </w:r>
      <w:r w:rsidRPr="003A1B10">
        <w:rPr>
          <w:rFonts w:asciiTheme="minorHAnsi" w:hAnsiTheme="minorHAnsi" w:cstheme="minorHAnsi"/>
          <w:bCs/>
          <w:sz w:val="24"/>
          <w:szCs w:val="24"/>
        </w:rPr>
        <w:t>it was that they</w:t>
      </w:r>
      <w:r w:rsidRPr="003A1B10">
        <w:rPr>
          <w:rFonts w:asciiTheme="minorHAnsi" w:hAnsiTheme="minorHAnsi" w:cstheme="minorHAnsi"/>
          <w:sz w:val="24"/>
          <w:szCs w:val="24"/>
        </w:rPr>
        <w:t xml:space="preserve"> needed in that moment, showing empathy without being patronising or pretending to understand what they have gone through. Victims want understanding but I believe will know if it is disingenuous. </w:t>
      </w:r>
    </w:p>
    <w:p w14:paraId="3D0EAEA9" w14:textId="77777777" w:rsidR="003A1B10" w:rsidRPr="003A1B10" w:rsidRDefault="003A1B10" w:rsidP="003A1B10">
      <w:pPr>
        <w:rPr>
          <w:rFonts w:asciiTheme="minorHAnsi" w:hAnsiTheme="minorHAnsi" w:cstheme="minorHAnsi"/>
          <w:sz w:val="24"/>
          <w:szCs w:val="24"/>
        </w:rPr>
      </w:pPr>
    </w:p>
    <w:p w14:paraId="774F567E"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The female is alcohol dependant but was not intoxicated when I first spoke to her.</w:t>
      </w:r>
    </w:p>
    <w:p w14:paraId="39B61C74"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The victim had experienced many incidents of violence, threats and criminal damage with her ex-partner due to her vulnerabilities through alcohol dependence and being socially isolated by her partner. She had become accustomed to these incidents where she would invariably be injured or property would be destroyed, “I BEGGED HIM TO STOP BREAKING MY STUFF AND HE WOULDN’T, I’LL NEVER FORGIVE HIM FOR THAT” </w:t>
      </w:r>
    </w:p>
    <w:p w14:paraId="1A6E7193" w14:textId="77777777" w:rsidR="003A1B10" w:rsidRPr="003A1B10" w:rsidRDefault="003A1B10" w:rsidP="003A1B10">
      <w:pPr>
        <w:rPr>
          <w:rFonts w:asciiTheme="minorHAnsi" w:hAnsiTheme="minorHAnsi" w:cstheme="minorHAnsi"/>
          <w:i/>
          <w:sz w:val="24"/>
          <w:szCs w:val="24"/>
        </w:rPr>
      </w:pPr>
      <w:r w:rsidRPr="003A1B10">
        <w:rPr>
          <w:rFonts w:asciiTheme="minorHAnsi" w:hAnsiTheme="minorHAnsi" w:cstheme="minorHAnsi"/>
          <w:sz w:val="24"/>
          <w:szCs w:val="24"/>
        </w:rPr>
        <w:t xml:space="preserve">This meant that what she experienced on a daily basis was her norm and this contributed to her reluctance to make statements in past </w:t>
      </w:r>
      <w:r w:rsidRPr="003A1B10">
        <w:rPr>
          <w:rFonts w:asciiTheme="minorHAnsi" w:hAnsiTheme="minorHAnsi" w:cstheme="minorHAnsi"/>
          <w:bCs/>
          <w:sz w:val="24"/>
          <w:szCs w:val="24"/>
        </w:rPr>
        <w:t>instances</w:t>
      </w:r>
      <w:r w:rsidRPr="003A1B10">
        <w:rPr>
          <w:rFonts w:asciiTheme="minorHAnsi" w:hAnsiTheme="minorHAnsi" w:cstheme="minorHAnsi"/>
          <w:sz w:val="24"/>
          <w:szCs w:val="24"/>
        </w:rPr>
        <w:t xml:space="preserve"> because she always thought </w:t>
      </w:r>
      <w:r w:rsidRPr="003A1B10">
        <w:rPr>
          <w:rFonts w:asciiTheme="minorHAnsi" w:hAnsiTheme="minorHAnsi" w:cstheme="minorHAnsi"/>
          <w:bCs/>
          <w:sz w:val="24"/>
          <w:szCs w:val="24"/>
        </w:rPr>
        <w:t>things</w:t>
      </w:r>
      <w:r w:rsidRPr="003A1B10">
        <w:rPr>
          <w:rFonts w:asciiTheme="minorHAnsi" w:hAnsiTheme="minorHAnsi" w:cstheme="minorHAnsi"/>
          <w:sz w:val="24"/>
          <w:szCs w:val="24"/>
        </w:rPr>
        <w:t xml:space="preserve"> would be different next time or it wouldn’t happen again. </w:t>
      </w:r>
      <w:r w:rsidRPr="003A1B10">
        <w:rPr>
          <w:rFonts w:asciiTheme="minorHAnsi" w:hAnsiTheme="minorHAnsi" w:cstheme="minorHAnsi"/>
          <w:i/>
          <w:sz w:val="24"/>
          <w:szCs w:val="24"/>
        </w:rPr>
        <w:t>“Research also suggests that the severity of the experience of victimisation, and the long-term impact on victims, is likely to vary according to the nature of the event that the victim encounters, the demographic characteristics of the victim and the kind of support mechanisms that the victim has access to.”(Spalek, 2006)</w:t>
      </w:r>
    </w:p>
    <w:p w14:paraId="1A07C94E" w14:textId="77777777" w:rsidR="003A1B10" w:rsidRPr="003A1B10" w:rsidRDefault="003A1B10" w:rsidP="003A1B10">
      <w:pPr>
        <w:rPr>
          <w:rFonts w:asciiTheme="minorHAnsi" w:hAnsiTheme="minorHAnsi" w:cstheme="minorHAnsi"/>
          <w:sz w:val="24"/>
          <w:szCs w:val="24"/>
        </w:rPr>
      </w:pPr>
    </w:p>
    <w:p w14:paraId="37C271F4"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Throughout my interaction with the victim I maintained eye contact, and as she was sat on her bed I sat on a chair at the end of the bed so </w:t>
      </w:r>
      <w:r w:rsidRPr="003A1B10">
        <w:rPr>
          <w:rFonts w:asciiTheme="minorHAnsi" w:hAnsiTheme="minorHAnsi" w:cstheme="minorHAnsi"/>
          <w:bCs/>
          <w:sz w:val="24"/>
          <w:szCs w:val="24"/>
        </w:rPr>
        <w:t>as to give</w:t>
      </w:r>
      <w:r w:rsidRPr="003A1B10">
        <w:rPr>
          <w:rFonts w:asciiTheme="minorHAnsi" w:hAnsiTheme="minorHAnsi" w:cstheme="minorHAnsi"/>
          <w:sz w:val="24"/>
          <w:szCs w:val="24"/>
        </w:rPr>
        <w:t xml:space="preserve"> her some space to speak.</w:t>
      </w:r>
      <w:r w:rsidRPr="003A1B10">
        <w:rPr>
          <w:rFonts w:asciiTheme="minorHAnsi" w:hAnsiTheme="minorHAnsi" w:cstheme="minorHAnsi"/>
          <w:bCs/>
          <w:sz w:val="24"/>
          <w:szCs w:val="24"/>
        </w:rPr>
        <w:t xml:space="preserve"> Also </w:t>
      </w:r>
      <w:r w:rsidRPr="003A1B10">
        <w:rPr>
          <w:rFonts w:asciiTheme="minorHAnsi" w:hAnsiTheme="minorHAnsi" w:cstheme="minorHAnsi"/>
          <w:sz w:val="24"/>
          <w:szCs w:val="24"/>
        </w:rPr>
        <w:t xml:space="preserve">my build is a lot bigger than hers so I didn’t want to be imposing and possibly put her on edge when she was talking about </w:t>
      </w:r>
      <w:r w:rsidRPr="003A1B10">
        <w:rPr>
          <w:rFonts w:asciiTheme="minorHAnsi" w:hAnsiTheme="minorHAnsi" w:cstheme="minorHAnsi"/>
          <w:bCs/>
          <w:sz w:val="24"/>
          <w:szCs w:val="24"/>
        </w:rPr>
        <w:t>such</w:t>
      </w:r>
      <w:r w:rsidRPr="003A1B10">
        <w:rPr>
          <w:rFonts w:asciiTheme="minorHAnsi" w:hAnsiTheme="minorHAnsi" w:cstheme="minorHAnsi"/>
          <w:sz w:val="24"/>
          <w:szCs w:val="24"/>
        </w:rPr>
        <w:t xml:space="preserve"> a sensitive and distressing incident. I kept my body language open, gesturing that I was listening by nodding my head and stayed engaged </w:t>
      </w:r>
      <w:r w:rsidRPr="003A1B10">
        <w:rPr>
          <w:rFonts w:asciiTheme="minorHAnsi" w:hAnsiTheme="minorHAnsi" w:cstheme="minorHAnsi"/>
          <w:bCs/>
          <w:sz w:val="24"/>
          <w:szCs w:val="24"/>
        </w:rPr>
        <w:t>whilst</w:t>
      </w:r>
      <w:r w:rsidRPr="003A1B10">
        <w:rPr>
          <w:rFonts w:asciiTheme="minorHAnsi" w:hAnsiTheme="minorHAnsi" w:cstheme="minorHAnsi"/>
          <w:sz w:val="24"/>
          <w:szCs w:val="24"/>
        </w:rPr>
        <w:t xml:space="preserve"> she was talking. I was very aware of not using </w:t>
      </w:r>
      <w:r w:rsidRPr="003A1B10">
        <w:rPr>
          <w:rFonts w:asciiTheme="minorHAnsi" w:hAnsiTheme="minorHAnsi" w:cstheme="minorHAnsi"/>
          <w:bCs/>
          <w:sz w:val="24"/>
          <w:szCs w:val="24"/>
        </w:rPr>
        <w:t>any</w:t>
      </w:r>
      <w:r w:rsidRPr="003A1B10">
        <w:rPr>
          <w:rFonts w:asciiTheme="minorHAnsi" w:hAnsiTheme="minorHAnsi" w:cstheme="minorHAnsi"/>
          <w:sz w:val="24"/>
          <w:szCs w:val="24"/>
        </w:rPr>
        <w:t xml:space="preserve"> police jargon or technical language </w:t>
      </w:r>
      <w:r w:rsidRPr="003A1B10">
        <w:rPr>
          <w:rFonts w:asciiTheme="minorHAnsi" w:hAnsiTheme="minorHAnsi" w:cstheme="minorHAnsi"/>
          <w:bCs/>
          <w:sz w:val="24"/>
          <w:szCs w:val="24"/>
        </w:rPr>
        <w:t>as it</w:t>
      </w:r>
      <w:r w:rsidRPr="003A1B10">
        <w:rPr>
          <w:rFonts w:asciiTheme="minorHAnsi" w:hAnsiTheme="minorHAnsi" w:cstheme="minorHAnsi"/>
          <w:sz w:val="24"/>
          <w:szCs w:val="24"/>
        </w:rPr>
        <w:t xml:space="preserve"> would have been inappropriate in the circumstances, and it was important that the victim did not feel patronised or confused when speaking.</w:t>
      </w:r>
    </w:p>
    <w:p w14:paraId="399A7575"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She was coherent but at times she got very upset and I spoke in a low tone and gave her time to compose herself before talking to her. The suspect was in custody at this time so I could reassure the victim that her safety would not be compromised and that safe guarding her welfare was very important. </w:t>
      </w:r>
    </w:p>
    <w:p w14:paraId="7598DED8" w14:textId="77777777" w:rsidR="003A1B10" w:rsidRPr="003A1B10" w:rsidRDefault="003A1B10" w:rsidP="003A1B10">
      <w:pPr>
        <w:rPr>
          <w:rFonts w:asciiTheme="minorHAnsi" w:hAnsiTheme="minorHAnsi" w:cstheme="minorHAnsi"/>
          <w:sz w:val="24"/>
          <w:szCs w:val="24"/>
        </w:rPr>
      </w:pPr>
    </w:p>
    <w:p w14:paraId="04AA0067"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I considered the Driscoll’s adaptation (Driscoll, 2000) model of reflection when reviewing this incident. </w:t>
      </w:r>
      <w:r w:rsidRPr="003A1B10">
        <w:rPr>
          <w:rFonts w:asciiTheme="minorHAnsi" w:hAnsiTheme="minorHAnsi" w:cstheme="minorHAnsi"/>
          <w:bCs/>
          <w:sz w:val="24"/>
          <w:szCs w:val="24"/>
        </w:rPr>
        <w:t>Especially</w:t>
      </w:r>
      <w:r w:rsidRPr="003A1B10">
        <w:rPr>
          <w:rFonts w:asciiTheme="minorHAnsi" w:hAnsiTheme="minorHAnsi" w:cstheme="minorHAnsi"/>
          <w:sz w:val="24"/>
          <w:szCs w:val="24"/>
        </w:rPr>
        <w:t>, because it involved violence and a suspect in custody, I was considering safe guarding issues and the victim’s vulnerability. The victim was concerned about the suspect being released on bail so I explained that I assumed he would have bail conditions placed on him not to make contact directly or indirectly because of the nature of the offence.</w:t>
      </w:r>
    </w:p>
    <w:p w14:paraId="08DE33AE" w14:textId="77777777" w:rsidR="003A1B10" w:rsidRPr="003A1B10" w:rsidRDefault="003A1B10" w:rsidP="003A1B10">
      <w:pPr>
        <w:rPr>
          <w:rFonts w:asciiTheme="minorHAnsi" w:hAnsiTheme="minorHAnsi" w:cstheme="minorHAnsi"/>
          <w:i/>
          <w:sz w:val="24"/>
          <w:szCs w:val="24"/>
        </w:rPr>
      </w:pPr>
      <w:r w:rsidRPr="003A1B10">
        <w:rPr>
          <w:rFonts w:asciiTheme="minorHAnsi" w:hAnsiTheme="minorHAnsi" w:cstheme="minorHAnsi"/>
          <w:sz w:val="24"/>
          <w:szCs w:val="24"/>
        </w:rPr>
        <w:lastRenderedPageBreak/>
        <w:t xml:space="preserve">At the time I knew I needed the best evidence from the victim so we would be able to support the victim as best as possible, and make her feel confident that we </w:t>
      </w:r>
      <w:r w:rsidRPr="003A1B10">
        <w:rPr>
          <w:rFonts w:asciiTheme="minorHAnsi" w:hAnsiTheme="minorHAnsi" w:cstheme="minorHAnsi"/>
          <w:bCs/>
          <w:sz w:val="24"/>
          <w:szCs w:val="24"/>
        </w:rPr>
        <w:t>would</w:t>
      </w:r>
      <w:r w:rsidRPr="003A1B10">
        <w:rPr>
          <w:rFonts w:asciiTheme="minorHAnsi" w:hAnsiTheme="minorHAnsi" w:cstheme="minorHAnsi"/>
          <w:sz w:val="24"/>
          <w:szCs w:val="24"/>
        </w:rPr>
        <w:t xml:space="preserve"> help and continue to help throughout the whole process. I felt as though I had done my job professionally and to the best of my ability. The victim had confidence in the police which meant that she made a statement which had not happened before and she wanted the perpetrator in her incident to be dealt with. I believe this confidence is because the victim could see the process starting and was able to ask any questions to gain understanding and feel included, </w:t>
      </w:r>
      <w:r w:rsidRPr="003A1B10">
        <w:rPr>
          <w:rFonts w:asciiTheme="minorHAnsi" w:hAnsiTheme="minorHAnsi" w:cstheme="minorHAnsi"/>
          <w:i/>
          <w:sz w:val="24"/>
          <w:szCs w:val="24"/>
        </w:rPr>
        <w:t>“victims’ fairness judgements will be influenced largely by the perceived fairness of procedures.” (Wemmers, 2013)</w:t>
      </w:r>
    </w:p>
    <w:p w14:paraId="4F715FE5" w14:textId="77777777" w:rsidR="003A1B10" w:rsidRPr="003A1B10" w:rsidRDefault="003A1B10" w:rsidP="003A1B10">
      <w:pPr>
        <w:rPr>
          <w:rFonts w:asciiTheme="minorHAnsi" w:hAnsiTheme="minorHAnsi" w:cstheme="minorHAnsi"/>
          <w:i/>
          <w:sz w:val="24"/>
          <w:szCs w:val="24"/>
        </w:rPr>
      </w:pPr>
    </w:p>
    <w:p w14:paraId="4B78AB2F"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In future incidents I would still concentrate on making the victim feel at ease. </w:t>
      </w:r>
      <w:r w:rsidRPr="003A1B10">
        <w:rPr>
          <w:rFonts w:asciiTheme="minorHAnsi" w:hAnsiTheme="minorHAnsi" w:cstheme="minorHAnsi"/>
          <w:bCs/>
          <w:sz w:val="24"/>
          <w:szCs w:val="24"/>
        </w:rPr>
        <w:t>Additionally</w:t>
      </w:r>
      <w:r w:rsidRPr="003A1B10">
        <w:rPr>
          <w:rFonts w:asciiTheme="minorHAnsi" w:hAnsiTheme="minorHAnsi" w:cstheme="minorHAnsi"/>
          <w:sz w:val="24"/>
          <w:szCs w:val="24"/>
        </w:rPr>
        <w:t xml:space="preserve">, I would ask more questions earlier to gain information quicker because that would only benefit the victim with putting support in place and </w:t>
      </w:r>
      <w:r w:rsidRPr="003A1B10">
        <w:rPr>
          <w:rFonts w:asciiTheme="minorHAnsi" w:hAnsiTheme="minorHAnsi" w:cstheme="minorHAnsi"/>
          <w:bCs/>
          <w:sz w:val="24"/>
          <w:szCs w:val="24"/>
        </w:rPr>
        <w:t>also</w:t>
      </w:r>
      <w:r w:rsidRPr="003A1B10">
        <w:rPr>
          <w:rFonts w:asciiTheme="minorHAnsi" w:hAnsiTheme="minorHAnsi" w:cstheme="minorHAnsi"/>
          <w:sz w:val="24"/>
          <w:szCs w:val="24"/>
        </w:rPr>
        <w:t xml:space="preserve"> when writing a victim personal statement. It gave me the drive to learn more about what is available to victims, so I can confidently explain what happens. I want victims to be confident in my abilities as an officer so </w:t>
      </w:r>
      <w:r w:rsidRPr="003A1B10">
        <w:rPr>
          <w:rFonts w:asciiTheme="minorHAnsi" w:hAnsiTheme="minorHAnsi" w:cstheme="minorHAnsi"/>
          <w:bCs/>
          <w:sz w:val="24"/>
          <w:szCs w:val="24"/>
        </w:rPr>
        <w:t>that</w:t>
      </w:r>
      <w:r w:rsidRPr="003A1B10">
        <w:rPr>
          <w:rFonts w:asciiTheme="minorHAnsi" w:hAnsiTheme="minorHAnsi" w:cstheme="minorHAnsi"/>
          <w:sz w:val="24"/>
          <w:szCs w:val="24"/>
        </w:rPr>
        <w:t xml:space="preserve"> they trust I will perform my duties selflessly and with openness.</w:t>
      </w:r>
    </w:p>
    <w:p w14:paraId="6F4BFF7D" w14:textId="77777777" w:rsidR="003A1B10" w:rsidRPr="003A1B10" w:rsidRDefault="003A1B10" w:rsidP="003A1B10">
      <w:pPr>
        <w:rPr>
          <w:rFonts w:asciiTheme="minorHAnsi" w:hAnsiTheme="minorHAnsi" w:cstheme="minorHAnsi"/>
          <w:sz w:val="24"/>
          <w:szCs w:val="24"/>
        </w:rPr>
      </w:pPr>
    </w:p>
    <w:p w14:paraId="5195614F"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A victim is defined as </w:t>
      </w:r>
      <w:r w:rsidRPr="003A1B10">
        <w:rPr>
          <w:rFonts w:asciiTheme="minorHAnsi" w:hAnsiTheme="minorHAnsi" w:cstheme="minorHAnsi"/>
          <w:i/>
          <w:sz w:val="24"/>
          <w:szCs w:val="24"/>
        </w:rPr>
        <w:t>“a person who has suffered harm, including physical, mental or emotional harm or economic loss which was directly caused by criminal conduct”(Victim Code of Practice, 2015)</w:t>
      </w:r>
      <w:r w:rsidRPr="003A1B10">
        <w:rPr>
          <w:rFonts w:asciiTheme="minorHAnsi" w:hAnsiTheme="minorHAnsi" w:cstheme="minorHAnsi"/>
          <w:sz w:val="24"/>
          <w:szCs w:val="24"/>
        </w:rPr>
        <w:t xml:space="preserve"> and in this incident the female </w:t>
      </w:r>
      <w:r w:rsidRPr="003A1B10">
        <w:rPr>
          <w:rFonts w:asciiTheme="minorHAnsi" w:hAnsiTheme="minorHAnsi" w:cstheme="minorHAnsi"/>
          <w:bCs/>
          <w:sz w:val="24"/>
          <w:szCs w:val="24"/>
        </w:rPr>
        <w:t>had</w:t>
      </w:r>
      <w:r w:rsidRPr="003A1B10">
        <w:rPr>
          <w:rFonts w:asciiTheme="minorHAnsi" w:hAnsiTheme="minorHAnsi" w:cstheme="minorHAnsi"/>
          <w:sz w:val="24"/>
          <w:szCs w:val="24"/>
        </w:rPr>
        <w:t xml:space="preserve"> suffered physically and there had been considerable criminal damage </w:t>
      </w:r>
      <w:r w:rsidRPr="003A1B10">
        <w:rPr>
          <w:rFonts w:asciiTheme="minorHAnsi" w:hAnsiTheme="minorHAnsi" w:cstheme="minorHAnsi"/>
          <w:bCs/>
          <w:sz w:val="24"/>
          <w:szCs w:val="24"/>
        </w:rPr>
        <w:t>to</w:t>
      </w:r>
      <w:r w:rsidRPr="003A1B10">
        <w:rPr>
          <w:rFonts w:asciiTheme="minorHAnsi" w:hAnsiTheme="minorHAnsi" w:cstheme="minorHAnsi"/>
          <w:sz w:val="24"/>
          <w:szCs w:val="24"/>
        </w:rPr>
        <w:t xml:space="preserve"> her property. </w:t>
      </w:r>
    </w:p>
    <w:p w14:paraId="6AC2FA20" w14:textId="77777777" w:rsidR="003A1B10" w:rsidRPr="003A1B10" w:rsidRDefault="003A1B10" w:rsidP="003A1B10">
      <w:pPr>
        <w:rPr>
          <w:rFonts w:asciiTheme="minorHAnsi" w:hAnsiTheme="minorHAnsi" w:cstheme="minorHAnsi"/>
          <w:sz w:val="24"/>
          <w:szCs w:val="24"/>
        </w:rPr>
      </w:pPr>
    </w:p>
    <w:p w14:paraId="55028314"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Due to the fact that the victim had not made statement against her partner previously, it was essential that procedures were explained. </w:t>
      </w:r>
      <w:r w:rsidRPr="003A1B10">
        <w:rPr>
          <w:rFonts w:asciiTheme="minorHAnsi" w:hAnsiTheme="minorHAnsi" w:cstheme="minorHAnsi"/>
          <w:bCs/>
          <w:sz w:val="24"/>
          <w:szCs w:val="24"/>
        </w:rPr>
        <w:t>Also it was imperative that</w:t>
      </w:r>
      <w:r w:rsidRPr="003A1B10">
        <w:rPr>
          <w:rFonts w:asciiTheme="minorHAnsi" w:hAnsiTheme="minorHAnsi" w:cstheme="minorHAnsi"/>
          <w:sz w:val="24"/>
          <w:szCs w:val="24"/>
        </w:rPr>
        <w:t xml:space="preserve"> the victim was treated with kindness and understanding, </w:t>
      </w:r>
      <w:r w:rsidRPr="003A1B10">
        <w:rPr>
          <w:rFonts w:asciiTheme="minorHAnsi" w:hAnsiTheme="minorHAnsi" w:cstheme="minorHAnsi"/>
          <w:i/>
          <w:sz w:val="24"/>
          <w:szCs w:val="24"/>
        </w:rPr>
        <w:t>“Reporting crime may be an embarrassing admission of one’s own vulnerability”(Morris and Tarling, 2010).</w:t>
      </w:r>
      <w:r w:rsidRPr="003A1B10">
        <w:rPr>
          <w:rFonts w:asciiTheme="minorHAnsi" w:hAnsiTheme="minorHAnsi" w:cstheme="minorHAnsi"/>
          <w:sz w:val="24"/>
          <w:szCs w:val="24"/>
        </w:rPr>
        <w:t xml:space="preserve"> This was something that I considered from speaking to her as she had commented that she couldn’t believe it had happened and how she had “allowed” herself to become a victim, “WHY WOULD HE DO THIS TO ME?” and “I’M DAMAGED GOODS”. The female could not see that it was actions of the perpetrator that </w:t>
      </w:r>
      <w:r w:rsidRPr="003A1B10">
        <w:rPr>
          <w:rFonts w:asciiTheme="minorHAnsi" w:hAnsiTheme="minorHAnsi" w:cstheme="minorHAnsi"/>
          <w:bCs/>
          <w:sz w:val="24"/>
          <w:szCs w:val="24"/>
        </w:rPr>
        <w:t>had</w:t>
      </w:r>
      <w:r w:rsidRPr="003A1B10">
        <w:rPr>
          <w:rFonts w:asciiTheme="minorHAnsi" w:hAnsiTheme="minorHAnsi" w:cstheme="minorHAnsi"/>
          <w:sz w:val="24"/>
          <w:szCs w:val="24"/>
        </w:rPr>
        <w:t xml:space="preserve"> caused the situation and not her. I appreciate that her alcohol addiction does impact her cognitive behaviour and reasoning so it was important to respect her account no matter what language she used or if it was random, repetitive </w:t>
      </w:r>
      <w:r w:rsidRPr="003A1B10">
        <w:rPr>
          <w:rFonts w:asciiTheme="minorHAnsi" w:hAnsiTheme="minorHAnsi" w:cstheme="minorHAnsi"/>
          <w:bCs/>
          <w:sz w:val="24"/>
          <w:szCs w:val="24"/>
        </w:rPr>
        <w:t>or non-sensical</w:t>
      </w:r>
      <w:r w:rsidRPr="003A1B10">
        <w:rPr>
          <w:rFonts w:asciiTheme="minorHAnsi" w:hAnsiTheme="minorHAnsi" w:cstheme="minorHAnsi"/>
          <w:sz w:val="24"/>
          <w:szCs w:val="24"/>
        </w:rPr>
        <w:t>.</w:t>
      </w:r>
    </w:p>
    <w:p w14:paraId="5C6B6DDB" w14:textId="77777777" w:rsidR="003A1B10" w:rsidRPr="003A1B10" w:rsidRDefault="003A1B10" w:rsidP="003A1B10">
      <w:pPr>
        <w:rPr>
          <w:rFonts w:asciiTheme="minorHAnsi" w:hAnsiTheme="minorHAnsi" w:cstheme="minorHAnsi"/>
          <w:sz w:val="24"/>
          <w:szCs w:val="24"/>
        </w:rPr>
      </w:pPr>
    </w:p>
    <w:p w14:paraId="2062515D"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For this incident the victim decided that she wanted to make a Victim Personal Statement. I explained that it could be read in court by herself, if she wanted to, and </w:t>
      </w:r>
      <w:r w:rsidRPr="003A1B10">
        <w:rPr>
          <w:rFonts w:asciiTheme="minorHAnsi" w:hAnsiTheme="minorHAnsi" w:cstheme="minorHAnsi"/>
          <w:bCs/>
          <w:sz w:val="24"/>
          <w:szCs w:val="24"/>
        </w:rPr>
        <w:t>that</w:t>
      </w:r>
      <w:r w:rsidRPr="003A1B10">
        <w:rPr>
          <w:rFonts w:asciiTheme="minorHAnsi" w:hAnsiTheme="minorHAnsi" w:cstheme="minorHAnsi"/>
          <w:sz w:val="24"/>
          <w:szCs w:val="24"/>
        </w:rPr>
        <w:t xml:space="preserve"> it is an account of how she feels and what she has been through </w:t>
      </w:r>
      <w:r w:rsidRPr="003A1B10">
        <w:rPr>
          <w:rFonts w:asciiTheme="minorHAnsi" w:hAnsiTheme="minorHAnsi" w:cstheme="minorHAnsi"/>
          <w:i/>
          <w:sz w:val="24"/>
          <w:szCs w:val="24"/>
        </w:rPr>
        <w:t>“as it gives victims a voice in the criminal justice process”(Victim Personal Statements, 2018)</w:t>
      </w:r>
      <w:r w:rsidRPr="003A1B10">
        <w:rPr>
          <w:rFonts w:asciiTheme="minorHAnsi" w:hAnsiTheme="minorHAnsi" w:cstheme="minorHAnsi"/>
          <w:sz w:val="24"/>
          <w:szCs w:val="24"/>
        </w:rPr>
        <w:t xml:space="preserve"> and she was happy to do that. </w:t>
      </w:r>
    </w:p>
    <w:p w14:paraId="76D8185A"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It was important that she understood that, </w:t>
      </w:r>
      <w:r w:rsidRPr="003A1B10">
        <w:rPr>
          <w:rFonts w:asciiTheme="minorHAnsi" w:hAnsiTheme="minorHAnsi" w:cstheme="minorHAnsi"/>
          <w:i/>
          <w:sz w:val="24"/>
          <w:szCs w:val="24"/>
        </w:rPr>
        <w:t>“It is the victim’s way of telling the court about the crime they have suffered and the impact it has had on them whether physical, emotional, psychological, financial or in any other way.”(VPS, 2018).</w:t>
      </w:r>
      <w:r w:rsidRPr="003A1B10">
        <w:rPr>
          <w:rFonts w:asciiTheme="minorHAnsi" w:hAnsiTheme="minorHAnsi" w:cstheme="minorHAnsi"/>
          <w:sz w:val="24"/>
          <w:szCs w:val="24"/>
        </w:rPr>
        <w:t xml:space="preserve"> It allows the victim to be more involved in the process of their case and </w:t>
      </w:r>
      <w:r w:rsidRPr="003A1B10">
        <w:rPr>
          <w:rFonts w:asciiTheme="minorHAnsi" w:hAnsiTheme="minorHAnsi" w:cstheme="minorHAnsi"/>
          <w:bCs/>
          <w:sz w:val="24"/>
          <w:szCs w:val="24"/>
        </w:rPr>
        <w:t>also</w:t>
      </w:r>
      <w:r w:rsidRPr="003A1B10">
        <w:rPr>
          <w:rFonts w:asciiTheme="minorHAnsi" w:hAnsiTheme="minorHAnsi" w:cstheme="minorHAnsi"/>
          <w:sz w:val="24"/>
          <w:szCs w:val="24"/>
        </w:rPr>
        <w:t xml:space="preserve"> the right to be informed. I assured her that it was the right thing to do and that she didn’t deserve to be mistreated. I wanted her to feel that it was the right decision for her to make because she was clearly very emotional.</w:t>
      </w:r>
    </w:p>
    <w:p w14:paraId="5B2B1E0B" w14:textId="77777777" w:rsidR="003A1B10" w:rsidRPr="003A1B10" w:rsidRDefault="003A1B10" w:rsidP="003A1B10">
      <w:pPr>
        <w:rPr>
          <w:rFonts w:asciiTheme="minorHAnsi" w:hAnsiTheme="minorHAnsi" w:cstheme="minorHAnsi"/>
          <w:sz w:val="24"/>
          <w:szCs w:val="24"/>
        </w:rPr>
      </w:pPr>
    </w:p>
    <w:p w14:paraId="202C74D3"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Although the female did not present as having any protected characteristics as set out in the Equality Act 2010, her alcoholism would suggest that she is vulnerable (due to this and her </w:t>
      </w:r>
      <w:r w:rsidRPr="003A1B10">
        <w:rPr>
          <w:rFonts w:asciiTheme="minorHAnsi" w:hAnsiTheme="minorHAnsi" w:cstheme="minorHAnsi"/>
          <w:sz w:val="24"/>
          <w:szCs w:val="24"/>
        </w:rPr>
        <w:lastRenderedPageBreak/>
        <w:t xml:space="preserve">circumstances as a victim of domestic violence) which </w:t>
      </w:r>
      <w:r w:rsidRPr="003A1B10">
        <w:rPr>
          <w:rFonts w:asciiTheme="minorHAnsi" w:hAnsiTheme="minorHAnsi" w:cstheme="minorHAnsi"/>
          <w:bCs/>
          <w:sz w:val="24"/>
          <w:szCs w:val="24"/>
        </w:rPr>
        <w:t>meant it was necessary that she needed</w:t>
      </w:r>
      <w:r w:rsidRPr="003A1B10">
        <w:rPr>
          <w:rFonts w:asciiTheme="minorHAnsi" w:hAnsiTheme="minorHAnsi" w:cstheme="minorHAnsi"/>
          <w:sz w:val="24"/>
          <w:szCs w:val="24"/>
        </w:rPr>
        <w:t xml:space="preserve"> to be protected and supported throughout the criminal justice system process.</w:t>
      </w:r>
    </w:p>
    <w:p w14:paraId="648A7A8C"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I explained how the witness care unit can help by communicating with the victim and keeping the victim updated. </w:t>
      </w:r>
      <w:r w:rsidRPr="003A1B10">
        <w:rPr>
          <w:rFonts w:asciiTheme="minorHAnsi" w:hAnsiTheme="minorHAnsi" w:cstheme="minorHAnsi"/>
          <w:bCs/>
          <w:sz w:val="24"/>
          <w:szCs w:val="24"/>
        </w:rPr>
        <w:t>I also explained that they would ensure that</w:t>
      </w:r>
      <w:r w:rsidRPr="003A1B10">
        <w:rPr>
          <w:rFonts w:asciiTheme="minorHAnsi" w:hAnsiTheme="minorHAnsi" w:cstheme="minorHAnsi"/>
          <w:sz w:val="24"/>
          <w:szCs w:val="24"/>
        </w:rPr>
        <w:t xml:space="preserve"> her rights were protected in the court process and that decisions are explained and are understood, for example </w:t>
      </w:r>
      <w:r w:rsidRPr="003A1B10">
        <w:rPr>
          <w:rFonts w:asciiTheme="minorHAnsi" w:hAnsiTheme="minorHAnsi" w:cstheme="minorHAnsi"/>
          <w:i/>
          <w:sz w:val="24"/>
          <w:szCs w:val="24"/>
        </w:rPr>
        <w:t xml:space="preserve">“the best way for you to give evidence.” (CPS, 2012) </w:t>
      </w:r>
      <w:r w:rsidRPr="003A1B10">
        <w:rPr>
          <w:rFonts w:asciiTheme="minorHAnsi" w:hAnsiTheme="minorHAnsi" w:cstheme="minorHAnsi"/>
          <w:sz w:val="24"/>
          <w:szCs w:val="24"/>
        </w:rPr>
        <w:t>This leads on to special measures which are used to protect a witness or victim and can include giving evidence via video link, or pre-recorded cross examination or evidence given in private (Blackstone’s, 2018)</w:t>
      </w:r>
    </w:p>
    <w:p w14:paraId="2F8C3A08" w14:textId="77777777" w:rsidR="003A1B10" w:rsidRPr="003A1B10" w:rsidRDefault="003A1B10" w:rsidP="003A1B10">
      <w:pPr>
        <w:rPr>
          <w:rFonts w:asciiTheme="minorHAnsi" w:hAnsiTheme="minorHAnsi" w:cstheme="minorHAnsi"/>
          <w:sz w:val="24"/>
          <w:szCs w:val="24"/>
        </w:rPr>
      </w:pPr>
    </w:p>
    <w:p w14:paraId="319B1156" w14:textId="77777777" w:rsidR="003A1B10" w:rsidRPr="003A1B10" w:rsidRDefault="003A1B10" w:rsidP="003A1B10">
      <w:pPr>
        <w:rPr>
          <w:rFonts w:asciiTheme="minorHAnsi" w:hAnsiTheme="minorHAnsi" w:cstheme="minorHAnsi"/>
          <w:i/>
          <w:sz w:val="24"/>
          <w:szCs w:val="24"/>
        </w:rPr>
      </w:pPr>
      <w:r w:rsidRPr="003A1B10">
        <w:rPr>
          <w:rFonts w:asciiTheme="minorHAnsi" w:hAnsiTheme="minorHAnsi" w:cstheme="minorHAnsi"/>
          <w:sz w:val="24"/>
          <w:szCs w:val="24"/>
        </w:rPr>
        <w:t>Being a police constable is demonstrating that I am able to help a victim through</w:t>
      </w:r>
      <w:r w:rsidRPr="003A1B10">
        <w:rPr>
          <w:rFonts w:asciiTheme="minorHAnsi" w:hAnsiTheme="minorHAnsi" w:cstheme="minorHAnsi"/>
          <w:i/>
          <w:sz w:val="24"/>
          <w:szCs w:val="24"/>
        </w:rPr>
        <w:t xml:space="preserve">, “Non-coercive actions, such as counselling, offering physical assistance and information, and showing courtesy and concern, emphasize the provision of emotional and psychological support in order to enhance citizen compliance and satisfaction” (Sun, 2006) </w:t>
      </w:r>
    </w:p>
    <w:p w14:paraId="24F4CE36"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There are so many aspects of how you deal with a victim that it </w:t>
      </w:r>
      <w:r w:rsidRPr="003A1B10">
        <w:rPr>
          <w:rFonts w:asciiTheme="minorHAnsi" w:hAnsiTheme="minorHAnsi" w:cstheme="minorHAnsi"/>
          <w:bCs/>
          <w:sz w:val="24"/>
          <w:szCs w:val="24"/>
        </w:rPr>
        <w:t>is</w:t>
      </w:r>
      <w:r w:rsidRPr="003A1B10">
        <w:rPr>
          <w:rFonts w:asciiTheme="minorHAnsi" w:hAnsiTheme="minorHAnsi" w:cstheme="minorHAnsi"/>
          <w:sz w:val="24"/>
          <w:szCs w:val="24"/>
        </w:rPr>
        <w:t xml:space="preserve"> constantly evolving </w:t>
      </w:r>
      <w:r w:rsidRPr="003A1B10">
        <w:rPr>
          <w:rFonts w:asciiTheme="minorHAnsi" w:hAnsiTheme="minorHAnsi" w:cstheme="minorHAnsi"/>
          <w:bCs/>
          <w:sz w:val="24"/>
          <w:szCs w:val="24"/>
        </w:rPr>
        <w:t>to improve ways to</w:t>
      </w:r>
      <w:r w:rsidRPr="003A1B10">
        <w:rPr>
          <w:rFonts w:asciiTheme="minorHAnsi" w:hAnsiTheme="minorHAnsi" w:cstheme="minorHAnsi"/>
          <w:sz w:val="24"/>
          <w:szCs w:val="24"/>
        </w:rPr>
        <w:t xml:space="preserve"> achieve best evidence but also provide a high level of support and service that a victim deserves. It is important that you take time to assess the needs of the victim and if they have had previous experiences dealing with police and if it was positive or negative, in this instance the female had had mixed experiences so was a little reluctant about trusting a police officer to help her.</w:t>
      </w:r>
    </w:p>
    <w:p w14:paraId="5E97A969" w14:textId="77777777" w:rsidR="003A1B10" w:rsidRPr="003A1B10" w:rsidRDefault="003A1B10" w:rsidP="003A1B10">
      <w:pPr>
        <w:rPr>
          <w:rFonts w:asciiTheme="minorHAnsi" w:hAnsiTheme="minorHAnsi" w:cstheme="minorHAnsi"/>
          <w:sz w:val="24"/>
          <w:szCs w:val="24"/>
        </w:rPr>
      </w:pPr>
    </w:p>
    <w:p w14:paraId="7B4AF908"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I explained to the victim that it was important her statement gave as much detail as possible and that she was comfortable to have it written down and to be recorded on my body worn camera, which evidentially gives a clear picture of the scene and how the victim was behaving, her tone and her demeanour.</w:t>
      </w:r>
    </w:p>
    <w:p w14:paraId="0640AA96"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I told her that I knew it would be incredibly difficult for her to relive some of her experience, but ultimately it could mean she didn’t suffer again. I was honest with her about the statements significance as it was her chance to give her side of the story. </w:t>
      </w:r>
    </w:p>
    <w:p w14:paraId="79DCE793"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The victim was clearly experiencing a lot of pain and mixed emotions about the incident. </w:t>
      </w:r>
      <w:r w:rsidRPr="003A1B10">
        <w:rPr>
          <w:rFonts w:asciiTheme="minorHAnsi" w:hAnsiTheme="minorHAnsi" w:cstheme="minorHAnsi"/>
          <w:bCs/>
          <w:sz w:val="24"/>
          <w:szCs w:val="24"/>
        </w:rPr>
        <w:t>I could sense this</w:t>
      </w:r>
      <w:r w:rsidRPr="003A1B10">
        <w:rPr>
          <w:rFonts w:asciiTheme="minorHAnsi" w:hAnsiTheme="minorHAnsi" w:cstheme="minorHAnsi"/>
          <w:sz w:val="24"/>
          <w:szCs w:val="24"/>
        </w:rPr>
        <w:t xml:space="preserve"> as when she was describing what happened it was as if she couldn’t believe it and that even though she had experienced violence in the relationship before, this incident for her was too far.</w:t>
      </w:r>
    </w:p>
    <w:p w14:paraId="2AACDD40"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I acted with integrity and fairness and allowed the victim to speak freely, and did not offer my opinion or judgement as she spoke about the incident and how it was affecting her </w:t>
      </w:r>
      <w:r w:rsidRPr="003A1B10">
        <w:rPr>
          <w:rFonts w:asciiTheme="minorHAnsi" w:hAnsiTheme="minorHAnsi" w:cstheme="minorHAnsi"/>
          <w:bCs/>
          <w:sz w:val="24"/>
          <w:szCs w:val="24"/>
        </w:rPr>
        <w:t>emotionally</w:t>
      </w:r>
      <w:r w:rsidRPr="003A1B10">
        <w:rPr>
          <w:rFonts w:asciiTheme="minorHAnsi" w:hAnsiTheme="minorHAnsi" w:cstheme="minorHAnsi"/>
          <w:sz w:val="24"/>
          <w:szCs w:val="24"/>
        </w:rPr>
        <w:t xml:space="preserve">. It is difficult </w:t>
      </w:r>
      <w:r w:rsidRPr="003A1B10">
        <w:rPr>
          <w:rFonts w:asciiTheme="minorHAnsi" w:hAnsiTheme="minorHAnsi" w:cstheme="minorHAnsi"/>
          <w:bCs/>
          <w:sz w:val="24"/>
          <w:szCs w:val="24"/>
        </w:rPr>
        <w:t>at</w:t>
      </w:r>
      <w:r w:rsidRPr="003A1B10">
        <w:rPr>
          <w:rFonts w:asciiTheme="minorHAnsi" w:hAnsiTheme="minorHAnsi" w:cstheme="minorHAnsi"/>
          <w:sz w:val="24"/>
          <w:szCs w:val="24"/>
        </w:rPr>
        <w:t xml:space="preserve"> times dealing with someone who is in a very emotional state. </w:t>
      </w:r>
      <w:r w:rsidRPr="003A1B10">
        <w:rPr>
          <w:rFonts w:asciiTheme="minorHAnsi" w:hAnsiTheme="minorHAnsi" w:cstheme="minorHAnsi"/>
          <w:bCs/>
          <w:sz w:val="24"/>
          <w:szCs w:val="24"/>
        </w:rPr>
        <w:t>Especially when you need</w:t>
      </w:r>
      <w:r w:rsidRPr="003A1B10">
        <w:rPr>
          <w:rFonts w:asciiTheme="minorHAnsi" w:hAnsiTheme="minorHAnsi" w:cstheme="minorHAnsi"/>
          <w:sz w:val="24"/>
          <w:szCs w:val="24"/>
        </w:rPr>
        <w:t xml:space="preserve"> to ensure that you manage their expectations of what can happen to a suspect on arrest and when they are charged, because invariably they are expecting a completely unrealistic outcome and you want them to understand that their information has been listened to and progressed, but that each outcome can be vastly different. </w:t>
      </w:r>
    </w:p>
    <w:p w14:paraId="44B0BAFD" w14:textId="77777777" w:rsidR="003A1B10" w:rsidRPr="003A1B10" w:rsidRDefault="003A1B10" w:rsidP="003A1B10">
      <w:pPr>
        <w:rPr>
          <w:rFonts w:asciiTheme="minorHAnsi" w:hAnsiTheme="minorHAnsi" w:cstheme="minorHAnsi"/>
          <w:i/>
          <w:sz w:val="24"/>
          <w:szCs w:val="24"/>
        </w:rPr>
      </w:pPr>
      <w:r w:rsidRPr="003A1B10">
        <w:rPr>
          <w:rFonts w:asciiTheme="minorHAnsi" w:hAnsiTheme="minorHAnsi" w:cstheme="minorHAnsi"/>
          <w:i/>
          <w:sz w:val="24"/>
          <w:szCs w:val="24"/>
        </w:rPr>
        <w:t>“Victims’ expectations are an important determinant of victim satisfaction: victims are satisfied when their expectations are met or exceeded and tend to be dissatisfied when their experience falls short of expectations.” (Canada Department of Justice, 2018)</w:t>
      </w:r>
    </w:p>
    <w:p w14:paraId="4B02547A" w14:textId="77777777" w:rsidR="003A1B10" w:rsidRPr="003A1B10" w:rsidRDefault="003A1B10" w:rsidP="003A1B10">
      <w:pPr>
        <w:rPr>
          <w:rFonts w:asciiTheme="minorHAnsi" w:hAnsiTheme="minorHAnsi" w:cstheme="minorHAnsi"/>
          <w:sz w:val="24"/>
          <w:szCs w:val="24"/>
        </w:rPr>
      </w:pPr>
    </w:p>
    <w:p w14:paraId="336F9A9F"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Due to the nature of the incident the victim had been involved in, a risk assessment was conducted and the victim was asked the DASH questions on the Domestic Abuse, Stalking and Harassment form in order to determine the level of risk and </w:t>
      </w:r>
      <w:r w:rsidRPr="003A1B10">
        <w:rPr>
          <w:rFonts w:asciiTheme="minorHAnsi" w:hAnsiTheme="minorHAnsi" w:cstheme="minorHAnsi"/>
          <w:bCs/>
          <w:sz w:val="24"/>
          <w:szCs w:val="24"/>
        </w:rPr>
        <w:t>also</w:t>
      </w:r>
      <w:r w:rsidRPr="003A1B10">
        <w:rPr>
          <w:rFonts w:asciiTheme="minorHAnsi" w:hAnsiTheme="minorHAnsi" w:cstheme="minorHAnsi"/>
          <w:sz w:val="24"/>
          <w:szCs w:val="24"/>
        </w:rPr>
        <w:t xml:space="preserve"> the type of support that the victim required and </w:t>
      </w:r>
      <w:r w:rsidRPr="003A1B10">
        <w:rPr>
          <w:rFonts w:asciiTheme="minorHAnsi" w:hAnsiTheme="minorHAnsi" w:cstheme="minorHAnsi"/>
          <w:bCs/>
          <w:sz w:val="24"/>
          <w:szCs w:val="24"/>
        </w:rPr>
        <w:t>any</w:t>
      </w:r>
      <w:r w:rsidRPr="003A1B10">
        <w:rPr>
          <w:rFonts w:asciiTheme="minorHAnsi" w:hAnsiTheme="minorHAnsi" w:cstheme="minorHAnsi"/>
          <w:sz w:val="24"/>
          <w:szCs w:val="24"/>
        </w:rPr>
        <w:t xml:space="preserve"> officers observations. It was completed to share the female’s details and information with other agencies, and police units that may be able to offer support and guidance, especially if she </w:t>
      </w:r>
      <w:r w:rsidRPr="003A1B10">
        <w:rPr>
          <w:rFonts w:asciiTheme="minorHAnsi" w:hAnsiTheme="minorHAnsi" w:cstheme="minorHAnsi"/>
          <w:sz w:val="24"/>
          <w:szCs w:val="24"/>
        </w:rPr>
        <w:lastRenderedPageBreak/>
        <w:t xml:space="preserve">was called to court as a witness (which was a concern of the victim.) The information that she gave was sensitive and as she had been injured, a medical consent form was completed so </w:t>
      </w:r>
      <w:r w:rsidRPr="003A1B10">
        <w:rPr>
          <w:rFonts w:asciiTheme="minorHAnsi" w:hAnsiTheme="minorHAnsi" w:cstheme="minorHAnsi"/>
          <w:bCs/>
          <w:sz w:val="24"/>
          <w:szCs w:val="24"/>
        </w:rPr>
        <w:t>that</w:t>
      </w:r>
      <w:r w:rsidRPr="003A1B10">
        <w:rPr>
          <w:rFonts w:asciiTheme="minorHAnsi" w:hAnsiTheme="minorHAnsi" w:cstheme="minorHAnsi"/>
          <w:sz w:val="24"/>
          <w:szCs w:val="24"/>
        </w:rPr>
        <w:t xml:space="preserve"> a medical opinion could be gained. By sharing her information with others we have an obligation to protect her identity and ensure no information is passed on unless necessary. </w:t>
      </w:r>
    </w:p>
    <w:p w14:paraId="5B8B987B" w14:textId="77777777" w:rsidR="003A1B10" w:rsidRPr="003A1B10" w:rsidRDefault="003A1B10" w:rsidP="003A1B10">
      <w:pPr>
        <w:rPr>
          <w:rFonts w:asciiTheme="minorHAnsi" w:hAnsiTheme="minorHAnsi" w:cstheme="minorHAnsi"/>
          <w:sz w:val="24"/>
          <w:szCs w:val="24"/>
        </w:rPr>
      </w:pPr>
    </w:p>
    <w:p w14:paraId="156594E8"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It was important to demonstrate that I wasn’t judging the victim’s past decisions, or any of the information she was giving me. The victim was made aware that it was important for her to talk in detail about her assault. </w:t>
      </w:r>
      <w:r w:rsidRPr="003A1B10">
        <w:rPr>
          <w:rFonts w:asciiTheme="minorHAnsi" w:hAnsiTheme="minorHAnsi" w:cstheme="minorHAnsi"/>
          <w:bCs/>
          <w:sz w:val="24"/>
          <w:szCs w:val="24"/>
        </w:rPr>
        <w:t>Also</w:t>
      </w:r>
      <w:r w:rsidRPr="003A1B10">
        <w:rPr>
          <w:rFonts w:asciiTheme="minorHAnsi" w:hAnsiTheme="minorHAnsi" w:cstheme="minorHAnsi"/>
          <w:sz w:val="24"/>
          <w:szCs w:val="24"/>
        </w:rPr>
        <w:t>, that the information was treated confidentially and that it would only be read by people who needed it, defence and prosecution.</w:t>
      </w:r>
    </w:p>
    <w:p w14:paraId="750E432C" w14:textId="77777777" w:rsidR="003A1B10" w:rsidRPr="003A1B10" w:rsidRDefault="003A1B10" w:rsidP="003A1B10">
      <w:pPr>
        <w:rPr>
          <w:rFonts w:asciiTheme="minorHAnsi" w:hAnsiTheme="minorHAnsi" w:cstheme="minorHAnsi"/>
          <w:sz w:val="24"/>
          <w:szCs w:val="24"/>
        </w:rPr>
      </w:pPr>
    </w:p>
    <w:p w14:paraId="3F33E658"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I was polite and courteous and spoke to the victim with respect. As a police officer there is a perception that a lot of victims, witnesses and suspects have of how you will and should behave and when an officer does not adhere to the professional standards, it has a negative effect, </w:t>
      </w:r>
      <w:r w:rsidRPr="003A1B10">
        <w:rPr>
          <w:rFonts w:asciiTheme="minorHAnsi" w:hAnsiTheme="minorHAnsi" w:cstheme="minorHAnsi"/>
          <w:i/>
          <w:sz w:val="24"/>
          <w:szCs w:val="24"/>
        </w:rPr>
        <w:t>“Authority is undermined, lack of trust.”</w:t>
      </w:r>
      <w:r w:rsidRPr="003A1B10">
        <w:rPr>
          <w:rFonts w:asciiTheme="minorHAnsi" w:hAnsiTheme="minorHAnsi" w:cstheme="minorHAnsi"/>
          <w:sz w:val="24"/>
          <w:szCs w:val="24"/>
        </w:rPr>
        <w:t xml:space="preserve"> (Blackstone’s 2018). And this lack of trust can be incredibly detrimental to that incident and any future incidents the victim could be involved in, breaking a trust that may never be repaired.</w:t>
      </w:r>
    </w:p>
    <w:p w14:paraId="4518A572" w14:textId="77777777" w:rsidR="003A1B10" w:rsidRPr="003A1B10" w:rsidRDefault="003A1B10" w:rsidP="003A1B10">
      <w:pPr>
        <w:rPr>
          <w:rFonts w:asciiTheme="minorHAnsi" w:hAnsiTheme="minorHAnsi" w:cstheme="minorHAnsi"/>
          <w:sz w:val="24"/>
          <w:szCs w:val="24"/>
        </w:rPr>
      </w:pPr>
    </w:p>
    <w:p w14:paraId="5D8FDA55" w14:textId="77777777" w:rsidR="003A1B10" w:rsidRPr="003A1B10" w:rsidRDefault="003A1B10" w:rsidP="003A1B10">
      <w:pPr>
        <w:rPr>
          <w:rFonts w:asciiTheme="minorHAnsi" w:hAnsiTheme="minorHAnsi" w:cstheme="minorHAnsi"/>
          <w:sz w:val="24"/>
          <w:szCs w:val="24"/>
        </w:rPr>
      </w:pPr>
    </w:p>
    <w:p w14:paraId="72B7D980" w14:textId="77777777" w:rsidR="003A1B10" w:rsidRPr="003A1B10" w:rsidRDefault="003A1B10" w:rsidP="003A1B10">
      <w:pPr>
        <w:rPr>
          <w:rFonts w:asciiTheme="minorHAnsi" w:hAnsiTheme="minorHAnsi" w:cstheme="minorHAnsi"/>
          <w:sz w:val="24"/>
          <w:szCs w:val="24"/>
        </w:rPr>
      </w:pPr>
    </w:p>
    <w:p w14:paraId="121FEF8D" w14:textId="77777777" w:rsidR="003A1B10" w:rsidRPr="003A1B10" w:rsidRDefault="003A1B10" w:rsidP="003A1B10">
      <w:pPr>
        <w:rPr>
          <w:rFonts w:asciiTheme="minorHAnsi" w:hAnsiTheme="minorHAnsi" w:cstheme="minorHAnsi"/>
          <w:sz w:val="24"/>
          <w:szCs w:val="24"/>
        </w:rPr>
      </w:pPr>
    </w:p>
    <w:p w14:paraId="6E35A500"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Word count - 2368</w:t>
      </w:r>
    </w:p>
    <w:p w14:paraId="1B07D45C" w14:textId="77777777" w:rsidR="003A1B10" w:rsidRPr="003A1B10" w:rsidRDefault="003A1B10" w:rsidP="003A1B10">
      <w:pPr>
        <w:rPr>
          <w:rFonts w:asciiTheme="minorHAnsi" w:hAnsiTheme="minorHAnsi" w:cstheme="minorHAnsi"/>
          <w:b/>
          <w:sz w:val="24"/>
          <w:szCs w:val="24"/>
        </w:rPr>
      </w:pPr>
    </w:p>
    <w:p w14:paraId="166A7B81" w14:textId="77777777" w:rsidR="003A1B10" w:rsidRPr="003A1B10" w:rsidRDefault="003A1B10" w:rsidP="003A1B10">
      <w:pPr>
        <w:rPr>
          <w:rFonts w:asciiTheme="minorHAnsi" w:hAnsiTheme="minorHAnsi" w:cstheme="minorHAnsi"/>
          <w:b/>
          <w:sz w:val="24"/>
          <w:szCs w:val="24"/>
        </w:rPr>
      </w:pPr>
    </w:p>
    <w:p w14:paraId="0E10D28B" w14:textId="77777777" w:rsidR="003A1B10" w:rsidRPr="003A1B10" w:rsidRDefault="003A1B10" w:rsidP="003A1B10">
      <w:pPr>
        <w:rPr>
          <w:rFonts w:asciiTheme="minorHAnsi" w:hAnsiTheme="minorHAnsi" w:cstheme="minorHAnsi"/>
          <w:b/>
          <w:sz w:val="24"/>
          <w:szCs w:val="24"/>
        </w:rPr>
      </w:pPr>
    </w:p>
    <w:p w14:paraId="3669C755" w14:textId="77777777" w:rsidR="003A1B10" w:rsidRPr="003A1B10" w:rsidRDefault="003A1B10" w:rsidP="003A1B10">
      <w:pPr>
        <w:rPr>
          <w:rFonts w:asciiTheme="minorHAnsi" w:hAnsiTheme="minorHAnsi" w:cstheme="minorHAnsi"/>
          <w:sz w:val="24"/>
          <w:szCs w:val="24"/>
          <w:u w:val="single"/>
        </w:rPr>
      </w:pPr>
    </w:p>
    <w:p w14:paraId="1310E17F" w14:textId="77777777" w:rsidR="003A1B10" w:rsidRPr="003A1B10" w:rsidRDefault="003A1B10" w:rsidP="003A1B10">
      <w:pPr>
        <w:rPr>
          <w:rFonts w:asciiTheme="minorHAnsi" w:hAnsiTheme="minorHAnsi" w:cstheme="minorHAnsi"/>
          <w:sz w:val="24"/>
          <w:szCs w:val="24"/>
          <w:u w:val="single"/>
        </w:rPr>
      </w:pPr>
    </w:p>
    <w:p w14:paraId="09A781E8" w14:textId="77777777" w:rsidR="003A1B10" w:rsidRPr="003A1B10" w:rsidRDefault="003A1B10" w:rsidP="003A1B10">
      <w:pPr>
        <w:rPr>
          <w:rFonts w:asciiTheme="minorHAnsi" w:hAnsiTheme="minorHAnsi" w:cstheme="minorHAnsi"/>
          <w:sz w:val="24"/>
          <w:szCs w:val="24"/>
          <w:u w:val="single"/>
        </w:rPr>
      </w:pPr>
    </w:p>
    <w:p w14:paraId="7A2F60AB" w14:textId="77777777" w:rsidR="003A1B10" w:rsidRPr="003A1B10" w:rsidRDefault="003A1B10" w:rsidP="003A1B10">
      <w:pPr>
        <w:rPr>
          <w:rFonts w:asciiTheme="minorHAnsi" w:hAnsiTheme="minorHAnsi" w:cstheme="minorHAnsi"/>
          <w:sz w:val="24"/>
          <w:szCs w:val="24"/>
          <w:u w:val="single"/>
        </w:rPr>
      </w:pPr>
    </w:p>
    <w:p w14:paraId="069C7397" w14:textId="77777777" w:rsidR="003A1B10" w:rsidRPr="003A1B10" w:rsidRDefault="003A1B10" w:rsidP="003A1B10">
      <w:pPr>
        <w:rPr>
          <w:rFonts w:asciiTheme="minorHAnsi" w:hAnsiTheme="minorHAnsi" w:cstheme="minorHAnsi"/>
          <w:sz w:val="24"/>
          <w:szCs w:val="24"/>
          <w:u w:val="single"/>
        </w:rPr>
      </w:pPr>
    </w:p>
    <w:p w14:paraId="3B0B17E3" w14:textId="77777777" w:rsidR="003A1B10" w:rsidRPr="003A1B10" w:rsidRDefault="003A1B10" w:rsidP="003A1B10">
      <w:pPr>
        <w:rPr>
          <w:rFonts w:asciiTheme="minorHAnsi" w:hAnsiTheme="minorHAnsi" w:cstheme="minorHAnsi"/>
          <w:sz w:val="24"/>
          <w:szCs w:val="24"/>
          <w:u w:val="single"/>
        </w:rPr>
      </w:pPr>
    </w:p>
    <w:p w14:paraId="33A02380" w14:textId="77777777" w:rsidR="003A1B10" w:rsidRPr="003A1B10" w:rsidRDefault="003A1B10" w:rsidP="003A1B10">
      <w:pPr>
        <w:rPr>
          <w:rFonts w:asciiTheme="minorHAnsi" w:hAnsiTheme="minorHAnsi" w:cstheme="minorHAnsi"/>
          <w:sz w:val="24"/>
          <w:szCs w:val="24"/>
          <w:u w:val="single"/>
        </w:rPr>
      </w:pPr>
    </w:p>
    <w:p w14:paraId="217EBCA5" w14:textId="77777777" w:rsidR="003A1B10" w:rsidRPr="003A1B10" w:rsidRDefault="003A1B10" w:rsidP="003A1B10">
      <w:pPr>
        <w:rPr>
          <w:rFonts w:asciiTheme="minorHAnsi" w:hAnsiTheme="minorHAnsi" w:cstheme="minorHAnsi"/>
          <w:sz w:val="24"/>
          <w:szCs w:val="24"/>
          <w:u w:val="single"/>
        </w:rPr>
      </w:pPr>
    </w:p>
    <w:p w14:paraId="1617C2F0" w14:textId="77777777" w:rsidR="003A1B10" w:rsidRPr="003A1B10" w:rsidRDefault="003A1B10" w:rsidP="003A1B10">
      <w:pPr>
        <w:rPr>
          <w:rFonts w:asciiTheme="minorHAnsi" w:hAnsiTheme="minorHAnsi" w:cstheme="minorHAnsi"/>
          <w:sz w:val="24"/>
          <w:szCs w:val="24"/>
          <w:u w:val="single"/>
        </w:rPr>
      </w:pPr>
    </w:p>
    <w:p w14:paraId="289E1F1F" w14:textId="77777777" w:rsidR="003A1B10" w:rsidRPr="003A1B10" w:rsidRDefault="003A1B10" w:rsidP="003A1B10">
      <w:pPr>
        <w:rPr>
          <w:rFonts w:asciiTheme="minorHAnsi" w:hAnsiTheme="minorHAnsi" w:cstheme="minorHAnsi"/>
          <w:sz w:val="24"/>
          <w:szCs w:val="24"/>
          <w:u w:val="single"/>
        </w:rPr>
      </w:pPr>
    </w:p>
    <w:p w14:paraId="551CA900" w14:textId="77777777" w:rsidR="003A1B10" w:rsidRPr="003A1B10" w:rsidRDefault="003A1B10" w:rsidP="003A1B10">
      <w:pPr>
        <w:rPr>
          <w:rFonts w:asciiTheme="minorHAnsi" w:hAnsiTheme="minorHAnsi" w:cstheme="minorHAnsi"/>
          <w:sz w:val="24"/>
          <w:szCs w:val="24"/>
          <w:u w:val="single"/>
        </w:rPr>
      </w:pPr>
    </w:p>
    <w:p w14:paraId="478C3C71" w14:textId="77777777" w:rsidR="003A1B10" w:rsidRPr="003A1B10" w:rsidRDefault="003A1B10" w:rsidP="003A1B10">
      <w:pPr>
        <w:rPr>
          <w:rFonts w:asciiTheme="minorHAnsi" w:hAnsiTheme="minorHAnsi" w:cstheme="minorHAnsi"/>
          <w:sz w:val="24"/>
          <w:szCs w:val="24"/>
          <w:u w:val="single"/>
        </w:rPr>
      </w:pPr>
    </w:p>
    <w:p w14:paraId="69F793EA" w14:textId="593960C9" w:rsidR="003A1B10" w:rsidRDefault="003A1B10" w:rsidP="003A1B10">
      <w:pPr>
        <w:rPr>
          <w:rFonts w:asciiTheme="minorHAnsi" w:hAnsiTheme="minorHAnsi" w:cstheme="minorHAnsi"/>
          <w:sz w:val="24"/>
          <w:szCs w:val="24"/>
          <w:u w:val="single"/>
        </w:rPr>
      </w:pPr>
    </w:p>
    <w:p w14:paraId="0942E826" w14:textId="45B3AFB7" w:rsidR="003A1B10" w:rsidRDefault="003A1B10" w:rsidP="003A1B10">
      <w:pPr>
        <w:rPr>
          <w:rFonts w:asciiTheme="minorHAnsi" w:hAnsiTheme="minorHAnsi" w:cstheme="minorHAnsi"/>
          <w:sz w:val="24"/>
          <w:szCs w:val="24"/>
          <w:u w:val="single"/>
        </w:rPr>
      </w:pPr>
    </w:p>
    <w:p w14:paraId="1968CC36" w14:textId="0313D4D6" w:rsidR="003A1B10" w:rsidRDefault="003A1B10" w:rsidP="003A1B10">
      <w:pPr>
        <w:rPr>
          <w:rFonts w:asciiTheme="minorHAnsi" w:hAnsiTheme="minorHAnsi" w:cstheme="minorHAnsi"/>
          <w:sz w:val="24"/>
          <w:szCs w:val="24"/>
          <w:u w:val="single"/>
        </w:rPr>
      </w:pPr>
    </w:p>
    <w:p w14:paraId="2AD8CDB7" w14:textId="538580F2" w:rsidR="003A1B10" w:rsidRDefault="003A1B10" w:rsidP="003A1B10">
      <w:pPr>
        <w:rPr>
          <w:rFonts w:asciiTheme="minorHAnsi" w:hAnsiTheme="minorHAnsi" w:cstheme="minorHAnsi"/>
          <w:sz w:val="24"/>
          <w:szCs w:val="24"/>
          <w:u w:val="single"/>
        </w:rPr>
      </w:pPr>
    </w:p>
    <w:p w14:paraId="43B0B355" w14:textId="7CDE4142" w:rsidR="003A1B10" w:rsidRDefault="003A1B10" w:rsidP="003A1B10">
      <w:pPr>
        <w:rPr>
          <w:rFonts w:asciiTheme="minorHAnsi" w:hAnsiTheme="minorHAnsi" w:cstheme="minorHAnsi"/>
          <w:sz w:val="24"/>
          <w:szCs w:val="24"/>
          <w:u w:val="single"/>
        </w:rPr>
      </w:pPr>
    </w:p>
    <w:p w14:paraId="757A7D94" w14:textId="77777777" w:rsidR="003A1B10" w:rsidRPr="003A1B10" w:rsidRDefault="003A1B10" w:rsidP="003A1B10">
      <w:pPr>
        <w:rPr>
          <w:rFonts w:asciiTheme="minorHAnsi" w:hAnsiTheme="minorHAnsi" w:cstheme="minorHAnsi"/>
          <w:sz w:val="24"/>
          <w:szCs w:val="24"/>
          <w:u w:val="single"/>
        </w:rPr>
      </w:pPr>
    </w:p>
    <w:p w14:paraId="59F2622E" w14:textId="77777777" w:rsidR="003A1B10" w:rsidRPr="003A1B10" w:rsidRDefault="003A1B10" w:rsidP="003A1B10">
      <w:pPr>
        <w:rPr>
          <w:rFonts w:asciiTheme="minorHAnsi" w:hAnsiTheme="minorHAnsi" w:cstheme="minorHAnsi"/>
          <w:sz w:val="24"/>
          <w:szCs w:val="24"/>
          <w:u w:val="single"/>
        </w:rPr>
      </w:pPr>
    </w:p>
    <w:p w14:paraId="42AD6750" w14:textId="77777777" w:rsidR="003A1B10" w:rsidRPr="003A1B10" w:rsidRDefault="003A1B10" w:rsidP="003A1B10">
      <w:pPr>
        <w:rPr>
          <w:rFonts w:asciiTheme="minorHAnsi" w:hAnsiTheme="minorHAnsi" w:cstheme="minorHAnsi"/>
          <w:sz w:val="24"/>
          <w:szCs w:val="24"/>
          <w:u w:val="single"/>
        </w:rPr>
      </w:pPr>
    </w:p>
    <w:p w14:paraId="1161316C" w14:textId="77777777" w:rsidR="003A1B10" w:rsidRPr="003A1B10" w:rsidRDefault="003A1B10" w:rsidP="003A1B10">
      <w:pPr>
        <w:rPr>
          <w:rFonts w:asciiTheme="minorHAnsi" w:hAnsiTheme="minorHAnsi" w:cstheme="minorHAnsi"/>
          <w:sz w:val="24"/>
          <w:szCs w:val="24"/>
          <w:u w:val="single"/>
        </w:rPr>
      </w:pPr>
    </w:p>
    <w:p w14:paraId="58B1A90A" w14:textId="77777777" w:rsidR="003A1B10" w:rsidRPr="003A1B10" w:rsidRDefault="003A1B10" w:rsidP="003A1B10">
      <w:pPr>
        <w:rPr>
          <w:rFonts w:asciiTheme="minorHAnsi" w:hAnsiTheme="minorHAnsi" w:cstheme="minorHAnsi"/>
          <w:sz w:val="24"/>
          <w:szCs w:val="24"/>
          <w:u w:val="single"/>
        </w:rPr>
      </w:pPr>
    </w:p>
    <w:p w14:paraId="32AED64D" w14:textId="77777777" w:rsidR="003A1B10" w:rsidRPr="003A1B10" w:rsidRDefault="003A1B10" w:rsidP="003A1B10">
      <w:pPr>
        <w:rPr>
          <w:rFonts w:asciiTheme="minorHAnsi" w:hAnsiTheme="minorHAnsi" w:cstheme="minorHAnsi"/>
          <w:sz w:val="24"/>
          <w:szCs w:val="24"/>
          <w:u w:val="single"/>
        </w:rPr>
      </w:pPr>
      <w:r w:rsidRPr="003A1B10">
        <w:rPr>
          <w:rFonts w:asciiTheme="minorHAnsi" w:hAnsiTheme="minorHAnsi" w:cstheme="minorHAnsi"/>
          <w:sz w:val="24"/>
          <w:szCs w:val="24"/>
          <w:u w:val="single"/>
        </w:rPr>
        <w:lastRenderedPageBreak/>
        <w:t>References – Task 3</w:t>
      </w:r>
    </w:p>
    <w:p w14:paraId="78601080"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Government of Canada, Department of Justice - </w:t>
      </w:r>
      <w:r w:rsidRPr="003A1B10">
        <w:rPr>
          <w:rFonts w:asciiTheme="minorHAnsi" w:hAnsiTheme="minorHAnsi" w:cstheme="minorHAnsi"/>
          <w:bCs/>
          <w:color w:val="333333"/>
          <w:sz w:val="24"/>
          <w:szCs w:val="24"/>
        </w:rPr>
        <w:t>Victims' Experiences with, Expectations and Perceptions of Restorative Justice: A critical Review of the Literature</w:t>
      </w:r>
      <w:r w:rsidRPr="003A1B10">
        <w:rPr>
          <w:rFonts w:asciiTheme="minorHAnsi" w:hAnsiTheme="minorHAnsi" w:cstheme="minorHAnsi"/>
          <w:sz w:val="24"/>
          <w:szCs w:val="24"/>
        </w:rPr>
        <w:t xml:space="preserve"> </w:t>
      </w:r>
      <w:hyperlink r:id="rId23" w:history="1">
        <w:r w:rsidRPr="003A1B10">
          <w:rPr>
            <w:rStyle w:val="Hyperlink"/>
            <w:rFonts w:asciiTheme="minorHAnsi" w:hAnsiTheme="minorHAnsi" w:cstheme="minorHAnsi"/>
            <w:sz w:val="24"/>
            <w:szCs w:val="24"/>
          </w:rPr>
          <w:t>https://www.justice.gc.ca/eng/rp-pr/cj-jp/victim/rr01_9/p5.html</w:t>
        </w:r>
      </w:hyperlink>
      <w:r w:rsidRPr="003A1B10">
        <w:rPr>
          <w:rFonts w:asciiTheme="minorHAnsi" w:hAnsiTheme="minorHAnsi" w:cstheme="minorHAnsi"/>
          <w:sz w:val="24"/>
          <w:szCs w:val="24"/>
          <w:u w:val="single"/>
        </w:rPr>
        <w:t xml:space="preserve"> </w:t>
      </w:r>
      <w:r w:rsidRPr="003A1B10">
        <w:rPr>
          <w:rFonts w:asciiTheme="minorHAnsi" w:hAnsiTheme="minorHAnsi" w:cstheme="minorHAnsi"/>
          <w:sz w:val="24"/>
          <w:szCs w:val="24"/>
        </w:rPr>
        <w:t>Accessed 01/01/2020</w:t>
      </w:r>
    </w:p>
    <w:p w14:paraId="1865F81D"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College of Policing (2016) Competency and Values Framework for policing -  Overview of framework. </w:t>
      </w:r>
      <w:hyperlink r:id="rId24" w:history="1">
        <w:r w:rsidRPr="003A1B10">
          <w:rPr>
            <w:rStyle w:val="Hyperlink"/>
            <w:rFonts w:asciiTheme="minorHAnsi" w:hAnsiTheme="minorHAnsi" w:cstheme="minorHAnsi"/>
            <w:sz w:val="24"/>
            <w:szCs w:val="24"/>
          </w:rPr>
          <w:t>https://www.college.police.uk/What-we-do/Development/competency-and-values-framework/Pages/Competency-and-Values-framework.aspx</w:t>
        </w:r>
      </w:hyperlink>
      <w:r w:rsidRPr="003A1B10">
        <w:rPr>
          <w:rFonts w:asciiTheme="minorHAnsi" w:hAnsiTheme="minorHAnsi" w:cstheme="minorHAnsi"/>
          <w:sz w:val="24"/>
          <w:szCs w:val="24"/>
        </w:rPr>
        <w:t xml:space="preserve"> Accessed 26/11/2019</w:t>
      </w:r>
    </w:p>
    <w:p w14:paraId="1AEC1C85"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Crown Prosecution Service - </w:t>
      </w:r>
      <w:r w:rsidRPr="003A1B10">
        <w:rPr>
          <w:rFonts w:asciiTheme="minorHAnsi" w:hAnsiTheme="minorHAnsi" w:cstheme="minorHAnsi"/>
          <w:bCs/>
          <w:sz w:val="24"/>
          <w:szCs w:val="24"/>
        </w:rPr>
        <w:t>Victims of Crime (The Code of Practice) - CPS Legal Guidance</w:t>
      </w:r>
    </w:p>
    <w:p w14:paraId="6F0EE5B1" w14:textId="77777777" w:rsidR="003A1B10" w:rsidRPr="003A1B10" w:rsidRDefault="00E72B4B" w:rsidP="003A1B10">
      <w:pPr>
        <w:rPr>
          <w:rFonts w:asciiTheme="minorHAnsi" w:hAnsiTheme="minorHAnsi" w:cstheme="minorHAnsi"/>
          <w:sz w:val="24"/>
          <w:szCs w:val="24"/>
          <w:u w:val="single"/>
        </w:rPr>
      </w:pPr>
      <w:hyperlink r:id="rId25" w:history="1">
        <w:r w:rsidR="003A1B10" w:rsidRPr="003A1B10">
          <w:rPr>
            <w:rStyle w:val="Hyperlink"/>
            <w:rFonts w:asciiTheme="minorHAnsi" w:hAnsiTheme="minorHAnsi" w:cstheme="minorHAnsi"/>
            <w:sz w:val="24"/>
            <w:szCs w:val="24"/>
          </w:rPr>
          <w:t>https://www.cps.gov.uk/legal-guidance/victims-crime-code-practice-cps-legal-guidance</w:t>
        </w:r>
      </w:hyperlink>
      <w:r w:rsidR="003A1B10" w:rsidRPr="003A1B10">
        <w:rPr>
          <w:rFonts w:asciiTheme="minorHAnsi" w:hAnsiTheme="minorHAnsi" w:cstheme="minorHAnsi"/>
          <w:sz w:val="24"/>
          <w:szCs w:val="24"/>
          <w:u w:val="single"/>
        </w:rPr>
        <w:t xml:space="preserve"> </w:t>
      </w:r>
      <w:r w:rsidR="003A1B10" w:rsidRPr="003A1B10">
        <w:rPr>
          <w:rFonts w:asciiTheme="minorHAnsi" w:hAnsiTheme="minorHAnsi" w:cstheme="minorHAnsi"/>
          <w:sz w:val="24"/>
          <w:szCs w:val="24"/>
        </w:rPr>
        <w:t>Accessed 14/12/2019</w:t>
      </w:r>
    </w:p>
    <w:p w14:paraId="298EAD2A"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Crown Prosecution Service – Prosecutor’s Pledge (2012) </w:t>
      </w:r>
      <w:hyperlink r:id="rId26" w:history="1">
        <w:r w:rsidRPr="003A1B10">
          <w:rPr>
            <w:rStyle w:val="Hyperlink"/>
            <w:rFonts w:asciiTheme="minorHAnsi" w:hAnsiTheme="minorHAnsi" w:cstheme="minorHAnsi"/>
            <w:sz w:val="24"/>
            <w:szCs w:val="24"/>
          </w:rPr>
          <w:t>https://www.cps.gov.uk/prosecutors-pledge</w:t>
        </w:r>
      </w:hyperlink>
      <w:r w:rsidRPr="003A1B10">
        <w:rPr>
          <w:rFonts w:asciiTheme="minorHAnsi" w:hAnsiTheme="minorHAnsi" w:cstheme="minorHAnsi"/>
          <w:sz w:val="24"/>
          <w:szCs w:val="24"/>
        </w:rPr>
        <w:t xml:space="preserve"> Accessed 01/01/2020</w:t>
      </w:r>
    </w:p>
    <w:p w14:paraId="6195F375" w14:textId="77777777" w:rsidR="003A1B10" w:rsidRPr="003A1B10" w:rsidRDefault="00E72B4B" w:rsidP="003A1B10">
      <w:pPr>
        <w:rPr>
          <w:rStyle w:val="Hyperlink"/>
          <w:rFonts w:asciiTheme="minorHAnsi" w:hAnsiTheme="minorHAnsi" w:cstheme="minorHAnsi"/>
          <w:color w:val="auto"/>
          <w:sz w:val="24"/>
          <w:szCs w:val="24"/>
        </w:rPr>
      </w:pPr>
      <w:hyperlink r:id="rId27" w:history="1">
        <w:r w:rsidR="003A1B10" w:rsidRPr="003A1B10">
          <w:rPr>
            <w:rStyle w:val="Hyperlink"/>
            <w:rFonts w:asciiTheme="minorHAnsi" w:hAnsiTheme="minorHAnsi" w:cstheme="minorHAnsi"/>
            <w:color w:val="auto"/>
            <w:sz w:val="24"/>
            <w:szCs w:val="24"/>
          </w:rPr>
          <w:t>Domestic Violence, Crime and Victims Act 2004</w:t>
        </w:r>
      </w:hyperlink>
    </w:p>
    <w:p w14:paraId="50A9A91E" w14:textId="77777777" w:rsidR="003A1B10" w:rsidRPr="003A1B10" w:rsidRDefault="003A1B10" w:rsidP="003A1B10">
      <w:pPr>
        <w:rPr>
          <w:rStyle w:val="Hyperlink"/>
          <w:rFonts w:asciiTheme="minorHAnsi" w:hAnsiTheme="minorHAnsi" w:cstheme="minorHAnsi"/>
          <w:sz w:val="24"/>
          <w:szCs w:val="24"/>
        </w:rPr>
      </w:pPr>
      <w:r w:rsidRPr="003A1B10">
        <w:rPr>
          <w:rStyle w:val="Hyperlink"/>
          <w:rFonts w:asciiTheme="minorHAnsi" w:hAnsiTheme="minorHAnsi" w:cstheme="minorHAnsi"/>
          <w:sz w:val="24"/>
          <w:szCs w:val="24"/>
        </w:rPr>
        <w:t>Driscoll J (2000) Practising clinical supervision. Edinburgh: Balliere Tindall</w:t>
      </w:r>
    </w:p>
    <w:p w14:paraId="17C9C708" w14:textId="77777777" w:rsidR="003A1B10" w:rsidRPr="003A1B10" w:rsidRDefault="003A1B10" w:rsidP="003A1B10">
      <w:pPr>
        <w:rPr>
          <w:rFonts w:asciiTheme="minorHAnsi" w:hAnsiTheme="minorHAnsi" w:cstheme="minorHAnsi"/>
          <w:sz w:val="24"/>
          <w:szCs w:val="24"/>
        </w:rPr>
      </w:pPr>
      <w:r w:rsidRPr="003A1B10">
        <w:rPr>
          <w:rStyle w:val="Hyperlink"/>
          <w:rFonts w:asciiTheme="minorHAnsi" w:hAnsiTheme="minorHAnsi" w:cstheme="minorHAnsi"/>
          <w:color w:val="auto"/>
          <w:sz w:val="24"/>
          <w:szCs w:val="24"/>
        </w:rPr>
        <w:t>Equality Act 2010</w:t>
      </w:r>
    </w:p>
    <w:p w14:paraId="32E53D4C"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European Commission -Victim’s Rights 2019</w:t>
      </w:r>
    </w:p>
    <w:p w14:paraId="1F6D59B7" w14:textId="77777777" w:rsidR="003A1B10" w:rsidRPr="003A1B10" w:rsidRDefault="00E72B4B" w:rsidP="003A1B10">
      <w:pPr>
        <w:rPr>
          <w:rFonts w:asciiTheme="minorHAnsi" w:hAnsiTheme="minorHAnsi" w:cstheme="minorHAnsi"/>
          <w:sz w:val="24"/>
          <w:szCs w:val="24"/>
          <w:u w:val="single"/>
        </w:rPr>
      </w:pPr>
      <w:hyperlink r:id="rId28" w:history="1">
        <w:r w:rsidR="003A1B10" w:rsidRPr="003A1B10">
          <w:rPr>
            <w:rStyle w:val="Hyperlink"/>
            <w:rFonts w:asciiTheme="minorHAnsi" w:hAnsiTheme="minorHAnsi" w:cstheme="minorHAnsi"/>
            <w:sz w:val="24"/>
            <w:szCs w:val="24"/>
          </w:rPr>
          <w:t>https://ec.europa.eu/info/policies/justice-and-fundamental-rights/criminal-justice/victims-rights_en</w:t>
        </w:r>
      </w:hyperlink>
      <w:r w:rsidR="003A1B10" w:rsidRPr="003A1B10">
        <w:rPr>
          <w:rFonts w:asciiTheme="minorHAnsi" w:hAnsiTheme="minorHAnsi" w:cstheme="minorHAnsi"/>
          <w:sz w:val="24"/>
          <w:szCs w:val="24"/>
          <w:u w:val="single"/>
        </w:rPr>
        <w:t xml:space="preserve">  </w:t>
      </w:r>
      <w:r w:rsidR="003A1B10" w:rsidRPr="003A1B10">
        <w:rPr>
          <w:rFonts w:asciiTheme="minorHAnsi" w:hAnsiTheme="minorHAnsi" w:cstheme="minorHAnsi"/>
          <w:sz w:val="24"/>
          <w:szCs w:val="24"/>
        </w:rPr>
        <w:t>Accessed 10/12/2019</w:t>
      </w:r>
    </w:p>
    <w:p w14:paraId="4117716F"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Graca, S., Bryant, R., Lawton-Barrett, K., Gilbert, P., Hooper, G., Jones, N., Blackburn, B., McCormack, T., Mitchell, S., Nunn, J., O'Neill, M. and Owens, J. (2017) Blackstone's handbook for policing students 2018. 12th ed. Oxford: Oxford University Press.</w:t>
      </w:r>
    </w:p>
    <w:p w14:paraId="3B6792C1" w14:textId="77777777" w:rsidR="003A1B10" w:rsidRPr="003A1B10" w:rsidRDefault="003A1B10" w:rsidP="003A1B10">
      <w:pPr>
        <w:pStyle w:val="Heading2"/>
        <w:spacing w:before="0" w:after="0"/>
        <w:rPr>
          <w:rFonts w:asciiTheme="minorHAnsi" w:hAnsiTheme="minorHAnsi" w:cstheme="minorHAnsi"/>
          <w:b w:val="0"/>
          <w:bCs w:val="0"/>
          <w:color w:val="0B0C0C"/>
          <w:sz w:val="24"/>
          <w:szCs w:val="24"/>
        </w:rPr>
      </w:pPr>
      <w:r w:rsidRPr="003A1B10">
        <w:rPr>
          <w:rFonts w:asciiTheme="minorHAnsi" w:hAnsiTheme="minorHAnsi" w:cstheme="minorHAnsi"/>
          <w:b w:val="0"/>
          <w:sz w:val="24"/>
          <w:szCs w:val="24"/>
        </w:rPr>
        <w:t xml:space="preserve">Joint Agency Guide to the Victim Personal Statement - </w:t>
      </w:r>
      <w:hyperlink r:id="rId29" w:history="1">
        <w:r w:rsidRPr="003A1B10">
          <w:rPr>
            <w:rStyle w:val="Hyperlink"/>
            <w:rFonts w:asciiTheme="minorHAnsi" w:hAnsiTheme="minorHAnsi" w:cstheme="minorHAnsi"/>
            <w:b w:val="0"/>
            <w:bCs w:val="0"/>
            <w:color w:val="003078"/>
            <w:sz w:val="24"/>
            <w:szCs w:val="24"/>
            <w:bdr w:val="none" w:sz="0" w:space="0" w:color="auto" w:frame="1"/>
          </w:rPr>
          <w:t>Victim Personal Statements - A guide for police officers, investigators and criminal justice practitioners</w:t>
        </w:r>
      </w:hyperlink>
      <w:r w:rsidRPr="003A1B10">
        <w:rPr>
          <w:rFonts w:asciiTheme="minorHAnsi" w:hAnsiTheme="minorHAnsi" w:cstheme="minorHAnsi"/>
          <w:b w:val="0"/>
          <w:bCs w:val="0"/>
          <w:color w:val="0B0C0C"/>
          <w:sz w:val="24"/>
          <w:szCs w:val="24"/>
        </w:rPr>
        <w:t>,</w:t>
      </w:r>
    </w:p>
    <w:p w14:paraId="0F75D161" w14:textId="77777777" w:rsidR="003A1B10" w:rsidRPr="003A1B10" w:rsidRDefault="00E72B4B" w:rsidP="003A1B10">
      <w:pPr>
        <w:rPr>
          <w:rFonts w:asciiTheme="minorHAnsi" w:hAnsiTheme="minorHAnsi" w:cstheme="minorHAnsi"/>
          <w:sz w:val="24"/>
          <w:szCs w:val="24"/>
        </w:rPr>
      </w:pPr>
      <w:hyperlink r:id="rId30" w:history="1">
        <w:r w:rsidR="003A1B10" w:rsidRPr="003A1B10">
          <w:rPr>
            <w:rStyle w:val="Hyperlink"/>
            <w:rFonts w:asciiTheme="minorHAnsi" w:hAnsiTheme="minorHAnsi" w:cstheme="minorHAnsi"/>
            <w:sz w:val="24"/>
            <w:szCs w:val="24"/>
          </w:rPr>
          <w:t>https://assets.publishing.service.gov.uk/government/uploads/system/uploads/attachment_data/file/740196/joint-agency-guide-victim-personal-statement.pdf Accessed 16/12/2019</w:t>
        </w:r>
      </w:hyperlink>
    </w:p>
    <w:p w14:paraId="35EE32DB"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Ministry of Justice (2015) Codes of Practice for Victims of Crime. </w:t>
      </w:r>
      <w:hyperlink r:id="rId31" w:history="1">
        <w:r w:rsidRPr="003A1B10">
          <w:rPr>
            <w:rStyle w:val="Hyperlink"/>
            <w:rFonts w:asciiTheme="minorHAnsi" w:hAnsiTheme="minorHAnsi" w:cstheme="minorHAnsi"/>
            <w:sz w:val="24"/>
            <w:szCs w:val="24"/>
          </w:rPr>
          <w:t xml:space="preserve">https://assets.publishing.service.gov.uk/government/uploads/system/uploads/attachment_data/file/476900/code-of-practice-for-victims-of-crime.PDF </w:t>
        </w:r>
        <w:r w:rsidRPr="003A1B10">
          <w:rPr>
            <w:rStyle w:val="Hyperlink"/>
            <w:rFonts w:asciiTheme="minorHAnsi" w:hAnsiTheme="minorHAnsi" w:cstheme="minorHAnsi"/>
            <w:color w:val="auto"/>
            <w:sz w:val="24"/>
            <w:szCs w:val="24"/>
          </w:rPr>
          <w:t>Accessed 26/11/2019</w:t>
        </w:r>
      </w:hyperlink>
    </w:p>
    <w:p w14:paraId="0E21D361"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Police and Criminal Evidence Act 1984</w:t>
      </w:r>
    </w:p>
    <w:p w14:paraId="42B6DF38" w14:textId="77777777" w:rsidR="003A1B10" w:rsidRPr="003A1B10" w:rsidRDefault="003A1B10" w:rsidP="003A1B10">
      <w:pPr>
        <w:rPr>
          <w:rFonts w:asciiTheme="minorHAnsi" w:hAnsiTheme="minorHAnsi" w:cstheme="minorHAnsi"/>
          <w:sz w:val="24"/>
          <w:szCs w:val="24"/>
        </w:rPr>
      </w:pPr>
      <w:r w:rsidRPr="003A1B10">
        <w:rPr>
          <w:rFonts w:asciiTheme="minorHAnsi" w:hAnsiTheme="minorHAnsi" w:cstheme="minorHAnsi"/>
          <w:sz w:val="24"/>
          <w:szCs w:val="24"/>
        </w:rPr>
        <w:t xml:space="preserve">SPALEK, B., &amp; CAMPLING, J. (2006). </w:t>
      </w:r>
      <w:r w:rsidRPr="003A1B10">
        <w:rPr>
          <w:rFonts w:asciiTheme="minorHAnsi" w:hAnsiTheme="minorHAnsi" w:cstheme="minorHAnsi"/>
          <w:i/>
          <w:iCs/>
          <w:sz w:val="24"/>
          <w:szCs w:val="24"/>
          <w:bdr w:val="none" w:sz="0" w:space="0" w:color="auto" w:frame="1"/>
        </w:rPr>
        <w:t>Crime victims: theory, policy and practice</w:t>
      </w:r>
      <w:r w:rsidRPr="003A1B10">
        <w:rPr>
          <w:rFonts w:asciiTheme="minorHAnsi" w:hAnsiTheme="minorHAnsi" w:cstheme="minorHAnsi"/>
          <w:sz w:val="24"/>
          <w:szCs w:val="24"/>
        </w:rPr>
        <w:t>. New York, Palgrave Macmillan. Page 78</w:t>
      </w:r>
    </w:p>
    <w:p w14:paraId="7C9E3CE9" w14:textId="77777777" w:rsidR="003A1B10" w:rsidRPr="003A1B10" w:rsidRDefault="003A1B10" w:rsidP="003A1B10">
      <w:pPr>
        <w:rPr>
          <w:rFonts w:asciiTheme="minorHAnsi" w:hAnsiTheme="minorHAnsi" w:cstheme="minorHAnsi"/>
          <w:color w:val="3A3A3A"/>
          <w:sz w:val="24"/>
          <w:szCs w:val="24"/>
        </w:rPr>
      </w:pPr>
      <w:r w:rsidRPr="003A1B10">
        <w:rPr>
          <w:rFonts w:asciiTheme="minorHAnsi" w:hAnsiTheme="minorHAnsi" w:cstheme="minorHAnsi"/>
          <w:color w:val="3A3A3A"/>
          <w:sz w:val="24"/>
          <w:szCs w:val="24"/>
        </w:rPr>
        <w:t xml:space="preserve">Sun, Ivan Y. "POLICE RESPONSE TO VICTIMS OF DOMESTIC AND NON-DOMESTIC VIOLENCE." </w:t>
      </w:r>
      <w:r w:rsidRPr="003A1B10">
        <w:rPr>
          <w:rFonts w:asciiTheme="minorHAnsi" w:hAnsiTheme="minorHAnsi" w:cstheme="minorHAnsi"/>
          <w:i/>
          <w:iCs/>
          <w:color w:val="3A3A3A"/>
          <w:sz w:val="24"/>
          <w:szCs w:val="24"/>
        </w:rPr>
        <w:t>Journal of Health &amp; Human Services Administration</w:t>
      </w:r>
      <w:r w:rsidRPr="003A1B10">
        <w:rPr>
          <w:rFonts w:asciiTheme="minorHAnsi" w:hAnsiTheme="minorHAnsi" w:cstheme="minorHAnsi"/>
          <w:color w:val="3A3A3A"/>
          <w:sz w:val="24"/>
          <w:szCs w:val="24"/>
        </w:rPr>
        <w:t xml:space="preserve"> 29.2 (2006): 145-73.</w:t>
      </w:r>
    </w:p>
    <w:p w14:paraId="5D93A11E" w14:textId="77777777" w:rsidR="003A1B10" w:rsidRPr="003A1B10" w:rsidRDefault="003A1B10" w:rsidP="003A1B10">
      <w:pPr>
        <w:rPr>
          <w:rFonts w:asciiTheme="minorHAnsi" w:hAnsiTheme="minorHAnsi" w:cstheme="minorHAnsi"/>
          <w:color w:val="3A3A3A"/>
          <w:sz w:val="24"/>
          <w:szCs w:val="24"/>
        </w:rPr>
      </w:pPr>
      <w:r w:rsidRPr="003A1B10">
        <w:rPr>
          <w:rFonts w:asciiTheme="minorHAnsi" w:hAnsiTheme="minorHAnsi" w:cstheme="minorHAnsi"/>
          <w:color w:val="3A3A3A"/>
          <w:sz w:val="24"/>
          <w:szCs w:val="24"/>
        </w:rPr>
        <w:t xml:space="preserve">Tarling, Roger, and Morris, Katie. "Reporting Crime to the Police." </w:t>
      </w:r>
      <w:r w:rsidRPr="003A1B10">
        <w:rPr>
          <w:rFonts w:asciiTheme="minorHAnsi" w:hAnsiTheme="minorHAnsi" w:cstheme="minorHAnsi"/>
          <w:i/>
          <w:iCs/>
          <w:color w:val="3A3A3A"/>
          <w:sz w:val="24"/>
          <w:szCs w:val="24"/>
        </w:rPr>
        <w:t>The British Journal of Criminology</w:t>
      </w:r>
      <w:r w:rsidRPr="003A1B10">
        <w:rPr>
          <w:rFonts w:asciiTheme="minorHAnsi" w:hAnsiTheme="minorHAnsi" w:cstheme="minorHAnsi"/>
          <w:color w:val="3A3A3A"/>
          <w:sz w:val="24"/>
          <w:szCs w:val="24"/>
        </w:rPr>
        <w:t xml:space="preserve"> 50.3 (2010): 474-90. </w:t>
      </w:r>
    </w:p>
    <w:p w14:paraId="0398DA16" w14:textId="77777777" w:rsidR="003A1B10" w:rsidRPr="003A1B10" w:rsidRDefault="003A1B10" w:rsidP="003A1B10">
      <w:pPr>
        <w:rPr>
          <w:rFonts w:asciiTheme="minorHAnsi" w:hAnsiTheme="minorHAnsi" w:cstheme="minorHAnsi"/>
          <w:color w:val="3A3A3A"/>
          <w:sz w:val="24"/>
          <w:szCs w:val="24"/>
        </w:rPr>
      </w:pPr>
      <w:r w:rsidRPr="003A1B10">
        <w:rPr>
          <w:rFonts w:asciiTheme="minorHAnsi" w:hAnsiTheme="minorHAnsi" w:cstheme="minorHAnsi"/>
          <w:color w:val="3A3A3A"/>
          <w:sz w:val="24"/>
          <w:szCs w:val="24"/>
        </w:rPr>
        <w:t xml:space="preserve">Wemmers, Jo-Anne. "Victims’ Experiences in the Criminal Justice System and Their Recovery from Crime." </w:t>
      </w:r>
      <w:r w:rsidRPr="003A1B10">
        <w:rPr>
          <w:rFonts w:asciiTheme="minorHAnsi" w:hAnsiTheme="minorHAnsi" w:cstheme="minorHAnsi"/>
          <w:i/>
          <w:iCs/>
          <w:color w:val="3A3A3A"/>
          <w:sz w:val="24"/>
          <w:szCs w:val="24"/>
        </w:rPr>
        <w:t>International Review of Victimology</w:t>
      </w:r>
      <w:r w:rsidRPr="003A1B10">
        <w:rPr>
          <w:rFonts w:asciiTheme="minorHAnsi" w:hAnsiTheme="minorHAnsi" w:cstheme="minorHAnsi"/>
          <w:color w:val="3A3A3A"/>
          <w:sz w:val="24"/>
          <w:szCs w:val="24"/>
        </w:rPr>
        <w:t xml:space="preserve"> 19.3 (2013): 221-33. </w:t>
      </w:r>
    </w:p>
    <w:p w14:paraId="1B3D30D0" w14:textId="77777777" w:rsidR="003A1B10" w:rsidRPr="003A1B10" w:rsidRDefault="003A1B10" w:rsidP="00E6298B">
      <w:pPr>
        <w:ind w:right="107"/>
        <w:jc w:val="both"/>
        <w:rPr>
          <w:rFonts w:asciiTheme="minorHAnsi" w:hAnsiTheme="minorHAnsi" w:cstheme="minorHAnsi"/>
          <w:sz w:val="24"/>
          <w:szCs w:val="24"/>
        </w:rPr>
      </w:pPr>
    </w:p>
    <w:p w14:paraId="53D8D511" w14:textId="77777777" w:rsidR="00112751" w:rsidRPr="003A1B10" w:rsidRDefault="00112751" w:rsidP="00E6298B">
      <w:pPr>
        <w:ind w:right="107"/>
        <w:jc w:val="both"/>
        <w:rPr>
          <w:rFonts w:asciiTheme="minorHAnsi" w:hAnsiTheme="minorHAnsi" w:cstheme="minorHAnsi"/>
          <w:sz w:val="24"/>
          <w:szCs w:val="24"/>
        </w:rPr>
      </w:pPr>
    </w:p>
    <w:p w14:paraId="1967E2A8" w14:textId="77777777" w:rsidR="00025650" w:rsidRPr="003A1B10" w:rsidRDefault="00025650" w:rsidP="00E6298B">
      <w:pPr>
        <w:ind w:right="107"/>
        <w:jc w:val="both"/>
        <w:rPr>
          <w:rFonts w:asciiTheme="minorHAnsi" w:hAnsiTheme="minorHAnsi" w:cstheme="minorHAnsi"/>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9DD029"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This incident involved a 16 year old male arrested on suspicion of causing criminal damage to a vehicle after being given information by a member of public who had witnessed the damage.</w:t>
      </w:r>
    </w:p>
    <w:p w14:paraId="22479421"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I was directed to an industrial estate by a member of public and my colleague made their way in a marked police vehicle to the location. As I made my way to the location of the damage, I found 3 young people who were quickly joined by 4 others, the group consisted of 5 males and 2 females who were approximately 5 minutes away from the location of damage and descriptions had been passed for most of the group which they matched. The male suspect was within the group.</w:t>
      </w:r>
    </w:p>
    <w:p w14:paraId="2F0A8AA9"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I detained them so I could take details and it transpired that the group were all aged 16-17 years old and were under the influence of alcohol following a party. For their safety, I asked each of the group to make arrangements to be collected as they were all underage and it was not appropriate for them to be wandering around an industrial estate intoxicated. I spoke to the group to ascertain if they had any involvement in the damage to the vehicle and they all maintained that they were not aware of any damage and that none of their group was responsible.</w:t>
      </w:r>
    </w:p>
    <w:p w14:paraId="4276329C" w14:textId="77777777" w:rsidR="00E2072B" w:rsidRPr="00E2072B" w:rsidRDefault="00E2072B" w:rsidP="00E2072B">
      <w:pPr>
        <w:tabs>
          <w:tab w:val="left" w:pos="1134"/>
        </w:tabs>
        <w:rPr>
          <w:rFonts w:asciiTheme="minorHAnsi" w:hAnsiTheme="minorHAnsi" w:cstheme="minorHAnsi"/>
          <w:sz w:val="24"/>
          <w:szCs w:val="24"/>
        </w:rPr>
      </w:pPr>
      <w:r w:rsidRPr="00E2072B">
        <w:rPr>
          <w:rFonts w:asciiTheme="minorHAnsi" w:hAnsiTheme="minorHAnsi" w:cstheme="minorHAnsi"/>
          <w:sz w:val="24"/>
          <w:szCs w:val="24"/>
        </w:rPr>
        <w:t xml:space="preserve">A member of public arrived at the scene and quickly pointed out one of the males as who she had witnessed jumping up onto the bonnet of the vehicle and falling down into the windscreen, cracking it. </w:t>
      </w:r>
    </w:p>
    <w:p w14:paraId="4B8073DF" w14:textId="77777777" w:rsidR="00E2072B" w:rsidRPr="00E2072B" w:rsidRDefault="00E2072B" w:rsidP="00E2072B">
      <w:pPr>
        <w:tabs>
          <w:tab w:val="left" w:pos="1134"/>
        </w:tabs>
        <w:rPr>
          <w:rFonts w:asciiTheme="minorHAnsi" w:hAnsiTheme="minorHAnsi" w:cstheme="minorHAnsi"/>
          <w:sz w:val="24"/>
          <w:szCs w:val="24"/>
        </w:rPr>
      </w:pPr>
    </w:p>
    <w:p w14:paraId="19EA0CC1"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The male identified as being responsible for the damage was very vocal and accused me of being racist because he had been arrested and his friends weren’t and implied that the reason for this </w:t>
      </w:r>
      <w:r w:rsidRPr="00E2072B">
        <w:rPr>
          <w:rFonts w:asciiTheme="minorHAnsi" w:hAnsiTheme="minorHAnsi" w:cstheme="minorHAnsi"/>
          <w:sz w:val="24"/>
          <w:szCs w:val="24"/>
        </w:rPr>
        <w:lastRenderedPageBreak/>
        <w:t>was his race as he is black and his friends are white. He said that “THERE’S A GROUP OF 7 AND YOU PICK OUT THE TWO BLACK PEOPLE AND THEN IT HAS TO BE ONE OF THEM”. He suggested that any of them could’ve caused the damage but it was easier to pick on one of the two black people in the group. I explained that he had been positively identified by a witness who had seen him cause the damage and had recognised his distinctive jacket and had viewed the incident from approximately 20 metres away and he would not accept it, “HOW AM I UNDER ARREST? THIS IS SO UNFAIR”. I stated that the witness had seen him prior to the incident when the group had been causing anti-social behaviour and that had caused her to look into the street. He was shouting and swearing, saying that it was rude and there was no evidence and he hadn’t been at the location stating that another group had caused the damage and made off, he said “THE WITNESS IS WHITE, THAT’S THE THING, I’M NOT TRYING TO BE RACIST OR ANYTHING” and “YOU’RE BLAMING THE BLACK PERSON”.</w:t>
      </w:r>
    </w:p>
    <w:p w14:paraId="42F7FA51" w14:textId="77777777" w:rsidR="00E2072B" w:rsidRPr="00E2072B" w:rsidRDefault="00E2072B" w:rsidP="00E2072B">
      <w:pPr>
        <w:tabs>
          <w:tab w:val="left" w:pos="1134"/>
        </w:tabs>
        <w:rPr>
          <w:rFonts w:asciiTheme="minorHAnsi" w:hAnsiTheme="minorHAnsi" w:cstheme="minorHAnsi"/>
          <w:sz w:val="24"/>
          <w:szCs w:val="24"/>
        </w:rPr>
      </w:pPr>
    </w:p>
    <w:p w14:paraId="3E4AC3BA" w14:textId="77777777" w:rsidR="00E2072B" w:rsidRPr="00E2072B" w:rsidRDefault="00E2072B" w:rsidP="00E2072B">
      <w:pPr>
        <w:tabs>
          <w:tab w:val="left" w:pos="1134"/>
        </w:tabs>
        <w:rPr>
          <w:rFonts w:asciiTheme="minorHAnsi" w:hAnsiTheme="minorHAnsi" w:cstheme="minorHAnsi"/>
          <w:sz w:val="24"/>
          <w:szCs w:val="24"/>
        </w:rPr>
      </w:pPr>
      <w:r w:rsidRPr="00E2072B">
        <w:rPr>
          <w:rFonts w:asciiTheme="minorHAnsi" w:hAnsiTheme="minorHAnsi" w:cstheme="minorHAnsi"/>
          <w:sz w:val="24"/>
          <w:szCs w:val="24"/>
        </w:rPr>
        <w:t xml:space="preserve">The male was cautioned, arrested and given the necessity for his arrest. </w:t>
      </w:r>
    </w:p>
    <w:p w14:paraId="5543894A" w14:textId="77777777" w:rsidR="00E2072B" w:rsidRPr="00E2072B" w:rsidRDefault="00E2072B" w:rsidP="00E2072B">
      <w:pPr>
        <w:pStyle w:val="legclearfix"/>
        <w:shd w:val="clear" w:color="auto" w:fill="FFFFFF"/>
        <w:spacing w:before="0" w:beforeAutospacing="0" w:after="90" w:afterAutospacing="0"/>
        <w:rPr>
          <w:rFonts w:asciiTheme="minorHAnsi" w:hAnsiTheme="minorHAnsi" w:cstheme="minorHAnsi"/>
          <w:i/>
          <w:color w:val="000000"/>
        </w:rPr>
      </w:pPr>
      <w:r w:rsidRPr="00E2072B">
        <w:rPr>
          <w:rFonts w:asciiTheme="minorHAnsi" w:hAnsiTheme="minorHAnsi" w:cstheme="minorHAnsi"/>
        </w:rPr>
        <w:t>The male was arrested under Section 24 (3) PACE 1984, which states “</w:t>
      </w:r>
      <w:r w:rsidRPr="00E2072B">
        <w:rPr>
          <w:rFonts w:asciiTheme="minorHAnsi" w:hAnsiTheme="minorHAnsi" w:cstheme="minorHAnsi"/>
          <w:i/>
          <w:color w:val="000000"/>
        </w:rPr>
        <w:t xml:space="preserve"> </w:t>
      </w:r>
      <w:r w:rsidRPr="00E2072B">
        <w:rPr>
          <w:rStyle w:val="legsubstitution"/>
          <w:rFonts w:asciiTheme="minorHAnsi" w:hAnsiTheme="minorHAnsi" w:cstheme="minorHAnsi"/>
          <w:i/>
          <w:color w:val="000000"/>
        </w:rPr>
        <w:t>(3)If an offence has been committed, a constable may arrest without a warrant—</w:t>
      </w:r>
      <w:r w:rsidRPr="00E2072B">
        <w:rPr>
          <w:rFonts w:asciiTheme="minorHAnsi" w:hAnsiTheme="minorHAnsi" w:cstheme="minorHAnsi"/>
          <w:i/>
          <w:color w:val="000000"/>
        </w:rPr>
        <w:t xml:space="preserve"> </w:t>
      </w:r>
    </w:p>
    <w:p w14:paraId="1AF6CA1B" w14:textId="77777777" w:rsidR="00E2072B" w:rsidRPr="00E2072B" w:rsidRDefault="00E2072B" w:rsidP="00E2072B">
      <w:pPr>
        <w:pStyle w:val="legclearfix"/>
        <w:shd w:val="clear" w:color="auto" w:fill="FFFFFF"/>
        <w:spacing w:before="0" w:beforeAutospacing="0" w:after="90" w:afterAutospacing="0"/>
        <w:rPr>
          <w:rFonts w:asciiTheme="minorHAnsi" w:hAnsiTheme="minorHAnsi" w:cstheme="minorHAnsi"/>
          <w:i/>
          <w:color w:val="000000"/>
        </w:rPr>
      </w:pPr>
      <w:r w:rsidRPr="00E2072B">
        <w:rPr>
          <w:rStyle w:val="legsubstitution"/>
          <w:rFonts w:asciiTheme="minorHAnsi" w:hAnsiTheme="minorHAnsi" w:cstheme="minorHAnsi"/>
          <w:i/>
          <w:color w:val="000000"/>
        </w:rPr>
        <w:t>(a)anyone who is guilty of the offence;</w:t>
      </w:r>
      <w:r w:rsidRPr="00E2072B">
        <w:rPr>
          <w:rFonts w:asciiTheme="minorHAnsi" w:hAnsiTheme="minorHAnsi" w:cstheme="minorHAnsi"/>
          <w:i/>
          <w:color w:val="000000"/>
        </w:rPr>
        <w:t xml:space="preserve"> </w:t>
      </w:r>
      <w:r w:rsidRPr="00E2072B">
        <w:rPr>
          <w:rStyle w:val="legsubstitution"/>
          <w:rFonts w:asciiTheme="minorHAnsi" w:hAnsiTheme="minorHAnsi" w:cstheme="minorHAnsi"/>
          <w:i/>
          <w:color w:val="000000"/>
        </w:rPr>
        <w:t>(b)anyone whom he has reasonable grounds for suspecting to be guilty of it.</w:t>
      </w:r>
    </w:p>
    <w:p w14:paraId="08B428B5" w14:textId="77777777" w:rsidR="00E2072B" w:rsidRPr="00E2072B" w:rsidRDefault="00E2072B" w:rsidP="00E2072B">
      <w:pPr>
        <w:tabs>
          <w:tab w:val="left" w:pos="1134"/>
        </w:tabs>
        <w:rPr>
          <w:rFonts w:asciiTheme="minorHAnsi" w:hAnsiTheme="minorHAnsi" w:cstheme="minorHAnsi"/>
          <w:sz w:val="24"/>
          <w:szCs w:val="24"/>
        </w:rPr>
      </w:pPr>
    </w:p>
    <w:p w14:paraId="028A5264" w14:textId="77777777" w:rsidR="00E2072B" w:rsidRPr="00E2072B" w:rsidRDefault="00E2072B" w:rsidP="00E2072B">
      <w:pPr>
        <w:tabs>
          <w:tab w:val="left" w:pos="1134"/>
        </w:tabs>
        <w:rPr>
          <w:rFonts w:asciiTheme="minorHAnsi" w:hAnsiTheme="minorHAnsi" w:cstheme="minorHAnsi"/>
          <w:sz w:val="24"/>
          <w:szCs w:val="24"/>
        </w:rPr>
      </w:pPr>
      <w:r w:rsidRPr="00E2072B">
        <w:rPr>
          <w:rFonts w:asciiTheme="minorHAnsi" w:hAnsiTheme="minorHAnsi" w:cstheme="minorHAnsi"/>
          <w:sz w:val="24"/>
          <w:szCs w:val="24"/>
        </w:rPr>
        <w:t>The suspect had been quite rude and argumentative on arrest. Due to the male’s age and because he was intoxicated in custody, the voluntary attendance interview was conducted a week later with his father acting as an appropriate adult. I maintained open body language and explained that he should take his time answering questions and that I would be listening even when not making eye contact because I wanted to get the most detail and accurate account of what had happened.</w:t>
      </w:r>
    </w:p>
    <w:p w14:paraId="0F87875F" w14:textId="77777777" w:rsidR="00E2072B" w:rsidRPr="00E2072B" w:rsidRDefault="00E2072B" w:rsidP="00E2072B">
      <w:pPr>
        <w:tabs>
          <w:tab w:val="left" w:pos="1134"/>
        </w:tabs>
        <w:rPr>
          <w:rFonts w:asciiTheme="minorHAnsi" w:hAnsiTheme="minorHAnsi" w:cstheme="minorHAnsi"/>
          <w:sz w:val="24"/>
          <w:szCs w:val="24"/>
        </w:rPr>
      </w:pPr>
    </w:p>
    <w:p w14:paraId="5D60EE1A" w14:textId="77777777" w:rsidR="00E2072B" w:rsidRPr="00E2072B" w:rsidRDefault="00E2072B" w:rsidP="00E2072B">
      <w:pPr>
        <w:tabs>
          <w:tab w:val="left" w:pos="1134"/>
        </w:tabs>
        <w:rPr>
          <w:rFonts w:asciiTheme="minorHAnsi" w:hAnsiTheme="minorHAnsi" w:cstheme="minorHAnsi"/>
          <w:sz w:val="24"/>
          <w:szCs w:val="24"/>
        </w:rPr>
      </w:pPr>
      <w:r w:rsidRPr="00E2072B">
        <w:rPr>
          <w:rFonts w:asciiTheme="minorHAnsi" w:hAnsiTheme="minorHAnsi" w:cstheme="minorHAnsi"/>
          <w:sz w:val="24"/>
          <w:szCs w:val="24"/>
        </w:rPr>
        <w:t>The male admitted to the offence in full and explained that his actions were due to being under the influence of alcohol and he was very apologetic and remorseful.</w:t>
      </w:r>
    </w:p>
    <w:p w14:paraId="6A9B3AD4" w14:textId="77777777" w:rsidR="00E2072B" w:rsidRPr="00E2072B" w:rsidRDefault="00E2072B" w:rsidP="00E2072B">
      <w:pPr>
        <w:tabs>
          <w:tab w:val="left" w:pos="1134"/>
        </w:tabs>
        <w:rPr>
          <w:rFonts w:asciiTheme="minorHAnsi" w:hAnsiTheme="minorHAnsi" w:cstheme="minorHAnsi"/>
          <w:sz w:val="24"/>
          <w:szCs w:val="24"/>
        </w:rPr>
      </w:pPr>
    </w:p>
    <w:p w14:paraId="602CB99F"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When I first received the information of the damage I started to run through the National Decision making model and formulate a plan of how to deal with the incident as at this stage I didn’t know if I would be able to find any potential suspects and how they would respond when if I found them. The direction of travel I had been given was about 2 minutes away from where I had spoken to the witness. I updated the control room and they passed information that a call had been made to 999 in relation to the same incident. Information was very limited at this time.</w:t>
      </w:r>
    </w:p>
    <w:p w14:paraId="2ED9E41A" w14:textId="77777777" w:rsidR="00E2072B" w:rsidRPr="00E2072B" w:rsidRDefault="00E2072B" w:rsidP="00E2072B">
      <w:pPr>
        <w:rPr>
          <w:rFonts w:asciiTheme="minorHAnsi" w:hAnsiTheme="minorHAnsi" w:cstheme="minorHAnsi"/>
          <w:sz w:val="24"/>
          <w:szCs w:val="24"/>
        </w:rPr>
      </w:pPr>
    </w:p>
    <w:p w14:paraId="78107D07"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I found the group of young people on a deserted road at an industrial estate and explained that I needed to speak to them in relation to an incident of criminal damage, as they matched the description given by the reporting person as being at the location. There was no suggestion that any of them were involved but I took details and started to conduct person checks on the individuals. I acted in an honest and fair manner and gave them the opportunity to explain where they had been and also if they knew about the damage caused to the vehicle, they each denied any involvement and even when the suspect had been identified by the witness, they maintained that it was another group that had caused the damage.</w:t>
      </w:r>
    </w:p>
    <w:p w14:paraId="2B996F9A"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I behaved in a respectful manner and gave the suspect and the group the opportunity to explain what had happened. I didn’t make any judgement when talking to the group and wanted to gain as much information from them to make an informed decision about what would happen next.</w:t>
      </w:r>
    </w:p>
    <w:p w14:paraId="385B3CBD"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lastRenderedPageBreak/>
        <w:t xml:space="preserve">The information I had received was of a group of youths causing anti-social noise behaviour and nuisance in a housing estate and one of the group had leapt onto a vehicle and smashed the windscreen and then the group had run off in the direction of the railway bridge. </w:t>
      </w:r>
    </w:p>
    <w:p w14:paraId="1F35F7AD"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As the damage had already occurred, I took the action of stopping the youths, at a location 5 minutes from where the damage took place and took their details and at this stage I was unsure if any further damage had been caused. Due to the damage being witnessed I thought that if an identification of the suspect could be gained then I potentially could make an arrest. The level of risk at this point was medium to high as I was outnumbered and had no information of who the people were and if there were any warning markers I needed to be aware of. My colleagues arrived quickly and the group was split up so I could ascertain from the witness if the suspect was in the group.</w:t>
      </w:r>
    </w:p>
    <w:p w14:paraId="746B7997" w14:textId="77777777" w:rsidR="00E2072B" w:rsidRPr="00E2072B" w:rsidRDefault="00E2072B" w:rsidP="00E2072B">
      <w:pPr>
        <w:rPr>
          <w:rFonts w:asciiTheme="minorHAnsi" w:hAnsiTheme="minorHAnsi" w:cstheme="minorHAnsi"/>
          <w:sz w:val="24"/>
          <w:szCs w:val="24"/>
        </w:rPr>
      </w:pPr>
    </w:p>
    <w:p w14:paraId="5A249C93"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The next aspect of the NDM I considered was powers and policies in terms of use of force to effect an arrest, the power for this is governed by</w:t>
      </w:r>
      <w:r w:rsidRPr="00E2072B">
        <w:rPr>
          <w:rFonts w:asciiTheme="minorHAnsi" w:hAnsiTheme="minorHAnsi" w:cstheme="minorHAnsi"/>
          <w:i/>
          <w:sz w:val="24"/>
          <w:szCs w:val="24"/>
        </w:rPr>
        <w:t xml:space="preserve"> “Section 3(1) A person may use such force as is reasonable in the circumstances in the prevention of crime, or in effecting or assisting in the lawful arrest of offenders or suspected offenders or of persons unlawfully at large” (Criminal Law Act 1967) </w:t>
      </w:r>
    </w:p>
    <w:p w14:paraId="4997A405"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The arrest was necessary so that the suspect could be taken to custody for questioning and the investigation could be progressed. The male was verbally resistant on arrest and tried to resist the cuffs being applied but I managed to get him under control to handcuff him using force that was reasonable in the circumstances. He continued to shout that I was racist and saying that was the only reason for his arrest. He continued trying to walk away so I held the top of his arm to prevent him from moving, again using reasonable force and speaking to him in a calm tone. I did not want to escalate his behaviour as he was already very agitated and under the influence of alcohol.</w:t>
      </w:r>
    </w:p>
    <w:p w14:paraId="597C2DE1" w14:textId="77777777" w:rsidR="00E2072B" w:rsidRPr="00E2072B" w:rsidRDefault="00E2072B" w:rsidP="00E2072B">
      <w:pPr>
        <w:spacing w:before="100" w:beforeAutospacing="1" w:after="100" w:afterAutospacing="1"/>
        <w:rPr>
          <w:rFonts w:asciiTheme="minorHAnsi" w:hAnsiTheme="minorHAnsi" w:cstheme="minorHAnsi"/>
          <w:sz w:val="24"/>
          <w:szCs w:val="24"/>
        </w:rPr>
      </w:pPr>
      <w:r w:rsidRPr="00E2072B">
        <w:rPr>
          <w:rFonts w:asciiTheme="minorHAnsi" w:hAnsiTheme="minorHAnsi" w:cstheme="minorHAnsi"/>
          <w:sz w:val="24"/>
          <w:szCs w:val="24"/>
        </w:rPr>
        <w:t>I considered options and contingencies and when other officers arrived the threat level reduced and the information we had available to us meant that arrest was necessary and there were no time constraints or issues with available resources. I was confident in arresting the male and getting his cooperation to be conveyed to custody as he was protesting that he wasn’t involved and did not know why he was arrested. There would have been issues to contend with if the group had turned aggressive or had interfered with the arrest.</w:t>
      </w:r>
    </w:p>
    <w:p w14:paraId="0BF8F752"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The action I took was to arrest the suspect on suspicion of criminal damage; after being positively identified by a witness. Arrest was the most appropriate course of action in this incident as I believed he was fit for interview and he could be processed and referred to Youth Offending services for his out of court disposal. In interview he admitted the offence and offered to pay for the damage caused and had written a letter of apology to the victim.</w:t>
      </w:r>
    </w:p>
    <w:p w14:paraId="6934AB73" w14:textId="77777777" w:rsidR="00E2072B" w:rsidRPr="00E2072B" w:rsidRDefault="00E2072B" w:rsidP="00E2072B">
      <w:pPr>
        <w:rPr>
          <w:rFonts w:asciiTheme="minorHAnsi" w:hAnsiTheme="minorHAnsi" w:cstheme="minorHAnsi"/>
          <w:b/>
          <w:sz w:val="24"/>
          <w:szCs w:val="24"/>
        </w:rPr>
      </w:pPr>
    </w:p>
    <w:p w14:paraId="24A2507E"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As an officer you are working by the code of ethics and act impartially when you attend incidents. You have to maintain a calm demeanour and think about your decisions which could formulate very quickly as incidents unfold. You are looking for the best course of action for all involved that can be progressed straight away, this can prove almost impossible if you find yourself at a serious or violent incident or the sheer number of people around you. Meanwhile you need to keep a level head to stay focused and ensure that you are helping the victim and not negatively impacting on them by having an attitude or conducting yourself in a prejudiced way. </w:t>
      </w:r>
    </w:p>
    <w:p w14:paraId="01F6B2F7"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It’s not just arrest and take someone to custody, sometimes that is not the best option and there could be an out of court disposal that could be more suitable like a verbal warning or restorative justice.</w:t>
      </w:r>
    </w:p>
    <w:p w14:paraId="703C6241" w14:textId="77777777" w:rsidR="00E2072B" w:rsidRPr="00E2072B" w:rsidRDefault="00E2072B" w:rsidP="00E2072B">
      <w:pPr>
        <w:rPr>
          <w:rFonts w:asciiTheme="minorHAnsi" w:hAnsiTheme="minorHAnsi" w:cstheme="minorHAnsi"/>
          <w:i/>
          <w:sz w:val="24"/>
          <w:szCs w:val="24"/>
        </w:rPr>
      </w:pPr>
      <w:r w:rsidRPr="00E2072B">
        <w:rPr>
          <w:rFonts w:asciiTheme="minorHAnsi" w:hAnsiTheme="minorHAnsi" w:cstheme="minorHAnsi"/>
          <w:i/>
          <w:sz w:val="24"/>
          <w:szCs w:val="24"/>
        </w:rPr>
        <w:lastRenderedPageBreak/>
        <w:t>“Police have an extensive range of decisions:- whether to investigate, to question, to search, to arrest, to caution, to charge, to prosecute”(Bronnitt and Stenning, 2011).</w:t>
      </w:r>
    </w:p>
    <w:p w14:paraId="57923E1E"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The suspect is 16 years old so it was decided that he would be dealt with by Youth Offending Services and they would arrange for the male’s disposal and if what requirements he would have to comply with. </w:t>
      </w:r>
    </w:p>
    <w:p w14:paraId="2065E209"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Discretion for myself as an officer means a certain amount of confidence in the decisions that I make. Furthermore if I make a judgement and there is a negative outcome or another decision would have been better that I can admit that a fault has been made and improve for the next incident. It is important that there is a degree of openness so your actions and decisions are transparent and you are held accountable, </w:t>
      </w:r>
      <w:r w:rsidRPr="00E2072B">
        <w:rPr>
          <w:rFonts w:asciiTheme="minorHAnsi" w:hAnsiTheme="minorHAnsi" w:cstheme="minorHAnsi"/>
          <w:i/>
          <w:sz w:val="24"/>
          <w:szCs w:val="24"/>
        </w:rPr>
        <w:t>“He/she must take responsibility for deciding whether arrest is appropriate or not” (Blackstone’s, 2018)</w:t>
      </w:r>
    </w:p>
    <w:p w14:paraId="7F9D44A3" w14:textId="77777777" w:rsidR="00E2072B" w:rsidRPr="00E2072B" w:rsidRDefault="00E2072B" w:rsidP="00E2072B">
      <w:pPr>
        <w:rPr>
          <w:rFonts w:asciiTheme="minorHAnsi" w:hAnsiTheme="minorHAnsi" w:cstheme="minorHAnsi"/>
          <w:b/>
          <w:sz w:val="24"/>
          <w:szCs w:val="24"/>
        </w:rPr>
      </w:pPr>
    </w:p>
    <w:p w14:paraId="4F5F2B75" w14:textId="77777777" w:rsidR="00E2072B" w:rsidRPr="00E2072B" w:rsidRDefault="00E2072B" w:rsidP="00E2072B">
      <w:pPr>
        <w:rPr>
          <w:rFonts w:asciiTheme="minorHAnsi" w:hAnsiTheme="minorHAnsi" w:cstheme="minorHAnsi"/>
          <w:i/>
          <w:sz w:val="24"/>
          <w:szCs w:val="24"/>
        </w:rPr>
      </w:pPr>
      <w:r w:rsidRPr="00E2072B">
        <w:rPr>
          <w:rFonts w:asciiTheme="minorHAnsi" w:hAnsiTheme="minorHAnsi" w:cstheme="minorHAnsi"/>
          <w:sz w:val="24"/>
          <w:szCs w:val="24"/>
        </w:rPr>
        <w:t xml:space="preserve">Under the Criminal Procedures and Investigation Act 1996, officers in charge of an investigation have a duty to record, retain and reveal all information that is relevant to an investigation and this information is for disclosure to the defence and prosecution. This includes any items that may have been seized as part of that investigation, </w:t>
      </w:r>
      <w:r w:rsidRPr="00E2072B">
        <w:rPr>
          <w:rFonts w:asciiTheme="minorHAnsi" w:hAnsiTheme="minorHAnsi" w:cstheme="minorHAnsi"/>
          <w:i/>
          <w:sz w:val="24"/>
          <w:szCs w:val="24"/>
        </w:rPr>
        <w:t>“In conducting an investigation, the investigator should pursue all reasonable lines of inquiry,</w:t>
      </w:r>
      <w:r w:rsidRPr="00E2072B">
        <w:rPr>
          <w:rFonts w:asciiTheme="minorHAnsi" w:hAnsiTheme="minorHAnsi" w:cstheme="minorHAnsi"/>
          <w:sz w:val="24"/>
          <w:szCs w:val="24"/>
        </w:rPr>
        <w:t xml:space="preserve"> </w:t>
      </w:r>
      <w:r w:rsidRPr="00E2072B">
        <w:rPr>
          <w:rFonts w:asciiTheme="minorHAnsi" w:hAnsiTheme="minorHAnsi" w:cstheme="minorHAnsi"/>
          <w:i/>
          <w:sz w:val="24"/>
          <w:szCs w:val="24"/>
        </w:rPr>
        <w:t>whether these point towards or away from the suspect”(CPIA 1996)</w:t>
      </w:r>
    </w:p>
    <w:p w14:paraId="1113064B" w14:textId="77777777" w:rsidR="00E2072B" w:rsidRPr="00E2072B" w:rsidRDefault="00E2072B" w:rsidP="00E2072B">
      <w:pPr>
        <w:rPr>
          <w:rFonts w:asciiTheme="minorHAnsi" w:hAnsiTheme="minorHAnsi" w:cstheme="minorHAnsi"/>
          <w:i/>
          <w:color w:val="111111"/>
          <w:sz w:val="24"/>
          <w:szCs w:val="24"/>
        </w:rPr>
      </w:pPr>
      <w:r w:rsidRPr="00E2072B">
        <w:rPr>
          <w:rFonts w:asciiTheme="minorHAnsi" w:hAnsiTheme="minorHAnsi" w:cstheme="minorHAnsi"/>
          <w:sz w:val="24"/>
          <w:szCs w:val="24"/>
        </w:rPr>
        <w:t xml:space="preserve">Disclosure of material has to comply with CPIA 1996 and means that in the first instance, </w:t>
      </w:r>
      <w:r w:rsidRPr="00E2072B">
        <w:rPr>
          <w:rFonts w:asciiTheme="minorHAnsi" w:hAnsiTheme="minorHAnsi" w:cstheme="minorHAnsi"/>
          <w:i/>
          <w:sz w:val="24"/>
          <w:szCs w:val="24"/>
        </w:rPr>
        <w:t>“</w:t>
      </w:r>
      <w:r w:rsidRPr="00E2072B">
        <w:rPr>
          <w:rFonts w:asciiTheme="minorHAnsi" w:hAnsiTheme="minorHAnsi" w:cstheme="minorHAnsi"/>
          <w:i/>
          <w:color w:val="111111"/>
          <w:sz w:val="24"/>
          <w:szCs w:val="24"/>
        </w:rPr>
        <w:t>Material must be disclosed if it “might reasonably be considered capable of undermining the case for the prosecution or of assisting the case for the accused” (HSE, 2015)</w:t>
      </w:r>
    </w:p>
    <w:p w14:paraId="21E5161B"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color w:val="111111"/>
          <w:sz w:val="24"/>
          <w:szCs w:val="24"/>
        </w:rPr>
        <w:t>Our main aim as police officers is to gather evidence regardless of how it effects our investigation, if information comes to light that implies another person is responsible for a crime then it is our duty to investigate that line of enquiry fully.</w:t>
      </w:r>
    </w:p>
    <w:p w14:paraId="6C8DDFC0"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The suspect in this case was under 18 and had his interview with an appropriate adult. He opted to be interviewed without a solicitor or legal representative so there was no formal written disclosure made.</w:t>
      </w:r>
    </w:p>
    <w:p w14:paraId="19CDAFB4" w14:textId="77777777" w:rsidR="00E2072B" w:rsidRPr="00E2072B" w:rsidRDefault="00E2072B" w:rsidP="00E2072B">
      <w:pPr>
        <w:rPr>
          <w:rFonts w:asciiTheme="minorHAnsi" w:hAnsiTheme="minorHAnsi" w:cstheme="minorHAnsi"/>
          <w:i/>
          <w:sz w:val="24"/>
          <w:szCs w:val="24"/>
        </w:rPr>
      </w:pPr>
      <w:r w:rsidRPr="00E2072B">
        <w:rPr>
          <w:rFonts w:asciiTheme="minorHAnsi" w:hAnsiTheme="minorHAnsi" w:cstheme="minorHAnsi"/>
          <w:sz w:val="24"/>
          <w:szCs w:val="24"/>
        </w:rPr>
        <w:t xml:space="preserve">In this instance, the duty to retain information, the description given by the witnesses who flagged the police van down and the witness statement from the witness who identified the male are both important, </w:t>
      </w:r>
      <w:r w:rsidRPr="00E2072B">
        <w:rPr>
          <w:rFonts w:asciiTheme="minorHAnsi" w:hAnsiTheme="minorHAnsi" w:cstheme="minorHAnsi"/>
          <w:i/>
          <w:sz w:val="24"/>
          <w:szCs w:val="24"/>
        </w:rPr>
        <w:t>“records of the first description of a suspect by each potential witness who purports to identify or describe the suspect, whether or not the description differs from that of subsequent descriptions by that or other witnesses”(CPIA 1996)</w:t>
      </w:r>
    </w:p>
    <w:p w14:paraId="02DA560D"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There is an obligation that any material that we have gathered is revealed to the defence but if for any reason information is not passed the reasoning behind it has to be documented, </w:t>
      </w:r>
      <w:r w:rsidRPr="00E2072B">
        <w:rPr>
          <w:rFonts w:asciiTheme="minorHAnsi" w:hAnsiTheme="minorHAnsi" w:cstheme="minorHAnsi"/>
          <w:i/>
          <w:sz w:val="24"/>
          <w:szCs w:val="24"/>
        </w:rPr>
        <w:t>“</w:t>
      </w:r>
      <w:r w:rsidRPr="00E2072B">
        <w:rPr>
          <w:rFonts w:asciiTheme="minorHAnsi" w:hAnsiTheme="minorHAnsi" w:cstheme="minorHAnsi"/>
          <w:i/>
          <w:color w:val="111111"/>
          <w:sz w:val="24"/>
          <w:szCs w:val="24"/>
        </w:rPr>
        <w:t>Disclosure officers should always err on the side of recording and retaining material where they have any doubt as to whether it may be relevant.”(HSE, 2015)</w:t>
      </w:r>
    </w:p>
    <w:p w14:paraId="0D23D30B"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Equality and diversity are an integral part of being a police officer, we cannot let our experiences and judgements determine how we will react to a victim or suspect. The expectation is that an officer will not discriminate unlawfully or unfairly (Code of Ethics, </w:t>
      </w:r>
    </w:p>
    <w:p w14:paraId="326407D1" w14:textId="77777777" w:rsidR="00E2072B" w:rsidRPr="00E2072B" w:rsidRDefault="00E2072B" w:rsidP="00E2072B">
      <w:pPr>
        <w:rPr>
          <w:rFonts w:asciiTheme="minorHAnsi" w:hAnsiTheme="minorHAnsi" w:cstheme="minorHAnsi"/>
          <w:i/>
          <w:sz w:val="24"/>
          <w:szCs w:val="24"/>
        </w:rPr>
      </w:pPr>
      <w:r w:rsidRPr="00E2072B">
        <w:rPr>
          <w:rFonts w:asciiTheme="minorHAnsi" w:hAnsiTheme="minorHAnsi" w:cstheme="minorHAnsi"/>
          <w:sz w:val="24"/>
          <w:szCs w:val="24"/>
        </w:rPr>
        <w:t xml:space="preserve">As an officer you need to deal with victims, witnesses and suspects with integrity. There is no room for bias as this could cause more issues and mean that an officer fails to perform their duties. The way an officer behaves towards a person can have a detrimental effect on how that person sees the police as an organisation. This could be due to an unconscious bias from the officer and if the person fails the “attitude test” which is </w:t>
      </w:r>
      <w:r w:rsidRPr="00E2072B">
        <w:rPr>
          <w:rFonts w:asciiTheme="minorHAnsi" w:hAnsiTheme="minorHAnsi" w:cstheme="minorHAnsi"/>
          <w:i/>
          <w:sz w:val="24"/>
          <w:szCs w:val="24"/>
        </w:rPr>
        <w:t>“an individual who is polite and repentant is less likely to have the law enforced against them”(Blackstone’s, 2018)</w:t>
      </w:r>
    </w:p>
    <w:p w14:paraId="428CBDF3"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lastRenderedPageBreak/>
        <w:t>By the very description, you aren’t aware of an unconscious bias but it could have a substantial effect on how you deal with a victim or suspect this could undermine an investigation because of lack of evidence or being dismissive or judging the reliability of an account given by a witness. There is a lack of objectivity because you are not basing your investigation on evidence but your own preconceived ideas of how an incident occurred.</w:t>
      </w:r>
    </w:p>
    <w:p w14:paraId="2C5FE67D" w14:textId="77777777" w:rsidR="00E2072B" w:rsidRPr="00E2072B" w:rsidRDefault="00E2072B" w:rsidP="00E2072B">
      <w:pPr>
        <w:rPr>
          <w:rFonts w:asciiTheme="minorHAnsi" w:hAnsiTheme="minorHAnsi" w:cstheme="minorHAnsi"/>
          <w:sz w:val="24"/>
          <w:szCs w:val="24"/>
        </w:rPr>
      </w:pPr>
    </w:p>
    <w:p w14:paraId="761A050D"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The model of reflection that I have used for this incident is Donald Schon’s “Reflection-in-action and Reflection-on-action”. </w:t>
      </w:r>
    </w:p>
    <w:p w14:paraId="5F40B40A"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During the incident I was concentrating on getting the most information to identify the suspect and keep control of the young people I had stopped to take details from. I was calm but I think this appeared as too softly spoken. I think if I had been more confident and assertive initially, I believe I would’ve kept control easier and not allowed the male to get so agitated and verbally aggressive, I gave him too much space to act out which was unnecessary.</w:t>
      </w:r>
    </w:p>
    <w:p w14:paraId="5047C843" w14:textId="77777777" w:rsidR="00E2072B" w:rsidRPr="00E2072B" w:rsidRDefault="00E2072B" w:rsidP="00E2072B">
      <w:pPr>
        <w:rPr>
          <w:rFonts w:asciiTheme="minorHAnsi" w:hAnsiTheme="minorHAnsi" w:cstheme="minorHAnsi"/>
          <w:sz w:val="24"/>
          <w:szCs w:val="24"/>
        </w:rPr>
      </w:pPr>
    </w:p>
    <w:p w14:paraId="6CDA8A01"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After the incident I had time to think over how I had performed, on the night the male was arrested and conveyed to custody then subsequently interviewed in a voluntary attendance interview a week later. I considered his behaviour at the time and if he would be the same during interview and make plans for no comment responses. </w:t>
      </w:r>
    </w:p>
    <w:p w14:paraId="16ED3623"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When dealing with the male I treated him with courtesy and respect and explained everything as it was happening so if he had any questions then he could ask me but because he was intoxicated, at times it was difficult to reason with him and he was argumentative. I would definitely be more assertive to get him to engage.</w:t>
      </w:r>
    </w:p>
    <w:p w14:paraId="2542943D" w14:textId="77777777" w:rsidR="00E2072B" w:rsidRPr="00E2072B" w:rsidRDefault="00E2072B" w:rsidP="00E2072B">
      <w:pPr>
        <w:rPr>
          <w:rFonts w:asciiTheme="minorHAnsi" w:hAnsiTheme="minorHAnsi" w:cstheme="minorHAnsi"/>
          <w:sz w:val="24"/>
          <w:szCs w:val="24"/>
        </w:rPr>
      </w:pPr>
    </w:p>
    <w:p w14:paraId="063DB27E" w14:textId="77777777" w:rsidR="00E2072B" w:rsidRPr="00E2072B" w:rsidRDefault="00E2072B" w:rsidP="00E2072B">
      <w:pPr>
        <w:rPr>
          <w:rFonts w:asciiTheme="minorHAnsi" w:hAnsiTheme="minorHAnsi" w:cstheme="minorHAnsi"/>
          <w:sz w:val="24"/>
          <w:szCs w:val="24"/>
        </w:rPr>
      </w:pPr>
    </w:p>
    <w:p w14:paraId="07F54672"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Word count – 2561                                                                                                                                                                      </w:t>
      </w:r>
    </w:p>
    <w:p w14:paraId="679C3F81" w14:textId="77777777" w:rsidR="00E2072B" w:rsidRPr="00E2072B" w:rsidRDefault="00E2072B" w:rsidP="00E2072B">
      <w:pPr>
        <w:rPr>
          <w:rFonts w:asciiTheme="minorHAnsi" w:hAnsiTheme="minorHAnsi" w:cstheme="minorHAnsi"/>
          <w:sz w:val="24"/>
          <w:szCs w:val="24"/>
        </w:rPr>
      </w:pPr>
    </w:p>
    <w:p w14:paraId="703D2BA0" w14:textId="77777777" w:rsidR="00E2072B" w:rsidRPr="00E2072B" w:rsidRDefault="00E2072B" w:rsidP="00E2072B">
      <w:pPr>
        <w:rPr>
          <w:rFonts w:asciiTheme="minorHAnsi" w:hAnsiTheme="minorHAnsi" w:cstheme="minorHAnsi"/>
          <w:sz w:val="24"/>
          <w:szCs w:val="24"/>
        </w:rPr>
      </w:pPr>
    </w:p>
    <w:p w14:paraId="75BF8B50" w14:textId="77777777" w:rsidR="00E2072B" w:rsidRPr="00E2072B" w:rsidRDefault="00E2072B" w:rsidP="00E2072B">
      <w:pPr>
        <w:rPr>
          <w:rFonts w:asciiTheme="minorHAnsi" w:hAnsiTheme="minorHAnsi" w:cstheme="minorHAnsi"/>
          <w:b/>
          <w:sz w:val="24"/>
          <w:szCs w:val="24"/>
        </w:rPr>
      </w:pPr>
      <w:r w:rsidRPr="00E2072B">
        <w:rPr>
          <w:rFonts w:asciiTheme="minorHAnsi" w:hAnsiTheme="minorHAnsi" w:cstheme="minorHAnsi"/>
          <w:b/>
          <w:sz w:val="24"/>
          <w:szCs w:val="24"/>
        </w:rPr>
        <w:t>References – Task 4</w:t>
      </w:r>
    </w:p>
    <w:p w14:paraId="5050755F" w14:textId="77777777" w:rsidR="00E2072B" w:rsidRPr="00E2072B" w:rsidRDefault="00E2072B" w:rsidP="00E2072B">
      <w:pPr>
        <w:rPr>
          <w:rFonts w:asciiTheme="minorHAnsi" w:hAnsiTheme="minorHAnsi" w:cstheme="minorHAnsi"/>
          <w:b/>
          <w:sz w:val="24"/>
          <w:szCs w:val="24"/>
        </w:rPr>
      </w:pPr>
    </w:p>
    <w:p w14:paraId="39B39A59"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Bronitt, S. and Stenning, P. (2011). Understanding discretion in modern policing. </w:t>
      </w:r>
      <w:r w:rsidRPr="00E2072B">
        <w:rPr>
          <w:rFonts w:asciiTheme="minorHAnsi" w:hAnsiTheme="minorHAnsi" w:cstheme="minorHAnsi"/>
          <w:i/>
          <w:iCs/>
          <w:sz w:val="24"/>
          <w:szCs w:val="24"/>
        </w:rPr>
        <w:t>Criminal Law Journal</w:t>
      </w:r>
      <w:r w:rsidRPr="00E2072B">
        <w:rPr>
          <w:rFonts w:asciiTheme="minorHAnsi" w:hAnsiTheme="minorHAnsi" w:cstheme="minorHAnsi"/>
          <w:sz w:val="24"/>
          <w:szCs w:val="24"/>
        </w:rPr>
        <w:t xml:space="preserve">, [online] (35), pp.319-332. </w:t>
      </w:r>
      <w:hyperlink r:id="rId32" w:history="1">
        <w:r w:rsidRPr="00E2072B">
          <w:rPr>
            <w:rStyle w:val="Hyperlink"/>
            <w:rFonts w:asciiTheme="minorHAnsi" w:hAnsiTheme="minorHAnsi" w:cstheme="minorHAnsi"/>
            <w:sz w:val="24"/>
            <w:szCs w:val="24"/>
          </w:rPr>
          <w:t>http://sites.thomsonreuters.com.au/journals/files/2011/12/CrimLJ_v35_pt06_Dec2011_offprint_bronnit_stenning1.pdf Accessed 03/01/2020</w:t>
        </w:r>
      </w:hyperlink>
    </w:p>
    <w:p w14:paraId="3A352432" w14:textId="77777777" w:rsidR="00E2072B" w:rsidRPr="00E2072B" w:rsidRDefault="00E2072B" w:rsidP="00E2072B">
      <w:pPr>
        <w:rPr>
          <w:rFonts w:asciiTheme="minorHAnsi" w:hAnsiTheme="minorHAnsi" w:cstheme="minorHAnsi"/>
          <w:color w:val="0563C1" w:themeColor="hyperlink"/>
          <w:sz w:val="24"/>
          <w:szCs w:val="24"/>
          <w:u w:val="single"/>
        </w:rPr>
      </w:pPr>
      <w:r w:rsidRPr="00E2072B">
        <w:rPr>
          <w:rFonts w:asciiTheme="minorHAnsi" w:hAnsiTheme="minorHAnsi" w:cstheme="minorHAnsi"/>
          <w:sz w:val="24"/>
          <w:szCs w:val="24"/>
        </w:rPr>
        <w:t xml:space="preserve">College of Policing (2014) – Code of Ethics Supporting Documents </w:t>
      </w:r>
      <w:hyperlink r:id="rId33" w:history="1">
        <w:r w:rsidRPr="00E2072B">
          <w:rPr>
            <w:rStyle w:val="Hyperlink"/>
            <w:rFonts w:asciiTheme="minorHAnsi" w:hAnsiTheme="minorHAnsi" w:cstheme="minorHAnsi"/>
            <w:sz w:val="24"/>
            <w:szCs w:val="24"/>
          </w:rPr>
          <w:t>https://www.college.police.uk/What-we-do/Ethics/Ethics-home/Documents/Code_of_Ethics_ReadingList.pdf  Accessed 17/11/2019</w:t>
        </w:r>
      </w:hyperlink>
    </w:p>
    <w:p w14:paraId="23BA602B" w14:textId="77777777" w:rsidR="00E2072B" w:rsidRPr="00E2072B" w:rsidRDefault="00E2072B" w:rsidP="00E2072B">
      <w:pPr>
        <w:rPr>
          <w:rFonts w:asciiTheme="minorHAnsi" w:hAnsiTheme="minorHAnsi" w:cstheme="minorHAnsi"/>
          <w:b/>
          <w:sz w:val="24"/>
          <w:szCs w:val="24"/>
        </w:rPr>
      </w:pPr>
    </w:p>
    <w:p w14:paraId="40080878"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Criminal Damage Act 1971</w:t>
      </w:r>
    </w:p>
    <w:p w14:paraId="0F39BBF0"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Criminal Law Act 1967 - Section 3</w:t>
      </w:r>
    </w:p>
    <w:p w14:paraId="34EB9F95"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Criminal Procedures and Investigation Act 1996</w:t>
      </w:r>
    </w:p>
    <w:p w14:paraId="4E55F636"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Criminal Procedure and Investigations Act 1996 (section 23(1)) Code of Practice - Revised in accordance with section 25(4) of the Criminal Procedure and Investigations Act 1996 March 2015</w:t>
      </w:r>
    </w:p>
    <w:p w14:paraId="52D362B6" w14:textId="77777777" w:rsidR="00E2072B" w:rsidRPr="00E2072B" w:rsidRDefault="00E72B4B" w:rsidP="00E2072B">
      <w:pPr>
        <w:rPr>
          <w:rFonts w:asciiTheme="minorHAnsi" w:hAnsiTheme="minorHAnsi" w:cstheme="minorHAnsi"/>
          <w:sz w:val="24"/>
          <w:szCs w:val="24"/>
        </w:rPr>
      </w:pPr>
      <w:hyperlink r:id="rId34" w:history="1">
        <w:r w:rsidR="00E2072B" w:rsidRPr="00E2072B">
          <w:rPr>
            <w:rStyle w:val="Hyperlink"/>
            <w:rFonts w:asciiTheme="minorHAnsi" w:hAnsiTheme="minorHAnsi" w:cstheme="minorHAnsi"/>
            <w:sz w:val="24"/>
            <w:szCs w:val="24"/>
          </w:rPr>
          <w:t>https://assets.publishing.service.gov.uk/government/uploads/system/uploads/attachment_data/file/447967/code-of-practice-approved.pdf</w:t>
        </w:r>
      </w:hyperlink>
      <w:r w:rsidR="00E2072B" w:rsidRPr="00E2072B">
        <w:rPr>
          <w:rFonts w:asciiTheme="minorHAnsi" w:hAnsiTheme="minorHAnsi" w:cstheme="minorHAnsi"/>
          <w:sz w:val="24"/>
          <w:szCs w:val="24"/>
        </w:rPr>
        <w:t xml:space="preserve"> Accessed 21/12/2019</w:t>
      </w:r>
    </w:p>
    <w:p w14:paraId="127ECBF1"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Graca, S., Bryant, R., Lawton-Barrett, K., Gilbert, P., Hooper, G., Jones, N., Blackburn, B., McCormack, T., Mitchell, S., Nunn, J., O'Neill, M. and Owens, J. (2017) Blackstone's handbook for policing students 2018. 12th ed. Oxford: Oxford University Press.</w:t>
      </w:r>
    </w:p>
    <w:p w14:paraId="25629EA4"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lastRenderedPageBreak/>
        <w:t xml:space="preserve">Health and Safety Executive – Disclosure Stages - </w:t>
      </w:r>
      <w:r w:rsidRPr="00E2072B">
        <w:rPr>
          <w:rFonts w:asciiTheme="minorHAnsi" w:hAnsiTheme="minorHAnsi" w:cstheme="minorHAnsi"/>
          <w:bCs/>
          <w:sz w:val="24"/>
          <w:szCs w:val="24"/>
        </w:rPr>
        <w:t>Disclosure of unused material in criminal investigations</w:t>
      </w:r>
      <w:r w:rsidRPr="00E2072B">
        <w:rPr>
          <w:rFonts w:asciiTheme="minorHAnsi" w:hAnsiTheme="minorHAnsi" w:cstheme="minorHAnsi"/>
          <w:sz w:val="24"/>
          <w:szCs w:val="24"/>
        </w:rPr>
        <w:t xml:space="preserve"> </w:t>
      </w:r>
      <w:hyperlink r:id="rId35" w:history="1">
        <w:r w:rsidRPr="00E2072B">
          <w:rPr>
            <w:rStyle w:val="Hyperlink"/>
            <w:rFonts w:asciiTheme="minorHAnsi" w:hAnsiTheme="minorHAnsi" w:cstheme="minorHAnsi"/>
            <w:sz w:val="24"/>
            <w:szCs w:val="24"/>
          </w:rPr>
          <w:t>https://www.hse.gov.uk/enforce/enforcementguide/pretrial/after-disclosure.htm</w:t>
        </w:r>
      </w:hyperlink>
      <w:r w:rsidRPr="00E2072B">
        <w:rPr>
          <w:rFonts w:asciiTheme="minorHAnsi" w:hAnsiTheme="minorHAnsi" w:cstheme="minorHAnsi"/>
          <w:sz w:val="24"/>
          <w:szCs w:val="24"/>
        </w:rPr>
        <w:t xml:space="preserve"> Accessed 04/01/2020</w:t>
      </w:r>
    </w:p>
    <w:p w14:paraId="536CB4FF"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Human Rights Act 1998</w:t>
      </w:r>
    </w:p>
    <w:p w14:paraId="0C68760D"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Police and Criminal Evidence Act 1984</w:t>
      </w:r>
    </w:p>
    <w:p w14:paraId="1E859B47"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Police and Criminal Evidence Act 1984 Code G</w:t>
      </w:r>
    </w:p>
    <w:p w14:paraId="06A2C25F" w14:textId="77777777" w:rsidR="00E2072B" w:rsidRPr="00E2072B" w:rsidRDefault="00E2072B" w:rsidP="00E2072B">
      <w:pPr>
        <w:rPr>
          <w:rFonts w:asciiTheme="minorHAnsi" w:hAnsiTheme="minorHAnsi" w:cstheme="minorHAnsi"/>
          <w:sz w:val="24"/>
          <w:szCs w:val="24"/>
        </w:rPr>
      </w:pPr>
    </w:p>
    <w:p w14:paraId="2D07663E" w14:textId="77777777" w:rsidR="00E2072B" w:rsidRPr="00E2072B" w:rsidRDefault="00E2072B" w:rsidP="00E2072B">
      <w:pPr>
        <w:rPr>
          <w:rFonts w:asciiTheme="minorHAnsi" w:hAnsiTheme="minorHAnsi" w:cstheme="minorHAnsi"/>
          <w:sz w:val="24"/>
          <w:szCs w:val="24"/>
        </w:rPr>
      </w:pPr>
      <w:r w:rsidRPr="00E2072B">
        <w:rPr>
          <w:rFonts w:asciiTheme="minorHAnsi" w:hAnsiTheme="minorHAnsi" w:cstheme="minorHAnsi"/>
          <w:sz w:val="24"/>
          <w:szCs w:val="24"/>
        </w:rPr>
        <w:t xml:space="preserve">Schön, D. A. (1983) </w:t>
      </w:r>
      <w:r w:rsidRPr="00E2072B">
        <w:rPr>
          <w:rFonts w:asciiTheme="minorHAnsi" w:hAnsiTheme="minorHAnsi" w:cstheme="minorHAnsi"/>
          <w:i/>
          <w:iCs/>
          <w:sz w:val="24"/>
          <w:szCs w:val="24"/>
        </w:rPr>
        <w:t>The reflective practitioner : how professionals think in action</w:t>
      </w:r>
      <w:r w:rsidRPr="00E2072B">
        <w:rPr>
          <w:rFonts w:asciiTheme="minorHAnsi" w:hAnsiTheme="minorHAnsi" w:cstheme="minorHAnsi"/>
          <w:sz w:val="24"/>
          <w:szCs w:val="24"/>
        </w:rPr>
        <w:t>. New York: Basic Books.</w:t>
      </w:r>
    </w:p>
    <w:p w14:paraId="55E8513B" w14:textId="77777777" w:rsidR="00025650" w:rsidRPr="00E2072B" w:rsidRDefault="00025650" w:rsidP="00E6298B">
      <w:pPr>
        <w:ind w:right="107"/>
        <w:jc w:val="both"/>
        <w:rPr>
          <w:rFonts w:asciiTheme="minorHAnsi" w:hAnsiTheme="minorHAnsi" w:cstheme="minorHAnsi"/>
          <w:sz w:val="24"/>
          <w:szCs w:val="24"/>
        </w:rPr>
      </w:pPr>
    </w:p>
    <w:p w14:paraId="4C811AD3" w14:textId="77777777" w:rsidR="00025650" w:rsidRPr="00E2072B" w:rsidRDefault="00025650" w:rsidP="00E6298B">
      <w:pPr>
        <w:ind w:right="107"/>
        <w:jc w:val="both"/>
        <w:rPr>
          <w:rFonts w:asciiTheme="minorHAnsi" w:hAnsiTheme="minorHAnsi" w:cstheme="minorHAnsi"/>
          <w:sz w:val="24"/>
          <w:szCs w:val="24"/>
        </w:rPr>
      </w:pPr>
    </w:p>
    <w:p w14:paraId="0FEEFB0E" w14:textId="77777777" w:rsidR="00025650" w:rsidRPr="00E2072B" w:rsidRDefault="00025650" w:rsidP="00E6298B">
      <w:pPr>
        <w:ind w:right="107"/>
        <w:jc w:val="both"/>
        <w:rPr>
          <w:rFonts w:asciiTheme="minorHAnsi" w:hAnsiTheme="minorHAnsi" w:cstheme="minorHAnsi"/>
          <w:sz w:val="24"/>
          <w:szCs w:val="24"/>
        </w:rPr>
      </w:pPr>
    </w:p>
    <w:p w14:paraId="5E21F8DD" w14:textId="77777777" w:rsidR="00025650" w:rsidRPr="00E2072B" w:rsidRDefault="00025650" w:rsidP="00E6298B">
      <w:pPr>
        <w:ind w:right="107"/>
        <w:jc w:val="both"/>
        <w:rPr>
          <w:rFonts w:asciiTheme="minorHAnsi" w:hAnsiTheme="minorHAnsi" w:cstheme="minorHAnsi"/>
          <w:sz w:val="24"/>
          <w:szCs w:val="24"/>
        </w:rPr>
      </w:pPr>
    </w:p>
    <w:p w14:paraId="585519A4" w14:textId="77777777" w:rsidR="00025650" w:rsidRPr="00E2072B" w:rsidRDefault="00025650" w:rsidP="00E6298B">
      <w:pPr>
        <w:ind w:right="107"/>
        <w:jc w:val="both"/>
        <w:rPr>
          <w:rFonts w:asciiTheme="minorHAnsi" w:hAnsiTheme="minorHAnsi" w:cstheme="minorHAnsi"/>
          <w:sz w:val="24"/>
          <w:szCs w:val="24"/>
        </w:rPr>
      </w:pPr>
    </w:p>
    <w:p w14:paraId="53C57CDF" w14:textId="77777777" w:rsidR="00025650" w:rsidRPr="00E2072B" w:rsidRDefault="00025650" w:rsidP="00E6298B">
      <w:pPr>
        <w:ind w:right="107"/>
        <w:jc w:val="both"/>
        <w:rPr>
          <w:rFonts w:asciiTheme="minorHAnsi" w:hAnsiTheme="minorHAnsi" w:cstheme="minorHAnsi"/>
          <w:sz w:val="24"/>
          <w:szCs w:val="24"/>
        </w:rPr>
      </w:pPr>
    </w:p>
    <w:p w14:paraId="5A545E1D" w14:textId="77777777" w:rsidR="00025650" w:rsidRPr="00E2072B" w:rsidRDefault="00025650" w:rsidP="00E6298B">
      <w:pPr>
        <w:ind w:right="107"/>
        <w:jc w:val="both"/>
        <w:rPr>
          <w:rFonts w:asciiTheme="minorHAnsi" w:hAnsiTheme="minorHAnsi" w:cstheme="minorHAnsi"/>
          <w:sz w:val="24"/>
          <w:szCs w:val="24"/>
        </w:rPr>
      </w:pPr>
    </w:p>
    <w:p w14:paraId="71AB55F9" w14:textId="77777777" w:rsidR="00025650" w:rsidRPr="00E2072B" w:rsidRDefault="00025650" w:rsidP="00E6298B">
      <w:pPr>
        <w:ind w:right="107"/>
        <w:jc w:val="both"/>
        <w:rPr>
          <w:rFonts w:asciiTheme="minorHAnsi" w:hAnsiTheme="minorHAnsi" w:cstheme="minorHAnsi"/>
          <w:sz w:val="24"/>
          <w:szCs w:val="24"/>
        </w:rPr>
      </w:pPr>
    </w:p>
    <w:p w14:paraId="550E30AF" w14:textId="77777777" w:rsidR="00025650" w:rsidRPr="00E2072B" w:rsidRDefault="00025650" w:rsidP="00E6298B">
      <w:pPr>
        <w:ind w:right="107"/>
        <w:jc w:val="both"/>
        <w:rPr>
          <w:rFonts w:asciiTheme="minorHAnsi" w:hAnsiTheme="minorHAnsi" w:cstheme="minorHAnsi"/>
          <w:b/>
          <w:sz w:val="24"/>
          <w:szCs w:val="24"/>
        </w:rPr>
      </w:pPr>
    </w:p>
    <w:p w14:paraId="1C6E93E6" w14:textId="77777777" w:rsidR="00025650" w:rsidRPr="00E2072B" w:rsidRDefault="00025650" w:rsidP="00E6298B">
      <w:pPr>
        <w:ind w:right="107"/>
        <w:rPr>
          <w:rFonts w:asciiTheme="minorHAnsi" w:hAnsiTheme="minorHAnsi" w:cstheme="minorHAnsi"/>
          <w:sz w:val="24"/>
          <w:szCs w:val="24"/>
        </w:rPr>
      </w:pPr>
      <w:r w:rsidRPr="00E2072B">
        <w:rPr>
          <w:rFonts w:asciiTheme="minorHAnsi" w:hAnsiTheme="minorHAnsi" w:cstheme="minorHAnsi"/>
          <w:sz w:val="24"/>
          <w:szCs w:val="24"/>
        </w:rPr>
        <w:br w:type="page"/>
      </w:r>
    </w:p>
    <w:p w14:paraId="592CAEBA" w14:textId="77777777" w:rsidR="000F7ECD" w:rsidRPr="00270EEB" w:rsidRDefault="000F7ECD" w:rsidP="00E6298B">
      <w:pPr>
        <w:ind w:right="107"/>
        <w:jc w:val="both"/>
        <w:rPr>
          <w:sz w:val="24"/>
          <w:szCs w:val="24"/>
        </w:rPr>
        <w:sectPr w:rsidR="000F7ECD" w:rsidRPr="00270EEB" w:rsidSect="00935EBC">
          <w:headerReference w:type="even" r:id="rId36"/>
          <w:headerReference w:type="default" r:id="rId37"/>
          <w:footerReference w:type="even" r:id="rId38"/>
          <w:footerReference w:type="default" r:id="rId39"/>
          <w:headerReference w:type="first" r:id="rId40"/>
          <w:footerReference w:type="first" r:id="rId41"/>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935EBC">
            <w:pPr>
              <w:ind w:right="107"/>
              <w:jc w:val="both"/>
              <w:rPr>
                <w:sz w:val="24"/>
                <w:szCs w:val="24"/>
              </w:rPr>
            </w:pPr>
          </w:p>
          <w:p w14:paraId="32CBB0C5" w14:textId="058EE78C" w:rsidR="00575A8F" w:rsidRPr="00270EEB" w:rsidRDefault="005B5E15" w:rsidP="00935EBC">
            <w:pPr>
              <w:ind w:right="107"/>
              <w:jc w:val="both"/>
              <w:rPr>
                <w:sz w:val="24"/>
                <w:szCs w:val="24"/>
              </w:rPr>
            </w:pPr>
            <w:r>
              <w:rPr>
                <w:sz w:val="24"/>
                <w:szCs w:val="24"/>
              </w:rPr>
              <w:t xml:space="preserve">Confidence in my knowledge </w:t>
            </w:r>
            <w:r w:rsidR="00935EBC">
              <w:rPr>
                <w:sz w:val="24"/>
                <w:szCs w:val="24"/>
              </w:rPr>
              <w:t>and ability</w:t>
            </w:r>
          </w:p>
          <w:p w14:paraId="4B494930" w14:textId="77777777" w:rsidR="00575A8F" w:rsidRPr="00270EEB" w:rsidRDefault="00575A8F" w:rsidP="00935EBC">
            <w:pPr>
              <w:ind w:right="107"/>
              <w:jc w:val="both"/>
              <w:rPr>
                <w:sz w:val="24"/>
                <w:szCs w:val="24"/>
              </w:rPr>
            </w:pPr>
          </w:p>
          <w:p w14:paraId="55898530" w14:textId="77777777" w:rsidR="00575A8F" w:rsidRPr="00270EEB" w:rsidRDefault="00575A8F" w:rsidP="00935EBC">
            <w:pPr>
              <w:ind w:right="107"/>
              <w:jc w:val="both"/>
              <w:rPr>
                <w:sz w:val="24"/>
                <w:szCs w:val="24"/>
              </w:rPr>
            </w:pPr>
          </w:p>
          <w:p w14:paraId="17C7589C" w14:textId="77777777" w:rsidR="00575A8F" w:rsidRPr="00270EEB" w:rsidRDefault="00575A8F" w:rsidP="00935EBC">
            <w:pPr>
              <w:ind w:right="107"/>
              <w:jc w:val="both"/>
              <w:rPr>
                <w:sz w:val="24"/>
                <w:szCs w:val="24"/>
              </w:rPr>
            </w:pPr>
          </w:p>
          <w:p w14:paraId="559F07CD" w14:textId="77777777" w:rsidR="00575A8F" w:rsidRPr="00270EEB" w:rsidRDefault="00575A8F" w:rsidP="00935EBC">
            <w:pPr>
              <w:ind w:right="107"/>
              <w:jc w:val="both"/>
              <w:rPr>
                <w:sz w:val="24"/>
                <w:szCs w:val="24"/>
              </w:rPr>
            </w:pPr>
          </w:p>
          <w:p w14:paraId="50FB26FA" w14:textId="77777777" w:rsidR="00575A8F" w:rsidRPr="00270EEB" w:rsidRDefault="00575A8F" w:rsidP="00935EBC">
            <w:pPr>
              <w:ind w:right="107"/>
              <w:jc w:val="both"/>
              <w:rPr>
                <w:sz w:val="24"/>
                <w:szCs w:val="24"/>
              </w:rPr>
            </w:pPr>
          </w:p>
          <w:p w14:paraId="4E13270D" w14:textId="77777777" w:rsidR="00575A8F" w:rsidRPr="00270EEB" w:rsidRDefault="00575A8F" w:rsidP="00935EBC">
            <w:pPr>
              <w:ind w:right="107"/>
              <w:jc w:val="both"/>
              <w:rPr>
                <w:sz w:val="24"/>
                <w:szCs w:val="24"/>
              </w:rPr>
            </w:pPr>
          </w:p>
          <w:p w14:paraId="4FCDFC95" w14:textId="77777777" w:rsidR="00575A8F" w:rsidRPr="00270EEB" w:rsidRDefault="00575A8F" w:rsidP="00935EBC">
            <w:pPr>
              <w:ind w:right="107"/>
              <w:jc w:val="both"/>
              <w:rPr>
                <w:sz w:val="24"/>
                <w:szCs w:val="24"/>
              </w:rPr>
            </w:pPr>
          </w:p>
        </w:tc>
        <w:tc>
          <w:tcPr>
            <w:tcW w:w="2433" w:type="dxa"/>
            <w:shd w:val="clear" w:color="auto" w:fill="auto"/>
          </w:tcPr>
          <w:p w14:paraId="2C5FB852" w14:textId="25E22175" w:rsidR="00575A8F" w:rsidRPr="00270EEB" w:rsidRDefault="00935EBC" w:rsidP="00935EBC">
            <w:pPr>
              <w:ind w:right="107"/>
              <w:jc w:val="both"/>
              <w:rPr>
                <w:sz w:val="24"/>
                <w:szCs w:val="24"/>
              </w:rPr>
            </w:pPr>
            <w:r>
              <w:rPr>
                <w:sz w:val="24"/>
                <w:szCs w:val="24"/>
              </w:rPr>
              <w:t>Asking for help when I need to but also be confident enough to get processes started and speak up if I have information that is useful.</w:t>
            </w:r>
          </w:p>
        </w:tc>
        <w:tc>
          <w:tcPr>
            <w:tcW w:w="2426" w:type="dxa"/>
            <w:shd w:val="clear" w:color="auto" w:fill="auto"/>
          </w:tcPr>
          <w:p w14:paraId="6F2EF39C" w14:textId="797ED796" w:rsidR="00575A8F" w:rsidRPr="00270EEB" w:rsidRDefault="00935EBC" w:rsidP="00E6298B">
            <w:pPr>
              <w:ind w:right="107"/>
              <w:jc w:val="both"/>
              <w:rPr>
                <w:sz w:val="24"/>
                <w:szCs w:val="24"/>
              </w:rPr>
            </w:pPr>
            <w:r>
              <w:rPr>
                <w:sz w:val="24"/>
                <w:szCs w:val="24"/>
              </w:rPr>
              <w:t>Team and Sergeant</w:t>
            </w:r>
          </w:p>
        </w:tc>
        <w:tc>
          <w:tcPr>
            <w:tcW w:w="2426" w:type="dxa"/>
            <w:shd w:val="clear" w:color="auto" w:fill="auto"/>
          </w:tcPr>
          <w:p w14:paraId="3851D535" w14:textId="0FD832DA" w:rsidR="28A9B94D" w:rsidRDefault="00935EBC" w:rsidP="28A9B94D">
            <w:pPr>
              <w:jc w:val="both"/>
              <w:rPr>
                <w:sz w:val="24"/>
                <w:szCs w:val="24"/>
              </w:rPr>
            </w:pPr>
            <w:r>
              <w:rPr>
                <w:sz w:val="24"/>
                <w:szCs w:val="24"/>
              </w:rPr>
              <w:t>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2DA9EC88" w14:textId="5D44F380" w:rsidR="00935EBC" w:rsidRDefault="00935EBC" w:rsidP="00E6298B">
            <w:pPr>
              <w:ind w:right="107"/>
              <w:jc w:val="both"/>
              <w:rPr>
                <w:sz w:val="24"/>
                <w:szCs w:val="24"/>
              </w:rPr>
            </w:pPr>
            <w:r>
              <w:rPr>
                <w:sz w:val="24"/>
                <w:szCs w:val="24"/>
              </w:rPr>
              <w:t xml:space="preserve">Conduct more stop/searches </w:t>
            </w:r>
          </w:p>
          <w:p w14:paraId="529CC96B" w14:textId="7D8818F4" w:rsidR="00575A8F" w:rsidRPr="00270EEB" w:rsidRDefault="00FC076B" w:rsidP="00E6298B">
            <w:pPr>
              <w:ind w:right="107"/>
              <w:jc w:val="both"/>
              <w:rPr>
                <w:sz w:val="24"/>
                <w:szCs w:val="24"/>
              </w:rPr>
            </w:pPr>
            <w:r>
              <w:rPr>
                <w:sz w:val="24"/>
                <w:szCs w:val="24"/>
              </w:rPr>
              <w:t xml:space="preserve">And </w:t>
            </w:r>
            <w:r w:rsidR="00935EBC">
              <w:rPr>
                <w:sz w:val="24"/>
                <w:szCs w:val="24"/>
              </w:rPr>
              <w:t>issuing Traffic Offence Reports.</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4642852" w14:textId="77777777" w:rsidR="00575A8F" w:rsidRDefault="00935EBC" w:rsidP="00E6298B">
            <w:pPr>
              <w:ind w:right="107"/>
              <w:jc w:val="both"/>
              <w:rPr>
                <w:sz w:val="24"/>
                <w:szCs w:val="24"/>
              </w:rPr>
            </w:pPr>
            <w:r>
              <w:rPr>
                <w:sz w:val="24"/>
                <w:szCs w:val="24"/>
              </w:rPr>
              <w:t>Just more practice so the process is quicker when I come across incidents</w:t>
            </w:r>
            <w:r w:rsidR="00FC076B">
              <w:rPr>
                <w:sz w:val="24"/>
                <w:szCs w:val="24"/>
              </w:rPr>
              <w:t>.</w:t>
            </w:r>
          </w:p>
          <w:p w14:paraId="3BD876A6" w14:textId="15ED876A" w:rsidR="00FC076B" w:rsidRPr="00270EEB" w:rsidRDefault="00FC076B" w:rsidP="00E6298B">
            <w:pPr>
              <w:ind w:right="107"/>
              <w:jc w:val="both"/>
              <w:rPr>
                <w:sz w:val="24"/>
                <w:szCs w:val="24"/>
              </w:rPr>
            </w:pPr>
            <w:r>
              <w:rPr>
                <w:sz w:val="24"/>
                <w:szCs w:val="24"/>
              </w:rPr>
              <w:t>Learn the codes for specific offences.</w:t>
            </w:r>
          </w:p>
        </w:tc>
        <w:tc>
          <w:tcPr>
            <w:tcW w:w="2426" w:type="dxa"/>
            <w:shd w:val="clear" w:color="auto" w:fill="auto"/>
          </w:tcPr>
          <w:p w14:paraId="7A4C9A77" w14:textId="70742E01" w:rsidR="00575A8F" w:rsidRPr="00270EEB" w:rsidRDefault="00935EBC" w:rsidP="00E6298B">
            <w:pPr>
              <w:ind w:right="107"/>
              <w:jc w:val="both"/>
              <w:rPr>
                <w:sz w:val="24"/>
                <w:szCs w:val="24"/>
              </w:rPr>
            </w:pPr>
            <w:r>
              <w:rPr>
                <w:sz w:val="24"/>
                <w:szCs w:val="24"/>
              </w:rPr>
              <w:t>Team and Sergeant</w:t>
            </w:r>
          </w:p>
        </w:tc>
        <w:tc>
          <w:tcPr>
            <w:tcW w:w="2426" w:type="dxa"/>
            <w:shd w:val="clear" w:color="auto" w:fill="auto"/>
          </w:tcPr>
          <w:p w14:paraId="003BC03B" w14:textId="28DBFFAD" w:rsidR="28A9B94D" w:rsidRDefault="00935EBC" w:rsidP="28A9B94D">
            <w:pPr>
              <w:jc w:val="both"/>
              <w:rPr>
                <w:sz w:val="24"/>
                <w:szCs w:val="24"/>
              </w:rPr>
            </w:pPr>
            <w:r>
              <w:rPr>
                <w:sz w:val="24"/>
                <w:szCs w:val="24"/>
              </w:rPr>
              <w:t>6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373296F6"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5A43A275" w:rsidR="00575A8F" w:rsidRPr="00270EEB" w:rsidRDefault="00575A8F" w:rsidP="00E6298B">
            <w:pPr>
              <w:ind w:right="107"/>
              <w:jc w:val="both"/>
              <w:rPr>
                <w:sz w:val="24"/>
                <w:szCs w:val="24"/>
              </w:rPr>
            </w:pPr>
          </w:p>
        </w:tc>
        <w:tc>
          <w:tcPr>
            <w:tcW w:w="2426" w:type="dxa"/>
            <w:shd w:val="clear" w:color="auto" w:fill="auto"/>
          </w:tcPr>
          <w:p w14:paraId="185B2EE5" w14:textId="796F2D0A" w:rsidR="28A9B94D" w:rsidRDefault="28A9B94D" w:rsidP="00797ED0">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lastRenderedPageBreak/>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4B6CC709" w:rsidR="00AC4637" w:rsidRPr="005D583E" w:rsidRDefault="00797ED0"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Signed:  _ _ _ _ _Chantal Hart</w:t>
      </w:r>
      <w:r w:rsidR="00AC4637" w:rsidRPr="005D583E">
        <w:rPr>
          <w:sz w:val="24"/>
          <w:szCs w:val="24"/>
        </w:rPr>
        <w:t xml:space="preserve">_ </w:t>
      </w:r>
      <w:r w:rsidR="005B5E15">
        <w:rPr>
          <w:sz w:val="24"/>
          <w:szCs w:val="24"/>
        </w:rPr>
        <w:t>_ _ _ _  _  (Le</w:t>
      </w:r>
      <w:r w:rsidR="00AC4637" w:rsidRPr="005D583E">
        <w:rPr>
          <w:sz w:val="24"/>
          <w:szCs w:val="24"/>
        </w:rPr>
        <w:t>arner</w:t>
      </w:r>
      <w:r w:rsidR="005B5E15">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750C2EFD"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_ _ _ _ </w:t>
      </w:r>
      <w:r w:rsidR="00797ED0">
        <w:rPr>
          <w:sz w:val="24"/>
          <w:szCs w:val="24"/>
        </w:rPr>
        <w:t>06/01/2020</w:t>
      </w:r>
      <w:r w:rsidRPr="005D583E">
        <w:rPr>
          <w:sz w:val="24"/>
          <w:szCs w:val="24"/>
        </w:rPr>
        <w:t>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935EBC">
          <w:headerReference w:type="even" r:id="rId42"/>
          <w:headerReference w:type="default" r:id="rId43"/>
          <w:footerReference w:type="even" r:id="rId44"/>
          <w:footerReference w:type="default" r:id="rId45"/>
          <w:headerReference w:type="first" r:id="rId46"/>
          <w:footerReference w:type="first" r:id="rId47"/>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86CE316" w:rsidR="28A9B94D" w:rsidRDefault="28A9B94D" w:rsidP="28A9B94D">
      <w:pPr>
        <w:jc w:val="both"/>
      </w:pPr>
      <w:r w:rsidRPr="28A9B94D">
        <w:rPr>
          <w:rFonts w:eastAsia="Arial"/>
          <w:sz w:val="24"/>
          <w:szCs w:val="24"/>
        </w:rPr>
        <w:t xml:space="preserve">Signed:  _ </w:t>
      </w:r>
      <w:r w:rsidR="00797ED0">
        <w:rPr>
          <w:rFonts w:eastAsia="Arial"/>
          <w:sz w:val="24"/>
          <w:szCs w:val="24"/>
        </w:rPr>
        <w:t>Chantal Hart_ _ _ _ _ _ _</w:t>
      </w:r>
      <w:r w:rsidRPr="28A9B94D">
        <w:rPr>
          <w:rFonts w:eastAsia="Arial"/>
          <w:sz w:val="24"/>
          <w:szCs w:val="24"/>
        </w:rPr>
        <w:t xml:space="preserve"> _ (Learner)</w:t>
      </w:r>
    </w:p>
    <w:p w14:paraId="2927D153" w14:textId="06E6B241" w:rsidR="28A9B94D" w:rsidRDefault="28A9B94D" w:rsidP="28A9B94D">
      <w:pPr>
        <w:jc w:val="both"/>
      </w:pPr>
      <w:r w:rsidRPr="28A9B94D">
        <w:rPr>
          <w:rFonts w:eastAsia="Arial"/>
          <w:sz w:val="24"/>
          <w:szCs w:val="24"/>
        </w:rPr>
        <w:t xml:space="preserve"> </w:t>
      </w:r>
    </w:p>
    <w:p w14:paraId="1BBFDBC4" w14:textId="72F7F04E" w:rsidR="28A9B94D" w:rsidRDefault="28A9B94D" w:rsidP="28A9B94D">
      <w:pPr>
        <w:jc w:val="both"/>
      </w:pPr>
      <w:r w:rsidRPr="28A9B94D">
        <w:rPr>
          <w:rFonts w:eastAsia="Arial"/>
          <w:sz w:val="24"/>
          <w:szCs w:val="24"/>
        </w:rPr>
        <w:t xml:space="preserve">Date: _ _ </w:t>
      </w:r>
      <w:r w:rsidR="00797ED0">
        <w:rPr>
          <w:rFonts w:eastAsia="Arial"/>
          <w:sz w:val="24"/>
          <w:szCs w:val="24"/>
        </w:rPr>
        <w:t xml:space="preserve">06.01.2020_ _ _ </w:t>
      </w:r>
      <w:r w:rsidRPr="28A9B94D">
        <w:rPr>
          <w:rFonts w:eastAsia="Arial"/>
          <w:sz w:val="24"/>
          <w:szCs w:val="24"/>
        </w:rPr>
        <w:t>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2CFE4066" w:rsidR="28A9B94D" w:rsidRDefault="28A9B94D" w:rsidP="28A9B94D">
      <w:pPr>
        <w:jc w:val="both"/>
      </w:pPr>
      <w:r w:rsidRPr="28A9B94D">
        <w:rPr>
          <w:rFonts w:eastAsia="Arial"/>
          <w:sz w:val="24"/>
          <w:szCs w:val="24"/>
        </w:rPr>
        <w:t>Signed:  _</w:t>
      </w:r>
      <w:r w:rsidR="00797ED0">
        <w:rPr>
          <w:rFonts w:eastAsia="Arial"/>
          <w:sz w:val="24"/>
          <w:szCs w:val="24"/>
        </w:rPr>
        <w:t>David Roberts-Ablett _ _ _ _</w:t>
      </w:r>
      <w:r w:rsidRPr="28A9B94D">
        <w:rPr>
          <w:rFonts w:eastAsia="Arial"/>
          <w:sz w:val="24"/>
          <w:szCs w:val="24"/>
        </w:rPr>
        <w:t xml:space="preserve">_ _ (Tutor Constable) </w:t>
      </w:r>
    </w:p>
    <w:p w14:paraId="78BF5288" w14:textId="6444428E" w:rsidR="28A9B94D" w:rsidRDefault="28A9B94D" w:rsidP="28A9B94D">
      <w:pPr>
        <w:jc w:val="both"/>
      </w:pPr>
      <w:r w:rsidRPr="28A9B94D">
        <w:rPr>
          <w:rFonts w:eastAsia="Arial"/>
          <w:sz w:val="24"/>
          <w:szCs w:val="24"/>
        </w:rPr>
        <w:t xml:space="preserve"> </w:t>
      </w:r>
    </w:p>
    <w:p w14:paraId="28F70418" w14:textId="02DFAE11" w:rsidR="28A9B94D" w:rsidRDefault="28A9B94D" w:rsidP="28A9B94D">
      <w:pPr>
        <w:jc w:val="both"/>
      </w:pPr>
      <w:r w:rsidRPr="28A9B94D">
        <w:rPr>
          <w:rFonts w:eastAsia="Arial"/>
          <w:sz w:val="24"/>
          <w:szCs w:val="24"/>
        </w:rPr>
        <w:t>Date: _ _</w:t>
      </w:r>
      <w:r w:rsidR="00797ED0">
        <w:rPr>
          <w:rFonts w:eastAsia="Arial"/>
          <w:sz w:val="24"/>
          <w:szCs w:val="24"/>
        </w:rPr>
        <w:t>06.01.2020</w:t>
      </w:r>
      <w:r w:rsidRPr="28A9B94D">
        <w:rPr>
          <w:rFonts w:eastAsia="Arial"/>
          <w:sz w:val="24"/>
          <w:szCs w:val="24"/>
        </w:rPr>
        <w:t xml:space="preserve">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935EBC">
      <w:headerReference w:type="even" r:id="rId48"/>
      <w:headerReference w:type="default" r:id="rId49"/>
      <w:footerReference w:type="even" r:id="rId50"/>
      <w:footerReference w:type="default" r:id="rId51"/>
      <w:headerReference w:type="first" r:id="rId52"/>
      <w:footerReference w:type="first" r:id="rId53"/>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11F967" w14:textId="2256607B" w:rsidR="00935EBC" w:rsidRDefault="00E72B4B" w:rsidP="00E72B4B">
    <w:pPr>
      <w:pStyle w:val="Footer"/>
      <w:rPr>
        <w:sz w:val="17"/>
      </w:rPr>
    </w:pPr>
    <w:bookmarkStart w:id="3" w:name="TITUS1FooterEvenPages"/>
    <w:r>
      <w:rPr>
        <w:sz w:val="17"/>
      </w:rPr>
      <w:t> </w:t>
    </w:r>
  </w:p>
  <w:bookmarkEnd w:id="3"/>
  <w:p w14:paraId="636C8533" w14:textId="7E2D0B7E" w:rsidR="00935EBC" w:rsidRDefault="00935EBC" w:rsidP="00935EBC">
    <w:pPr>
      <w:pStyle w:val="Footer"/>
      <w:jc w:val="right"/>
    </w:pPr>
    <w:r>
      <w:fldChar w:fldCharType="begin"/>
    </w:r>
    <w:r>
      <w:instrText xml:space="preserve"> PAGE   \* MERGEFORMAT </w:instrText>
    </w:r>
    <w:r>
      <w:fldChar w:fldCharType="separate"/>
    </w:r>
    <w:r w:rsidR="00E72B4B">
      <w:rPr>
        <w:noProof/>
      </w:rPr>
      <w:t>6</w:t>
    </w:r>
    <w:r>
      <w:rPr>
        <w:noProof/>
      </w:rPr>
      <w:fldChar w:fldCharType="end"/>
    </w:r>
  </w:p>
  <w:p w14:paraId="553EEE9C" w14:textId="77777777" w:rsidR="00935EBC" w:rsidRPr="00BB5EAA" w:rsidRDefault="00935EBC" w:rsidP="00935EBC">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922845" w14:textId="18E217FF" w:rsidR="00935EBC" w:rsidRDefault="00E72B4B" w:rsidP="00E72B4B">
    <w:pPr>
      <w:pStyle w:val="Footer"/>
      <w:rPr>
        <w:sz w:val="17"/>
      </w:rPr>
    </w:pPr>
    <w:bookmarkStart w:id="4" w:name="TITUS1FooterPrimary"/>
    <w:r>
      <w:rPr>
        <w:sz w:val="17"/>
      </w:rPr>
      <w:t> </w:t>
    </w:r>
  </w:p>
  <w:bookmarkEnd w:id="4"/>
  <w:p w14:paraId="50521BFA" w14:textId="5D6DE1FE" w:rsidR="009927A1" w:rsidRDefault="009927A1">
    <w:pPr>
      <w:pStyle w:val="Footer"/>
      <w:jc w:val="right"/>
    </w:pPr>
    <w:r>
      <w:fldChar w:fldCharType="begin"/>
    </w:r>
    <w:r>
      <w:instrText xml:space="preserve"> PAGE   \* MERGEFORMAT </w:instrText>
    </w:r>
    <w:r>
      <w:fldChar w:fldCharType="separate"/>
    </w:r>
    <w:r w:rsidR="00E72B4B">
      <w:rPr>
        <w:noProof/>
      </w:rPr>
      <w:t>5</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E63886" w14:textId="4EA55759" w:rsidR="00935EBC" w:rsidRDefault="00E72B4B" w:rsidP="00E72B4B">
    <w:pPr>
      <w:pStyle w:val="Footer"/>
      <w:rPr>
        <w:sz w:val="17"/>
      </w:rPr>
    </w:pPr>
    <w:bookmarkStart w:id="6" w:name="TITUS1FooterFirstPage"/>
    <w:r>
      <w:rPr>
        <w:sz w:val="17"/>
      </w:rPr>
      <w:t> </w:t>
    </w:r>
  </w:p>
  <w:bookmarkEnd w:id="6"/>
  <w:p w14:paraId="2B4C75A0" w14:textId="39AB77F5" w:rsidR="00935EBC" w:rsidRDefault="00935EBC" w:rsidP="00935EBC">
    <w:pPr>
      <w:pStyle w:val="Footer"/>
      <w:jc w:val="right"/>
    </w:pPr>
    <w:r>
      <w:fldChar w:fldCharType="begin"/>
    </w:r>
    <w:r>
      <w:instrText xml:space="preserve"> PAGE   \* MERGEFORMAT </w:instrText>
    </w:r>
    <w:r>
      <w:fldChar w:fldCharType="separate"/>
    </w:r>
    <w:r w:rsidR="00E72B4B">
      <w:rPr>
        <w:noProof/>
      </w:rPr>
      <w:t>1</w:t>
    </w:r>
    <w:r>
      <w:rPr>
        <w:noProof/>
      </w:rPr>
      <w:fldChar w:fldCharType="end"/>
    </w:r>
  </w:p>
  <w:p w14:paraId="2F494501" w14:textId="77777777" w:rsidR="00935EBC" w:rsidRPr="00BB5EAA" w:rsidRDefault="00935EBC" w:rsidP="00935EBC">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D1BCC8" w14:textId="68871E37" w:rsidR="00935EBC" w:rsidRDefault="00E72B4B" w:rsidP="00E72B4B">
    <w:pPr>
      <w:pStyle w:val="Footer"/>
      <w:rPr>
        <w:sz w:val="17"/>
      </w:rPr>
    </w:pPr>
    <w:bookmarkStart w:id="9" w:name="TITUS2FooterEvenPages"/>
    <w:r>
      <w:rPr>
        <w:sz w:val="17"/>
      </w:rPr>
      <w:t> </w:t>
    </w:r>
  </w:p>
  <w:bookmarkEnd w:id="9"/>
  <w:p w14:paraId="145CC08E" w14:textId="77777777" w:rsidR="00935EBC" w:rsidRDefault="00935EBC" w:rsidP="00935EBC">
    <w:pPr>
      <w:pStyle w:val="Footer"/>
      <w:jc w:val="right"/>
    </w:pPr>
  </w:p>
  <w:p w14:paraId="4944277D" w14:textId="74E0C351" w:rsidR="00935EBC" w:rsidRDefault="00935EBC" w:rsidP="00935EBC">
    <w:pPr>
      <w:pStyle w:val="Footer"/>
      <w:jc w:val="right"/>
    </w:pPr>
    <w:r>
      <w:fldChar w:fldCharType="begin"/>
    </w:r>
    <w:r>
      <w:instrText xml:space="preserve"> PAGE   \* MERGEFORMAT </w:instrText>
    </w:r>
    <w:r>
      <w:fldChar w:fldCharType="separate"/>
    </w:r>
    <w:r w:rsidR="00E72B4B">
      <w:rPr>
        <w:noProof/>
      </w:rPr>
      <w:t>20</w:t>
    </w:r>
    <w:r>
      <w:rPr>
        <w:noProof/>
      </w:rPr>
      <w:fldChar w:fldCharType="end"/>
    </w:r>
  </w:p>
  <w:p w14:paraId="56ABB04A" w14:textId="77777777" w:rsidR="00935EBC" w:rsidRPr="00BB5EAA" w:rsidRDefault="00935EBC" w:rsidP="00935EBC">
    <w:pPr>
      <w:pStyle w:val="Footer"/>
      <w:ind w:right="360"/>
      <w:jc w:val="center"/>
    </w:pPr>
  </w:p>
  <w:p w14:paraId="1396E479" w14:textId="77777777" w:rsidR="00935EBC" w:rsidRDefault="00935EB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90B61" w14:textId="1E207E61" w:rsidR="00935EBC" w:rsidRDefault="00E72B4B" w:rsidP="00E72B4B">
    <w:pPr>
      <w:pStyle w:val="Footer"/>
      <w:rPr>
        <w:sz w:val="17"/>
      </w:rPr>
    </w:pPr>
    <w:bookmarkStart w:id="10" w:name="TITUS2FooterPrimary"/>
    <w:r>
      <w:rPr>
        <w:sz w:val="17"/>
      </w:rPr>
      <w:t> </w:t>
    </w:r>
  </w:p>
  <w:bookmarkEnd w:id="10"/>
  <w:p w14:paraId="5079FD12" w14:textId="77777777" w:rsidR="00935EBC" w:rsidRDefault="00935EBC">
    <w:pPr>
      <w:pStyle w:val="Footer"/>
      <w:jc w:val="right"/>
    </w:pPr>
  </w:p>
  <w:p w14:paraId="4F7668E5" w14:textId="725854BF" w:rsidR="00935EBC" w:rsidRDefault="00935EBC">
    <w:pPr>
      <w:pStyle w:val="Footer"/>
      <w:jc w:val="right"/>
    </w:pPr>
    <w:r>
      <w:fldChar w:fldCharType="begin"/>
    </w:r>
    <w:r>
      <w:instrText xml:space="preserve"> PAGE   \* MERGEFORMAT </w:instrText>
    </w:r>
    <w:r>
      <w:fldChar w:fldCharType="separate"/>
    </w:r>
    <w:r w:rsidR="00E72B4B">
      <w:rPr>
        <w:noProof/>
      </w:rPr>
      <w:t>21</w:t>
    </w:r>
    <w:r>
      <w:rPr>
        <w:noProof/>
      </w:rPr>
      <w:fldChar w:fldCharType="end"/>
    </w:r>
  </w:p>
  <w:p w14:paraId="0CA2FF2C" w14:textId="77777777" w:rsidR="00935EBC" w:rsidRPr="00BB5EAA" w:rsidRDefault="00935EB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E6555" w14:textId="6B7B1047" w:rsidR="00935EBC" w:rsidRDefault="00E72B4B" w:rsidP="00E72B4B">
    <w:pPr>
      <w:pStyle w:val="Footer"/>
      <w:rPr>
        <w:sz w:val="17"/>
      </w:rPr>
    </w:pPr>
    <w:bookmarkStart w:id="12" w:name="TITUS2FooterFirstPage"/>
    <w:r>
      <w:rPr>
        <w:sz w:val="17"/>
      </w:rPr>
      <w:t> </w:t>
    </w:r>
  </w:p>
  <w:bookmarkEnd w:id="12"/>
  <w:p w14:paraId="4095E665" w14:textId="77777777" w:rsidR="00935EBC" w:rsidRDefault="00935EBC" w:rsidP="00935EBC">
    <w:pPr>
      <w:pStyle w:val="Footer"/>
      <w:jc w:val="right"/>
    </w:pPr>
  </w:p>
  <w:p w14:paraId="4112264D" w14:textId="326D2496" w:rsidR="00935EBC" w:rsidRDefault="00935EBC" w:rsidP="00935EBC">
    <w:pPr>
      <w:pStyle w:val="Footer"/>
      <w:jc w:val="right"/>
    </w:pPr>
    <w:r>
      <w:fldChar w:fldCharType="begin"/>
    </w:r>
    <w:r>
      <w:instrText xml:space="preserve"> PAGE   \* MERGEFORMAT </w:instrText>
    </w:r>
    <w:r>
      <w:fldChar w:fldCharType="separate"/>
    </w:r>
    <w:r w:rsidR="00E72B4B">
      <w:rPr>
        <w:noProof/>
      </w:rPr>
      <w:t>9</w:t>
    </w:r>
    <w:r>
      <w:rPr>
        <w:noProof/>
      </w:rPr>
      <w:fldChar w:fldCharType="end"/>
    </w:r>
  </w:p>
  <w:p w14:paraId="70542931" w14:textId="77777777" w:rsidR="00935EBC" w:rsidRPr="00BB5EAA" w:rsidRDefault="00935EBC" w:rsidP="00935EBC">
    <w:pPr>
      <w:pStyle w:val="Footer"/>
      <w:ind w:right="360"/>
      <w:jc w:val="center"/>
    </w:pPr>
  </w:p>
  <w:p w14:paraId="13FEE982" w14:textId="77777777" w:rsidR="00935EBC" w:rsidRDefault="00935EB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F8B1B4" w14:textId="0593B837" w:rsidR="00935EBC" w:rsidRDefault="00E72B4B" w:rsidP="00E72B4B">
    <w:pPr>
      <w:pStyle w:val="Footer"/>
      <w:rPr>
        <w:sz w:val="17"/>
      </w:rPr>
    </w:pPr>
    <w:bookmarkStart w:id="15" w:name="TITUS3FooterEvenPages"/>
    <w:r>
      <w:rPr>
        <w:sz w:val="17"/>
      </w:rPr>
      <w:t> </w:t>
    </w:r>
  </w:p>
  <w:bookmarkEnd w:id="15"/>
  <w:p w14:paraId="617ED938" w14:textId="77777777" w:rsidR="00935EBC" w:rsidRDefault="00935EBC" w:rsidP="00935EBC">
    <w:pPr>
      <w:pStyle w:val="Footer"/>
      <w:jc w:val="right"/>
    </w:pPr>
  </w:p>
  <w:p w14:paraId="5CC61E0E" w14:textId="4E1C0AE4" w:rsidR="00935EBC" w:rsidRDefault="00935EBC" w:rsidP="00935EBC">
    <w:pPr>
      <w:pStyle w:val="Footer"/>
      <w:jc w:val="right"/>
    </w:pPr>
    <w:r>
      <w:fldChar w:fldCharType="begin"/>
    </w:r>
    <w:r>
      <w:instrText xml:space="preserve"> PAGE   \* MERGEFORMAT </w:instrText>
    </w:r>
    <w:r>
      <w:fldChar w:fldCharType="separate"/>
    </w:r>
    <w:r w:rsidR="00E72B4B">
      <w:rPr>
        <w:noProof/>
      </w:rPr>
      <w:t>30</w:t>
    </w:r>
    <w:r>
      <w:rPr>
        <w:noProof/>
      </w:rPr>
      <w:fldChar w:fldCharType="end"/>
    </w:r>
  </w:p>
  <w:p w14:paraId="377BECDB" w14:textId="77777777" w:rsidR="00935EBC" w:rsidRPr="00BB5EAA" w:rsidRDefault="00935EBC" w:rsidP="00935EBC">
    <w:pPr>
      <w:pStyle w:val="Footer"/>
      <w:ind w:right="360"/>
      <w:jc w:val="center"/>
    </w:pPr>
  </w:p>
  <w:p w14:paraId="283A6B5F" w14:textId="77777777" w:rsidR="00935EBC" w:rsidRDefault="00935EB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580B6" w14:textId="6AEF710C" w:rsidR="00935EBC" w:rsidRDefault="00E72B4B" w:rsidP="00E72B4B">
    <w:pPr>
      <w:pStyle w:val="Footer"/>
      <w:rPr>
        <w:sz w:val="17"/>
      </w:rPr>
    </w:pPr>
    <w:bookmarkStart w:id="16" w:name="TITUS3FooterPrimary"/>
    <w:r>
      <w:rPr>
        <w:sz w:val="17"/>
      </w:rPr>
      <w:t> </w:t>
    </w:r>
  </w:p>
  <w:bookmarkEnd w:id="16"/>
  <w:p w14:paraId="72C32578" w14:textId="77777777" w:rsidR="00935EBC" w:rsidRDefault="00935EBC">
    <w:pPr>
      <w:pStyle w:val="Footer"/>
      <w:jc w:val="right"/>
    </w:pPr>
  </w:p>
  <w:p w14:paraId="08B79219" w14:textId="12757271" w:rsidR="00935EBC" w:rsidRDefault="00935EBC">
    <w:pPr>
      <w:pStyle w:val="Footer"/>
      <w:jc w:val="right"/>
    </w:pPr>
    <w:r>
      <w:fldChar w:fldCharType="begin"/>
    </w:r>
    <w:r>
      <w:instrText xml:space="preserve"> PAGE   \* MERGEFORMAT </w:instrText>
    </w:r>
    <w:r>
      <w:fldChar w:fldCharType="separate"/>
    </w:r>
    <w:r w:rsidR="00E72B4B">
      <w:rPr>
        <w:noProof/>
      </w:rPr>
      <w:t>29</w:t>
    </w:r>
    <w:r>
      <w:rPr>
        <w:noProof/>
      </w:rPr>
      <w:fldChar w:fldCharType="end"/>
    </w:r>
  </w:p>
  <w:p w14:paraId="056C839B" w14:textId="77777777" w:rsidR="00935EBC" w:rsidRPr="00BB5EAA" w:rsidRDefault="00935EB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DC6A46" w14:textId="2B871FC1" w:rsidR="00935EBC" w:rsidRDefault="00E72B4B" w:rsidP="00E72B4B">
    <w:pPr>
      <w:pStyle w:val="Footer"/>
      <w:rPr>
        <w:sz w:val="17"/>
      </w:rPr>
    </w:pPr>
    <w:bookmarkStart w:id="18" w:name="TITUS3FooterFirstPage"/>
    <w:r>
      <w:rPr>
        <w:sz w:val="17"/>
      </w:rPr>
      <w:t> </w:t>
    </w:r>
  </w:p>
  <w:bookmarkEnd w:id="18"/>
  <w:p w14:paraId="7ADA3C42" w14:textId="77777777" w:rsidR="00935EBC" w:rsidRDefault="00935EBC" w:rsidP="00935EBC">
    <w:pPr>
      <w:pStyle w:val="Footer"/>
      <w:jc w:val="right"/>
    </w:pPr>
  </w:p>
  <w:p w14:paraId="7FE5B2C1" w14:textId="55991900" w:rsidR="00935EBC" w:rsidRDefault="00935EBC" w:rsidP="00935EBC">
    <w:pPr>
      <w:pStyle w:val="Footer"/>
      <w:jc w:val="right"/>
    </w:pPr>
    <w:r>
      <w:fldChar w:fldCharType="begin"/>
    </w:r>
    <w:r>
      <w:instrText xml:space="preserve"> PAGE   \* MERGEFORMAT </w:instrText>
    </w:r>
    <w:r>
      <w:fldChar w:fldCharType="separate"/>
    </w:r>
    <w:r w:rsidR="00E72B4B">
      <w:rPr>
        <w:noProof/>
      </w:rPr>
      <w:t>27</w:t>
    </w:r>
    <w:r>
      <w:rPr>
        <w:noProof/>
      </w:rPr>
      <w:fldChar w:fldCharType="end"/>
    </w:r>
  </w:p>
  <w:p w14:paraId="2A078037" w14:textId="77777777" w:rsidR="00935EBC" w:rsidRPr="00BB5EAA" w:rsidRDefault="00935EBC" w:rsidP="00935EBC">
    <w:pPr>
      <w:pStyle w:val="Footer"/>
      <w:ind w:right="360"/>
      <w:jc w:val="center"/>
    </w:pPr>
  </w:p>
  <w:p w14:paraId="318FB0AC" w14:textId="77777777" w:rsidR="00935EBC" w:rsidRDefault="00935EB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BFB1FB" w14:textId="764B92B7" w:rsidR="00935EBC" w:rsidRDefault="00E72B4B" w:rsidP="00E72B4B">
    <w:pPr>
      <w:pStyle w:val="Footer"/>
      <w:rPr>
        <w:sz w:val="17"/>
      </w:rPr>
    </w:pPr>
    <w:bookmarkStart w:id="21" w:name="TITUS4FooterEvenPages"/>
    <w:r>
      <w:rPr>
        <w:sz w:val="17"/>
      </w:rPr>
      <w:t> </w:t>
    </w:r>
  </w:p>
  <w:bookmarkEnd w:id="21"/>
  <w:p w14:paraId="4213D0BA" w14:textId="77777777" w:rsidR="00935EBC" w:rsidRDefault="00935EBC" w:rsidP="00935EBC">
    <w:pPr>
      <w:pStyle w:val="Footer"/>
      <w:jc w:val="right"/>
    </w:pPr>
  </w:p>
  <w:p w14:paraId="5F1BAA78" w14:textId="77777777" w:rsidR="00935EBC" w:rsidRDefault="00935EBC" w:rsidP="00935EBC">
    <w:pPr>
      <w:pStyle w:val="Footer"/>
      <w:jc w:val="right"/>
    </w:pPr>
    <w:r>
      <w:fldChar w:fldCharType="begin"/>
    </w:r>
    <w:r>
      <w:instrText xml:space="preserve"> PAGE   \* MERGEFORMAT </w:instrText>
    </w:r>
    <w:r>
      <w:fldChar w:fldCharType="separate"/>
    </w:r>
    <w:r>
      <w:rPr>
        <w:noProof/>
      </w:rPr>
      <w:t>8</w:t>
    </w:r>
    <w:r>
      <w:rPr>
        <w:noProof/>
      </w:rPr>
      <w:fldChar w:fldCharType="end"/>
    </w:r>
  </w:p>
  <w:p w14:paraId="4367B7F4" w14:textId="77777777" w:rsidR="00935EBC" w:rsidRPr="00BB5EAA" w:rsidRDefault="00935EBC" w:rsidP="00935EBC">
    <w:pPr>
      <w:pStyle w:val="Footer"/>
      <w:ind w:right="360"/>
      <w:jc w:val="center"/>
    </w:pPr>
  </w:p>
  <w:p w14:paraId="7D08D6DD" w14:textId="77777777" w:rsidR="00935EBC" w:rsidRDefault="00935EB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84ED05" w14:textId="27DE23D8" w:rsidR="00935EBC" w:rsidRDefault="00E72B4B" w:rsidP="00E72B4B">
    <w:pPr>
      <w:pStyle w:val="Footer"/>
      <w:rPr>
        <w:sz w:val="17"/>
      </w:rPr>
    </w:pPr>
    <w:bookmarkStart w:id="22" w:name="TITUS4FooterPrimary"/>
    <w:r>
      <w:rPr>
        <w:sz w:val="17"/>
      </w:rPr>
      <w:t> </w:t>
    </w:r>
  </w:p>
  <w:bookmarkEnd w:id="22"/>
  <w:p w14:paraId="404FB9E5" w14:textId="77777777" w:rsidR="00935EBC" w:rsidRDefault="00935EBC">
    <w:pPr>
      <w:pStyle w:val="Footer"/>
      <w:jc w:val="right"/>
    </w:pPr>
  </w:p>
  <w:p w14:paraId="0085B582" w14:textId="77777777" w:rsidR="00935EBC" w:rsidRDefault="00935EBC">
    <w:pPr>
      <w:pStyle w:val="Footer"/>
      <w:jc w:val="right"/>
    </w:pPr>
    <w:r>
      <w:fldChar w:fldCharType="begin"/>
    </w:r>
    <w:r>
      <w:instrText xml:space="preserve"> PAGE   \* MERGEFORMAT </w:instrText>
    </w:r>
    <w:r>
      <w:fldChar w:fldCharType="separate"/>
    </w:r>
    <w:r>
      <w:rPr>
        <w:noProof/>
      </w:rPr>
      <w:t>7</w:t>
    </w:r>
    <w:r>
      <w:rPr>
        <w:noProof/>
      </w:rPr>
      <w:fldChar w:fldCharType="end"/>
    </w:r>
  </w:p>
  <w:p w14:paraId="2490E3CA" w14:textId="77777777" w:rsidR="00935EBC" w:rsidRPr="00BB5EAA" w:rsidRDefault="00935EB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2A29E" w14:textId="58B03967" w:rsidR="00935EBC" w:rsidRDefault="00E72B4B" w:rsidP="00E72B4B">
    <w:pPr>
      <w:pStyle w:val="Footer"/>
      <w:rPr>
        <w:sz w:val="17"/>
      </w:rPr>
    </w:pPr>
    <w:bookmarkStart w:id="24" w:name="TITUS4FooterFirstPage"/>
    <w:r>
      <w:rPr>
        <w:sz w:val="17"/>
      </w:rPr>
      <w:t> </w:t>
    </w:r>
  </w:p>
  <w:bookmarkEnd w:id="24"/>
  <w:p w14:paraId="343A4CD0" w14:textId="77777777" w:rsidR="00935EBC" w:rsidRDefault="00935EBC" w:rsidP="00935EBC">
    <w:pPr>
      <w:pStyle w:val="Footer"/>
      <w:jc w:val="right"/>
    </w:pPr>
  </w:p>
  <w:p w14:paraId="2E855FF7" w14:textId="16989117" w:rsidR="00935EBC" w:rsidRDefault="00935EBC" w:rsidP="00935EBC">
    <w:pPr>
      <w:pStyle w:val="Footer"/>
      <w:jc w:val="right"/>
    </w:pPr>
    <w:r>
      <w:fldChar w:fldCharType="begin"/>
    </w:r>
    <w:r>
      <w:instrText xml:space="preserve"> PAGE   \* MERGEFORMAT </w:instrText>
    </w:r>
    <w:r>
      <w:fldChar w:fldCharType="separate"/>
    </w:r>
    <w:r w:rsidR="00E72B4B">
      <w:rPr>
        <w:noProof/>
      </w:rPr>
      <w:t>31</w:t>
    </w:r>
    <w:r>
      <w:rPr>
        <w:noProof/>
      </w:rPr>
      <w:fldChar w:fldCharType="end"/>
    </w:r>
  </w:p>
  <w:p w14:paraId="4DBF5508" w14:textId="77777777" w:rsidR="00935EBC" w:rsidRPr="00BB5EAA" w:rsidRDefault="00935EBC" w:rsidP="00935EBC">
    <w:pPr>
      <w:pStyle w:val="Footer"/>
      <w:ind w:right="360"/>
      <w:jc w:val="center"/>
    </w:pPr>
  </w:p>
  <w:p w14:paraId="3758635C" w14:textId="77777777" w:rsidR="00935EBC" w:rsidRDefault="00935E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221B35" w14:textId="7E47867D" w:rsidR="00065B39" w:rsidRDefault="00E72B4B" w:rsidP="00E72B4B">
    <w:pPr>
      <w:pStyle w:val="Header"/>
      <w:rPr>
        <w:sz w:val="17"/>
      </w:rPr>
    </w:pPr>
    <w:bookmarkStart w:id="1" w:name="TITUS1HeaderEvenPages"/>
    <w:r>
      <w:rPr>
        <w:sz w:val="17"/>
      </w:rPr>
      <w:t> </w:t>
    </w:r>
  </w:p>
  <w:bookmarkEnd w:id="1"/>
  <w:p w14:paraId="3A48FA8A" w14:textId="77777777" w:rsidR="00065B39" w:rsidRDefault="00065B39" w:rsidP="00065B39">
    <w:pPr>
      <w:pStyle w:val="Header"/>
    </w:pPr>
  </w:p>
  <w:p w14:paraId="51124016" w14:textId="77777777" w:rsidR="00935EBC" w:rsidRDefault="00935E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3030200" w:rsidR="00792181" w:rsidRDefault="00E72B4B" w:rsidP="00E72B4B">
    <w:pPr>
      <w:pStyle w:val="Header"/>
      <w:rPr>
        <w:sz w:val="17"/>
      </w:rPr>
    </w:pPr>
    <w:bookmarkStart w:id="2" w:name="TITUS1HeaderPrimary"/>
    <w:r>
      <w:rPr>
        <w:sz w:val="17"/>
      </w:rPr>
      <w:t> </w:t>
    </w:r>
  </w:p>
  <w:bookmarkEnd w:id="2"/>
  <w:p w14:paraId="5449CEB2" w14:textId="77777777" w:rsidR="00935EBC" w:rsidRDefault="00935E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C1AE5B3" w:rsidR="00792181" w:rsidRDefault="00E72B4B" w:rsidP="00E72B4B">
    <w:pPr>
      <w:pStyle w:val="Header"/>
      <w:rPr>
        <w:sz w:val="17"/>
      </w:rPr>
    </w:pPr>
    <w:bookmarkStart w:id="5" w:name="TITUS1HeaderFirstPage"/>
    <w:r>
      <w:rPr>
        <w:sz w:val="17"/>
      </w:rPr>
      <w:t> </w:t>
    </w:r>
  </w:p>
  <w:bookmarkEnd w:id="5"/>
  <w:p w14:paraId="37354FA4" w14:textId="77777777" w:rsidR="00935EBC" w:rsidRDefault="00935EB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1F772B" w14:textId="25D3D4E9" w:rsidR="00935EBC" w:rsidRDefault="00E72B4B" w:rsidP="00E72B4B">
    <w:pPr>
      <w:pStyle w:val="Header"/>
      <w:rPr>
        <w:sz w:val="17"/>
      </w:rPr>
    </w:pPr>
    <w:bookmarkStart w:id="7" w:name="TITUS2HeaderEvenPages"/>
    <w:r>
      <w:rPr>
        <w:sz w:val="17"/>
      </w:rPr>
      <w:t> </w:t>
    </w:r>
  </w:p>
  <w:bookmarkEnd w:id="7"/>
  <w:p w14:paraId="5D563820" w14:textId="77777777" w:rsidR="00935EBC" w:rsidRDefault="00935EBC" w:rsidP="00935EBC">
    <w:pPr>
      <w:pStyle w:val="Header"/>
    </w:pPr>
  </w:p>
  <w:p w14:paraId="2A9D7FA8" w14:textId="77777777" w:rsidR="00935EBC" w:rsidRDefault="00935EB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9F1487" w14:textId="67CBE6EA" w:rsidR="00935EBC" w:rsidRDefault="00E72B4B" w:rsidP="00E72B4B">
    <w:pPr>
      <w:pStyle w:val="Header"/>
      <w:rPr>
        <w:sz w:val="17"/>
      </w:rPr>
    </w:pPr>
    <w:bookmarkStart w:id="8" w:name="TITUS2HeaderPrimary"/>
    <w:r>
      <w:rPr>
        <w:sz w:val="17"/>
      </w:rPr>
      <w:t> </w:t>
    </w:r>
  </w:p>
  <w:bookmarkEnd w:id="8"/>
  <w:p w14:paraId="2E47656A" w14:textId="77777777" w:rsidR="00935EBC" w:rsidRDefault="00935EB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AC394" w14:textId="731147C0" w:rsidR="00935EBC" w:rsidRDefault="00E72B4B" w:rsidP="00E72B4B">
    <w:pPr>
      <w:pStyle w:val="Header"/>
      <w:rPr>
        <w:sz w:val="17"/>
      </w:rPr>
    </w:pPr>
    <w:bookmarkStart w:id="11" w:name="TITUS2HeaderFirstPage"/>
    <w:r>
      <w:rPr>
        <w:sz w:val="17"/>
      </w:rPr>
      <w:t> </w:t>
    </w:r>
  </w:p>
  <w:bookmarkEnd w:id="11"/>
  <w:p w14:paraId="1CD32DBF" w14:textId="77777777" w:rsidR="00935EBC" w:rsidRDefault="00935EBC" w:rsidP="00935EBC">
    <w:pPr>
      <w:pStyle w:val="Header"/>
    </w:pPr>
  </w:p>
  <w:p w14:paraId="5D642FD3" w14:textId="77777777" w:rsidR="00935EBC" w:rsidRDefault="00935EB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16A0CC" w14:textId="47424346" w:rsidR="00935EBC" w:rsidRDefault="00E72B4B" w:rsidP="00E72B4B">
    <w:pPr>
      <w:pStyle w:val="Header"/>
      <w:rPr>
        <w:sz w:val="17"/>
      </w:rPr>
    </w:pPr>
    <w:bookmarkStart w:id="13" w:name="TITUS3HeaderEvenPages"/>
    <w:r>
      <w:rPr>
        <w:sz w:val="17"/>
      </w:rPr>
      <w:t> </w:t>
    </w:r>
  </w:p>
  <w:bookmarkEnd w:id="13"/>
  <w:p w14:paraId="30EAA911" w14:textId="77777777" w:rsidR="00935EBC" w:rsidRDefault="00935EBC" w:rsidP="00935EBC">
    <w:pPr>
      <w:pStyle w:val="Header"/>
    </w:pPr>
  </w:p>
  <w:p w14:paraId="3E239757" w14:textId="77777777" w:rsidR="00935EBC" w:rsidRDefault="00935EB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0C7206" w14:textId="7FA06574" w:rsidR="00935EBC" w:rsidRDefault="00E72B4B" w:rsidP="00E72B4B">
    <w:pPr>
      <w:pStyle w:val="Header"/>
      <w:rPr>
        <w:sz w:val="17"/>
      </w:rPr>
    </w:pPr>
    <w:bookmarkStart w:id="14" w:name="TITUS3HeaderPrimary"/>
    <w:r>
      <w:rPr>
        <w:sz w:val="17"/>
      </w:rPr>
      <w:t> </w:t>
    </w:r>
  </w:p>
  <w:bookmarkEnd w:id="14"/>
  <w:p w14:paraId="12C124B2" w14:textId="77777777" w:rsidR="00935EBC" w:rsidRDefault="00935EB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0F07D9" w14:textId="39345FDB" w:rsidR="00935EBC" w:rsidRDefault="00E72B4B" w:rsidP="00E72B4B">
    <w:pPr>
      <w:pStyle w:val="Header"/>
      <w:rPr>
        <w:sz w:val="17"/>
      </w:rPr>
    </w:pPr>
    <w:bookmarkStart w:id="17" w:name="TITUS3HeaderFirstPage"/>
    <w:r>
      <w:rPr>
        <w:sz w:val="17"/>
      </w:rPr>
      <w:t> </w:t>
    </w:r>
  </w:p>
  <w:bookmarkEnd w:id="17"/>
  <w:p w14:paraId="53A8D0F6" w14:textId="77777777" w:rsidR="00935EBC" w:rsidRDefault="00935EBC" w:rsidP="00935EBC">
    <w:pPr>
      <w:pStyle w:val="Header"/>
    </w:pPr>
  </w:p>
  <w:p w14:paraId="70D05931" w14:textId="77777777" w:rsidR="00935EBC" w:rsidRDefault="00935EB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285374" w14:textId="5C88CAE9" w:rsidR="00935EBC" w:rsidRDefault="00E72B4B" w:rsidP="00E72B4B">
    <w:pPr>
      <w:pStyle w:val="Header"/>
      <w:rPr>
        <w:sz w:val="17"/>
      </w:rPr>
    </w:pPr>
    <w:bookmarkStart w:id="19" w:name="TITUS4HeaderEvenPages"/>
    <w:r>
      <w:rPr>
        <w:sz w:val="17"/>
      </w:rPr>
      <w:t> </w:t>
    </w:r>
  </w:p>
  <w:bookmarkEnd w:id="19"/>
  <w:p w14:paraId="016544E4" w14:textId="77777777" w:rsidR="00935EBC" w:rsidRDefault="00935EBC" w:rsidP="00935EBC">
    <w:pPr>
      <w:pStyle w:val="Header"/>
    </w:pPr>
  </w:p>
  <w:p w14:paraId="09166E99" w14:textId="77777777" w:rsidR="00935EBC" w:rsidRDefault="00935EB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B5495" w14:textId="1A3D10B9" w:rsidR="00935EBC" w:rsidRDefault="00E72B4B" w:rsidP="00E72B4B">
    <w:pPr>
      <w:pStyle w:val="Header"/>
      <w:rPr>
        <w:sz w:val="17"/>
      </w:rPr>
    </w:pPr>
    <w:bookmarkStart w:id="20" w:name="TITUS4HeaderPrimary"/>
    <w:r>
      <w:rPr>
        <w:sz w:val="17"/>
      </w:rPr>
      <w:t> </w:t>
    </w:r>
  </w:p>
  <w:bookmarkEnd w:id="20"/>
  <w:p w14:paraId="74B49ECA" w14:textId="77777777" w:rsidR="00935EBC" w:rsidRDefault="00935EB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0D1D7F" w14:textId="1D09FD3E" w:rsidR="00935EBC" w:rsidRDefault="00E72B4B" w:rsidP="00E72B4B">
    <w:pPr>
      <w:pStyle w:val="Header"/>
      <w:rPr>
        <w:sz w:val="17"/>
      </w:rPr>
    </w:pPr>
    <w:bookmarkStart w:id="23" w:name="TITUS4HeaderFirstPage"/>
    <w:r>
      <w:rPr>
        <w:sz w:val="17"/>
      </w:rPr>
      <w:t> </w:t>
    </w:r>
  </w:p>
  <w:bookmarkEnd w:id="23"/>
  <w:p w14:paraId="06A73913" w14:textId="77777777" w:rsidR="00935EBC" w:rsidRDefault="00935EBC" w:rsidP="00935EBC">
    <w:pPr>
      <w:pStyle w:val="Header"/>
    </w:pPr>
  </w:p>
  <w:p w14:paraId="66B05397" w14:textId="77777777" w:rsidR="00935EBC" w:rsidRDefault="00935E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5B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0E02"/>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10"/>
    <w:rsid w:val="003A1B6B"/>
    <w:rsid w:val="003A46C0"/>
    <w:rsid w:val="003A600E"/>
    <w:rsid w:val="003A6513"/>
    <w:rsid w:val="003B16C7"/>
    <w:rsid w:val="003B2A14"/>
    <w:rsid w:val="003B7CC8"/>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4939"/>
    <w:rsid w:val="005A545C"/>
    <w:rsid w:val="005B5E15"/>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7ED0"/>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5EBC"/>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38F7"/>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2072B"/>
    <w:rsid w:val="00E35BEC"/>
    <w:rsid w:val="00E50821"/>
    <w:rsid w:val="00E51F91"/>
    <w:rsid w:val="00E6298B"/>
    <w:rsid w:val="00E7086E"/>
    <w:rsid w:val="00E72B4B"/>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1DC1"/>
    <w:rsid w:val="00FA2BC2"/>
    <w:rsid w:val="00FA3764"/>
    <w:rsid w:val="00FA56ED"/>
    <w:rsid w:val="00FB4993"/>
    <w:rsid w:val="00FB5FA6"/>
    <w:rsid w:val="00FC076B"/>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FA1DC1"/>
    <w:rPr>
      <w:i/>
      <w:iCs/>
    </w:rPr>
  </w:style>
  <w:style w:type="paragraph" w:styleId="NormalWeb">
    <w:name w:val="Normal (Web)"/>
    <w:basedOn w:val="Normal"/>
    <w:uiPriority w:val="99"/>
    <w:unhideWhenUsed/>
    <w:rsid w:val="003A1B1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E2072B"/>
  </w:style>
  <w:style w:type="paragraph" w:customStyle="1" w:styleId="legclearfix">
    <w:name w:val="legclearfix"/>
    <w:basedOn w:val="Normal"/>
    <w:rsid w:val="00E2072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ookes.ac.uk/students/upgrade/study-skills/reflective-writing-gibbs/" TargetMode="External"/><Relationship Id="rId18" Type="http://schemas.openxmlformats.org/officeDocument/2006/relationships/header" Target="header3.xml"/><Relationship Id="rId26" Type="http://schemas.openxmlformats.org/officeDocument/2006/relationships/hyperlink" Target="https://www.cps.gov.uk/prosecutors-pledge" TargetMode="External"/><Relationship Id="rId39" Type="http://schemas.openxmlformats.org/officeDocument/2006/relationships/footer" Target="footer5.xml"/><Relationship Id="rId21" Type="http://schemas.openxmlformats.org/officeDocument/2006/relationships/hyperlink" Target="https://leadership.college.police.uk/pluginfile.php/3725/mod_resource/content/4/Conflict_management_consultation260219.pdf%20Accessed%2024/11/2019" TargetMode="External"/><Relationship Id="rId34" Type="http://schemas.openxmlformats.org/officeDocument/2006/relationships/hyperlink" Target="https://assets.publishing.service.gov.uk/government/uploads/system/uploads/attachment_data/file/447967/code-of-practice-approved.pdf" TargetMode="External"/><Relationship Id="rId42" Type="http://schemas.openxmlformats.org/officeDocument/2006/relationships/header" Target="header7.xml"/><Relationship Id="rId47" Type="http://schemas.openxmlformats.org/officeDocument/2006/relationships/footer" Target="footer9.xml"/><Relationship Id="rId50" Type="http://schemas.openxmlformats.org/officeDocument/2006/relationships/footer" Target="footer10.xm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kcl.ac.uk/scwru/pubs/2015/conf/manthorpe-and-baginsky-15jan15.pdf%20Accessed%2021/10/2019" TargetMode="External"/><Relationship Id="rId17" Type="http://schemas.openxmlformats.org/officeDocument/2006/relationships/footer" Target="footer2.xml"/><Relationship Id="rId25" Type="http://schemas.openxmlformats.org/officeDocument/2006/relationships/hyperlink" Target="https://www.cps.gov.uk/legal-guidance/victims-crime-code-practice-cps-legal-guidance" TargetMode="External"/><Relationship Id="rId33" Type="http://schemas.openxmlformats.org/officeDocument/2006/relationships/hyperlink" Target="https://www.college.police.uk/What-we-do/Ethics/Ethics-home/Documents/Code_of_Ethics_ReadingList.pdf%20%20Accessed%2017/11/2019" TargetMode="External"/><Relationship Id="rId38" Type="http://schemas.openxmlformats.org/officeDocument/2006/relationships/footer" Target="footer4.xm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What-we-do/Ethics/Ethics-home/Documents/Code_of_Ethics_ReadingList.pdf%20%20Accessed%2017/11/2019" TargetMode="External"/><Relationship Id="rId29" Type="http://schemas.openxmlformats.org/officeDocument/2006/relationships/hyperlink" Target="https://assets.publishing.service.gov.uk/government/uploads/system/uploads/attachment_data/file/740196/joint-agency-guide-victim-personal-statement.pdf" TargetMode="External"/><Relationship Id="rId41" Type="http://schemas.openxmlformats.org/officeDocument/2006/relationships/footer" Target="footer6.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Development/competency-and-values-framework/Pages/Competency-and-Values-framework.aspx" TargetMode="External"/><Relationship Id="rId32" Type="http://schemas.openxmlformats.org/officeDocument/2006/relationships/hyperlink" Target="http://sites.thomsonreuters.com.au/journals/files/2011/12/CrimLJ_v35_pt06_Dec2011_offprint_bronnit_stenning1.pdf%20Accessed%2003/01/2020" TargetMode="External"/><Relationship Id="rId37" Type="http://schemas.openxmlformats.org/officeDocument/2006/relationships/header" Target="header5.xml"/><Relationship Id="rId40" Type="http://schemas.openxmlformats.org/officeDocument/2006/relationships/header" Target="header6.xml"/><Relationship Id="rId45" Type="http://schemas.openxmlformats.org/officeDocument/2006/relationships/footer" Target="footer8.xml"/><Relationship Id="rId53"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justice.gc.ca/eng/rp-pr/cj-jp/victim/rr01_9/p5.html" TargetMode="External"/><Relationship Id="rId28" Type="http://schemas.openxmlformats.org/officeDocument/2006/relationships/hyperlink" Target="https://ec.europa.eu/info/policies/justice-and-fundamental-rights/criminal-justice/victims-rights_en" TargetMode="External"/><Relationship Id="rId36" Type="http://schemas.openxmlformats.org/officeDocument/2006/relationships/header" Target="header4.xml"/><Relationship Id="rId49"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476900/code-of-practice-for-victims-of-crime.PDF%20Accessed%2026/11/2019" TargetMode="External"/><Relationship Id="rId44" Type="http://schemas.openxmlformats.org/officeDocument/2006/relationships/footer" Target="footer7.xml"/><Relationship Id="rId52"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ibertyhumanrights.org.uk/human-rights/what-are-human-rights/human-rights-act/article-5-right-liberty" TargetMode="External"/><Relationship Id="rId27" Type="http://schemas.openxmlformats.org/officeDocument/2006/relationships/hyperlink" Target="http://www.legislation.gov.uk/ukpga/2004/28/contents" TargetMode="External"/><Relationship Id="rId30" Type="http://schemas.openxmlformats.org/officeDocument/2006/relationships/hyperlink" Target="https://assets.publishing.service.gov.uk/government/uploads/system/uploads/attachment_data/file/740196/joint-agency-guide-victim-personal-statement.pdf%20Accessed%2016/12/2019" TargetMode="External"/><Relationship Id="rId35" Type="http://schemas.openxmlformats.org/officeDocument/2006/relationships/hyperlink" Target="https://www.hse.gov.uk/enforce/enforcementguide/pretrial/after-disclosure.htm" TargetMode="External"/><Relationship Id="rId43" Type="http://schemas.openxmlformats.org/officeDocument/2006/relationships/header" Target="header8.xml"/><Relationship Id="rId48"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footer" Target="foot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B69DFE-EFB2-4758-BDBA-A6FDDA631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31</Pages>
  <Words>10882</Words>
  <Characters>57660</Characters>
  <Application>Microsoft Office Word</Application>
  <DocSecurity>0</DocSecurity>
  <Lines>480</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Hart,Chantal swp6453</cp:lastModifiedBy>
  <cp:revision>15</cp:revision>
  <cp:lastPrinted>2019-08-13T11:47:00Z</cp:lastPrinted>
  <dcterms:created xsi:type="dcterms:W3CDTF">2019-08-13T11:48:00Z</dcterms:created>
  <dcterms:modified xsi:type="dcterms:W3CDTF">2020-01-06T06:20:00Z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7f992672-82a2-402b-ba2b-392eb43de4b4</vt:lpwstr>
  </property>
  <property fmtid="{D5CDD505-2E9C-101B-9397-08002B2CF9AE}" pid="4" name="Classification">
    <vt:lpwstr>OFFICIAL</vt:lpwstr>
  </property>
  <property fmtid="{D5CDD505-2E9C-101B-9397-08002B2CF9AE}" pid="5" name="Visibility">
    <vt:lpwstr>NOT VISIBLE</vt:lpwstr>
  </property>
</Properties>
</file>