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8385"/>
        </w:tabs>
        <w:rPr>
          <w:rFonts w:ascii="Arial" w:cs="Arial" w:hAnsi="Arial"/>
          <w:b/>
          <w:sz w:val="52"/>
          <w:szCs w:val="52"/>
        </w:rPr>
      </w:pPr>
      <w:r>
        <w:rPr>
          <w:rFonts w:ascii="Arial" w:cs="Arial" w:hAnsi="Arial"/>
          <w:b/>
          <w:sz w:val="52"/>
          <w:szCs w:val="52"/>
          <w:lang w:val="en-US"/>
        </w:rPr>
        <w:t>Module Name: Marketing Management</w:t>
      </w:r>
    </w:p>
    <w:p>
      <w:pPr>
        <w:pStyle w:val="style0"/>
        <w:tabs>
          <w:tab w:val="left" w:leader="none" w:pos="8385"/>
        </w:tabs>
        <w:rPr>
          <w:rFonts w:ascii="Arial" w:cs="Arial" w:hAnsi="Arial"/>
          <w:b/>
          <w:bCs/>
          <w:sz w:val="48"/>
          <w:szCs w:val="48"/>
        </w:rPr>
      </w:pPr>
      <w:r>
        <w:rPr>
          <w:rFonts w:ascii="Arial" w:cs="Arial" w:hAnsi="Arial"/>
          <w:b/>
          <w:sz w:val="52"/>
          <w:szCs w:val="52"/>
          <w:lang w:val="en-US"/>
        </w:rPr>
        <w:t xml:space="preserve">    </w:t>
      </w:r>
      <w:r>
        <w:rPr>
          <w:rFonts w:ascii="Arial" w:cs="Arial" w:hAnsi="Arial"/>
          <w:b/>
          <w:bCs/>
          <w:sz w:val="48"/>
          <w:szCs w:val="48"/>
          <w:lang w:val="en-US"/>
        </w:rPr>
        <w:t xml:space="preserve">                  Assessment: 2</w:t>
      </w:r>
    </w:p>
    <w:p>
      <w:pPr>
        <w:pStyle w:val="style0"/>
        <w:tabs>
          <w:tab w:val="left" w:leader="none" w:pos="8385"/>
        </w:tabs>
        <w:rPr>
          <w:rFonts w:ascii="Arial" w:cs="Arial" w:hAnsi="Arial"/>
          <w:b/>
          <w:bCs/>
          <w:sz w:val="48"/>
          <w:szCs w:val="48"/>
        </w:rPr>
      </w:pPr>
      <w:r>
        <w:rPr>
          <w:rFonts w:ascii="Arial" w:cs="Arial" w:hAnsi="Arial"/>
          <w:b/>
          <w:bCs/>
          <w:sz w:val="48"/>
          <w:szCs w:val="48"/>
          <w:lang w:val="en-US"/>
        </w:rPr>
        <w:t xml:space="preserve">           Module number: LCMB7001</w:t>
      </w:r>
    </w:p>
    <w:p>
      <w:pPr>
        <w:pStyle w:val="style0"/>
        <w:tabs>
          <w:tab w:val="left" w:leader="none" w:pos="8385"/>
        </w:tabs>
        <w:rPr>
          <w:rFonts w:ascii="Arial" w:cs="Arial" w:hAnsi="Arial"/>
          <w:b/>
          <w:bCs/>
          <w:sz w:val="48"/>
          <w:szCs w:val="48"/>
        </w:rPr>
      </w:pPr>
      <w:r>
        <w:rPr>
          <w:rFonts w:ascii="Arial" w:cs="Arial" w:hAnsi="Arial"/>
          <w:b/>
          <w:bCs/>
          <w:sz w:val="48"/>
          <w:szCs w:val="48"/>
          <w:lang w:val="en-US"/>
        </w:rPr>
        <w:t xml:space="preserve">                      Format: Report</w:t>
      </w:r>
    </w:p>
    <w:p>
      <w:pPr>
        <w:pStyle w:val="style0"/>
        <w:tabs>
          <w:tab w:val="left" w:leader="none" w:pos="8385"/>
        </w:tabs>
        <w:rPr>
          <w:rFonts w:ascii="Arial" w:cs="Arial" w:hAnsi="Arial"/>
          <w:b/>
          <w:bCs/>
          <w:sz w:val="48"/>
          <w:szCs w:val="48"/>
          <w:lang w:val="en-US"/>
        </w:rPr>
      </w:pPr>
      <w:r>
        <w:rPr>
          <w:rFonts w:ascii="Arial" w:cs="Arial" w:hAnsi="Arial"/>
          <w:b/>
          <w:bCs/>
          <w:sz w:val="48"/>
          <w:szCs w:val="48"/>
          <w:lang w:val="en-US"/>
        </w:rPr>
        <w:t xml:space="preserve">Title: Marketing Management Assessment </w:t>
      </w:r>
    </w:p>
    <w:p>
      <w:pPr>
        <w:pStyle w:val="style0"/>
        <w:tabs>
          <w:tab w:val="left" w:leader="none" w:pos="8385"/>
        </w:tabs>
        <w:rPr>
          <w:rFonts w:ascii="Arial" w:cs="Arial" w:hAnsi="Arial"/>
          <w:b/>
          <w:bCs/>
          <w:sz w:val="48"/>
          <w:szCs w:val="48"/>
          <w:lang w:val="en-US"/>
        </w:rPr>
      </w:pPr>
      <w:r>
        <w:rPr>
          <w:rFonts w:ascii="Arial" w:cs="Arial" w:hAnsi="Arial"/>
          <w:b/>
          <w:bCs/>
          <w:sz w:val="48"/>
          <w:szCs w:val="48"/>
          <w:lang w:val="en-US"/>
        </w:rPr>
        <w:t>Student Name: Suraj kumar</w:t>
      </w:r>
    </w:p>
    <w:p>
      <w:pPr>
        <w:pStyle w:val="style0"/>
        <w:tabs>
          <w:tab w:val="left" w:leader="none" w:pos="8385"/>
        </w:tabs>
        <w:rPr>
          <w:rFonts w:ascii="Arial" w:cs="Arial" w:hAnsi="Arial"/>
          <w:b/>
          <w:bCs/>
          <w:sz w:val="48"/>
          <w:szCs w:val="48"/>
        </w:rPr>
      </w:pPr>
      <w:r>
        <w:rPr>
          <w:rFonts w:ascii="Arial" w:cs="Arial" w:hAnsi="Arial"/>
          <w:b/>
          <w:bCs/>
          <w:sz w:val="48"/>
          <w:szCs w:val="48"/>
          <w:lang w:val="en-US"/>
        </w:rPr>
        <w:t>Student Code: 2126818</w:t>
      </w:r>
    </w:p>
    <w:p>
      <w:pPr>
        <w:pStyle w:val="style0"/>
        <w:tabs>
          <w:tab w:val="left" w:leader="none" w:pos="8385"/>
        </w:tabs>
        <w:rPr>
          <w:rFonts w:ascii="Arial" w:cs="Arial" w:hAnsi="Arial"/>
          <w:b/>
          <w:bCs/>
          <w:sz w:val="48"/>
          <w:szCs w:val="48"/>
        </w:rPr>
      </w:pPr>
      <w:r>
        <w:rPr>
          <w:rFonts w:ascii="Arial" w:cs="Arial" w:hAnsi="Arial"/>
          <w:b/>
          <w:bCs/>
          <w:sz w:val="48"/>
          <w:szCs w:val="48"/>
          <w:lang w:val="en-US"/>
        </w:rPr>
        <w:t xml:space="preserve">Course Name : Gernal Management </w:t>
      </w:r>
    </w:p>
    <w:p>
      <w:pPr>
        <w:pStyle w:val="style0"/>
        <w:tabs>
          <w:tab w:val="left" w:leader="none" w:pos="8385"/>
        </w:tabs>
        <w:rPr>
          <w:rFonts w:ascii="Arial" w:cs="Arial" w:hAnsi="Arial"/>
          <w:b/>
          <w:bCs/>
          <w:sz w:val="48"/>
          <w:szCs w:val="48"/>
        </w:rPr>
      </w:pPr>
      <w:r>
        <w:rPr>
          <w:rFonts w:ascii="Arial" w:cs="Arial" w:hAnsi="Arial"/>
          <w:b/>
          <w:bCs/>
          <w:sz w:val="48"/>
          <w:szCs w:val="48"/>
          <w:lang w:val="en-US"/>
        </w:rPr>
        <w:t xml:space="preserve"> Lecturer Name: Tushara Balendran</w:t>
      </w:r>
    </w:p>
    <w:p>
      <w:pPr>
        <w:pStyle w:val="style0"/>
        <w:tabs>
          <w:tab w:val="left" w:leader="none" w:pos="8385"/>
        </w:tabs>
        <w:rPr>
          <w:rFonts w:ascii="Arial" w:cs="Arial" w:hAnsi="Arial"/>
          <w:b/>
          <w:bCs/>
          <w:sz w:val="48"/>
          <w:szCs w:val="48"/>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p>
    <w:p>
      <w:pPr>
        <w:pStyle w:val="style0"/>
        <w:tabs>
          <w:tab w:val="left" w:leader="none" w:pos="8385"/>
        </w:tabs>
        <w:rPr>
          <w:rFonts w:ascii="Arial" w:cs="Arial" w:hAnsi="Arial"/>
          <w:b/>
          <w:sz w:val="24"/>
          <w:szCs w:val="24"/>
        </w:rPr>
      </w:pPr>
      <w:r>
        <w:rPr>
          <w:rFonts w:ascii="Arial" w:cs="Arial" w:hAnsi="Arial"/>
          <w:b/>
          <w:sz w:val="24"/>
          <w:szCs w:val="24"/>
        </w:rPr>
        <w:t>Table of Contents:</w:t>
      </w: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Introduction</w:t>
      </w:r>
      <w:r>
        <w:rPr>
          <w:rFonts w:ascii="Arial" w:cs="Arial" w:hAnsi="Arial"/>
          <w:sz w:val="24"/>
          <w:szCs w:val="24"/>
        </w:rPr>
        <w:t>……………………………………………………………………………………..1</w:t>
      </w: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PESTLE Analysis……………………………………………………………......................</w:t>
      </w:r>
      <w:r>
        <w:rPr>
          <w:rFonts w:ascii="Arial" w:cs="Arial" w:hAnsi="Arial"/>
          <w:sz w:val="24"/>
          <w:szCs w:val="24"/>
        </w:rPr>
        <w:t>....1</w:t>
      </w:r>
    </w:p>
    <w:p>
      <w:pPr>
        <w:pStyle w:val="style179"/>
        <w:numPr>
          <w:ilvl w:val="0"/>
          <w:numId w:val="2"/>
        </w:numPr>
        <w:tabs>
          <w:tab w:val="left" w:leader="none" w:pos="8385"/>
        </w:tabs>
        <w:rPr>
          <w:rFonts w:ascii="Arial" w:cs="Arial" w:hAnsi="Arial"/>
          <w:sz w:val="24"/>
          <w:szCs w:val="24"/>
        </w:rPr>
      </w:pPr>
      <w:r>
        <w:rPr>
          <w:rFonts w:ascii="Arial" w:cs="Arial" w:hAnsi="Arial"/>
          <w:sz w:val="24"/>
          <w:szCs w:val="24"/>
        </w:rPr>
        <w:t>Political ………….………………………………………………………………………………..2</w:t>
      </w:r>
    </w:p>
    <w:p>
      <w:pPr>
        <w:pStyle w:val="style179"/>
        <w:numPr>
          <w:ilvl w:val="0"/>
          <w:numId w:val="2"/>
        </w:numPr>
        <w:tabs>
          <w:tab w:val="left" w:leader="none" w:pos="8385"/>
        </w:tabs>
        <w:rPr>
          <w:rFonts w:ascii="Arial" w:cs="Arial" w:hAnsi="Arial"/>
          <w:sz w:val="24"/>
          <w:szCs w:val="24"/>
        </w:rPr>
      </w:pPr>
      <w:r>
        <w:rPr>
          <w:rFonts w:ascii="Arial" w:cs="Arial" w:hAnsi="Arial"/>
          <w:sz w:val="24"/>
          <w:szCs w:val="24"/>
        </w:rPr>
        <w:t>Economic………………………………………………………………………………………….2</w:t>
      </w:r>
    </w:p>
    <w:p>
      <w:pPr>
        <w:pStyle w:val="style179"/>
        <w:numPr>
          <w:ilvl w:val="0"/>
          <w:numId w:val="2"/>
        </w:numPr>
        <w:tabs>
          <w:tab w:val="left" w:leader="none" w:pos="8385"/>
        </w:tabs>
        <w:rPr>
          <w:rFonts w:ascii="Arial" w:cs="Arial" w:hAnsi="Arial"/>
          <w:sz w:val="24"/>
          <w:szCs w:val="24"/>
        </w:rPr>
      </w:pPr>
      <w:r>
        <w:rPr>
          <w:rFonts w:ascii="Arial" w:cs="Arial" w:hAnsi="Arial"/>
          <w:sz w:val="24"/>
          <w:szCs w:val="24"/>
        </w:rPr>
        <w:t>Social……………………………………………………………………………………………...2</w:t>
      </w:r>
    </w:p>
    <w:p>
      <w:pPr>
        <w:pStyle w:val="style179"/>
        <w:numPr>
          <w:ilvl w:val="0"/>
          <w:numId w:val="2"/>
        </w:numPr>
        <w:tabs>
          <w:tab w:val="left" w:leader="none" w:pos="8385"/>
        </w:tabs>
        <w:rPr>
          <w:rFonts w:ascii="Arial" w:cs="Arial" w:hAnsi="Arial"/>
          <w:sz w:val="24"/>
          <w:szCs w:val="24"/>
        </w:rPr>
      </w:pPr>
      <w:r>
        <w:rPr>
          <w:rFonts w:ascii="Arial" w:cs="Arial" w:hAnsi="Arial"/>
          <w:sz w:val="24"/>
          <w:szCs w:val="24"/>
        </w:rPr>
        <w:t>Technological…………………………………………………………………………………….2</w:t>
      </w:r>
    </w:p>
    <w:p>
      <w:pPr>
        <w:pStyle w:val="style179"/>
        <w:numPr>
          <w:ilvl w:val="0"/>
          <w:numId w:val="2"/>
        </w:numPr>
        <w:tabs>
          <w:tab w:val="left" w:leader="none" w:pos="8385"/>
        </w:tabs>
        <w:rPr>
          <w:rFonts w:ascii="Arial" w:cs="Arial" w:hAnsi="Arial"/>
          <w:sz w:val="24"/>
          <w:szCs w:val="24"/>
        </w:rPr>
      </w:pPr>
      <w:r>
        <w:rPr>
          <w:rFonts w:ascii="Arial" w:cs="Arial" w:hAnsi="Arial"/>
          <w:sz w:val="24"/>
          <w:szCs w:val="24"/>
        </w:rPr>
        <w:t>Legal………………………………………………………………………………………………2</w:t>
      </w:r>
    </w:p>
    <w:p>
      <w:pPr>
        <w:pStyle w:val="style179"/>
        <w:numPr>
          <w:ilvl w:val="0"/>
          <w:numId w:val="2"/>
        </w:numPr>
        <w:tabs>
          <w:tab w:val="left" w:leader="none" w:pos="8385"/>
        </w:tabs>
        <w:rPr>
          <w:rFonts w:ascii="Arial" w:cs="Arial" w:hAnsi="Arial"/>
          <w:sz w:val="24"/>
          <w:szCs w:val="24"/>
        </w:rPr>
      </w:pPr>
      <w:r>
        <w:rPr>
          <w:rFonts w:ascii="Arial" w:cs="Arial" w:hAnsi="Arial"/>
          <w:sz w:val="24"/>
          <w:szCs w:val="24"/>
        </w:rPr>
        <w:t>Environmental…………………………………………………………………………………….2</w:t>
      </w:r>
    </w:p>
    <w:p>
      <w:pPr>
        <w:pStyle w:val="style179"/>
        <w:tabs>
          <w:tab w:val="left" w:leader="none" w:pos="8385"/>
        </w:tabs>
        <w:rPr>
          <w:rFonts w:ascii="Arial" w:cs="Arial" w:hAnsi="Arial"/>
          <w:sz w:val="24"/>
          <w:szCs w:val="24"/>
        </w:rPr>
      </w:pPr>
      <w:r>
        <w:rPr>
          <w:rFonts w:ascii="Arial" w:cs="Arial" w:hAnsi="Arial"/>
          <w:sz w:val="24"/>
          <w:szCs w:val="24"/>
        </w:rPr>
        <w:tab/>
      </w: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PORTER’S Five Forces</w:t>
      </w:r>
      <w:r>
        <w:rPr>
          <w:rFonts w:ascii="Arial" w:cs="Arial" w:hAnsi="Arial"/>
          <w:sz w:val="24"/>
          <w:szCs w:val="24"/>
        </w:rPr>
        <w:t>…………………….…………………………………………………3</w:t>
      </w:r>
    </w:p>
    <w:p>
      <w:pPr>
        <w:pStyle w:val="style179"/>
        <w:numPr>
          <w:ilvl w:val="0"/>
          <w:numId w:val="3"/>
        </w:numPr>
        <w:tabs>
          <w:tab w:val="left" w:leader="none" w:pos="8385"/>
        </w:tabs>
        <w:rPr>
          <w:rFonts w:ascii="Arial" w:cs="Arial" w:hAnsi="Arial"/>
          <w:sz w:val="24"/>
          <w:szCs w:val="24"/>
        </w:rPr>
      </w:pPr>
      <w:r>
        <w:rPr>
          <w:rFonts w:ascii="Arial" w:cs="Arial" w:hAnsi="Arial"/>
          <w:sz w:val="24"/>
          <w:szCs w:val="24"/>
        </w:rPr>
        <w:t>Threats of New Entrants………………………………………………………………………..3</w:t>
      </w:r>
    </w:p>
    <w:p>
      <w:pPr>
        <w:pStyle w:val="style179"/>
        <w:numPr>
          <w:ilvl w:val="0"/>
          <w:numId w:val="3"/>
        </w:numPr>
        <w:tabs>
          <w:tab w:val="left" w:leader="none" w:pos="8385"/>
        </w:tabs>
        <w:rPr>
          <w:rFonts w:ascii="Arial" w:cs="Arial" w:hAnsi="Arial"/>
          <w:sz w:val="24"/>
          <w:szCs w:val="24"/>
        </w:rPr>
      </w:pPr>
      <w:r>
        <w:rPr>
          <w:rFonts w:ascii="Arial" w:cs="Arial" w:hAnsi="Arial"/>
          <w:sz w:val="24"/>
          <w:szCs w:val="24"/>
        </w:rPr>
        <w:t>Threat of substitute …………………………………………………………………………….3</w:t>
      </w:r>
    </w:p>
    <w:p>
      <w:pPr>
        <w:pStyle w:val="style179"/>
        <w:numPr>
          <w:ilvl w:val="0"/>
          <w:numId w:val="3"/>
        </w:numPr>
        <w:tabs>
          <w:tab w:val="left" w:leader="none" w:pos="8385"/>
        </w:tabs>
        <w:rPr>
          <w:rFonts w:ascii="Arial" w:cs="Arial" w:hAnsi="Arial"/>
          <w:sz w:val="24"/>
          <w:szCs w:val="24"/>
        </w:rPr>
      </w:pPr>
      <w:r>
        <w:rPr>
          <w:rFonts w:ascii="Arial" w:cs="Arial" w:hAnsi="Arial"/>
          <w:sz w:val="24"/>
          <w:szCs w:val="24"/>
        </w:rPr>
        <w:t>Bargaining Power of Supplier…………………………………………..................................4</w:t>
      </w:r>
    </w:p>
    <w:p>
      <w:pPr>
        <w:pStyle w:val="style179"/>
        <w:numPr>
          <w:ilvl w:val="0"/>
          <w:numId w:val="3"/>
        </w:numPr>
        <w:tabs>
          <w:tab w:val="left" w:leader="none" w:pos="8385"/>
        </w:tabs>
        <w:rPr>
          <w:rFonts w:ascii="Arial" w:cs="Arial" w:hAnsi="Arial"/>
          <w:sz w:val="24"/>
          <w:szCs w:val="24"/>
        </w:rPr>
      </w:pPr>
      <w:r>
        <w:rPr>
          <w:rFonts w:ascii="Arial" w:cs="Arial" w:hAnsi="Arial"/>
          <w:sz w:val="24"/>
          <w:szCs w:val="24"/>
        </w:rPr>
        <w:t>Threat of substitute ………………………………………………………………….………….4</w:t>
      </w:r>
    </w:p>
    <w:p>
      <w:pPr>
        <w:pStyle w:val="style179"/>
        <w:numPr>
          <w:ilvl w:val="0"/>
          <w:numId w:val="3"/>
        </w:numPr>
        <w:tabs>
          <w:tab w:val="left" w:leader="none" w:pos="8385"/>
        </w:tabs>
        <w:rPr>
          <w:rFonts w:ascii="Arial" w:cs="Arial" w:hAnsi="Arial"/>
          <w:sz w:val="24"/>
          <w:szCs w:val="24"/>
        </w:rPr>
      </w:pPr>
      <w:r>
        <w:rPr>
          <w:rFonts w:ascii="Arial" w:cs="Arial" w:hAnsi="Arial"/>
          <w:sz w:val="24"/>
          <w:szCs w:val="24"/>
        </w:rPr>
        <w:t>Rivalry……………………..…………………………………………………………….………..4</w:t>
      </w: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SWOT Analysis</w:t>
      </w:r>
      <w:r>
        <w:rPr>
          <w:rFonts w:ascii="Arial" w:cs="Arial" w:hAnsi="Arial"/>
          <w:sz w:val="24"/>
          <w:szCs w:val="24"/>
        </w:rPr>
        <w:t>…………………………………………………………………………………4</w:t>
      </w:r>
    </w:p>
    <w:p>
      <w:pPr>
        <w:pStyle w:val="style179"/>
        <w:numPr>
          <w:ilvl w:val="0"/>
          <w:numId w:val="4"/>
        </w:numPr>
        <w:tabs>
          <w:tab w:val="left" w:leader="none" w:pos="8385"/>
        </w:tabs>
        <w:rPr>
          <w:rFonts w:ascii="Arial" w:cs="Arial" w:hAnsi="Arial"/>
          <w:sz w:val="24"/>
          <w:szCs w:val="24"/>
        </w:rPr>
      </w:pPr>
      <w:r>
        <w:rPr>
          <w:rFonts w:ascii="Arial" w:cs="Arial" w:hAnsi="Arial"/>
          <w:sz w:val="24"/>
          <w:szCs w:val="24"/>
        </w:rPr>
        <w:t>Advantages and Disadvantages of SWOT Analysis ………..………………………………5</w:t>
      </w:r>
    </w:p>
    <w:p>
      <w:pPr>
        <w:pStyle w:val="style179"/>
        <w:tabs>
          <w:tab w:val="left" w:leader="none" w:pos="8385"/>
        </w:tabs>
        <w:rPr>
          <w:rFonts w:ascii="Arial" w:cs="Arial" w:hAnsi="Arial"/>
          <w:sz w:val="24"/>
          <w:szCs w:val="24"/>
        </w:rPr>
      </w:pP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Segmentation Targeting and Positioning</w:t>
      </w:r>
      <w:r>
        <w:rPr>
          <w:rFonts w:ascii="Arial" w:cs="Arial" w:hAnsi="Arial"/>
          <w:sz w:val="24"/>
          <w:szCs w:val="24"/>
        </w:rPr>
        <w:t>………………………………………………….6</w:t>
      </w:r>
    </w:p>
    <w:p>
      <w:pPr>
        <w:pStyle w:val="style179"/>
        <w:numPr>
          <w:ilvl w:val="0"/>
          <w:numId w:val="5"/>
        </w:numPr>
        <w:tabs>
          <w:tab w:val="left" w:leader="none" w:pos="8385"/>
        </w:tabs>
        <w:rPr>
          <w:rFonts w:ascii="Arial" w:cs="Arial" w:hAnsi="Arial"/>
          <w:sz w:val="24"/>
          <w:szCs w:val="24"/>
        </w:rPr>
      </w:pPr>
      <w:r>
        <w:rPr>
          <w:rFonts w:ascii="Arial" w:cs="Arial" w:hAnsi="Arial"/>
          <w:sz w:val="24"/>
          <w:szCs w:val="24"/>
        </w:rPr>
        <w:t>Segmentation…………………………………………………………………………….………6</w:t>
      </w:r>
    </w:p>
    <w:p>
      <w:pPr>
        <w:pStyle w:val="style179"/>
        <w:numPr>
          <w:ilvl w:val="0"/>
          <w:numId w:val="5"/>
        </w:numPr>
        <w:tabs>
          <w:tab w:val="left" w:leader="none" w:pos="8385"/>
        </w:tabs>
        <w:rPr>
          <w:rFonts w:ascii="Arial" w:cs="Arial" w:hAnsi="Arial"/>
          <w:sz w:val="24"/>
          <w:szCs w:val="24"/>
        </w:rPr>
      </w:pPr>
      <w:r>
        <w:rPr>
          <w:rFonts w:ascii="Arial" w:cs="Arial" w:hAnsi="Arial"/>
          <w:sz w:val="24"/>
          <w:szCs w:val="24"/>
        </w:rPr>
        <w:t>Targeting…………………………………………………………………………………………7</w:t>
      </w:r>
    </w:p>
    <w:p>
      <w:pPr>
        <w:pStyle w:val="style179"/>
        <w:numPr>
          <w:ilvl w:val="0"/>
          <w:numId w:val="5"/>
        </w:numPr>
        <w:tabs>
          <w:tab w:val="left" w:leader="none" w:pos="8385"/>
        </w:tabs>
        <w:rPr>
          <w:rFonts w:ascii="Arial" w:cs="Arial" w:hAnsi="Arial"/>
          <w:sz w:val="24"/>
          <w:szCs w:val="24"/>
        </w:rPr>
      </w:pPr>
      <w:r>
        <w:rPr>
          <w:rFonts w:ascii="Arial" w:cs="Arial" w:hAnsi="Arial"/>
          <w:sz w:val="24"/>
          <w:szCs w:val="24"/>
        </w:rPr>
        <w:t>Positioning……………………………………………………………………………………….7</w:t>
      </w:r>
    </w:p>
    <w:p>
      <w:pPr>
        <w:pStyle w:val="style179"/>
        <w:tabs>
          <w:tab w:val="left" w:leader="none" w:pos="8385"/>
        </w:tabs>
        <w:rPr>
          <w:rFonts w:ascii="Arial" w:cs="Arial" w:hAnsi="Arial"/>
          <w:sz w:val="24"/>
          <w:szCs w:val="24"/>
        </w:rPr>
      </w:pP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The Marketing Mix ……………….</w:t>
      </w:r>
      <w:r>
        <w:rPr>
          <w:rFonts w:ascii="Arial" w:cs="Arial" w:hAnsi="Arial"/>
          <w:sz w:val="24"/>
          <w:szCs w:val="24"/>
        </w:rPr>
        <w:t>…………………………………………………………..7</w:t>
      </w:r>
    </w:p>
    <w:p>
      <w:pPr>
        <w:pStyle w:val="style179"/>
        <w:numPr>
          <w:ilvl w:val="0"/>
          <w:numId w:val="6"/>
        </w:numPr>
        <w:tabs>
          <w:tab w:val="left" w:leader="none" w:pos="8385"/>
        </w:tabs>
        <w:rPr>
          <w:rFonts w:ascii="Arial" w:cs="Arial" w:hAnsi="Arial"/>
          <w:sz w:val="24"/>
          <w:szCs w:val="24"/>
        </w:rPr>
      </w:pPr>
      <w:r>
        <w:rPr>
          <w:rFonts w:ascii="Arial" w:cs="Arial" w:hAnsi="Arial"/>
          <w:sz w:val="24"/>
          <w:szCs w:val="24"/>
        </w:rPr>
        <w:t>Product…………………………………………………………………………………………..8</w:t>
      </w:r>
    </w:p>
    <w:p>
      <w:pPr>
        <w:pStyle w:val="style179"/>
        <w:numPr>
          <w:ilvl w:val="0"/>
          <w:numId w:val="6"/>
        </w:numPr>
        <w:tabs>
          <w:tab w:val="left" w:leader="none" w:pos="8385"/>
        </w:tabs>
        <w:rPr>
          <w:rFonts w:ascii="Arial" w:cs="Arial" w:hAnsi="Arial"/>
          <w:sz w:val="24"/>
          <w:szCs w:val="24"/>
        </w:rPr>
      </w:pPr>
      <w:r>
        <w:rPr>
          <w:rFonts w:ascii="Arial" w:cs="Arial" w:hAnsi="Arial"/>
          <w:sz w:val="24"/>
          <w:szCs w:val="24"/>
        </w:rPr>
        <w:t>Price……………………………………………………………………………………………..8</w:t>
      </w:r>
    </w:p>
    <w:p>
      <w:pPr>
        <w:pStyle w:val="style179"/>
        <w:numPr>
          <w:ilvl w:val="0"/>
          <w:numId w:val="6"/>
        </w:numPr>
        <w:tabs>
          <w:tab w:val="left" w:leader="none" w:pos="8385"/>
        </w:tabs>
        <w:rPr>
          <w:rFonts w:ascii="Arial" w:cs="Arial" w:hAnsi="Arial"/>
          <w:sz w:val="24"/>
          <w:szCs w:val="24"/>
        </w:rPr>
      </w:pPr>
      <w:r>
        <w:rPr>
          <w:rFonts w:ascii="Arial" w:cs="Arial" w:hAnsi="Arial"/>
          <w:sz w:val="24"/>
          <w:szCs w:val="24"/>
        </w:rPr>
        <w:t>Place…………………………………………………………………………………………….9</w:t>
      </w:r>
    </w:p>
    <w:p>
      <w:pPr>
        <w:pStyle w:val="style179"/>
        <w:numPr>
          <w:ilvl w:val="0"/>
          <w:numId w:val="6"/>
        </w:numPr>
        <w:tabs>
          <w:tab w:val="left" w:leader="none" w:pos="8385"/>
        </w:tabs>
        <w:rPr>
          <w:rFonts w:ascii="Arial" w:cs="Arial" w:hAnsi="Arial"/>
          <w:sz w:val="24"/>
          <w:szCs w:val="24"/>
        </w:rPr>
      </w:pPr>
      <w:r>
        <w:rPr>
          <w:rFonts w:ascii="Arial" w:cs="Arial" w:hAnsi="Arial"/>
          <w:sz w:val="24"/>
          <w:szCs w:val="24"/>
        </w:rPr>
        <w:t>Promotion……………………………………………………………………………………….9</w:t>
      </w:r>
      <w:r>
        <w:rPr>
          <w:rFonts w:ascii="Arial" w:cs="Arial" w:hAnsi="Arial"/>
          <w:sz w:val="24"/>
          <w:szCs w:val="24"/>
        </w:rPr>
        <w:br/>
      </w:r>
      <w:r>
        <w:rPr>
          <w:rFonts w:ascii="Arial" w:cs="Arial" w:hAnsi="Arial"/>
          <w:b/>
          <w:sz w:val="24"/>
          <w:szCs w:val="24"/>
        </w:rPr>
        <w:t>The Ansoff Matrix……………………………………………………………………………..10</w:t>
      </w:r>
    </w:p>
    <w:p>
      <w:pPr>
        <w:pStyle w:val="style179"/>
        <w:tabs>
          <w:tab w:val="left" w:leader="none" w:pos="8385"/>
        </w:tabs>
        <w:rPr>
          <w:rFonts w:ascii="Arial" w:cs="Arial" w:hAnsi="Arial"/>
          <w:sz w:val="24"/>
          <w:szCs w:val="24"/>
        </w:rPr>
      </w:pP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Conclusion and Recommendations</w:t>
      </w:r>
      <w:r>
        <w:rPr>
          <w:rFonts w:ascii="Arial" w:cs="Arial" w:hAnsi="Arial"/>
          <w:sz w:val="24"/>
          <w:szCs w:val="24"/>
        </w:rPr>
        <w:t>……………………………………………………….12</w:t>
      </w:r>
    </w:p>
    <w:p>
      <w:pPr>
        <w:pStyle w:val="style179"/>
        <w:numPr>
          <w:ilvl w:val="0"/>
          <w:numId w:val="1"/>
        </w:numPr>
        <w:tabs>
          <w:tab w:val="left" w:leader="none" w:pos="8385"/>
        </w:tabs>
        <w:rPr>
          <w:rFonts w:ascii="Arial" w:cs="Arial" w:hAnsi="Arial"/>
          <w:sz w:val="24"/>
          <w:szCs w:val="24"/>
        </w:rPr>
      </w:pPr>
      <w:r>
        <w:rPr>
          <w:rFonts w:ascii="Arial" w:cs="Arial" w:hAnsi="Arial"/>
          <w:b/>
          <w:sz w:val="24"/>
          <w:szCs w:val="24"/>
        </w:rPr>
        <w:t>References</w:t>
      </w:r>
      <w:r>
        <w:rPr>
          <w:rFonts w:ascii="Arial" w:cs="Arial" w:hAnsi="Arial"/>
          <w:sz w:val="24"/>
          <w:szCs w:val="24"/>
        </w:rPr>
        <w:t>……………………………………………………………………………………..13</w:t>
      </w:r>
    </w:p>
    <w:p>
      <w:pPr>
        <w:pStyle w:val="style0"/>
        <w:tabs>
          <w:tab w:val="left" w:leader="none" w:pos="8385"/>
        </w:tabs>
        <w:rPr>
          <w:rFonts w:ascii="Times New Roman" w:cs="Times New Roman" w:hAnsi="Times New Roman"/>
          <w:b/>
          <w:color w:val="000000"/>
          <w:sz w:val="24"/>
          <w:szCs w:val="24"/>
        </w:rPr>
        <w:sectPr>
          <w:footerReference w:type="default" r:id="rId2"/>
          <w:pgSz w:w="12240" w:h="15840" w:orient="portrait"/>
          <w:pgMar w:top="1440" w:right="1440" w:bottom="1440" w:left="1440" w:header="720" w:footer="720" w:gutter="0"/>
          <w:pgNumType w:start="1"/>
          <w:cols w:space="720"/>
          <w:docGrid w:linePitch="360"/>
        </w:sectPr>
      </w:pPr>
    </w:p>
    <w:p>
      <w:pPr>
        <w:pStyle w:val="style179"/>
        <w:numPr>
          <w:ilvl w:val="0"/>
          <w:numId w:val="7"/>
        </w:numPr>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u w:val="single"/>
        </w:rPr>
        <w:t>“Introduction”</w:t>
      </w:r>
    </w:p>
    <w:p>
      <w:pPr>
        <w:pStyle w:val="style0"/>
        <w:tabs>
          <w:tab w:val="left" w:leader="none" w:pos="8385"/>
        </w:tabs>
        <w:spacing w:lineRule="auto" w:line="360"/>
        <w:ind w:left="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shd w:val="clear" w:color="auto" w:fill="ffffff"/>
        </w:rPr>
        <w:t>“Imprints and Spencer Group plc (M&amp;S) is a retailer that sells clothing, home products, and food. Womenswear, menswear, kids wear, unmentionables, beauty care products, home stylistic theme, bedding things, footwear, and home goods involve its product offering. M&amp;S likewise sells brownies, cakes, sandwich platters, organic product bins, alcoholic gifts like mixed drinks, wine, and spirits, and gift hampers. The firm sells its merchandise through its very own organization and diversified outlets. M&amp;S Bank gives various monetary administrations, including current records and reserve funds, Mastercards, home loans, and protection, and M&amp;S Energy offers 100 percent efficient power energy types of assistance. It likewise offers its things online through an assortment of regionalized internet business destinations. The company works stores in Europe, the Middle East, and Asia (Debenhams, 2013).”</w:t>
      </w:r>
    </w:p>
    <w:p>
      <w:pPr>
        <w:pStyle w:val="style179"/>
        <w:numPr>
          <w:ilvl w:val="0"/>
          <w:numId w:val="7"/>
        </w:numPr>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u w:val="single"/>
        </w:rPr>
        <w:t xml:space="preserve"> “PESTLE Analysis</w:t>
      </w:r>
    </w:p>
    <w:p>
      <w:pPr>
        <w:pStyle w:val="style179"/>
        <w:tabs>
          <w:tab w:val="left" w:leader="none" w:pos="8385"/>
        </w:tabs>
        <w:spacing w:lineRule="auto" w:line="360"/>
        <w:jc w:val="center"/>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Fig 1</w:t>
      </w:r>
    </w:p>
    <w:p>
      <w:pPr>
        <w:pStyle w:val="style179"/>
        <w:tabs>
          <w:tab w:val="left" w:leader="none" w:pos="8385"/>
        </w:tabs>
        <w:spacing w:lineRule="auto" w:line="360"/>
        <w:jc w:val="both"/>
        <w:rPr>
          <w:rFonts w:ascii="Times New Roman" w:cs="Times New Roman" w:eastAsia="Times New Roman" w:hAnsi="Times New Roman"/>
          <w:b/>
          <w:color w:val="000000"/>
          <w:sz w:val="24"/>
          <w:szCs w:val="24"/>
        </w:rPr>
      </w:pPr>
      <w:r>
        <w:rPr>
          <w:rFonts w:ascii="Times New Roman" w:cs="Times New Roman" w:hAnsi="Times New Roman"/>
          <w:noProof/>
          <w:color w:val="000000"/>
          <w:sz w:val="24"/>
          <w:szCs w:val="24"/>
        </w:rPr>
        <w:drawing>
          <wp:inline distL="0" distT="0" distB="0" distR="0">
            <wp:extent cx="5114800" cy="2369245"/>
            <wp:effectExtent l="0" t="0" r="0" b="0"/>
            <wp:docPr id="1026" name="Picture 1" descr="Corporate Strategy: PESTEL Analysi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 cstate="print"/>
                    <a:srcRect l="0" t="0" r="0" b="0"/>
                    <a:stretch/>
                  </pic:blipFill>
                  <pic:spPr>
                    <a:xfrm rot="0">
                      <a:off x="0" y="0"/>
                      <a:ext cx="5114800" cy="2369245"/>
                    </a:xfrm>
                    <a:prstGeom prst="rect"/>
                    <a:ln>
                      <a:noFill/>
                    </a:ln>
                  </pic:spPr>
                </pic:pic>
              </a:graphicData>
            </a:graphic>
          </wp:inline>
        </w:drawing>
      </w:r>
      <w:r>
        <w:rPr>
          <w:rFonts w:ascii="Times New Roman" w:cs="Times New Roman" w:eastAsia="Times New Roman" w:hAnsi="Times New Roman"/>
          <w:b/>
          <w:color w:val="000000"/>
          <w:sz w:val="24"/>
          <w:szCs w:val="24"/>
        </w:rPr>
        <w:t>“Source: Marketing Eportfolio – wordpress.com”</w:t>
      </w:r>
    </w:p>
    <w:p>
      <w:pPr>
        <w:pStyle w:val="style0"/>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br w:type="page"/>
      </w:r>
    </w:p>
    <w:tbl>
      <w:tblPr>
        <w:tblStyle w:val="style154"/>
        <w:tblW w:w="0" w:type="auto"/>
        <w:tblLook w:val="04A0" w:firstRow="1" w:lastRow="0" w:firstColumn="1" w:lastColumn="0" w:noHBand="0" w:noVBand="1"/>
      </w:tblPr>
      <w:tblGrid>
        <w:gridCol w:w="4788"/>
        <w:gridCol w:w="4788"/>
      </w:tblGrid>
      <w:tr>
        <w:trPr/>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rPr>
              <w:t>“Political (Unfavorable)”</w:t>
            </w:r>
          </w:p>
        </w:tc>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rPr>
              <w:t>“Economic (Unfavorable)”</w:t>
            </w:r>
          </w:p>
        </w:tc>
      </w:tr>
      <w:tr>
        <w:tblPrEx/>
        <w:trPr/>
        <w:tc>
          <w:tcPr>
            <w:tcW w:w="4788" w:type="dxa"/>
            <w:tcBorders/>
          </w:tcPr>
          <w:p>
            <w:pPr>
              <w:pStyle w:val="style0"/>
              <w:tabs>
                <w:tab w:val="left" w:leader="none" w:pos="8385"/>
              </w:tabs>
              <w:spacing w:lineRule="auto" w:line="360"/>
              <w:jc w:val="both"/>
              <w:rPr>
                <w:rFonts w:ascii="Times New Roman" w:cs="Times New Roman" w:hAnsi="Times New Roman"/>
                <w:color w:val="000000"/>
                <w:sz w:val="24"/>
                <w:szCs w:val="24"/>
              </w:rPr>
            </w:pPr>
            <w:r>
              <w:rPr>
                <w:rFonts w:ascii="Times New Roman" w:cs="Times New Roman" w:hAnsi="Times New Roman"/>
                <w:color w:val="000000"/>
                <w:sz w:val="24"/>
                <w:szCs w:val="24"/>
                <w:shd w:val="clear" w:color="auto" w:fill="ffffff"/>
              </w:rPr>
              <w:t>Political factors assume a significant part in deciding the possibilities that could influence Debenhams Plc's drawn out efficiency in a specific spot or region. Debenhams Plc works in more than twelve nations and is presented to different sorts of worldwide governmental issues and political system potential open doors. To make genuine progress in such a major Retail business across a couple of countries, it is important to expand the principal perils of the world of politics (Annual report, 2018).</w:t>
            </w:r>
          </w:p>
        </w:tc>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shd w:val="clear" w:color="auto" w:fill="ffffff"/>
              </w:rPr>
              <w:t>The complete revenue and absolute premium in an are as yet liable to macroenvironmental components, for example, the extension rate, hold supports rate, advance charge, new trading scale, and monetary cycle. While microenvironmental components, like contention standards, impact the organization's benefit. Debenhams Plc might gauge the development bearing of the — sectoryname — region as well as the association by applying country monetary attributes, for example, development rate, extension, and client spending, among others (Annual report, 2018).</w:t>
            </w:r>
          </w:p>
        </w:tc>
      </w:tr>
      <w:tr>
        <w:tblPrEx/>
        <w:trPr/>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rPr>
              <w:t>“Socio-Cultural (Favorable)”</w:t>
            </w:r>
          </w:p>
        </w:tc>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rPr>
              <w:t>“Technological (Favorable)”</w:t>
            </w:r>
          </w:p>
        </w:tc>
      </w:tr>
      <w:tr>
        <w:tblPrEx/>
        <w:trPr/>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shd w:val="clear" w:color="auto" w:fill="ffffff"/>
              </w:rPr>
              <w:t>The way of life and methodology for finishing things out in the open effect the lifestyle of an environment affiliation. People's common perspectives and mindsets essentially affect how Debenhams Plc promoting recognize the customer base of a specific market and craftsmanship introducing messages for Retail industry clients.</w:t>
            </w:r>
          </w:p>
        </w:tc>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shd w:val="clear" w:color="auto" w:fill="ffffff"/>
              </w:rPr>
              <w:t>Development is quickly influencing many fields. The transportation business is a great representation of this. The organization has moved alarmingly quickly as of late, leaving all around arranged ventures attempting to keep awake. Uber and Lyft as of now rule the taxi business. The vehicle business is quickly advancing toward robotization, moved by online associations like as Google, and creation is being disturbed by Tesla, which has proclaimed an electronic vehicle change.</w:t>
            </w:r>
          </w:p>
        </w:tc>
      </w:tr>
      <w:tr>
        <w:tblPrEx/>
        <w:trPr>
          <w:trHeight w:val="70" w:hRule="atLeast"/>
        </w:trPr>
        <w:tc>
          <w:tcPr>
            <w:tcW w:w="4788" w:type="dxa"/>
            <w:tcBorders/>
          </w:tcPr>
          <w:p>
            <w:pPr>
              <w:pStyle w:val="style2"/>
              <w:shd w:val="clear" w:color="auto" w:fill="ffffff"/>
              <w:spacing w:before="0" w:beforeAutospacing="false" w:after="144" w:afterAutospacing="false" w:lineRule="auto" w:line="360"/>
              <w:jc w:val="both"/>
              <w:outlineLvl w:val="1"/>
              <w:rPr>
                <w:bCs w:val="false"/>
                <w:color w:val="000000"/>
                <w:sz w:val="24"/>
                <w:szCs w:val="24"/>
              </w:rPr>
            </w:pPr>
            <w:r>
              <w:rPr>
                <w:bCs w:val="false"/>
                <w:color w:val="000000"/>
                <w:sz w:val="24"/>
                <w:szCs w:val="24"/>
              </w:rPr>
              <w:t>“Environmental (Unfavorable)”</w:t>
            </w:r>
          </w:p>
        </w:tc>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rPr>
              <w:t>“Legal (Mixed)”</w:t>
            </w:r>
          </w:p>
        </w:tc>
      </w:tr>
      <w:tr>
        <w:tblPrEx/>
        <w:trPr/>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shd w:val="clear" w:color="auto" w:fill="ffffff"/>
              </w:rPr>
              <w:t>Different business areas have various standards or intrinsic requests, which could impact an association's productivity in those areas. For sure, even inside similar country, states might have changing natural and hazard principlaes. In the United States, for instance, Texas and Florida have exceptional obligation regulations in case of a mistake or an ecological calamity. Basically, a couple of European nations give major monetary motivators to adventures working in the practical area.</w:t>
            </w:r>
          </w:p>
        </w:tc>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shd w:val="clear" w:color="auto" w:fill="ffffff"/>
              </w:rPr>
              <w:t>In numerous countries, the legitimate system and establishments expected to get an association's safeguarded creation freedoms are deficient. Before entering such business areas, an organization ought to painstakingly think about its choices, as doing so may bring about the robbery of the organization's mysterious fixing, and consequently its general benefit.</w:t>
            </w:r>
          </w:p>
        </w:tc>
      </w:tr>
    </w:tbl>
    <w:p>
      <w:pPr>
        <w:pStyle w:val="style0"/>
        <w:tabs>
          <w:tab w:val="left" w:leader="none" w:pos="8385"/>
        </w:tabs>
        <w:spacing w:lineRule="auto" w:line="360"/>
        <w:jc w:val="both"/>
        <w:rPr>
          <w:rFonts w:ascii="Times New Roman" w:cs="Times New Roman" w:hAnsi="Times New Roman"/>
          <w:b/>
          <w:color w:val="000000"/>
          <w:sz w:val="24"/>
          <w:szCs w:val="24"/>
        </w:rPr>
      </w:pPr>
    </w:p>
    <w:p>
      <w:pPr>
        <w:pStyle w:val="style179"/>
        <w:numPr>
          <w:ilvl w:val="0"/>
          <w:numId w:val="7"/>
        </w:numPr>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u w:val="single"/>
        </w:rPr>
        <w:t>“PORTER’S Five Forces  with diagram”</w:t>
      </w:r>
      <w:r>
        <w:rPr>
          <w:rFonts w:ascii="Times New Roman" w:cs="Times New Roman" w:hAnsi="Times New Roman"/>
          <w:color w:val="000000"/>
          <w:sz w:val="24"/>
          <w:szCs w:val="24"/>
          <w:u w:val="single"/>
        </w:rPr>
        <w:t xml:space="preserve"> </w:t>
      </w:r>
    </w:p>
    <w:p>
      <w:pPr>
        <w:pStyle w:val="style2"/>
        <w:shd w:val="clear" w:color="auto" w:fill="ffffff"/>
        <w:spacing w:before="120" w:beforeAutospacing="false" w:after="120" w:afterAutospacing="false" w:lineRule="auto" w:line="360"/>
        <w:jc w:val="center"/>
        <w:rPr>
          <w:color w:val="000000"/>
          <w:sz w:val="24"/>
          <w:szCs w:val="24"/>
        </w:rPr>
      </w:pPr>
      <w:r>
        <w:rPr>
          <w:color w:val="000000"/>
          <w:sz w:val="24"/>
          <w:szCs w:val="24"/>
        </w:rPr>
        <w:t>Fig 2</w:t>
      </w:r>
    </w:p>
    <w:p>
      <w:pPr>
        <w:pStyle w:val="style2"/>
        <w:shd w:val="clear" w:color="auto" w:fill="ffffff"/>
        <w:spacing w:before="120" w:beforeAutospacing="false" w:after="120" w:afterAutospacing="false" w:lineRule="auto" w:line="360"/>
        <w:jc w:val="center"/>
        <w:rPr>
          <w:color w:val="000000"/>
          <w:sz w:val="24"/>
          <w:szCs w:val="24"/>
        </w:rPr>
      </w:pPr>
      <w:r>
        <w:rPr>
          <w:noProof/>
          <w:color w:val="000000"/>
          <w:sz w:val="24"/>
          <w:szCs w:val="24"/>
        </w:rPr>
        <w:drawing>
          <wp:inline distL="0" distT="0" distB="0" distR="0">
            <wp:extent cx="3514725" cy="2981658"/>
            <wp:effectExtent l="0" t="0" r="0" b="0"/>
            <wp:docPr id="1027" name="Picture 2" descr="H&amp;M Business Strategy &amp; Organizational Structure Analysis | Business Paper  Exampl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4" cstate="print"/>
                    <a:srcRect l="0" t="0" r="0" b="0"/>
                    <a:stretch/>
                  </pic:blipFill>
                  <pic:spPr>
                    <a:xfrm rot="0">
                      <a:off x="0" y="0"/>
                      <a:ext cx="3514725" cy="2981658"/>
                    </a:xfrm>
                    <a:prstGeom prst="rect"/>
                    <a:ln>
                      <a:noFill/>
                    </a:ln>
                  </pic:spPr>
                </pic:pic>
              </a:graphicData>
            </a:graphic>
          </wp:inline>
        </w:drawing>
      </w:r>
    </w:p>
    <w:p>
      <w:pPr>
        <w:pStyle w:val="style2"/>
        <w:shd w:val="clear" w:color="auto" w:fill="ffffff"/>
        <w:spacing w:before="120" w:beforeAutospacing="false" w:after="120" w:afterAutospacing="false" w:lineRule="auto" w:line="360"/>
        <w:jc w:val="center"/>
        <w:rPr>
          <w:color w:val="000000"/>
          <w:sz w:val="24"/>
          <w:szCs w:val="24"/>
        </w:rPr>
      </w:pPr>
      <w:r>
        <w:rPr>
          <w:color w:val="000000"/>
          <w:sz w:val="24"/>
          <w:szCs w:val="24"/>
        </w:rPr>
        <w:t>“Source: Business-Essay.com”</w:t>
      </w:r>
    </w:p>
    <w:tbl>
      <w:tblPr>
        <w:tblStyle w:val="style154"/>
        <w:tblW w:w="0" w:type="auto"/>
        <w:tblLook w:val="04A0" w:firstRow="1" w:lastRow="0" w:firstColumn="1" w:lastColumn="0" w:noHBand="0" w:noVBand="1"/>
      </w:tblPr>
      <w:tblGrid>
        <w:gridCol w:w="4788"/>
        <w:gridCol w:w="4788"/>
      </w:tblGrid>
      <w:tr>
        <w:trPr/>
        <w:tc>
          <w:tcPr>
            <w:tcW w:w="4788" w:type="dxa"/>
            <w:tcBorders/>
          </w:tcPr>
          <w:p>
            <w:pPr>
              <w:pStyle w:val="style2"/>
              <w:shd w:val="clear" w:color="auto" w:fill="ffffff"/>
              <w:spacing w:before="120" w:beforeAutospacing="false" w:after="120" w:afterAutospacing="false" w:lineRule="auto" w:line="360"/>
              <w:jc w:val="both"/>
              <w:outlineLvl w:val="1"/>
              <w:rPr>
                <w:color w:val="000000"/>
                <w:sz w:val="24"/>
                <w:szCs w:val="24"/>
              </w:rPr>
            </w:pPr>
            <w:r>
              <w:rPr>
                <w:color w:val="000000"/>
                <w:sz w:val="24"/>
                <w:szCs w:val="24"/>
              </w:rPr>
              <w:t>“Threat of New Entrants:” (Low)</w:t>
            </w:r>
          </w:p>
          <w:p>
            <w:pPr>
              <w:pStyle w:val="style0"/>
              <w:tabs>
                <w:tab w:val="left" w:leader="none" w:pos="8385"/>
              </w:tabs>
              <w:spacing w:lineRule="auto" w:line="360"/>
              <w:jc w:val="both"/>
              <w:rPr>
                <w:rFonts w:ascii="Times New Roman" w:cs="Times New Roman" w:hAnsi="Times New Roman"/>
                <w:b/>
                <w:color w:val="000000"/>
                <w:sz w:val="24"/>
                <w:szCs w:val="24"/>
                <w:u w:val="single"/>
              </w:rPr>
            </w:pPr>
          </w:p>
        </w:tc>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shd w:val="clear" w:color="auto" w:fill="ffffff"/>
              </w:rPr>
              <w:t>“</w:t>
            </w:r>
            <w:r>
              <w:rPr>
                <w:rFonts w:ascii="Times New Roman" w:cs="Times New Roman" w:hAnsi="Times New Roman"/>
                <w:b/>
                <w:color w:val="000000"/>
                <w:sz w:val="24"/>
                <w:szCs w:val="24"/>
              </w:rPr>
              <w:t>Threat of Substitutes:” (Low)</w:t>
            </w:r>
          </w:p>
        </w:tc>
      </w:tr>
      <w:tr>
        <w:tblPrEx/>
        <w:trPr/>
        <w:tc>
          <w:tcPr>
            <w:tcW w:w="4788" w:type="dxa"/>
            <w:tcBorders/>
          </w:tcPr>
          <w:p>
            <w:pPr>
              <w:pStyle w:val="style0"/>
              <w:tabs>
                <w:tab w:val="left" w:leader="none" w:pos="8385"/>
              </w:tabs>
              <w:spacing w:lineRule="auto" w:line="360"/>
              <w:jc w:val="both"/>
              <w:rPr>
                <w:rFonts w:ascii="Times New Roman" w:cs="Times New Roman" w:hAnsi="Times New Roman"/>
                <w:color w:val="000000"/>
                <w:sz w:val="24"/>
                <w:szCs w:val="24"/>
                <w:u w:val="single"/>
              </w:rPr>
            </w:pPr>
            <w:r>
              <w:rPr>
                <w:rFonts w:ascii="Times New Roman" w:cs="Times New Roman" w:hAnsi="Times New Roman"/>
                <w:color w:val="000000"/>
                <w:sz w:val="24"/>
                <w:szCs w:val="24"/>
                <w:shd w:val="clear" w:color="auto" w:fill="ffffff"/>
              </w:rPr>
              <w:t>Debenhams has a decreased gamble of new participants contrasted with its rivals in a similar area since it is the market chief. Debenhams has an enormous piece of the pie in the UK and a genuinely protected position. This region is exceptionally capital requesting, consequently any new passage should have a significant measure of cash set aside prior to entering this market. The clothing firm is a notable name and is known for its image worth and great quality; for any new participant to enter this market, they should beat generally huge boundaries to passage, like the innovation, information, and gear fundamental.</w:t>
            </w:r>
          </w:p>
        </w:tc>
        <w:tc>
          <w:tcPr>
            <w:tcW w:w="4788" w:type="dxa"/>
            <w:tcBorders/>
          </w:tcPr>
          <w:p>
            <w:pPr>
              <w:pStyle w:val="style0"/>
              <w:tabs>
                <w:tab w:val="left" w:leader="none" w:pos="8385"/>
              </w:tabs>
              <w:spacing w:lineRule="auto" w:line="360"/>
              <w:jc w:val="both"/>
              <w:rPr>
                <w:rFonts w:ascii="Times New Roman" w:cs="Times New Roman" w:hAnsi="Times New Roman"/>
                <w:color w:val="000000"/>
                <w:sz w:val="24"/>
                <w:szCs w:val="24"/>
                <w:u w:val="single"/>
              </w:rPr>
            </w:pPr>
            <w:r>
              <w:rPr>
                <w:rFonts w:ascii="Times New Roman" w:cs="Times New Roman" w:hAnsi="Times New Roman"/>
                <w:color w:val="000000"/>
                <w:sz w:val="24"/>
                <w:szCs w:val="24"/>
                <w:shd w:val="clear" w:color="auto" w:fill="ffffff"/>
              </w:rPr>
              <w:t>Debenhams' risk of choices is likewise sensibly negligible; this is because of its presence in both the disconnected and online business sectors; with the web-based market being the greatest opponent, its presence in the two business sectors furnishes it with the adaptability expected to contend in the two areas.</w:t>
            </w:r>
          </w:p>
        </w:tc>
      </w:tr>
      <w:tr>
        <w:tblPrEx/>
        <w:trPr/>
        <w:tc>
          <w:tcPr>
            <w:tcW w:w="4788" w:type="dxa"/>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shd w:val="clear" w:color="auto" w:fill="ffffff"/>
              </w:rPr>
              <w:t>“</w:t>
            </w:r>
            <w:r>
              <w:rPr>
                <w:rFonts w:ascii="Times New Roman" w:cs="Times New Roman" w:hAnsi="Times New Roman"/>
                <w:b/>
                <w:color w:val="000000"/>
                <w:sz w:val="24"/>
                <w:szCs w:val="24"/>
              </w:rPr>
              <w:t>Bargaining Power of Customers:” (HIGH)</w:t>
            </w:r>
          </w:p>
        </w:tc>
        <w:tc>
          <w:tcPr>
            <w:tcW w:w="4788" w:type="dxa"/>
            <w:tcBorders/>
          </w:tcPr>
          <w:p>
            <w:pPr>
              <w:pStyle w:val="style2"/>
              <w:shd w:val="clear" w:color="auto" w:fill="ffffff"/>
              <w:spacing w:before="120" w:after="120" w:lineRule="auto" w:line="360"/>
              <w:jc w:val="both"/>
              <w:outlineLvl w:val="1"/>
              <w:rPr>
                <w:rFonts w:eastAsia="Calibri"/>
                <w:bCs w:val="false"/>
                <w:color w:val="000000"/>
                <w:sz w:val="24"/>
                <w:szCs w:val="24"/>
                <w:shd w:val="clear" w:color="auto" w:fill="ffffff"/>
              </w:rPr>
            </w:pPr>
            <w:r>
              <w:rPr>
                <w:rFonts w:eastAsia="Calibri"/>
                <w:bCs w:val="false"/>
                <w:color w:val="000000"/>
                <w:sz w:val="24"/>
                <w:szCs w:val="24"/>
                <w:shd w:val="clear" w:color="auto" w:fill="ffffff"/>
              </w:rPr>
              <w:t>“Bargaining power of supplier” (Moderate)</w:t>
            </w:r>
          </w:p>
        </w:tc>
      </w:tr>
      <w:tr>
        <w:tblPrEx/>
        <w:trPr/>
        <w:tc>
          <w:tcPr>
            <w:tcW w:w="4788" w:type="dxa"/>
            <w:tcBorders/>
          </w:tcPr>
          <w:p>
            <w:pPr>
              <w:pStyle w:val="style0"/>
              <w:tabs>
                <w:tab w:val="left" w:leader="none" w:pos="8385"/>
              </w:tabs>
              <w:spacing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Debenhams' initial client base is moderate, which is comparable to its competitors; this is due to the fact that customers at retail stores have a proclivity for bargaining. One of the key reasons for this is because the market is saturated, ensuring that customers always have alternatives; clients have multiple suppliers to select from and therefore choose the one that gives the highest quality at the lowest price.</w:t>
            </w:r>
          </w:p>
        </w:tc>
        <w:tc>
          <w:tcPr>
            <w:tcW w:w="4788" w:type="dxa"/>
            <w:tcBorders/>
          </w:tcPr>
          <w:p>
            <w:pPr>
              <w:pStyle w:val="style2"/>
              <w:shd w:val="clear" w:color="auto" w:fill="ffffff"/>
              <w:spacing w:before="120" w:after="120" w:lineRule="auto" w:line="360"/>
              <w:jc w:val="both"/>
              <w:outlineLvl w:val="1"/>
              <w:rPr>
                <w:rFonts w:eastAsia="Calibri"/>
                <w:b w:val="false"/>
                <w:bCs w:val="false"/>
                <w:color w:val="000000"/>
                <w:sz w:val="24"/>
                <w:szCs w:val="24"/>
                <w:shd w:val="clear" w:color="auto" w:fill="ffffff"/>
              </w:rPr>
            </w:pPr>
            <w:r>
              <w:rPr>
                <w:b w:val="false"/>
                <w:color w:val="000000"/>
                <w:sz w:val="24"/>
                <w:szCs w:val="24"/>
                <w:shd w:val="clear" w:color="auto" w:fill="ffffff"/>
              </w:rPr>
              <w:t>Provider arranging power in the attire business is low to direct; this is valid for all opponents in a similar fragment, not just Debenhams. The crucial justification for this arranging influence is from the way that to keep up with similar extreme nature of the item, the organizations should guarantee that the unrefined substance is of a similar quality, and it is many times basic that the unrefined substance providers don't change the natural substance regularly.</w:t>
            </w:r>
          </w:p>
        </w:tc>
      </w:tr>
      <w:tr>
        <w:tblPrEx/>
        <w:trPr/>
        <w:tc>
          <w:tcPr>
            <w:tcW w:w="9576" w:type="dxa"/>
            <w:gridSpan w:val="2"/>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rPr>
              <w:t>Competitive Rivalry:” (Moderate)</w:t>
            </w:r>
          </w:p>
        </w:tc>
      </w:tr>
      <w:tr>
        <w:tblPrEx/>
        <w:trPr/>
        <w:tc>
          <w:tcPr>
            <w:tcW w:w="9576" w:type="dxa"/>
            <w:gridSpan w:val="2"/>
            <w:tcBorders/>
          </w:tcPr>
          <w:p>
            <w:pPr>
              <w:pStyle w:val="style0"/>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shd w:val="clear" w:color="auto" w:fill="ffffff"/>
              </w:rPr>
              <w:t>Debenhams' serious rivalry in the garments business is gentle in this class. With the market being progressively immersed and the presence of a few merchants, contest is expanding constantly.</w:t>
            </w:r>
          </w:p>
        </w:tc>
      </w:tr>
    </w:tbl>
    <w:p>
      <w:pPr>
        <w:pStyle w:val="style179"/>
        <w:numPr>
          <w:ilvl w:val="0"/>
          <w:numId w:val="7"/>
        </w:numPr>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u w:val="single"/>
        </w:rPr>
        <w:t>“SWOT analysis”</w:t>
      </w:r>
    </w:p>
    <w:p>
      <w:pPr>
        <w:pStyle w:val="style0"/>
        <w:tabs>
          <w:tab w:val="left" w:leader="none" w:pos="8385"/>
        </w:tabs>
        <w:spacing w:lineRule="auto" w:line="360"/>
        <w:jc w:val="both"/>
        <w:rPr>
          <w:rStyle w:val="style87"/>
          <w:rFonts w:ascii="Times New Roman" w:cs="Times New Roman" w:hAnsi="Times New Roman"/>
          <w:bCs w:val="false"/>
          <w:color w:val="000000"/>
          <w:sz w:val="24"/>
          <w:szCs w:val="24"/>
          <w:u w:val="single"/>
        </w:rPr>
      </w:pPr>
    </w:p>
    <w:tbl>
      <w:tblPr>
        <w:tblStyle w:val="style154"/>
        <w:tblW w:w="0" w:type="auto"/>
        <w:tblLook w:val="04A0" w:firstRow="1" w:lastRow="0" w:firstColumn="1" w:lastColumn="0" w:noHBand="0" w:noVBand="1"/>
      </w:tblPr>
      <w:tblGrid>
        <w:gridCol w:w="4788"/>
        <w:gridCol w:w="4788"/>
      </w:tblGrid>
      <w:tr>
        <w:trPr/>
        <w:tc>
          <w:tcPr>
            <w:tcW w:w="4788" w:type="dxa"/>
            <w:tcBorders/>
          </w:tcPr>
          <w:p>
            <w:pPr>
              <w:pStyle w:val="style2"/>
              <w:shd w:val="clear" w:color="auto" w:fill="ffffff"/>
              <w:spacing w:before="0" w:beforeAutospacing="false" w:after="0" w:afterAutospacing="false" w:lineRule="auto" w:line="360"/>
              <w:jc w:val="both"/>
              <w:textAlignment w:val="baseline"/>
              <w:outlineLvl w:val="1"/>
              <w:rPr>
                <w:rStyle w:val="style87"/>
                <w:b/>
                <w:bCs/>
                <w:color w:val="000000"/>
                <w:sz w:val="24"/>
                <w:szCs w:val="24"/>
                <w:bdr w:val="none" w:sz="0" w:space="0" w:color="auto" w:frame="true"/>
              </w:rPr>
            </w:pPr>
            <w:r>
              <w:rPr>
                <w:rStyle w:val="style87"/>
                <w:b/>
                <w:color w:val="000000"/>
                <w:sz w:val="24"/>
                <w:szCs w:val="24"/>
                <w:bdr w:val="none" w:sz="0" w:space="0" w:color="auto" w:frame="true"/>
              </w:rPr>
              <w:t>“Strengths”</w:t>
            </w:r>
          </w:p>
          <w:p>
            <w:pPr>
              <w:pStyle w:val="style2"/>
              <w:spacing w:before="0" w:beforeAutospacing="false" w:after="0" w:afterAutospacing="false" w:lineRule="auto" w:line="360"/>
              <w:jc w:val="both"/>
              <w:textAlignment w:val="baseline"/>
              <w:outlineLvl w:val="1"/>
              <w:rPr>
                <w:rStyle w:val="style87"/>
                <w:b/>
                <w:color w:val="000000"/>
                <w:sz w:val="24"/>
                <w:szCs w:val="24"/>
                <w:bdr w:val="none" w:sz="0" w:space="0" w:color="auto" w:frame="true"/>
              </w:rPr>
            </w:pPr>
          </w:p>
        </w:tc>
        <w:tc>
          <w:tcPr>
            <w:tcW w:w="4788" w:type="dxa"/>
            <w:tcBorders/>
          </w:tcPr>
          <w:p>
            <w:pPr>
              <w:pStyle w:val="style2"/>
              <w:shd w:val="clear" w:color="auto" w:fill="ffffff"/>
              <w:spacing w:before="0" w:beforeAutospacing="false" w:after="0" w:afterAutospacing="false" w:lineRule="auto" w:line="360"/>
              <w:jc w:val="both"/>
              <w:textAlignment w:val="baseline"/>
              <w:outlineLvl w:val="1"/>
              <w:rPr>
                <w:rStyle w:val="style87"/>
                <w:b/>
                <w:bCs/>
                <w:color w:val="000000"/>
                <w:sz w:val="24"/>
                <w:szCs w:val="24"/>
                <w:bdr w:val="none" w:sz="0" w:space="0" w:color="auto" w:frame="true"/>
              </w:rPr>
            </w:pPr>
            <w:r>
              <w:rPr>
                <w:rStyle w:val="style87"/>
                <w:b/>
                <w:color w:val="000000"/>
                <w:sz w:val="24"/>
                <w:szCs w:val="24"/>
                <w:bdr w:val="none" w:sz="0" w:space="0" w:color="auto" w:frame="true"/>
              </w:rPr>
              <w:t>“Weaknesses”</w:t>
            </w:r>
          </w:p>
          <w:p>
            <w:pPr>
              <w:pStyle w:val="style2"/>
              <w:spacing w:before="0" w:beforeAutospacing="false" w:after="0" w:afterAutospacing="false" w:lineRule="auto" w:line="360"/>
              <w:jc w:val="both"/>
              <w:textAlignment w:val="baseline"/>
              <w:outlineLvl w:val="1"/>
              <w:rPr>
                <w:rStyle w:val="style87"/>
                <w:b/>
                <w:color w:val="000000"/>
                <w:sz w:val="24"/>
                <w:szCs w:val="24"/>
                <w:bdr w:val="none" w:sz="0" w:space="0" w:color="auto" w:frame="true"/>
              </w:rPr>
            </w:pPr>
          </w:p>
        </w:tc>
      </w:tr>
      <w:tr>
        <w:tblPrEx/>
        <w:trPr/>
        <w:tc>
          <w:tcPr>
            <w:tcW w:w="4788" w:type="dxa"/>
            <w:tcBorders/>
          </w:tcPr>
          <w:p>
            <w:pPr>
              <w:pStyle w:val="style2"/>
              <w:spacing w:before="0" w:beforeAutospacing="false" w:after="0" w:afterAutospacing="false" w:lineRule="auto" w:line="360"/>
              <w:jc w:val="both"/>
              <w:textAlignment w:val="baseline"/>
              <w:outlineLvl w:val="1"/>
              <w:rPr>
                <w:rStyle w:val="style87"/>
                <w:b/>
                <w:color w:val="000000"/>
                <w:sz w:val="24"/>
                <w:szCs w:val="24"/>
                <w:bdr w:val="none" w:sz="0" w:space="0" w:color="auto" w:frame="true"/>
              </w:rPr>
            </w:pPr>
            <w:r>
              <w:rPr>
                <w:b w:val="false"/>
                <w:color w:val="000000"/>
                <w:sz w:val="24"/>
                <w:szCs w:val="24"/>
                <w:shd w:val="clear" w:color="auto" w:fill="ffffff"/>
              </w:rPr>
              <w:t>Debenhams' assets look at the significant parts of organization give it an upper hand on the lookout. A brand's assets incorporate its monetary position, experienced staff, item inventiveness, and elusive resources, for example, brand esteem (DAVIES, 2013).</w:t>
            </w:r>
          </w:p>
        </w:tc>
        <w:tc>
          <w:tcPr>
            <w:tcW w:w="4788" w:type="dxa"/>
            <w:tcBorders/>
          </w:tcPr>
          <w:p>
            <w:pPr>
              <w:pStyle w:val="style2"/>
              <w:spacing w:before="0" w:beforeAutospacing="false" w:after="0" w:afterAutospacing="false" w:lineRule="auto" w:line="360"/>
              <w:jc w:val="both"/>
              <w:textAlignment w:val="baseline"/>
              <w:outlineLvl w:val="1"/>
              <w:rPr>
                <w:rStyle w:val="style87"/>
                <w:b/>
                <w:color w:val="000000"/>
                <w:sz w:val="24"/>
                <w:szCs w:val="24"/>
                <w:bdr w:val="none" w:sz="0" w:space="0" w:color="auto" w:frame="true"/>
              </w:rPr>
            </w:pPr>
            <w:r>
              <w:rPr>
                <w:b w:val="false"/>
                <w:color w:val="000000"/>
                <w:sz w:val="24"/>
                <w:szCs w:val="24"/>
                <w:shd w:val="clear" w:color="auto" w:fill="ffffff"/>
              </w:rPr>
              <w:t>A brand's weaknesses are explicit pieces of its organization that it could change to additionally fortify its situation. Certain deficiencies may be portrayed as qualities that the firm needs or that opponents succeed at (DAVIES, 2013).</w:t>
            </w:r>
          </w:p>
        </w:tc>
      </w:tr>
      <w:tr>
        <w:tblPrEx/>
        <w:trPr>
          <w:trHeight w:val="548" w:hRule="atLeast"/>
        </w:trPr>
        <w:tc>
          <w:tcPr>
            <w:tcW w:w="4788" w:type="dxa"/>
            <w:tcBorders/>
          </w:tcPr>
          <w:p>
            <w:pPr>
              <w:pStyle w:val="style3"/>
              <w:shd w:val="clear" w:color="auto" w:fill="ffffff"/>
              <w:spacing w:after="0" w:lineRule="auto" w:line="360"/>
              <w:jc w:val="both"/>
              <w:textAlignment w:val="baseline"/>
              <w:outlineLvl w:val="2"/>
              <w:rPr>
                <w:bCs w:val="false"/>
                <w:color w:val="000000"/>
                <w:sz w:val="24"/>
                <w:szCs w:val="24"/>
              </w:rPr>
            </w:pPr>
            <w:r>
              <w:rPr>
                <w:bCs w:val="false"/>
                <w:color w:val="000000"/>
                <w:sz w:val="24"/>
                <w:szCs w:val="24"/>
              </w:rPr>
              <w:t>Opportunity</w:t>
            </w:r>
          </w:p>
          <w:p>
            <w:pPr>
              <w:pStyle w:val="style2"/>
              <w:spacing w:before="0" w:beforeAutospacing="false" w:after="0" w:afterAutospacing="false" w:lineRule="auto" w:line="360"/>
              <w:jc w:val="both"/>
              <w:textAlignment w:val="baseline"/>
              <w:outlineLvl w:val="1"/>
              <w:rPr>
                <w:rStyle w:val="style87"/>
                <w:b/>
                <w:color w:val="000000"/>
                <w:sz w:val="24"/>
                <w:szCs w:val="24"/>
                <w:bdr w:val="none" w:sz="0" w:space="0" w:color="auto" w:frame="true"/>
              </w:rPr>
            </w:pPr>
          </w:p>
        </w:tc>
        <w:tc>
          <w:tcPr>
            <w:tcW w:w="4788" w:type="dxa"/>
            <w:tcBorders/>
          </w:tcPr>
          <w:p>
            <w:pPr>
              <w:pStyle w:val="style3"/>
              <w:shd w:val="clear" w:color="auto" w:fill="ffffff"/>
              <w:spacing w:after="0" w:lineRule="auto" w:line="360"/>
              <w:jc w:val="both"/>
              <w:textAlignment w:val="baseline"/>
              <w:outlineLvl w:val="2"/>
              <w:rPr>
                <w:rStyle w:val="style87"/>
                <w:b/>
                <w:color w:val="000000"/>
                <w:sz w:val="24"/>
                <w:szCs w:val="24"/>
              </w:rPr>
            </w:pPr>
            <w:r>
              <w:rPr>
                <w:bCs w:val="false"/>
                <w:color w:val="000000"/>
                <w:sz w:val="24"/>
                <w:szCs w:val="24"/>
              </w:rPr>
              <w:t>Threat</w:t>
            </w:r>
          </w:p>
        </w:tc>
      </w:tr>
      <w:tr>
        <w:tblPrEx/>
        <w:trPr/>
        <w:tc>
          <w:tcPr>
            <w:tcW w:w="4788" w:type="dxa"/>
            <w:tcBorders/>
          </w:tcPr>
          <w:p>
            <w:pPr>
              <w:pStyle w:val="style2"/>
              <w:spacing w:before="0" w:beforeAutospacing="false" w:after="0" w:afterAutospacing="false" w:lineRule="auto" w:line="360"/>
              <w:jc w:val="both"/>
              <w:textAlignment w:val="baseline"/>
              <w:outlineLvl w:val="1"/>
              <w:rPr>
                <w:rStyle w:val="style87"/>
                <w:b/>
                <w:color w:val="000000"/>
                <w:sz w:val="24"/>
                <w:szCs w:val="24"/>
                <w:bdr w:val="none" w:sz="0" w:space="0" w:color="auto" w:frame="true"/>
              </w:rPr>
            </w:pPr>
            <w:r>
              <w:rPr>
                <w:b w:val="false"/>
                <w:color w:val="000000"/>
                <w:sz w:val="24"/>
                <w:szCs w:val="24"/>
                <w:shd w:val="clear" w:color="auto" w:fill="ffffff"/>
              </w:rPr>
              <w:t>Opportunity for each brand to further develop its organization could incorporate areas of progress. Geographic development, item upgrades, further developed correspondence, and different open doors might exist for a brand (DAVIES, 2013).</w:t>
            </w:r>
          </w:p>
        </w:tc>
        <w:tc>
          <w:tcPr>
            <w:tcW w:w="4788" w:type="dxa"/>
            <w:tcBorders/>
          </w:tcPr>
          <w:p>
            <w:pPr>
              <w:pStyle w:val="style0"/>
              <w:tabs>
                <w:tab w:val="left" w:leader="none" w:pos="8385"/>
              </w:tabs>
              <w:spacing w:lineRule="auto" w:line="360"/>
              <w:jc w:val="both"/>
              <w:rPr>
                <w:rStyle w:val="style87"/>
                <w:rFonts w:ascii="Times New Roman" w:cs="Times New Roman" w:hAnsi="Times New Roman"/>
                <w:b w:val="false"/>
                <w:color w:val="000000"/>
                <w:sz w:val="24"/>
                <w:szCs w:val="24"/>
                <w:bdr w:val="none" w:sz="0" w:space="0" w:color="auto" w:frame="true"/>
              </w:rPr>
            </w:pPr>
            <w:r>
              <w:rPr>
                <w:rFonts w:ascii="Times New Roman" w:cs="Times New Roman" w:hAnsi="Times New Roman"/>
                <w:color w:val="000000"/>
                <w:sz w:val="24"/>
                <w:szCs w:val="24"/>
                <w:shd w:val="clear" w:color="auto" w:fill="ffffff"/>
              </w:rPr>
              <w:t>Dangers to any firm may be components that affect its tasks. A few risks incorporate expanding contender action, changing government regulations, elective items or administrations, etc (DAVIES, 2013).</w:t>
            </w:r>
          </w:p>
        </w:tc>
      </w:tr>
    </w:tbl>
    <w:p>
      <w:pPr>
        <w:pStyle w:val="style0"/>
        <w:tabs>
          <w:tab w:val="left" w:leader="none" w:pos="8385"/>
        </w:tabs>
        <w:spacing w:lineRule="auto" w:line="360"/>
        <w:jc w:val="center"/>
        <w:rPr>
          <w:rFonts w:ascii="Times New Roman" w:cs="Times New Roman" w:hAnsi="Times New Roman"/>
          <w:b/>
          <w:color w:val="000000"/>
          <w:sz w:val="24"/>
          <w:szCs w:val="24"/>
        </w:rPr>
      </w:pPr>
      <w:r>
        <w:rPr>
          <w:rFonts w:ascii="Times New Roman" w:cs="Times New Roman" w:hAnsi="Times New Roman"/>
          <w:b/>
          <w:color w:val="000000"/>
          <w:sz w:val="24"/>
          <w:szCs w:val="24"/>
        </w:rPr>
        <w:t>“Fig 4: SWOT analysis”</w:t>
      </w:r>
    </w:p>
    <w:p>
      <w:pPr>
        <w:pStyle w:val="style179"/>
        <w:tabs>
          <w:tab w:val="left" w:leader="none" w:pos="8385"/>
        </w:tabs>
        <w:spacing w:lineRule="auto" w:line="360"/>
        <w:jc w:val="center"/>
        <w:rPr>
          <w:rFonts w:ascii="Times New Roman" w:cs="Times New Roman" w:hAnsi="Times New Roman"/>
          <w:b/>
          <w:color w:val="000000"/>
          <w:sz w:val="24"/>
          <w:szCs w:val="24"/>
        </w:rPr>
      </w:pPr>
      <w:r>
        <w:rPr>
          <w:rFonts w:ascii="Times New Roman" w:cs="Times New Roman" w:hAnsi="Times New Roman"/>
          <w:b/>
          <w:noProof/>
          <w:color w:val="000000"/>
          <w:sz w:val="24"/>
          <w:szCs w:val="24"/>
        </w:rPr>
        <w:drawing>
          <wp:inline distL="0" distT="0" distB="0" distR="0">
            <wp:extent cx="3667124" cy="1247775"/>
            <wp:effectExtent l="0" t="0" r="0" b="0"/>
            <wp:docPr id="1028" name="Picture 3" descr="C:\Users\adnan\AppData\Local\Microsoft\Windows\INetCache\Content.MSO\890FFBE0.tm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5" cstate="print"/>
                    <a:srcRect l="0" t="0" r="0" b="0"/>
                    <a:stretch/>
                  </pic:blipFill>
                  <pic:spPr>
                    <a:xfrm rot="0">
                      <a:off x="0" y="0"/>
                      <a:ext cx="3667124" cy="1247775"/>
                    </a:xfrm>
                    <a:prstGeom prst="rect"/>
                    <a:ln>
                      <a:noFill/>
                    </a:ln>
                  </pic:spPr>
                </pic:pic>
              </a:graphicData>
            </a:graphic>
          </wp:inline>
        </w:drawing>
      </w:r>
    </w:p>
    <w:p>
      <w:pPr>
        <w:pStyle w:val="style179"/>
        <w:tabs>
          <w:tab w:val="left" w:leader="none" w:pos="8385"/>
        </w:tabs>
        <w:spacing w:lineRule="auto" w:line="360"/>
        <w:jc w:val="center"/>
        <w:rPr>
          <w:rFonts w:ascii="Times New Roman" w:cs="Times New Roman" w:hAnsi="Times New Roman"/>
          <w:b/>
          <w:color w:val="000000"/>
          <w:sz w:val="24"/>
          <w:szCs w:val="24"/>
        </w:rPr>
      </w:pPr>
      <w:r>
        <w:rPr>
          <w:rFonts w:ascii="Times New Roman" w:cs="Times New Roman" w:hAnsi="Times New Roman"/>
          <w:b/>
          <w:color w:val="000000"/>
          <w:sz w:val="24"/>
          <w:szCs w:val="24"/>
        </w:rPr>
        <w:t>Source: ResearchGate.com</w:t>
      </w:r>
    </w:p>
    <w:p>
      <w:pPr>
        <w:pStyle w:val="style179"/>
        <w:numPr>
          <w:ilvl w:val="0"/>
          <w:numId w:val="8"/>
        </w:numPr>
        <w:tabs>
          <w:tab w:val="left" w:leader="none" w:pos="8385"/>
        </w:tabs>
        <w:spacing w:lineRule="auto" w:line="360"/>
        <w:jc w:val="both"/>
        <w:rPr>
          <w:rFonts w:ascii="Times New Roman" w:cs="Times New Roman" w:eastAsia="Times New Roman" w:hAnsi="Times New Roman"/>
          <w:b/>
          <w:color w:val="000000"/>
          <w:sz w:val="24"/>
          <w:szCs w:val="24"/>
          <w:u w:val="single"/>
        </w:rPr>
      </w:pPr>
      <w:r>
        <w:rPr>
          <w:rFonts w:ascii="Times New Roman" w:cs="Times New Roman" w:eastAsia="Times New Roman" w:hAnsi="Times New Roman"/>
          <w:b/>
          <w:color w:val="000000"/>
          <w:sz w:val="24"/>
          <w:szCs w:val="24"/>
          <w:u w:val="single"/>
        </w:rPr>
        <w:t xml:space="preserve">“The SWOT Analysis' advantages and disadvantages </w:t>
      </w:r>
    </w:p>
    <w:p>
      <w:pPr>
        <w:pStyle w:val="style179"/>
        <w:numPr>
          <w:ilvl w:val="0"/>
          <w:numId w:val="9"/>
        </w:numPr>
        <w:tabs>
          <w:tab w:val="left" w:leader="none" w:pos="8385"/>
        </w:tabs>
        <w:spacing w:lineRule="auto" w:line="360"/>
        <w:jc w:val="both"/>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“Advantages”</w:t>
      </w:r>
    </w:p>
    <w:p>
      <w:pPr>
        <w:pStyle w:val="style0"/>
        <w:tabs>
          <w:tab w:val="left" w:leader="none" w:pos="8385"/>
        </w:tabs>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1. The presence of a few retail outlets eases back portion of the overall industry gain.</w:t>
      </w:r>
    </w:p>
    <w:p>
      <w:pPr>
        <w:pStyle w:val="style0"/>
        <w:tabs>
          <w:tab w:val="left" w:leader="none" w:pos="8385"/>
        </w:tabs>
        <w:spacing w:lineRule="auto" w:line="360"/>
        <w:jc w:val="both"/>
        <w:rPr>
          <w:rFonts w:ascii="Times New Roman" w:cs="Times New Roman" w:eastAsia="Times New Roman" w:hAnsi="Times New Roman"/>
          <w:b/>
          <w:color w:val="000000"/>
          <w:sz w:val="24"/>
          <w:szCs w:val="24"/>
        </w:rPr>
      </w:pPr>
      <w:r>
        <w:rPr>
          <w:rFonts w:ascii="Times New Roman" w:cs="Times New Roman" w:eastAsia="Times New Roman" w:hAnsi="Times New Roman"/>
          <w:color w:val="000000"/>
          <w:sz w:val="24"/>
          <w:szCs w:val="24"/>
        </w:rPr>
        <w:t>2. Debenhams has not connected with a wide range of clients and has a limited overall geographic impression (DAVIES, 2013).</w:t>
      </w:r>
    </w:p>
    <w:p>
      <w:pPr>
        <w:pStyle w:val="style179"/>
        <w:numPr>
          <w:ilvl w:val="0"/>
          <w:numId w:val="9"/>
        </w:numPr>
        <w:tabs>
          <w:tab w:val="left" w:leader="none" w:pos="8385"/>
        </w:tabs>
        <w:spacing w:lineRule="auto" w:line="360"/>
        <w:jc w:val="both"/>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 xml:space="preserve"> “Disadvantages”</w:t>
      </w:r>
    </w:p>
    <w:p>
      <w:pPr>
        <w:pStyle w:val="style0"/>
        <w:shd w:val="clear" w:color="auto" w:fill="ffffff"/>
        <w:spacing w:before="120" w:after="12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1. Debenhams has solid brand value in the attire business and great client review.</w:t>
      </w:r>
    </w:p>
    <w:p>
      <w:pPr>
        <w:pStyle w:val="style0"/>
        <w:shd w:val="clear" w:color="auto" w:fill="ffffff"/>
        <w:spacing w:before="120" w:after="12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2. The firm has 150+ outlets in the United Kingdom, Ireland, and Denmark, and has a presence in around 20 nations.</w:t>
      </w:r>
    </w:p>
    <w:p>
      <w:pPr>
        <w:pStyle w:val="style0"/>
        <w:shd w:val="clear" w:color="auto" w:fill="ffffff"/>
        <w:spacing w:before="120" w:after="12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 xml:space="preserve">3. Debenhams has strength in merger and acquisitions of companies </w:t>
      </w:r>
      <w:r>
        <w:rPr>
          <w:rFonts w:ascii="Times New Roman" w:cs="Times New Roman" w:hAnsi="Times New Roman"/>
          <w:color w:val="000000"/>
          <w:sz w:val="24"/>
          <w:szCs w:val="24"/>
          <w:shd w:val="clear" w:color="auto" w:fill="ffffff"/>
        </w:rPr>
        <w:t>(DAVIES, 2013).</w:t>
      </w:r>
    </w:p>
    <w:p>
      <w:pPr>
        <w:pStyle w:val="style179"/>
        <w:numPr>
          <w:ilvl w:val="0"/>
          <w:numId w:val="7"/>
        </w:numPr>
        <w:tabs>
          <w:tab w:val="left" w:leader="none" w:pos="8385"/>
        </w:tabs>
        <w:spacing w:lineRule="auto" w:line="360"/>
        <w:jc w:val="both"/>
        <w:rPr>
          <w:rFonts w:ascii="Times New Roman" w:cs="Times New Roman" w:eastAsia="Times New Roman" w:hAnsi="Times New Roman"/>
          <w:b/>
          <w:color w:val="000000"/>
          <w:sz w:val="24"/>
          <w:szCs w:val="24"/>
          <w:u w:val="single"/>
        </w:rPr>
      </w:pPr>
      <w:r>
        <w:rPr>
          <w:rFonts w:ascii="Times New Roman" w:cs="Times New Roman" w:hAnsi="Times New Roman"/>
          <w:b/>
          <w:color w:val="000000"/>
          <w:sz w:val="24"/>
          <w:szCs w:val="24"/>
          <w:u w:val="single"/>
        </w:rPr>
        <w:t xml:space="preserve"> “Segmentation Targeting and Positioning”</w:t>
      </w:r>
    </w:p>
    <w:p>
      <w:pPr>
        <w:pStyle w:val="style179"/>
        <w:numPr>
          <w:ilvl w:val="0"/>
          <w:numId w:val="5"/>
        </w:numPr>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b/>
          <w:color w:val="000000"/>
          <w:sz w:val="24"/>
          <w:szCs w:val="24"/>
        </w:rPr>
        <w:t xml:space="preserve">“Segmentation” </w:t>
      </w:r>
    </w:p>
    <w:p>
      <w:pPr>
        <w:pStyle w:val="style0"/>
        <w:tabs>
          <w:tab w:val="left" w:leader="none" w:pos="8385"/>
        </w:tabs>
        <w:spacing w:lineRule="auto" w:line="360"/>
        <w:ind w:left="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 xml:space="preserve">Debenhams involves geographic division in unfamiliar commercial centers since imminent customers have different societies, tastes, and regulatory frameworks. Style and top of the line quality. Debenhams has a more grounded offer; in any case, it ought to portion clients in light of two significant segment standards: forthcoming client pay and life cycle stage (Dibs, 2010). </w:t>
      </w:r>
    </w:p>
    <w:p>
      <w:pPr>
        <w:pStyle w:val="style0"/>
        <w:tabs>
          <w:tab w:val="left" w:leader="none" w:pos="8385"/>
        </w:tabs>
        <w:spacing w:lineRule="auto" w:line="360"/>
        <w:ind w:left="360"/>
        <w:jc w:val="both"/>
        <w:rPr>
          <w:rFonts w:ascii="Times New Roman" w:cs="Times New Roman" w:hAnsi="Times New Roman"/>
          <w:color w:val="000000"/>
          <w:sz w:val="24"/>
          <w:szCs w:val="24"/>
        </w:rPr>
      </w:pPr>
      <w:r>
        <w:rPr>
          <w:rFonts w:ascii="Times New Roman" w:cs="Times New Roman" w:hAnsi="Times New Roman"/>
          <w:color w:val="000000"/>
          <w:sz w:val="24"/>
          <w:szCs w:val="24"/>
        </w:rPr>
        <w:t>Way of life related leisure activities, exercises, and conclusions are delegated psychographic factors in the promoting area. Debenhams might use psychographic division to divide likely customers into particular gatherings in light of character qualities, buying designs, utilization suppositions, social issues assessments, relaxation exercises, leisure activities, and numerous different variables. Psychographic division is fruitful on the grounds that people in a similar segment could have unmistakable psychographic highlights in view of their special educational encounters and childhood. Purchasers are partitioned into bunches in view of their mentalities, item information, item utilization, and different reactions to an item in social division. Many promoting masters feel that conduct factors are a brilliant spot to begin while making buyer classes. For any help, for instance, the freemium model is an extensively more effective division procedure than local, segment, or psychographic division. Conduct division might help an association in zeroing in on fundamental highlights and giving customers includes that they are bound to use. Consistent contribution brings about expanded consumer loyalty and a high net advertiser score. Despite the fact that they live in different countries, societies, and political frameworks, numerous clients have comparative needs, necessities, and buying propensities. For this situation, Debenhams can utilize the idea of cross market division - recognizing and focusing on similar sort of buyer in a few business sectors - approach.</w:t>
      </w:r>
    </w:p>
    <w:p>
      <w:pPr>
        <w:pStyle w:val="style0"/>
        <w:tabs>
          <w:tab w:val="left" w:leader="none" w:pos="8385"/>
        </w:tabs>
        <w:spacing w:lineRule="auto" w:line="360"/>
        <w:ind w:left="360"/>
        <w:jc w:val="both"/>
        <w:rPr>
          <w:rFonts w:ascii="Times New Roman" w:cs="Times New Roman" w:hAnsi="Times New Roman"/>
          <w:color w:val="000000"/>
          <w:sz w:val="24"/>
          <w:szCs w:val="24"/>
        </w:rPr>
      </w:pPr>
    </w:p>
    <w:p>
      <w:pPr>
        <w:pStyle w:val="style0"/>
        <w:tabs>
          <w:tab w:val="left" w:leader="none" w:pos="8385"/>
        </w:tabs>
        <w:spacing w:lineRule="auto" w:line="360"/>
        <w:ind w:left="360"/>
        <w:jc w:val="both"/>
        <w:rPr>
          <w:rFonts w:ascii="Times New Roman" w:cs="Times New Roman" w:hAnsi="Times New Roman"/>
          <w:color w:val="000000"/>
          <w:sz w:val="24"/>
          <w:szCs w:val="24"/>
        </w:rPr>
      </w:pPr>
      <w:r>
        <w:rPr>
          <w:rFonts w:ascii="Times New Roman" w:cs="Times New Roman" w:hAnsi="Times New Roman"/>
          <w:color w:val="000000"/>
          <w:sz w:val="24"/>
          <w:szCs w:val="24"/>
        </w:rPr>
        <w:t>Debenhams' promoting group shouldn't depend on a solitary division procedure. Truly, different components ought to be utilized to all the more likely characterize and recognize target gatherings and fragments.</w:t>
      </w:r>
    </w:p>
    <w:p>
      <w:pPr>
        <w:pStyle w:val="style179"/>
        <w:numPr>
          <w:ilvl w:val="0"/>
          <w:numId w:val="5"/>
        </w:numPr>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b/>
          <w:color w:val="000000"/>
          <w:sz w:val="24"/>
          <w:szCs w:val="24"/>
        </w:rPr>
        <w:t xml:space="preserve">“Targeting” </w:t>
      </w:r>
    </w:p>
    <w:p>
      <w:pPr>
        <w:pStyle w:val="style0"/>
        <w:tabs>
          <w:tab w:val="left" w:leader="none" w:pos="8385"/>
        </w:tabs>
        <w:spacing w:lineRule="auto" w:line="360"/>
        <w:ind w:left="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Debanhams' objective segment is upper working class individuals. The business allure and development capability of distinguished portions can be utilized to target. Debenhams Plc might choose at least one fragments in view of the qualities of the portions and the organization's assets, skills, and development goals. - Target portion rivalry - What is the level of contest in the objective section? Assuming rivalry is extreme, there is less possibility of long haul feasible edges.</w:t>
      </w:r>
    </w:p>
    <w:p>
      <w:pPr>
        <w:pStyle w:val="style0"/>
        <w:tabs>
          <w:tab w:val="left" w:leader="none" w:pos="8385"/>
        </w:tabs>
        <w:spacing w:lineRule="auto" w:line="360"/>
        <w:ind w:left="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 Association's motivation, vision, and customer section fit - Is the focusing on reliable with the Debenhams' vision, mission, ethos, values, and vital fit?</w:t>
      </w:r>
    </w:p>
    <w:p>
      <w:pPr>
        <w:pStyle w:val="style0"/>
        <w:tabs>
          <w:tab w:val="left" w:leader="none" w:pos="8385"/>
        </w:tabs>
        <w:spacing w:lineRule="auto" w:line="360"/>
        <w:ind w:left="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 The objective market's monetary return potential - Debenhams should decide whether the area it plans to target is monetarily worthwhile.</w:t>
      </w:r>
    </w:p>
    <w:p>
      <w:pPr>
        <w:pStyle w:val="style0"/>
        <w:tabs>
          <w:tab w:val="left" w:leader="none" w:pos="8385"/>
        </w:tabs>
        <w:spacing w:lineRule="auto" w:line="360"/>
        <w:ind w:left="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 xml:space="preserve">- Administrative and other entry obstacles - Will Debenhams face any administrative or mechanical hindrances on the off chance that it chooses to enter the market? (Jaworski, 2018). </w:t>
      </w:r>
    </w:p>
    <w:p>
      <w:pPr>
        <w:pStyle w:val="style179"/>
        <w:numPr>
          <w:ilvl w:val="0"/>
          <w:numId w:val="5"/>
        </w:numPr>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color w:val="000000"/>
          <w:sz w:val="24"/>
          <w:szCs w:val="24"/>
          <w:shd w:val="clear" w:color="auto" w:fill="ffffff"/>
        </w:rPr>
        <w:t>“</w:t>
      </w:r>
      <w:r>
        <w:rPr>
          <w:rFonts w:ascii="Times New Roman" w:cs="Times New Roman" w:hAnsi="Times New Roman"/>
          <w:b/>
          <w:color w:val="000000"/>
          <w:sz w:val="24"/>
          <w:szCs w:val="24"/>
        </w:rPr>
        <w:t xml:space="preserve">Positioning” </w:t>
      </w:r>
    </w:p>
    <w:p>
      <w:pPr>
        <w:pStyle w:val="style0"/>
        <w:tabs>
          <w:tab w:val="left" w:leader="none" w:pos="8385"/>
        </w:tabs>
        <w:spacing w:lineRule="auto" w:line="360"/>
        <w:ind w:left="360"/>
        <w:jc w:val="both"/>
        <w:rPr>
          <w:rFonts w:ascii="Times New Roman" w:cs="Times New Roman" w:hAnsi="Times New Roman"/>
          <w:b/>
          <w:color w:val="000000"/>
          <w:sz w:val="24"/>
          <w:szCs w:val="24"/>
          <w:u w:val="single"/>
        </w:rPr>
      </w:pPr>
      <w:r>
        <w:rPr>
          <w:rFonts w:ascii="Times New Roman" w:cs="Times New Roman" w:hAnsi="Times New Roman"/>
          <w:color w:val="000000"/>
          <w:sz w:val="24"/>
          <w:szCs w:val="24"/>
        </w:rPr>
        <w:t>Debenhams is a retail brand that gives remarkable style. "making the idea more important and all the more immovably dealing with the brand portfolio." "We will spend in the maximum advertising to help our goal to lay out brands with their own image value as well as overall allure," the business expressed (Khan, 2014).</w:t>
      </w:r>
    </w:p>
    <w:p>
      <w:pPr>
        <w:pStyle w:val="style179"/>
        <w:numPr>
          <w:ilvl w:val="0"/>
          <w:numId w:val="7"/>
        </w:numPr>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u w:val="single"/>
        </w:rPr>
        <w:t xml:space="preserve"> “The Marketing Mix with diagram”</w:t>
      </w:r>
    </w:p>
    <w:p>
      <w:pPr>
        <w:pStyle w:val="style0"/>
        <w:tabs>
          <w:tab w:val="left" w:leader="none" w:pos="8385"/>
        </w:tabs>
        <w:spacing w:lineRule="auto" w:line="360"/>
        <w:jc w:val="center"/>
        <w:rPr>
          <w:rFonts w:ascii="Times New Roman" w:cs="Times New Roman" w:hAnsi="Times New Roman"/>
          <w:b/>
          <w:color w:val="000000"/>
          <w:sz w:val="24"/>
          <w:szCs w:val="24"/>
        </w:rPr>
      </w:pPr>
      <w:r>
        <w:rPr>
          <w:rFonts w:ascii="Times New Roman" w:cs="Times New Roman" w:hAnsi="Times New Roman"/>
          <w:b/>
          <w:color w:val="000000"/>
          <w:sz w:val="24"/>
          <w:szCs w:val="24"/>
        </w:rPr>
        <w:t>Fig 5</w:t>
      </w:r>
    </w:p>
    <w:p>
      <w:pPr>
        <w:pStyle w:val="style0"/>
        <w:tabs>
          <w:tab w:val="left" w:leader="none" w:pos="8385"/>
        </w:tabs>
        <w:spacing w:lineRule="auto" w:line="360"/>
        <w:jc w:val="center"/>
        <w:rPr>
          <w:rFonts w:ascii="Times New Roman" w:cs="Times New Roman" w:hAnsi="Times New Roman"/>
          <w:b/>
          <w:color w:val="000000"/>
          <w:sz w:val="24"/>
          <w:szCs w:val="24"/>
        </w:rPr>
      </w:pPr>
      <w:r>
        <w:rPr>
          <w:rFonts w:ascii="Times New Roman" w:cs="Times New Roman" w:hAnsi="Times New Roman"/>
          <w:noProof/>
          <w:color w:val="000000"/>
          <w:sz w:val="24"/>
          <w:szCs w:val="24"/>
        </w:rPr>
        <w:drawing>
          <wp:inline distL="0" distT="0" distB="0" distR="0">
            <wp:extent cx="3343275" cy="3343275"/>
            <wp:effectExtent l="0" t="0" r="0" b="0"/>
            <wp:docPr id="1029" name="Picture 4" descr="Marketing Mix - Definition, 4 P, 7 P of Marketing, Example, Element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6" cstate="print"/>
                    <a:srcRect l="0" t="0" r="0" b="0"/>
                    <a:stretch/>
                  </pic:blipFill>
                  <pic:spPr>
                    <a:xfrm rot="0">
                      <a:off x="0" y="0"/>
                      <a:ext cx="3343275" cy="3343275"/>
                    </a:xfrm>
                    <a:prstGeom prst="rect"/>
                    <a:ln>
                      <a:noFill/>
                    </a:ln>
                  </pic:spPr>
                </pic:pic>
              </a:graphicData>
            </a:graphic>
          </wp:inline>
        </w:drawing>
      </w:r>
    </w:p>
    <w:p>
      <w:pPr>
        <w:pStyle w:val="style0"/>
        <w:tabs>
          <w:tab w:val="left" w:leader="none" w:pos="8385"/>
        </w:tabs>
        <w:spacing w:lineRule="auto" w:line="360"/>
        <w:jc w:val="center"/>
        <w:rPr>
          <w:rFonts w:ascii="Times New Roman" w:cs="Times New Roman" w:hAnsi="Times New Roman"/>
          <w:b/>
          <w:color w:val="000000"/>
          <w:sz w:val="24"/>
          <w:szCs w:val="24"/>
        </w:rPr>
      </w:pPr>
      <w:r>
        <w:rPr>
          <w:rFonts w:ascii="Times New Roman" w:cs="Times New Roman" w:hAnsi="Times New Roman"/>
          <w:b/>
          <w:color w:val="000000"/>
          <w:sz w:val="24"/>
          <w:szCs w:val="24"/>
        </w:rPr>
        <w:t>“Source: Byju’s.com”</w:t>
      </w:r>
    </w:p>
    <w:p>
      <w:pPr>
        <w:pStyle w:val="style179"/>
        <w:numPr>
          <w:ilvl w:val="0"/>
          <w:numId w:val="5"/>
        </w:numPr>
        <w:spacing w:after="15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 xml:space="preserve">“Product” </w:t>
      </w:r>
    </w:p>
    <w:p>
      <w:pPr>
        <w:pStyle w:val="style0"/>
        <w:spacing w:after="15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color w:val="000000"/>
          <w:sz w:val="24"/>
          <w:szCs w:val="24"/>
        </w:rPr>
        <w:t>Debenhams' showcasing system incorporates the accompanying item technique and blend: Debenhams is an enormous multi-brand retail shop arranged in the United Kingdom. Debenhams sells the two its own image and unfamiliar brands. Debenhams likewise gives different administrations like eateries and bistros, styling and excellence administrations, celebratory gift administrations, and individual shopping help. Debenhams puts resources into plan for its marked items through elite originators like Laura Oaks, Andrew Fionda, and others. These architect things are just accessible at Debenhams. Debenhams' site offers its web-based shoppers different items and administrations (Dabija et al., 2014).</w:t>
      </w:r>
    </w:p>
    <w:p>
      <w:pPr>
        <w:pStyle w:val="style179"/>
        <w:numPr>
          <w:ilvl w:val="0"/>
          <w:numId w:val="5"/>
        </w:numPr>
        <w:spacing w:after="15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 xml:space="preserve">"Price" </w:t>
      </w:r>
    </w:p>
    <w:p>
      <w:pPr>
        <w:pStyle w:val="style0"/>
        <w:spacing w:after="150" w:lineRule="auto" w:line="360"/>
        <w:jc w:val="both"/>
        <w:rPr>
          <w:rFonts w:ascii="Times New Roman" w:cs="Times New Roman" w:eastAsia="Times New Roman" w:hAnsi="Times New Roman"/>
          <w:b/>
          <w:bCs/>
          <w:color w:val="000000"/>
          <w:sz w:val="24"/>
          <w:szCs w:val="24"/>
        </w:rPr>
      </w:pPr>
      <w:r>
        <w:rPr>
          <w:rFonts w:ascii="Times New Roman" w:cs="Times New Roman" w:hAnsi="Times New Roman"/>
          <w:color w:val="000000"/>
          <w:sz w:val="24"/>
          <w:szCs w:val="24"/>
          <w:shd w:val="clear" w:color="auto" w:fill="ffffff"/>
        </w:rPr>
        <w:t>As a result of the dubious economic situations and disturbance created by web shopping destinations, Debenhams sells its items seriously. Debenhams has been giving long haul limits to blowout sales of its product; by the by, such decreases impact the association's main concern, and because of financial backer tension, the organization has decided to lessen profound rebate offers and span. Debenhams' immediate channel, which is web based shopping, likewise offers gigantic limits for extensive timeframes to further develop deals volume. Because of its selective planner stock, it charges an unassuming premium over the market base cost on fresh introductions and sharp dress (Dabija et al., 2014).</w:t>
      </w:r>
    </w:p>
    <w:p>
      <w:pPr>
        <w:pStyle w:val="style179"/>
        <w:numPr>
          <w:ilvl w:val="0"/>
          <w:numId w:val="5"/>
        </w:numPr>
        <w:spacing w:after="150" w:lineRule="auto" w:line="360"/>
        <w:jc w:val="both"/>
        <w:rPr>
          <w:rFonts w:ascii="Times New Roman" w:cs="Times New Roman" w:eastAsia="Times New Roman" w:hAnsi="Times New Roman"/>
          <w:b/>
          <w:bCs/>
          <w:color w:val="000000"/>
          <w:sz w:val="24"/>
          <w:szCs w:val="24"/>
        </w:rPr>
      </w:pPr>
      <w:r>
        <w:rPr>
          <w:rFonts w:ascii="Times New Roman" w:cs="Times New Roman" w:eastAsia="Times New Roman" w:hAnsi="Times New Roman"/>
          <w:b/>
          <w:bCs/>
          <w:color w:val="000000"/>
          <w:sz w:val="24"/>
          <w:szCs w:val="24"/>
        </w:rPr>
        <w:t xml:space="preserve">"Place" </w:t>
      </w:r>
    </w:p>
    <w:p>
      <w:pPr>
        <w:pStyle w:val="style0"/>
        <w:spacing w:after="150" w:lineRule="auto" w:line="360"/>
        <w:jc w:val="both"/>
        <w:rPr>
          <w:rFonts w:ascii="Times New Roman" w:cs="Times New Roman" w:eastAsia="Times New Roman" w:hAnsi="Times New Roman"/>
          <w:b/>
          <w:bCs/>
          <w:color w:val="000000"/>
          <w:sz w:val="24"/>
          <w:szCs w:val="24"/>
        </w:rPr>
      </w:pPr>
      <w:r>
        <w:rPr>
          <w:rFonts w:ascii="Times New Roman" w:cs="Times New Roman" w:hAnsi="Times New Roman"/>
          <w:color w:val="000000"/>
          <w:sz w:val="24"/>
          <w:szCs w:val="24"/>
          <w:shd w:val="clear" w:color="auto" w:fill="ffffff"/>
        </w:rPr>
        <w:t>Debenhams has around 240 division shops in 27 nations. The firm has created through a securing system, expanding its shop count by buying more modest brick and mortar stores. The appropriation course of the organization is partitioned into two sections: UK and International. Ireland and the United Kingdom are remembered for the United Kingdom segment. Debenhams works 67 outlets in 22 nations through its global business. Debenhams utilizes a neighborhood adaption approach in its showcasing blend, and that implies that its stores are developed and things are supplied as per nearby preferences and social prerequisites. In any case, extraordinary consideration is taken to guarantee that these stores immediately address the Debenhams brand. The organization's point is to team up with few local establishment accomplices (Dabija et al., 2014).</w:t>
      </w:r>
      <w:r>
        <w:rPr>
          <w:rFonts w:ascii="Times New Roman" w:cs="Times New Roman" w:eastAsia="Times New Roman" w:hAnsi="Times New Roman"/>
          <w:b/>
          <w:bCs/>
          <w:color w:val="000000"/>
          <w:sz w:val="24"/>
          <w:szCs w:val="24"/>
        </w:rPr>
        <w:t xml:space="preserve"> </w:t>
      </w:r>
    </w:p>
    <w:p>
      <w:pPr>
        <w:pStyle w:val="style179"/>
        <w:numPr>
          <w:ilvl w:val="0"/>
          <w:numId w:val="5"/>
        </w:numPr>
        <w:spacing w:after="150"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b/>
          <w:bCs/>
          <w:color w:val="000000"/>
          <w:sz w:val="24"/>
          <w:szCs w:val="24"/>
        </w:rPr>
        <w:t>“Promotion”</w:t>
      </w:r>
    </w:p>
    <w:p>
      <w:pPr>
        <w:pStyle w:val="style0"/>
        <w:spacing w:after="150"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 xml:space="preserve">Debenhams advances itself with 360-degree promoting. It burns through cash on TV promoting as well as advanced media showcasing on YouTube and Pinterest. The firm may likewise be found via online entertainment destinations like Facebook, Twitter, Google+, and Instagram. Debenhams has adjusted its promoting approach in the wake of seeing decreased productivity with its earlier arrangement. The enterprise has selected to have an additional obviously characterized deals season and less long periods of publicizing under its new methodology. Debenhams' mission centers around client brain science instead of what contenders are doing. Under this methodology, the organization has focused on conveying premium conveyance decisions, for example, following day snap and gather and expanding working hours. The organization has likewise extended how much region put away for snap and gather. Debenhams utilized TV sponsorship to support shopper review. It takes part in CSR exercises, for example, magnanimous work to reinforce local area joins (Dabija et al., 2014). </w:t>
      </w:r>
    </w:p>
    <w:p>
      <w:pPr>
        <w:pStyle w:val="style0"/>
        <w:spacing w:after="150" w:lineRule="auto" w:line="360"/>
        <w:jc w:val="both"/>
        <w:rPr>
          <w:rFonts w:ascii="Times New Roman" w:cs="Times New Roman" w:hAnsi="Times New Roman"/>
          <w:b/>
          <w:color w:val="000000"/>
          <w:sz w:val="24"/>
          <w:szCs w:val="24"/>
          <w:u w:val="single"/>
        </w:rPr>
      </w:pPr>
      <w:r>
        <w:rPr>
          <w:rFonts w:ascii="Times New Roman" w:cs="Times New Roman" w:hAnsi="Times New Roman"/>
          <w:b/>
          <w:color w:val="000000"/>
          <w:sz w:val="24"/>
          <w:szCs w:val="24"/>
          <w:u w:val="single"/>
        </w:rPr>
        <w:t>“The Ansoff Matrix”</w:t>
      </w:r>
    </w:p>
    <w:p>
      <w:pPr>
        <w:pStyle w:val="style179"/>
        <w:tabs>
          <w:tab w:val="left" w:leader="none" w:pos="8385"/>
        </w:tabs>
        <w:spacing w:lineRule="auto" w:line="360"/>
        <w:jc w:val="both"/>
        <w:rPr>
          <w:rFonts w:ascii="Times New Roman" w:cs="Times New Roman" w:hAnsi="Times New Roman"/>
          <w:b/>
          <w:color w:val="000000"/>
          <w:sz w:val="24"/>
          <w:szCs w:val="24"/>
        </w:rPr>
      </w:pPr>
    </w:p>
    <w:p>
      <w:pPr>
        <w:pStyle w:val="style179"/>
        <w:tabs>
          <w:tab w:val="left" w:leader="none" w:pos="8385"/>
        </w:tabs>
        <w:spacing w:lineRule="auto" w:line="360"/>
        <w:jc w:val="center"/>
        <w:rPr>
          <w:rFonts w:ascii="Times New Roman" w:cs="Times New Roman" w:hAnsi="Times New Roman"/>
          <w:b/>
          <w:color w:val="000000"/>
          <w:sz w:val="24"/>
          <w:szCs w:val="24"/>
        </w:rPr>
      </w:pPr>
      <w:r>
        <w:rPr>
          <w:rFonts w:ascii="Times New Roman" w:cs="Times New Roman" w:hAnsi="Times New Roman"/>
          <w:b/>
          <w:color w:val="000000"/>
          <w:sz w:val="24"/>
          <w:szCs w:val="24"/>
        </w:rPr>
        <w:t>“Figure 7:  Ansoff matrix”</w:t>
      </w:r>
    </w:p>
    <w:p>
      <w:pPr>
        <w:pStyle w:val="style179"/>
        <w:tabs>
          <w:tab w:val="left" w:leader="none" w:pos="8385"/>
        </w:tabs>
        <w:spacing w:lineRule="auto" w:line="360"/>
        <w:jc w:val="center"/>
        <w:rPr>
          <w:rFonts w:ascii="Times New Roman" w:cs="Times New Roman" w:hAnsi="Times New Roman"/>
          <w:color w:val="000000"/>
          <w:sz w:val="24"/>
          <w:szCs w:val="24"/>
        </w:rPr>
      </w:pPr>
      <w:r>
        <w:rPr>
          <w:rFonts w:ascii="Times New Roman" w:cs="Times New Roman" w:hAnsi="Times New Roman"/>
          <w:noProof/>
          <w:color w:val="000000"/>
          <w:sz w:val="24"/>
          <w:szCs w:val="24"/>
        </w:rPr>
        <w:drawing>
          <wp:inline distL="0" distT="0" distB="0" distR="0">
            <wp:extent cx="5943600" cy="3343275"/>
            <wp:effectExtent l="0" t="0" r="0" b="0"/>
            <wp:docPr id="1030" name="Picture 5" descr="Ansoff Matrix | Business | tutor2u"/>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7" cstate="print"/>
                    <a:srcRect l="0" t="0" r="0" b="0"/>
                    <a:stretch/>
                  </pic:blipFill>
                  <pic:spPr>
                    <a:xfrm rot="0">
                      <a:off x="0" y="0"/>
                      <a:ext cx="5943600" cy="3343275"/>
                    </a:xfrm>
                    <a:prstGeom prst="rect"/>
                    <a:ln>
                      <a:noFill/>
                    </a:ln>
                  </pic:spPr>
                </pic:pic>
              </a:graphicData>
            </a:graphic>
          </wp:inline>
        </w:drawing>
      </w:r>
    </w:p>
    <w:p>
      <w:pPr>
        <w:pStyle w:val="style179"/>
        <w:spacing w:lineRule="auto" w:line="360"/>
        <w:jc w:val="center"/>
        <w:rPr>
          <w:rFonts w:ascii="Times New Roman" w:cs="Times New Roman" w:hAnsi="Times New Roman"/>
          <w:b/>
          <w:color w:val="000000"/>
          <w:sz w:val="24"/>
          <w:szCs w:val="24"/>
        </w:rPr>
      </w:pPr>
      <w:r>
        <w:rPr>
          <w:rFonts w:ascii="Times New Roman" w:cs="Times New Roman" w:hAnsi="Times New Roman"/>
          <w:b/>
          <w:color w:val="000000"/>
          <w:sz w:val="24"/>
          <w:szCs w:val="24"/>
        </w:rPr>
        <w:t>“Source: Tutor2u.com”</w:t>
      </w:r>
    </w:p>
    <w:p>
      <w:pPr>
        <w:pStyle w:val="style179"/>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b/>
          <w:color w:val="000000"/>
          <w:sz w:val="24"/>
          <w:szCs w:val="24"/>
        </w:rPr>
        <w:t>“Market Penetration”</w:t>
      </w:r>
    </w:p>
    <w:p>
      <w:pPr>
        <w:pStyle w:val="style179"/>
        <w:numPr>
          <w:ilvl w:val="0"/>
          <w:numId w:val="5"/>
        </w:numPr>
        <w:tabs>
          <w:tab w:val="left" w:leader="none" w:pos="8385"/>
        </w:tabs>
        <w:spacing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Organizations that need development for existing items in nations where their brands are now working use the market entrance approach (Daft, 2016).</w:t>
      </w:r>
    </w:p>
    <w:p>
      <w:pPr>
        <w:pStyle w:val="style179"/>
        <w:numPr>
          <w:ilvl w:val="0"/>
          <w:numId w:val="5"/>
        </w:numPr>
        <w:tabs>
          <w:tab w:val="left" w:leader="none" w:pos="8385"/>
        </w:tabs>
        <w:spacing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With expanded assembling limit, Debenhams Plc would have the option to arrive at additional clients inside a similar market.</w:t>
      </w:r>
    </w:p>
    <w:p>
      <w:pPr>
        <w:pStyle w:val="style179"/>
        <w:numPr>
          <w:ilvl w:val="0"/>
          <w:numId w:val="5"/>
        </w:numPr>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color w:val="000000"/>
          <w:sz w:val="24"/>
          <w:szCs w:val="24"/>
          <w:shd w:val="clear" w:color="auto" w:fill="ffffff"/>
        </w:rPr>
        <w:t xml:space="preserve">Expanded creation limit would likewise prompt expanded proficiency and adequacy, especially with regards to controlling above costs. </w:t>
      </w:r>
    </w:p>
    <w:p>
      <w:pPr>
        <w:pStyle w:val="style179"/>
        <w:numPr>
          <w:ilvl w:val="0"/>
          <w:numId w:val="5"/>
        </w:numPr>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color w:val="000000"/>
          <w:sz w:val="24"/>
          <w:szCs w:val="24"/>
          <w:shd w:val="clear" w:color="auto" w:fill="ffffff"/>
        </w:rPr>
        <w:t xml:space="preserve">Controlled above expenses would prompt cutthroat evaluating and would engage shoppers in a similar market.  </w:t>
      </w:r>
    </w:p>
    <w:p>
      <w:pPr>
        <w:pStyle w:val="style179"/>
        <w:numPr>
          <w:ilvl w:val="0"/>
          <w:numId w:val="5"/>
        </w:numPr>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color w:val="000000"/>
          <w:sz w:val="24"/>
          <w:szCs w:val="24"/>
          <w:shd w:val="clear" w:color="auto" w:fill="ffffff"/>
        </w:rPr>
        <w:t>The Debenhams Plc can likewise expand its interest in promoting and publicizing exercises to increment market entrance.</w:t>
      </w:r>
      <w:r>
        <w:rPr>
          <w:rFonts w:ascii="Times New Roman" w:cs="Times New Roman" w:hAnsi="Times New Roman"/>
          <w:b/>
          <w:color w:val="000000"/>
          <w:sz w:val="24"/>
          <w:szCs w:val="24"/>
          <w:shd w:val="clear" w:color="auto" w:fill="ffffff"/>
        </w:rPr>
        <w:t xml:space="preserve"> </w:t>
      </w:r>
    </w:p>
    <w:p>
      <w:pPr>
        <w:pStyle w:val="style179"/>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b/>
          <w:color w:val="000000"/>
          <w:sz w:val="24"/>
          <w:szCs w:val="24"/>
        </w:rPr>
        <w:t>“Market Development”</w:t>
      </w:r>
    </w:p>
    <w:p>
      <w:pPr>
        <w:pStyle w:val="style0"/>
        <w:numPr>
          <w:ilvl w:val="0"/>
          <w:numId w:val="10"/>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Debenhams Plc might support corporate development by bringing current things into new regions by means of market extension strategies. Debenhams Plc will actually want to do this through a few strategies (Grant, 2010).</w:t>
      </w:r>
    </w:p>
    <w:p>
      <w:pPr>
        <w:pStyle w:val="style0"/>
        <w:numPr>
          <w:ilvl w:val="0"/>
          <w:numId w:val="10"/>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Why Debenhams Plc ought to spend in R&amp;D to track down expected new business sectors and client classifications for its items.</w:t>
      </w:r>
    </w:p>
    <w:p>
      <w:pPr>
        <w:pStyle w:val="style0"/>
        <w:numPr>
          <w:ilvl w:val="0"/>
          <w:numId w:val="10"/>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Research and development ought to zero in on finding and understanding different market societies, patterns, and shopper ways of behaving - and how they contrast from present market buyer ways of behaving.</w:t>
      </w:r>
    </w:p>
    <w:p>
      <w:pPr>
        <w:pStyle w:val="style0"/>
        <w:numPr>
          <w:ilvl w:val="0"/>
          <w:numId w:val="10"/>
        </w:numPr>
        <w:shd w:val="clear" w:color="auto" w:fill="ffffff"/>
        <w:spacing w:before="100" w:beforeAutospacing="true" w:after="100" w:afterAutospacing="true" w:lineRule="auto" w:line="360"/>
        <w:jc w:val="both"/>
        <w:rPr>
          <w:rFonts w:ascii="Times New Roman" w:cs="Times New Roman" w:eastAsia="Times New Roman" w:hAnsi="Times New Roman"/>
          <w:color w:val="000000"/>
          <w:sz w:val="24"/>
          <w:szCs w:val="24"/>
        </w:rPr>
      </w:pPr>
      <w:r>
        <w:rPr>
          <w:rFonts w:ascii="Times New Roman" w:cs="Times New Roman" w:hAnsi="Times New Roman"/>
          <w:color w:val="000000"/>
          <w:sz w:val="24"/>
          <w:szCs w:val="24"/>
          <w:shd w:val="clear" w:color="auto" w:fill="ffffff"/>
        </w:rPr>
        <w:t xml:space="preserve">Debenhams Plc can grow territorially. This incorporates neighborhood development to different urban areas or inside a similar geographic locale. </w:t>
      </w:r>
      <w:r>
        <w:rPr>
          <w:rFonts w:ascii="Times New Roman" w:cs="Times New Roman" w:eastAsia="Times New Roman" w:hAnsi="Times New Roman"/>
          <w:color w:val="000000"/>
          <w:sz w:val="24"/>
          <w:szCs w:val="24"/>
        </w:rPr>
        <w:t>Provincial development ought to likewise represent any social varieties that might should be taken care of concerning advertising or item variations, as well as utilization designs.</w:t>
      </w:r>
    </w:p>
    <w:p>
      <w:pPr>
        <w:pStyle w:val="style0"/>
        <w:numPr>
          <w:ilvl w:val="0"/>
          <w:numId w:val="10"/>
        </w:numPr>
        <w:shd w:val="clear" w:color="auto" w:fill="ffffff"/>
        <w:spacing w:before="100" w:beforeAutospacing="true" w:after="100" w:afterAutospacing="true"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Debenhams Plc might profit from corporate improvement through unfamiliar development.</w:t>
      </w:r>
    </w:p>
    <w:p>
      <w:pPr>
        <w:pStyle w:val="style0"/>
        <w:numPr>
          <w:ilvl w:val="0"/>
          <w:numId w:val="10"/>
        </w:numPr>
        <w:shd w:val="clear" w:color="auto" w:fill="ffffff"/>
        <w:spacing w:before="100" w:beforeAutospacing="true" w:after="100" w:afterAutospacing="true" w:lineRule="auto" w:line="360"/>
        <w:jc w:val="both"/>
        <w:rPr>
          <w:rFonts w:ascii="Times New Roman" w:cs="Times New Roman" w:hAnsi="Times New Roman"/>
          <w:b/>
          <w:color w:val="000000"/>
          <w:sz w:val="24"/>
          <w:szCs w:val="24"/>
        </w:rPr>
      </w:pPr>
      <w:r>
        <w:rPr>
          <w:rFonts w:ascii="Times New Roman" w:cs="Times New Roman" w:eastAsia="Times New Roman" w:hAnsi="Times New Roman"/>
          <w:color w:val="000000"/>
          <w:sz w:val="24"/>
          <w:szCs w:val="24"/>
        </w:rPr>
        <w:t>Global development will assist Debenhams Plc with arriving at new client fragments and lift its all out portion of the overall industry.</w:t>
      </w:r>
      <w:r>
        <w:rPr>
          <w:rFonts w:ascii="Times New Roman" w:cs="Times New Roman" w:eastAsia="Times New Roman" w:hAnsi="Times New Roman"/>
          <w:b/>
          <w:color w:val="000000"/>
          <w:sz w:val="24"/>
          <w:szCs w:val="24"/>
        </w:rPr>
        <w:t xml:space="preserve"> </w:t>
      </w:r>
    </w:p>
    <w:p>
      <w:pPr>
        <w:pStyle w:val="style0"/>
        <w:shd w:val="clear" w:color="auto" w:fill="ffffff"/>
        <w:spacing w:before="100" w:beforeAutospacing="true" w:after="100" w:afterAutospacing="true" w:lineRule="auto" w:line="360"/>
        <w:ind w:left="720"/>
        <w:jc w:val="both"/>
        <w:rPr>
          <w:rFonts w:ascii="Times New Roman" w:cs="Times New Roman" w:hAnsi="Times New Roman"/>
          <w:b/>
          <w:color w:val="000000"/>
          <w:sz w:val="24"/>
          <w:szCs w:val="24"/>
        </w:rPr>
      </w:pPr>
      <w:r>
        <w:rPr>
          <w:rFonts w:ascii="Times New Roman" w:cs="Times New Roman" w:hAnsi="Times New Roman"/>
          <w:b/>
          <w:color w:val="000000"/>
          <w:sz w:val="24"/>
          <w:szCs w:val="24"/>
        </w:rPr>
        <w:t>“Product Development”</w:t>
      </w:r>
    </w:p>
    <w:p>
      <w:pPr>
        <w:pStyle w:val="style179"/>
        <w:numPr>
          <w:ilvl w:val="0"/>
          <w:numId w:val="12"/>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Item improvement is the point at which a company endeavors to extend business development in existing regions by presenting new things. Debenhams Plc impacts item improvement in different ways (Hill and Jones, 2007).</w:t>
      </w:r>
    </w:p>
    <w:p>
      <w:pPr>
        <w:pStyle w:val="style179"/>
        <w:numPr>
          <w:ilvl w:val="0"/>
          <w:numId w:val="12"/>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 xml:space="preserve">Debenhams Plc can make changes and moves up to existing things to give clients better than ever choices. </w:t>
      </w:r>
    </w:p>
    <w:p>
      <w:pPr>
        <w:pStyle w:val="style179"/>
        <w:numPr>
          <w:ilvl w:val="0"/>
          <w:numId w:val="12"/>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This will bring about more noteworthy item deals and utilization.</w:t>
      </w:r>
    </w:p>
    <w:p>
      <w:pPr>
        <w:pStyle w:val="style179"/>
        <w:numPr>
          <w:ilvl w:val="0"/>
          <w:numId w:val="12"/>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Debenhams Plc habitually partakes in R&amp;D tasks to study and find new marks of client interest. The firm then goes through a NPD cycle, creating and sending off new shopper things on the lookout.</w:t>
      </w:r>
    </w:p>
    <w:p>
      <w:pPr>
        <w:pStyle w:val="style0"/>
        <w:shd w:val="clear" w:color="auto" w:fill="ffffff"/>
        <w:spacing w:before="100" w:beforeAutospacing="true" w:after="100" w:afterAutospacing="true" w:lineRule="auto" w:line="360"/>
        <w:jc w:val="both"/>
        <w:rPr>
          <w:rFonts w:ascii="Times New Roman" w:cs="Times New Roman" w:eastAsia="Times New Roman" w:hAnsi="Times New Roman"/>
          <w:b/>
          <w:color w:val="000000"/>
          <w:sz w:val="24"/>
          <w:szCs w:val="24"/>
        </w:rPr>
      </w:pPr>
      <w:r>
        <w:rPr>
          <w:rFonts w:ascii="Times New Roman" w:cs="Times New Roman" w:eastAsia="Times New Roman" w:hAnsi="Times New Roman"/>
          <w:b/>
          <w:color w:val="000000"/>
          <w:sz w:val="24"/>
          <w:szCs w:val="24"/>
        </w:rPr>
        <w:t>Diversification</w:t>
      </w:r>
    </w:p>
    <w:p>
      <w:pPr>
        <w:pStyle w:val="style0"/>
        <w:numPr>
          <w:ilvl w:val="0"/>
          <w:numId w:val="11"/>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Expansion is corporate development and improvement that happens when a firm grows new items in new business sectors. Expansion is essential since it assists associations with preferring Debenhams Plc to remain equipped, imaginative, and cutthroat - and consequently pertinent in customer commercial centers (Kipley and Lewis, 2011).</w:t>
      </w:r>
    </w:p>
    <w:p>
      <w:pPr>
        <w:pStyle w:val="style0"/>
        <w:numPr>
          <w:ilvl w:val="0"/>
          <w:numId w:val="11"/>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Debenhams Plc's upward expansion involves looking for development and business advancement by offering new merchandise inside existing product offerings.</w:t>
      </w:r>
    </w:p>
    <w:p>
      <w:pPr>
        <w:pStyle w:val="style0"/>
        <w:numPr>
          <w:ilvl w:val="0"/>
          <w:numId w:val="11"/>
        </w:numPr>
        <w:shd w:val="clear" w:color="auto" w:fill="ffffff"/>
        <w:spacing w:before="100" w:beforeAutospacing="true" w:after="100" w:afterAutospacing="true"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This infers that Debenhams Plc's new item advancements and deliveries will be equivalent to, and ordered under, current item groupings and classifications.</w:t>
      </w:r>
    </w:p>
    <w:p>
      <w:pPr>
        <w:pStyle w:val="style0"/>
        <w:numPr>
          <w:ilvl w:val="0"/>
          <w:numId w:val="11"/>
        </w:numPr>
        <w:shd w:val="clear" w:color="auto" w:fill="ffffff"/>
        <w:spacing w:before="100" w:beforeAutospacing="true" w:after="100" w:afterAutospacing="true" w:lineRule="auto" w:line="360"/>
        <w:jc w:val="both"/>
        <w:rPr>
          <w:rFonts w:ascii="Times New Roman" w:cs="Times New Roman" w:eastAsia="Times New Roman" w:hAnsi="Times New Roman"/>
          <w:color w:val="000000"/>
          <w:sz w:val="24"/>
          <w:szCs w:val="24"/>
        </w:rPr>
      </w:pPr>
      <w:r>
        <w:rPr>
          <w:rFonts w:ascii="Times New Roman" w:cs="Times New Roman" w:hAnsi="Times New Roman"/>
          <w:color w:val="000000"/>
          <w:sz w:val="24"/>
          <w:szCs w:val="24"/>
          <w:shd w:val="clear" w:color="auto" w:fill="ffffff"/>
        </w:rPr>
        <w:t>Flat enhancement happens when Debenhams Plc chooses to present and partake in new item advancements and deliveries that are irrelevant to existing things.</w:t>
      </w:r>
    </w:p>
    <w:p>
      <w:pPr>
        <w:pStyle w:val="style179"/>
        <w:numPr>
          <w:ilvl w:val="0"/>
          <w:numId w:val="11"/>
        </w:numPr>
        <w:tabs>
          <w:tab w:val="left" w:leader="none" w:pos="8385"/>
        </w:tabs>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It is, by the by, worthwhile to present new item dispatches and headways for things that work in practically identical financial settings as the meeting items.</w:t>
      </w:r>
    </w:p>
    <w:p>
      <w:pPr>
        <w:pStyle w:val="style179"/>
        <w:numPr>
          <w:ilvl w:val="0"/>
          <w:numId w:val="14"/>
        </w:numPr>
        <w:tabs>
          <w:tab w:val="left" w:leader="none" w:pos="8385"/>
        </w:tabs>
        <w:spacing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Debenhams Plc might possibly differentiate into a combination by working in a totally other business.</w:t>
      </w:r>
    </w:p>
    <w:p>
      <w:pPr>
        <w:pStyle w:val="style179"/>
        <w:numPr>
          <w:ilvl w:val="0"/>
          <w:numId w:val="13"/>
        </w:numPr>
        <w:tabs>
          <w:tab w:val="left" w:leader="none" w:pos="8385"/>
        </w:tabs>
        <w:spacing w:lineRule="auto" w:line="360"/>
        <w:jc w:val="both"/>
        <w:rPr>
          <w:rFonts w:ascii="Times New Roman" w:cs="Times New Roman" w:hAnsi="Times New Roman"/>
          <w:b/>
          <w:color w:val="000000"/>
          <w:sz w:val="24"/>
          <w:szCs w:val="24"/>
          <w:u w:val="single"/>
        </w:rPr>
      </w:pPr>
      <w:r>
        <w:rPr>
          <w:rFonts w:ascii="Times New Roman" w:cs="Times New Roman" w:eastAsia="Times New Roman" w:hAnsi="Times New Roman"/>
          <w:color w:val="000000"/>
          <w:sz w:val="24"/>
          <w:szCs w:val="24"/>
        </w:rPr>
        <w:t>Enhancement through another business would incorporate Debenhams Plc investigating new business ideas with the chance to lay out or gain for development and advancement.</w:t>
      </w:r>
      <w:r>
        <w:rPr>
          <w:rFonts w:ascii="Times New Roman" w:cs="Times New Roman" w:hAnsi="Times New Roman"/>
          <w:b/>
          <w:color w:val="000000"/>
          <w:sz w:val="24"/>
          <w:szCs w:val="24"/>
        </w:rPr>
        <w:t xml:space="preserve"> </w:t>
      </w:r>
      <w:r>
        <w:rPr>
          <w:rFonts w:ascii="Times New Roman" w:cs="Times New Roman" w:hAnsi="Times New Roman"/>
          <w:b/>
          <w:color w:val="000000"/>
          <w:sz w:val="24"/>
          <w:szCs w:val="24"/>
          <w:u w:val="single"/>
        </w:rPr>
        <w:t xml:space="preserve">Conclusion </w:t>
      </w:r>
    </w:p>
    <w:p>
      <w:pPr>
        <w:pStyle w:val="style179"/>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sz w:val="24"/>
          <w:szCs w:val="24"/>
        </w:rPr>
        <w:t>To sum up, the PESTEL model is a fundamental administration device that involves an exhaustive assessment of macro environmental components that impact the business climate. From political to natural contemplations, every part has various components that influence the essential dynamic course of organizations like Debenhams Plc.</w:t>
      </w:r>
    </w:p>
    <w:p>
      <w:pPr>
        <w:pStyle w:val="style0"/>
        <w:rPr>
          <w:rFonts w:ascii="Times New Roman" w:cs="Times New Roman" w:hAnsi="Times New Roman"/>
          <w:b/>
          <w:color w:val="000000"/>
          <w:sz w:val="24"/>
          <w:szCs w:val="24"/>
        </w:rPr>
      </w:pPr>
      <w:r>
        <w:rPr>
          <w:rFonts w:ascii="Times New Roman" w:cs="Times New Roman" w:hAnsi="Times New Roman"/>
          <w:b/>
          <w:color w:val="000000"/>
          <w:sz w:val="24"/>
          <w:szCs w:val="24"/>
        </w:rPr>
        <w:br w:type="page"/>
      </w:r>
    </w:p>
    <w:p>
      <w:pPr>
        <w:pStyle w:val="style179"/>
        <w:tabs>
          <w:tab w:val="left" w:leader="none" w:pos="8385"/>
        </w:tabs>
        <w:spacing w:lineRule="auto" w:line="360"/>
        <w:jc w:val="both"/>
        <w:rPr>
          <w:rFonts w:ascii="Times New Roman" w:cs="Times New Roman" w:hAnsi="Times New Roman"/>
          <w:b/>
          <w:color w:val="000000"/>
          <w:sz w:val="24"/>
          <w:szCs w:val="24"/>
        </w:rPr>
      </w:pPr>
      <w:r>
        <w:rPr>
          <w:rFonts w:ascii="Times New Roman" w:cs="Times New Roman" w:hAnsi="Times New Roman"/>
          <w:b/>
          <w:color w:val="000000"/>
          <w:sz w:val="24"/>
          <w:szCs w:val="24"/>
        </w:rPr>
        <w:t>References</w:t>
      </w:r>
    </w:p>
    <w:p>
      <w:pPr>
        <w:pStyle w:val="style179"/>
        <w:numPr>
          <w:ilvl w:val="0"/>
          <w:numId w:val="5"/>
        </w:numPr>
        <w:tabs>
          <w:tab w:val="left" w:leader="none" w:pos="8385"/>
        </w:tabs>
        <w:spacing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Dabija, D.C., Dinu, V., Abrudan, I.N. and Postelnicu, C., 2014. The impact of the marketing mix and sustainability on shaping consumer preferences towards non-food stores. </w:t>
      </w:r>
    </w:p>
    <w:p>
      <w:pPr>
        <w:pStyle w:val="style179"/>
        <w:numPr>
          <w:ilvl w:val="0"/>
          <w:numId w:val="5"/>
        </w:numPr>
        <w:tabs>
          <w:tab w:val="left" w:leader="none" w:pos="8385"/>
        </w:tabs>
        <w:spacing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iCs/>
          <w:color w:val="000000"/>
          <w:sz w:val="24"/>
          <w:szCs w:val="24"/>
          <w:shd w:val="clear" w:color="auto" w:fill="ffffff"/>
        </w:rPr>
        <w:t>Dabija Dan-Cristian, Dinu Vasile, Abrudan Ioana Nicoleta, Postelnicu Cătălin, The Impact of the Marketing Mix and Sustainability on Shaping Consumer Preferences towards Non-Food Stores, Transformations in Business &amp; Economics</w:t>
      </w:r>
      <w:r>
        <w:rPr>
          <w:rFonts w:ascii="Times New Roman" w:cs="Times New Roman" w:hAnsi="Times New Roman"/>
          <w:color w:val="000000"/>
          <w:sz w:val="24"/>
          <w:szCs w:val="24"/>
          <w:shd w:val="clear" w:color="auto" w:fill="ffffff"/>
        </w:rPr>
        <w:t>, </w:t>
      </w:r>
      <w:r>
        <w:rPr>
          <w:rFonts w:ascii="Times New Roman" w:cs="Times New Roman" w:hAnsi="Times New Roman"/>
          <w:iCs/>
          <w:color w:val="000000"/>
          <w:sz w:val="24"/>
          <w:szCs w:val="24"/>
          <w:shd w:val="clear" w:color="auto" w:fill="ffffff"/>
        </w:rPr>
        <w:t>13</w:t>
      </w:r>
      <w:r>
        <w:rPr>
          <w:rFonts w:ascii="Times New Roman" w:cs="Times New Roman" w:hAnsi="Times New Roman"/>
          <w:color w:val="000000"/>
          <w:sz w:val="24"/>
          <w:szCs w:val="24"/>
          <w:shd w:val="clear" w:color="auto" w:fill="ffffff"/>
        </w:rPr>
        <w:t xml:space="preserve">(3/33). </w:t>
      </w:r>
    </w:p>
    <w:p>
      <w:pPr>
        <w:pStyle w:val="style179"/>
        <w:numPr>
          <w:ilvl w:val="0"/>
          <w:numId w:val="5"/>
        </w:numPr>
        <w:rPr>
          <w:rFonts w:ascii="Times New Roman" w:cs="Times New Roman" w:hAnsi="Times New Roman"/>
          <w:sz w:val="24"/>
          <w:szCs w:val="24"/>
        </w:rPr>
      </w:pPr>
      <w:r>
        <w:rPr>
          <w:rFonts w:ascii="Times New Roman" w:cs="Times New Roman" w:hAnsi="Times New Roman"/>
          <w:sz w:val="24"/>
          <w:szCs w:val="24"/>
        </w:rPr>
        <w:t>Daft, R., 2016. Contemporary Strategy Analyses. New York: John Wiley &amp; Sons.</w:t>
      </w:r>
    </w:p>
    <w:p>
      <w:pPr>
        <w:pStyle w:val="style179"/>
        <w:numPr>
          <w:ilvl w:val="0"/>
          <w:numId w:val="5"/>
        </w:numPr>
        <w:tabs>
          <w:tab w:val="left" w:leader="none" w:pos="8385"/>
        </w:tabs>
        <w:spacing w:lineRule="auto" w:line="360"/>
        <w:jc w:val="both"/>
        <w:rPr>
          <w:rFonts w:ascii="Times New Roman" w:cs="Times New Roman" w:hAnsi="Times New Roman"/>
          <w:color w:val="000000"/>
          <w:sz w:val="24"/>
          <w:szCs w:val="24"/>
          <w:shd w:val="clear" w:color="auto" w:fill="ffffff"/>
        </w:rPr>
      </w:pPr>
      <w:r>
        <w:rPr>
          <w:rFonts w:ascii="Times New Roman" w:cs="Times New Roman" w:hAnsi="Times New Roman"/>
          <w:color w:val="000000"/>
          <w:sz w:val="24"/>
          <w:szCs w:val="24"/>
          <w:shd w:val="clear" w:color="auto" w:fill="ffffff"/>
        </w:rPr>
        <w:t>DAVIES, A., 2013. Hausa Language Signage in UK Retail Stores: A Focus on Nigerian Shoppers.</w:t>
      </w:r>
    </w:p>
    <w:p>
      <w:pPr>
        <w:pStyle w:val="style179"/>
        <w:numPr>
          <w:ilvl w:val="0"/>
          <w:numId w:val="5"/>
        </w:numPr>
        <w:spacing w:before="100" w:beforeAutospacing="true" w:after="100" w:afterAutospacing="true"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Dibb, S. (2010). Market Segmentation Success–Making it Happen! Strategic Direction, 26(9).</w:t>
      </w:r>
    </w:p>
    <w:p>
      <w:pPr>
        <w:pStyle w:val="style179"/>
        <w:numPr>
          <w:ilvl w:val="0"/>
          <w:numId w:val="5"/>
        </w:numPr>
        <w:rPr>
          <w:rFonts w:ascii="Times New Roman" w:cs="Times New Roman" w:hAnsi="Times New Roman"/>
          <w:sz w:val="24"/>
          <w:szCs w:val="24"/>
        </w:rPr>
      </w:pPr>
      <w:r>
        <w:rPr>
          <w:rFonts w:ascii="Times New Roman" w:cs="Times New Roman" w:hAnsi="Times New Roman"/>
          <w:sz w:val="24"/>
          <w:szCs w:val="24"/>
        </w:rPr>
        <w:t>Grant, R., 2010. Contemporary Strategy Analysis and Cases: Text and Cases. Hoboken: NJ: ohn Wiley &amp; Sons.</w:t>
      </w:r>
    </w:p>
    <w:p>
      <w:pPr>
        <w:pStyle w:val="style179"/>
        <w:numPr>
          <w:ilvl w:val="0"/>
          <w:numId w:val="5"/>
        </w:numPr>
        <w:rPr>
          <w:rFonts w:ascii="Times New Roman" w:cs="Times New Roman" w:hAnsi="Times New Roman"/>
          <w:sz w:val="24"/>
          <w:szCs w:val="24"/>
        </w:rPr>
      </w:pPr>
      <w:r>
        <w:rPr>
          <w:rFonts w:ascii="Times New Roman" w:cs="Times New Roman" w:hAnsi="Times New Roman"/>
          <w:sz w:val="24"/>
          <w:szCs w:val="24"/>
        </w:rPr>
        <w:t>Hill, C. &amp; Jones, G., 2007. Strategic Management: An Integrated Approach. Boston: Cengage Learning.</w:t>
      </w:r>
    </w:p>
    <w:p>
      <w:pPr>
        <w:pStyle w:val="style179"/>
        <w:numPr>
          <w:ilvl w:val="0"/>
          <w:numId w:val="5"/>
        </w:numPr>
        <w:tabs>
          <w:tab w:val="left" w:leader="none" w:pos="8385"/>
        </w:tabs>
        <w:spacing w:lineRule="auto" w:line="360"/>
        <w:jc w:val="both"/>
        <w:rPr>
          <w:rFonts w:ascii="Times New Roman" w:cs="Times New Roman" w:hAnsi="Times New Roman"/>
          <w:color w:val="000000"/>
          <w:sz w:val="24"/>
          <w:szCs w:val="24"/>
          <w:shd w:val="clear" w:color="auto" w:fill="ffffff"/>
        </w:rPr>
      </w:pPr>
      <w:r>
        <w:rPr>
          <w:sz w:val="24"/>
          <w:szCs w:val="24"/>
        </w:rPr>
        <w:fldChar w:fldCharType="begin"/>
      </w:r>
      <w:r>
        <w:rPr>
          <w:sz w:val="24"/>
          <w:szCs w:val="24"/>
        </w:rPr>
        <w:instrText xml:space="preserve"> HYPERLINK "http://www.debenhams.com/webapp/wcs/stores/servlet/contentView?filepath=/DebenhamsUKSite/Static/history_debenhams_uk.xml&amp;storeId=10701&amp;langId=-1" </w:instrText>
      </w:r>
      <w:r>
        <w:rPr>
          <w:sz w:val="24"/>
          <w:szCs w:val="24"/>
        </w:rPr>
        <w:fldChar w:fldCharType="separate"/>
      </w:r>
      <w:r>
        <w:rPr>
          <w:rStyle w:val="style85"/>
          <w:rFonts w:ascii="Times New Roman" w:cs="Times New Roman" w:hAnsi="Times New Roman"/>
          <w:color w:val="000000"/>
          <w:sz w:val="24"/>
          <w:szCs w:val="24"/>
          <w:u w:val="none"/>
          <w:shd w:val="clear" w:color="auto" w:fill="ffffff"/>
        </w:rPr>
        <w:t>History of Debenhams"</w:t>
      </w:r>
      <w:r>
        <w:rPr>
          <w:sz w:val="24"/>
          <w:szCs w:val="24"/>
        </w:rPr>
        <w:fldChar w:fldCharType="end"/>
      </w:r>
      <w:r>
        <w:rPr>
          <w:rFonts w:ascii="Times New Roman" w:cs="Times New Roman" w:hAnsi="Times New Roman"/>
          <w:color w:val="000000"/>
          <w:sz w:val="24"/>
          <w:szCs w:val="24"/>
          <w:shd w:val="clear" w:color="auto" w:fill="ffffff"/>
        </w:rPr>
        <w:t>. Debenhams</w:t>
      </w:r>
      <w:r>
        <w:rPr>
          <w:rStyle w:val="style4103"/>
          <w:rFonts w:ascii="Times New Roman" w:cs="Times New Roman" w:hAnsi="Times New Roman"/>
          <w:color w:val="000000"/>
          <w:sz w:val="24"/>
          <w:szCs w:val="24"/>
          <w:shd w:val="clear" w:color="auto" w:fill="ffffff"/>
        </w:rPr>
        <w:t>. Retrieved </w:t>
      </w:r>
      <w:r>
        <w:rPr>
          <w:rStyle w:val="style4104"/>
          <w:rFonts w:ascii="Times New Roman" w:cs="Times New Roman" w:hAnsi="Times New Roman"/>
          <w:color w:val="000000"/>
          <w:sz w:val="24"/>
          <w:szCs w:val="24"/>
          <w:shd w:val="clear" w:color="auto" w:fill="ffffff"/>
        </w:rPr>
        <w:t>14 September</w:t>
      </w:r>
      <w:r>
        <w:rPr>
          <w:rStyle w:val="style4103"/>
          <w:rFonts w:ascii="Times New Roman" w:cs="Times New Roman" w:hAnsi="Times New Roman"/>
          <w:color w:val="000000"/>
          <w:sz w:val="24"/>
          <w:szCs w:val="24"/>
          <w:shd w:val="clear" w:color="auto" w:fill="ffffff"/>
        </w:rPr>
        <w:t> 2013</w:t>
      </w:r>
      <w:r>
        <w:rPr>
          <w:rFonts w:ascii="Times New Roman" w:cs="Times New Roman" w:hAnsi="Times New Roman"/>
          <w:color w:val="000000"/>
          <w:sz w:val="24"/>
          <w:szCs w:val="24"/>
          <w:shd w:val="clear" w:color="auto" w:fill="ffffff"/>
        </w:rPr>
        <w:t>.</w:t>
      </w:r>
    </w:p>
    <w:p>
      <w:pPr>
        <w:pStyle w:val="style179"/>
        <w:numPr>
          <w:ilvl w:val="0"/>
          <w:numId w:val="5"/>
        </w:numPr>
        <w:tabs>
          <w:tab w:val="left" w:leader="none" w:pos="8385"/>
        </w:tabs>
        <w:spacing w:lineRule="auto" w:line="360"/>
        <w:jc w:val="both"/>
        <w:rPr>
          <w:rFonts w:ascii="Times New Roman" w:cs="Times New Roman" w:hAnsi="Times New Roman"/>
          <w:color w:val="000000"/>
          <w:sz w:val="24"/>
          <w:szCs w:val="24"/>
        </w:rPr>
      </w:pPr>
      <w:r>
        <w:rPr>
          <w:sz w:val="24"/>
          <w:szCs w:val="24"/>
        </w:rPr>
        <w:fldChar w:fldCharType="begin"/>
      </w:r>
      <w:r>
        <w:rPr>
          <w:sz w:val="24"/>
          <w:szCs w:val="24"/>
        </w:rPr>
        <w:instrText xml:space="preserve"> HYPERLINK "https://www.annualreports.com/Company/debenhams-plc" </w:instrText>
      </w:r>
      <w:r>
        <w:rPr>
          <w:sz w:val="24"/>
          <w:szCs w:val="24"/>
        </w:rPr>
        <w:fldChar w:fldCharType="separate"/>
      </w:r>
      <w:r>
        <w:rPr>
          <w:rStyle w:val="style85"/>
          <w:rFonts w:ascii="Times New Roman" w:cs="Times New Roman" w:hAnsi="Times New Roman"/>
          <w:color w:val="000000"/>
          <w:sz w:val="24"/>
          <w:szCs w:val="24"/>
          <w:u w:val="none"/>
        </w:rPr>
        <w:t>https://www.annualreports.com/Company/debenhams-plc</w:t>
      </w:r>
      <w:r>
        <w:rPr>
          <w:sz w:val="24"/>
          <w:szCs w:val="24"/>
        </w:rPr>
        <w:fldChar w:fldCharType="end"/>
      </w:r>
    </w:p>
    <w:p>
      <w:pPr>
        <w:pStyle w:val="style179"/>
        <w:numPr>
          <w:ilvl w:val="0"/>
          <w:numId w:val="5"/>
        </w:numPr>
        <w:spacing w:before="100" w:beforeAutospacing="true" w:after="100" w:afterAutospacing="true"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Jaworski, B. J. (2018). Commentary: advancing marketing strategy in the marketing discipline and beyond. Journal of Marketing Management, 34(1-2), 63-70.</w:t>
      </w:r>
    </w:p>
    <w:p>
      <w:pPr>
        <w:pStyle w:val="style179"/>
        <w:numPr>
          <w:ilvl w:val="0"/>
          <w:numId w:val="5"/>
        </w:numPr>
        <w:spacing w:before="100" w:beforeAutospacing="true" w:after="100" w:afterAutospacing="true" w:lineRule="auto" w:line="360"/>
        <w:jc w:val="both"/>
        <w:rPr>
          <w:rFonts w:ascii="Times New Roman" w:cs="Times New Roman" w:eastAsia="Times New Roman" w:hAnsi="Times New Roman"/>
          <w:color w:val="000000"/>
          <w:sz w:val="24"/>
          <w:szCs w:val="24"/>
        </w:rPr>
      </w:pPr>
      <w:r>
        <w:rPr>
          <w:rFonts w:ascii="Times New Roman" w:cs="Times New Roman" w:eastAsia="Times New Roman" w:hAnsi="Times New Roman"/>
          <w:color w:val="000000"/>
          <w:sz w:val="24"/>
          <w:szCs w:val="24"/>
        </w:rPr>
        <w:t>Keller, K. L., &amp; Brexendorf, T. O. (2017). Measur</w:t>
      </w:r>
      <w:bookmarkStart w:id="0" w:name="_GoBack"/>
      <w:bookmarkEnd w:id="0"/>
      <w:r>
        <w:rPr>
          <w:rFonts w:ascii="Times New Roman" w:cs="Times New Roman" w:eastAsia="Times New Roman" w:hAnsi="Times New Roman"/>
          <w:color w:val="000000"/>
          <w:sz w:val="24"/>
          <w:szCs w:val="24"/>
        </w:rPr>
        <w:t>ing brand equity. Handbuch Markenführung, 1-32.</w:t>
      </w:r>
    </w:p>
    <w:p>
      <w:pPr>
        <w:pStyle w:val="style179"/>
        <w:numPr>
          <w:ilvl w:val="0"/>
          <w:numId w:val="5"/>
        </w:numPr>
        <w:rPr>
          <w:rFonts w:ascii="Times New Roman" w:cs="Times New Roman" w:hAnsi="Times New Roman"/>
          <w:sz w:val="24"/>
          <w:szCs w:val="24"/>
        </w:rPr>
      </w:pPr>
      <w:r>
        <w:rPr>
          <w:rFonts w:ascii="Times New Roman" w:cs="Times New Roman" w:hAnsi="Times New Roman"/>
          <w:sz w:val="24"/>
          <w:szCs w:val="24"/>
        </w:rPr>
        <w:t>Kipley, D. &amp; Lewis, A., 2011. Strategic Management: Incorporating Ansoff. New York: Pearson.</w:t>
      </w:r>
    </w:p>
    <w:sectPr>
      <w:footerReference w:type="default" r:id="rId8"/>
      <w:pgSz w:w="12240" w:h="15840" w:orient="portrait"/>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43"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00002FF" w:usb1="4000ACFF" w:usb2="00000001" w:usb3="00000000" w:csb0="0000019F" w:csb1="00000000"/>
  </w:font>
  <w:font w:name="Tahoma">
    <w:altName w:val="Tahoma"/>
    <w:panose1 w:val="020b0604030000040204"/>
    <w:charset w:val="00"/>
    <w:family w:val="swiss"/>
    <w:pitch w:val="variable"/>
    <w:sig w:usb0="E1002EFF" w:usb1="C000605B" w:usb2="00000029" w:usb3="00000000" w:csb0="000101FF" w:csb1="00000000"/>
  </w:font>
  <w:font w:name="Arial">
    <w:altName w:val="Arial"/>
    <w:panose1 w:val="020b0604020000020204"/>
    <w:charset w:val="00"/>
    <w:family w:val="swiss"/>
    <w:pitch w:val="variable"/>
    <w:sig w:usb0="E0002EFF" w:usb1="C0007843" w:usb2="00000009" w:usb3="00000000" w:csb0="000001FF" w:csb1="00000000"/>
  </w:font>
  <w:font w:name="Cambria">
    <w:altName w:val="Cambria"/>
    <w:panose1 w:val="02040503050000030204"/>
    <w:charset w:val="00"/>
    <w:family w:val="roman"/>
    <w:pitch w:val="variable"/>
    <w:sig w:usb0="E00002FF" w:usb1="400004FF"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p>
  <w:p>
    <w:pPr>
      <w:pStyle w:val="style32"/>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13</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11265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multilevel"/>
    <w:tmpl w:val="14A08CAC"/>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
      <w:lvlJc w:val="left"/>
      <w:pPr>
        <w:ind w:left="1440" w:hanging="360"/>
      </w:pPr>
      <w:rPr>
        <w:rFonts w:ascii="Times New Roman" w:cs="Times New Roman" w:eastAsia="Times New Roman" w:hAnsi="Times New Roman" w:hint="default"/>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14A08CAC"/>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
      <w:lvlJc w:val="left"/>
      <w:pPr>
        <w:ind w:left="1440" w:hanging="360"/>
      </w:pPr>
      <w:rPr>
        <w:rFonts w:ascii="Times New Roman" w:cs="Times New Roman" w:eastAsia="Times New Roman" w:hAnsi="Times New Roman" w:hint="default"/>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hybridMultilevel"/>
    <w:tmpl w:val="7B18A5E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cs="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cs="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cs="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nsid w:val="00000004"/>
    <w:multiLevelType w:val="hybridMultilevel"/>
    <w:tmpl w:val="1A3A8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F26EF9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0000006"/>
    <w:multiLevelType w:val="hybridMultilevel"/>
    <w:tmpl w:val="64B86D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0000007"/>
    <w:multiLevelType w:val="hybridMultilevel"/>
    <w:tmpl w:val="2E2CD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multilevel"/>
    <w:tmpl w:val="14A08CAC"/>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
      <w:lvlJc w:val="left"/>
      <w:pPr>
        <w:ind w:left="1440" w:hanging="360"/>
      </w:pPr>
      <w:rPr>
        <w:rFonts w:ascii="Times New Roman" w:cs="Times New Roman" w:eastAsia="Times New Roman" w:hAnsi="Times New Roman" w:hint="default"/>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BE08BA3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hybridMultilevel"/>
    <w:tmpl w:val="7E504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0000000B"/>
    <w:multiLevelType w:val="hybridMultilevel"/>
    <w:tmpl w:val="432C3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7D06C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B148B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11"/>
  </w:num>
  <w:num w:numId="4">
    <w:abstractNumId w:val="7"/>
  </w:num>
  <w:num w:numId="5">
    <w:abstractNumId w:val="0"/>
  </w:num>
  <w:num w:numId="6">
    <w:abstractNumId w:val="13"/>
  </w:num>
  <w:num w:numId="7">
    <w:abstractNumId w:val="5"/>
  </w:num>
  <w:num w:numId="8">
    <w:abstractNumId w:val="10"/>
  </w:num>
  <w:num w:numId="9">
    <w:abstractNumId w:val="3"/>
  </w:num>
  <w:num w:numId="10">
    <w:abstractNumId w:val="9"/>
  </w:num>
  <w:num w:numId="11">
    <w:abstractNumId w:val="8"/>
  </w:num>
  <w:num w:numId="12">
    <w:abstractNumId w:val="4"/>
  </w:num>
  <w:num w:numId="13">
    <w:abstractNumId w:val="1"/>
  </w:num>
  <w:num w:numId="14">
    <w:abstractNumId w:val="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doNotDisplayPageBoundarie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2"/>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2">
    <w:name w:val="heading 2"/>
    <w:basedOn w:val="style0"/>
    <w:next w:val="style2"/>
    <w:link w:val="style4097"/>
    <w:qFormat/>
    <w:uiPriority w:val="9"/>
    <w:pPr>
      <w:spacing w:before="100" w:beforeAutospacing="true" w:after="100" w:afterAutospacing="true" w:lineRule="auto" w:line="240"/>
      <w:outlineLvl w:val="1"/>
    </w:pPr>
    <w:rPr>
      <w:rFonts w:ascii="Times New Roman" w:cs="Times New Roman" w:eastAsia="Times New Roman" w:hAnsi="Times New Roman"/>
      <w:b/>
      <w:bCs/>
      <w:sz w:val="36"/>
      <w:szCs w:val="36"/>
    </w:rPr>
  </w:style>
  <w:style w:type="paragraph" w:styleId="style3">
    <w:name w:val="heading 3"/>
    <w:basedOn w:val="style0"/>
    <w:next w:val="style3"/>
    <w:link w:val="style4098"/>
    <w:qFormat/>
    <w:uiPriority w:val="9"/>
    <w:pPr>
      <w:spacing w:before="100" w:beforeAutospacing="true" w:after="100" w:afterAutospacing="true" w:lineRule="auto" w:line="240"/>
      <w:outlineLvl w:val="2"/>
    </w:pPr>
    <w:rPr>
      <w:rFonts w:ascii="Times New Roman" w:cs="Times New Roman" w:eastAsia="Times New Roman" w:hAnsi="Times New Roman"/>
      <w:b/>
      <w:bCs/>
      <w:sz w:val="27"/>
      <w:szCs w:val="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5">
    <w:name w:val="Hyperlink"/>
    <w:basedOn w:val="style65"/>
    <w:next w:val="style85"/>
    <w:uiPriority w:val="99"/>
    <w:rPr>
      <w:color w:val="0000ff"/>
      <w:u w:val="single"/>
    </w:rPr>
  </w:style>
  <w:style w:type="character" w:customStyle="1" w:styleId="style4097">
    <w:name w:val="Heading 2 Char_f2778c48-a60f-441c-93fc-ed100f357142"/>
    <w:basedOn w:val="style65"/>
    <w:next w:val="style4097"/>
    <w:link w:val="style2"/>
    <w:uiPriority w:val="9"/>
    <w:rPr>
      <w:rFonts w:ascii="Times New Roman" w:cs="Times New Roman" w:eastAsia="Times New Roman" w:hAnsi="Times New Roman"/>
      <w:b/>
      <w:bCs/>
      <w:sz w:val="36"/>
      <w:szCs w:val="36"/>
    </w:rPr>
  </w:style>
  <w:style w:type="character" w:customStyle="1" w:styleId="style4098">
    <w:name w:val="Heading 3 Char_9a3a44c4-cec3-4595-ae49-b17864e6bc9e"/>
    <w:basedOn w:val="style65"/>
    <w:next w:val="style4098"/>
    <w:link w:val="style3"/>
    <w:uiPriority w:val="9"/>
    <w:rPr>
      <w:rFonts w:ascii="Times New Roman" w:cs="Times New Roman" w:eastAsia="Times New Roman" w:hAnsi="Times New Roman"/>
      <w:b/>
      <w:bCs/>
      <w:sz w:val="27"/>
      <w:szCs w:val="27"/>
    </w:rPr>
  </w:style>
  <w:style w:type="character" w:styleId="style87">
    <w:name w:val="Strong"/>
    <w:basedOn w:val="style65"/>
    <w:next w:val="style87"/>
    <w:qFormat/>
    <w:uiPriority w:val="22"/>
    <w:rPr>
      <w:b/>
      <w:bCs/>
    </w:rPr>
  </w:style>
  <w:style w:type="paragraph" w:styleId="style31">
    <w:name w:val="header"/>
    <w:basedOn w:val="style0"/>
    <w:next w:val="style31"/>
    <w:link w:val="style4099"/>
    <w:uiPriority w:val="99"/>
    <w:pPr>
      <w:tabs>
        <w:tab w:val="center" w:leader="none" w:pos="4680"/>
        <w:tab w:val="right" w:leader="none" w:pos="9360"/>
      </w:tabs>
      <w:spacing w:after="0" w:lineRule="auto" w:line="240"/>
    </w:pPr>
    <w:rPr/>
  </w:style>
  <w:style w:type="character" w:customStyle="1" w:styleId="style4099">
    <w:name w:val="Header Char_d2975a13-c44b-484a-a41d-a06f84cc24af"/>
    <w:basedOn w:val="style65"/>
    <w:next w:val="style4099"/>
    <w:link w:val="style31"/>
    <w:uiPriority w:val="99"/>
  </w:style>
  <w:style w:type="paragraph" w:styleId="style32">
    <w:name w:val="footer"/>
    <w:basedOn w:val="style0"/>
    <w:next w:val="style32"/>
    <w:link w:val="style4100"/>
    <w:uiPriority w:val="99"/>
    <w:pPr>
      <w:tabs>
        <w:tab w:val="center" w:leader="none" w:pos="4680"/>
        <w:tab w:val="right" w:leader="none" w:pos="9360"/>
      </w:tabs>
      <w:spacing w:after="0" w:lineRule="auto" w:line="240"/>
    </w:pPr>
    <w:rPr/>
  </w:style>
  <w:style w:type="character" w:customStyle="1" w:styleId="style4100">
    <w:name w:val="Footer Char_fdd9bb32-311f-493b-a881-2491b7fbb341"/>
    <w:basedOn w:val="style65"/>
    <w:next w:val="style4100"/>
    <w:link w:val="style32"/>
    <w:uiPriority w:val="99"/>
  </w:style>
  <w:style w:type="paragraph" w:styleId="style157">
    <w:name w:val="No Spacing"/>
    <w:next w:val="style157"/>
    <w:qFormat/>
    <w:uiPriority w:val="1"/>
    <w:pPr>
      <w:spacing w:after="0" w:lineRule="auto" w:line="240"/>
    </w:pPr>
    <w:rPr/>
  </w:style>
  <w:style w:type="paragraph" w:styleId="style153">
    <w:name w:val="Balloon Text"/>
    <w:basedOn w:val="style0"/>
    <w:next w:val="style153"/>
    <w:link w:val="style4101"/>
    <w:uiPriority w:val="99"/>
    <w:pPr>
      <w:spacing w:after="0" w:lineRule="auto" w:line="240"/>
    </w:pPr>
    <w:rPr>
      <w:rFonts w:ascii="Tahoma" w:cs="Tahoma" w:hAnsi="Tahoma"/>
      <w:sz w:val="16"/>
      <w:szCs w:val="16"/>
    </w:rPr>
  </w:style>
  <w:style w:type="character" w:customStyle="1" w:styleId="style4101">
    <w:name w:val="Balloon Text Char"/>
    <w:basedOn w:val="style65"/>
    <w:next w:val="style4101"/>
    <w:link w:val="style153"/>
    <w:uiPriority w:val="99"/>
    <w:rPr>
      <w:rFonts w:ascii="Tahoma" w:cs="Tahoma" w:hAnsi="Tahoma"/>
      <w:sz w:val="16"/>
      <w:szCs w:val="16"/>
    </w:rPr>
  </w:style>
  <w:style w:type="character" w:customStyle="1" w:styleId="style4102">
    <w:name w:val="ipa"/>
    <w:basedOn w:val="style65"/>
    <w:next w:val="style4102"/>
  </w:style>
  <w:style w:type="character" w:styleId="style88">
    <w:name w:val="Emphasis"/>
    <w:basedOn w:val="style65"/>
    <w:next w:val="style88"/>
    <w:qFormat/>
    <w:uiPriority w:val="20"/>
    <w:rPr>
      <w:i/>
      <w:iCs/>
    </w:rPr>
  </w:style>
  <w:style w:type="table" w:styleId="style154">
    <w:name w:val="Table Grid"/>
    <w:basedOn w:val="style105"/>
    <w:next w:val="style154"/>
    <w:uiPriority w:val="5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customStyle="1" w:styleId="style4103">
    <w:name w:val="reference-accessdate"/>
    <w:basedOn w:val="style65"/>
    <w:next w:val="style4103"/>
  </w:style>
  <w:style w:type="character" w:customStyle="1" w:styleId="style4104">
    <w:name w:val="nowrap"/>
    <w:basedOn w:val="style65"/>
    <w:next w:val="style4104"/>
  </w:style>
  <w:style w:type="paragraph" w:customStyle="1" w:styleId="style4105">
    <w:name w:val="&quot;topic-paragraph&quot;"/>
    <w:basedOn w:val="style0"/>
    <w:next w:val="style4105"/>
    <w:pPr>
      <w:spacing w:before="100" w:beforeAutospacing="true" w:after="100" w:afterAutospacing="true" w:lineRule="auto" w:line="240"/>
      <w:ind w:left="0" w:right="0"/>
    </w:pPr>
    <w:rPr>
      <w:rFonts w:ascii="Times New Roman" w:cs="Times New Roman" w:eastAsia="Times New Roman" w:hAnsi="Times New Roman"/>
      <w:sz w:val="24"/>
      <w:szCs w:val="24"/>
    </w:rPr>
  </w:style>
  <w:style w:type="paragraph" w:customStyle="1" w:styleId="style4106">
    <w:name w:val="&quot;topic-paragraph&quot;"/>
    <w:basedOn w:val="style0"/>
    <w:next w:val="style4106"/>
    <w:pPr>
      <w:spacing w:before="100" w:beforeAutospacing="true" w:after="100" w:afterAutospacing="true" w:lineRule="auto" w:line="240"/>
      <w:ind w:left="0" w:right="0"/>
    </w:pPr>
    <w:rPr>
      <w:rFonts w:ascii="Times New Roman" w:cs="Times New Roman" w:eastAsia="Times New Roman" w:hAnsi="Times New Roman"/>
      <w:sz w:val="24"/>
      <w:szCs w:val="24"/>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image" Target="media/image1.jpeg"/><Relationship Id="rId4" Type="http://schemas.openxmlformats.org/officeDocument/2006/relationships/image" Target="media/image2.png"/><Relationship Id="rId11" Type="http://schemas.openxmlformats.org/officeDocument/2006/relationships/settings" Target="settings.xml"/><Relationship Id="rId10" Type="http://schemas.openxmlformats.org/officeDocument/2006/relationships/fontTable" Target="fontTable.xml"/><Relationship Id="rId12" Type="http://schemas.openxmlformats.org/officeDocument/2006/relationships/theme" Target="theme/theme1.xml"/><Relationship Id="rId9" Type="http://schemas.openxmlformats.org/officeDocument/2006/relationships/styles" Target="styles.xml"/><Relationship Id="rId5" Type="http://schemas.openxmlformats.org/officeDocument/2006/relationships/image" Target="media/image2.jpeg"/><Relationship Id="rId6" Type="http://schemas.openxmlformats.org/officeDocument/2006/relationships/image" Target="media/image3.png"/><Relationship Id="rId7" Type="http://schemas.openxmlformats.org/officeDocument/2006/relationships/image" Target="media/image3.jpeg"/><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658</TotalTime>
  <Words>3007</Words>
  <Pages>14</Pages>
  <Characters>18749</Characters>
  <Application>WPS Office</Application>
  <DocSecurity>0</DocSecurity>
  <Paragraphs>203</Paragraphs>
  <ScaleCrop>false</ScaleCrop>
  <LinksUpToDate>false</LinksUpToDate>
  <CharactersWithSpaces>21691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2022-08-03T18:15:00Z</dcterms:created>
  <dc:creator>WPS Office</dc:creator>
  <lastModifiedBy>CPH1909</lastModifiedBy>
  <dcterms:modified xsi:type="dcterms:W3CDTF">2022-09-08T16:23:27Z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ea28fb6169df4c7abd6c2649a02c3e16</vt:lpwstr>
  </property>
</Properties>
</file>