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9C27B" w14:textId="77777777" w:rsidR="00657BD2" w:rsidRDefault="00657BD2" w:rsidP="00657BD2">
      <w:r w:rsidRPr="000E4468">
        <w:rPr>
          <w:rFonts w:ascii="Arial" w:eastAsia="Times New Roman" w:hAnsi="Arial" w:cs="Arial"/>
          <w:b/>
          <w:bCs/>
          <w:noProof/>
          <w:kern w:val="36"/>
          <w:sz w:val="32"/>
          <w:szCs w:val="32"/>
          <w:lang w:val="en-US" w:eastAsia="en-GB"/>
          <w14:ligatures w14:val="none"/>
        </w:rPr>
        <w:drawing>
          <wp:anchor distT="0" distB="0" distL="114300" distR="114300" simplePos="0" relativeHeight="251659264" behindDoc="0" locked="0" layoutInCell="1" allowOverlap="1" wp14:anchorId="29CAA5EA" wp14:editId="5E4BD57A">
            <wp:simplePos x="0" y="0"/>
            <wp:positionH relativeFrom="column">
              <wp:posOffset>1936750</wp:posOffset>
            </wp:positionH>
            <wp:positionV relativeFrom="paragraph">
              <wp:posOffset>0</wp:posOffset>
            </wp:positionV>
            <wp:extent cx="2063856" cy="787440"/>
            <wp:effectExtent l="0" t="0" r="0" b="0"/>
            <wp:wrapSquare wrapText="bothSides"/>
            <wp:docPr id="18497614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76147" name="Picture 1"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63856" cy="787440"/>
                    </a:xfrm>
                    <a:prstGeom prst="rect">
                      <a:avLst/>
                    </a:prstGeom>
                  </pic:spPr>
                </pic:pic>
              </a:graphicData>
            </a:graphic>
            <wp14:sizeRelH relativeFrom="page">
              <wp14:pctWidth>0</wp14:pctWidth>
            </wp14:sizeRelH>
            <wp14:sizeRelV relativeFrom="page">
              <wp14:pctHeight>0</wp14:pctHeight>
            </wp14:sizeRelV>
          </wp:anchor>
        </w:drawing>
      </w:r>
    </w:p>
    <w:p w14:paraId="2436C73F" w14:textId="77777777" w:rsidR="00657BD2" w:rsidRPr="00B11142" w:rsidRDefault="00657BD2" w:rsidP="00657BD2"/>
    <w:p w14:paraId="64867834" w14:textId="77777777" w:rsidR="00657BD2" w:rsidRPr="00B11142" w:rsidRDefault="00657BD2" w:rsidP="00657BD2"/>
    <w:p w14:paraId="15BE4533" w14:textId="77777777" w:rsidR="00657BD2" w:rsidRPr="00B11142" w:rsidRDefault="00657BD2" w:rsidP="00657BD2"/>
    <w:p w14:paraId="3F7174FE" w14:textId="77777777" w:rsidR="00657BD2" w:rsidRPr="00B11142" w:rsidRDefault="00657BD2" w:rsidP="00657BD2"/>
    <w:p w14:paraId="7EA20857" w14:textId="77777777" w:rsidR="00657BD2" w:rsidRDefault="00657BD2" w:rsidP="00657BD2"/>
    <w:p w14:paraId="2926EA2B" w14:textId="77777777" w:rsidR="00657BD2" w:rsidRPr="00657BD2" w:rsidRDefault="00657BD2" w:rsidP="00657BD2">
      <w:pPr>
        <w:pStyle w:val="Title"/>
        <w:jc w:val="center"/>
        <w:rPr>
          <w:rFonts w:ascii="ADLaM Display" w:hAnsi="ADLaM Display" w:cs="ADLaM Display"/>
          <w:sz w:val="40"/>
          <w:szCs w:val="40"/>
        </w:rPr>
      </w:pPr>
      <w:r w:rsidRPr="00657BD2">
        <w:rPr>
          <w:rFonts w:ascii="ADLaM Display" w:hAnsi="ADLaM Display" w:cs="ADLaM Display"/>
          <w:sz w:val="40"/>
          <w:szCs w:val="40"/>
        </w:rPr>
        <w:t>Name: Lidia Zamfir</w:t>
      </w:r>
    </w:p>
    <w:p w14:paraId="54F23123" w14:textId="77777777" w:rsidR="00657BD2" w:rsidRPr="00657BD2" w:rsidRDefault="00657BD2" w:rsidP="00657BD2">
      <w:pPr>
        <w:rPr>
          <w:rFonts w:ascii="ADLaM Display" w:hAnsi="ADLaM Display" w:cs="ADLaM Display"/>
          <w:sz w:val="40"/>
          <w:szCs w:val="40"/>
        </w:rPr>
      </w:pPr>
    </w:p>
    <w:p w14:paraId="6A53EA6C" w14:textId="77777777" w:rsidR="00657BD2" w:rsidRPr="00657BD2" w:rsidRDefault="00657BD2" w:rsidP="00657BD2">
      <w:pPr>
        <w:pStyle w:val="Title"/>
        <w:jc w:val="center"/>
        <w:rPr>
          <w:rFonts w:ascii="ADLaM Display" w:hAnsi="ADLaM Display" w:cs="ADLaM Display"/>
          <w:sz w:val="40"/>
          <w:szCs w:val="40"/>
        </w:rPr>
      </w:pPr>
      <w:r w:rsidRPr="00657BD2">
        <w:rPr>
          <w:rFonts w:ascii="ADLaM Display" w:hAnsi="ADLaM Display" w:cs="ADLaM Display"/>
          <w:sz w:val="40"/>
          <w:szCs w:val="40"/>
        </w:rPr>
        <w:t>ID Number: 2213798</w:t>
      </w:r>
    </w:p>
    <w:p w14:paraId="305521DA" w14:textId="77777777" w:rsidR="00657BD2" w:rsidRPr="00657BD2" w:rsidRDefault="00657BD2" w:rsidP="00657BD2">
      <w:pPr>
        <w:rPr>
          <w:rFonts w:ascii="ADLaM Display" w:hAnsi="ADLaM Display" w:cs="ADLaM Display"/>
          <w:sz w:val="40"/>
          <w:szCs w:val="40"/>
        </w:rPr>
      </w:pPr>
    </w:p>
    <w:p w14:paraId="4D008242" w14:textId="1F6B3040" w:rsidR="00657BD2" w:rsidRPr="00657BD2" w:rsidRDefault="00657BD2" w:rsidP="00657BD2">
      <w:pPr>
        <w:pStyle w:val="Title"/>
        <w:rPr>
          <w:rFonts w:ascii="ADLaM Display" w:hAnsi="ADLaM Display" w:cs="ADLaM Display"/>
          <w:sz w:val="40"/>
          <w:szCs w:val="40"/>
        </w:rPr>
      </w:pPr>
      <w:r w:rsidRPr="00657BD2">
        <w:rPr>
          <w:rFonts w:ascii="ADLaM Display" w:hAnsi="ADLaM Display" w:cs="ADLaM Display"/>
          <w:sz w:val="40"/>
          <w:szCs w:val="40"/>
        </w:rPr>
        <w:t xml:space="preserve">Module: Principles of Marketing  </w:t>
      </w:r>
    </w:p>
    <w:p w14:paraId="2792048E" w14:textId="77777777" w:rsidR="00657BD2" w:rsidRPr="00657BD2" w:rsidRDefault="00657BD2" w:rsidP="00657BD2">
      <w:pPr>
        <w:rPr>
          <w:rFonts w:ascii="ADLaM Display" w:hAnsi="ADLaM Display" w:cs="ADLaM Display"/>
          <w:sz w:val="40"/>
          <w:szCs w:val="40"/>
        </w:rPr>
      </w:pPr>
    </w:p>
    <w:p w14:paraId="27C5889D" w14:textId="4963E048" w:rsidR="00657BD2" w:rsidRPr="00657BD2" w:rsidRDefault="00657BD2" w:rsidP="00657BD2">
      <w:pPr>
        <w:pStyle w:val="Title"/>
        <w:rPr>
          <w:rFonts w:ascii="ADLaM Display" w:hAnsi="ADLaM Display" w:cs="ADLaM Display"/>
          <w:sz w:val="40"/>
          <w:szCs w:val="40"/>
        </w:rPr>
      </w:pPr>
      <w:r w:rsidRPr="00657BD2">
        <w:rPr>
          <w:rFonts w:ascii="ADLaM Display" w:hAnsi="ADLaM Display" w:cs="ADLaM Display"/>
          <w:sz w:val="40"/>
          <w:szCs w:val="40"/>
        </w:rPr>
        <w:t>Module code: LCBB5015</w:t>
      </w:r>
    </w:p>
    <w:p w14:paraId="6016BE62" w14:textId="77777777" w:rsidR="00657BD2" w:rsidRPr="00657BD2" w:rsidRDefault="00657BD2" w:rsidP="00657BD2">
      <w:pPr>
        <w:rPr>
          <w:rFonts w:ascii="ADLaM Display" w:hAnsi="ADLaM Display" w:cs="ADLaM Display"/>
          <w:sz w:val="40"/>
          <w:szCs w:val="40"/>
        </w:rPr>
      </w:pPr>
    </w:p>
    <w:p w14:paraId="63929D27" w14:textId="2C3DAFD1" w:rsidR="00657BD2" w:rsidRPr="00657BD2" w:rsidRDefault="00657BD2" w:rsidP="00657BD2">
      <w:pPr>
        <w:pStyle w:val="Title"/>
        <w:rPr>
          <w:rFonts w:ascii="ADLaM Display" w:hAnsi="ADLaM Display" w:cs="ADLaM Display"/>
          <w:sz w:val="40"/>
          <w:szCs w:val="40"/>
        </w:rPr>
      </w:pPr>
      <w:r w:rsidRPr="00657BD2">
        <w:rPr>
          <w:rFonts w:ascii="ADLaM Display" w:hAnsi="ADLaM Display" w:cs="ADLaM Display"/>
          <w:sz w:val="40"/>
          <w:szCs w:val="40"/>
        </w:rPr>
        <w:t>Assignment Title: Component 1: Coursework: Individual Report</w:t>
      </w:r>
    </w:p>
    <w:p w14:paraId="1BBC11CF" w14:textId="77777777" w:rsidR="00657BD2" w:rsidRPr="00657BD2" w:rsidRDefault="00657BD2" w:rsidP="00657BD2">
      <w:pPr>
        <w:rPr>
          <w:rFonts w:ascii="ADLaM Display" w:hAnsi="ADLaM Display" w:cs="ADLaM Display"/>
          <w:sz w:val="40"/>
          <w:szCs w:val="40"/>
        </w:rPr>
      </w:pPr>
    </w:p>
    <w:p w14:paraId="48634EEE" w14:textId="71F3A56A" w:rsidR="00657BD2" w:rsidRPr="00657BD2" w:rsidRDefault="00657BD2" w:rsidP="00657BD2">
      <w:pPr>
        <w:rPr>
          <w:rFonts w:ascii="ADLaM Display" w:hAnsi="ADLaM Display" w:cs="ADLaM Display"/>
          <w:sz w:val="40"/>
          <w:szCs w:val="40"/>
        </w:rPr>
      </w:pPr>
      <w:r w:rsidRPr="00657BD2">
        <w:rPr>
          <w:rFonts w:ascii="ADLaM Display" w:hAnsi="ADLaM Display" w:cs="ADLaM Display"/>
          <w:sz w:val="40"/>
          <w:szCs w:val="40"/>
        </w:rPr>
        <w:t>Company: Tesco PLC</w:t>
      </w:r>
    </w:p>
    <w:p w14:paraId="0AA3BC0F" w14:textId="77777777" w:rsidR="00657BD2" w:rsidRPr="00657BD2" w:rsidRDefault="00657BD2" w:rsidP="00657BD2">
      <w:pPr>
        <w:rPr>
          <w:rFonts w:ascii="ADLaM Display" w:hAnsi="ADLaM Display" w:cs="ADLaM Display"/>
          <w:sz w:val="40"/>
          <w:szCs w:val="40"/>
        </w:rPr>
      </w:pPr>
    </w:p>
    <w:p w14:paraId="46724B96" w14:textId="168F7DA7" w:rsidR="00657BD2" w:rsidRPr="00657BD2" w:rsidRDefault="00657BD2" w:rsidP="00657BD2">
      <w:pPr>
        <w:pStyle w:val="Title"/>
        <w:rPr>
          <w:rFonts w:ascii="ADLaM Display" w:hAnsi="ADLaM Display" w:cs="ADLaM Display"/>
          <w:sz w:val="40"/>
          <w:szCs w:val="40"/>
        </w:rPr>
      </w:pPr>
      <w:r w:rsidRPr="00657BD2">
        <w:rPr>
          <w:rFonts w:ascii="ADLaM Display" w:hAnsi="ADLaM Display" w:cs="ADLaM Display"/>
          <w:sz w:val="40"/>
          <w:szCs w:val="40"/>
        </w:rPr>
        <w:t>Lecturer Name:</w:t>
      </w:r>
      <w:r w:rsidR="00B25DC7">
        <w:rPr>
          <w:rFonts w:ascii="ADLaM Display" w:hAnsi="ADLaM Display" w:cs="ADLaM Display"/>
          <w:sz w:val="40"/>
          <w:szCs w:val="40"/>
        </w:rPr>
        <w:t xml:space="preserve"> Ade Adegbite</w:t>
      </w:r>
    </w:p>
    <w:p w14:paraId="7A6B65E9" w14:textId="77777777" w:rsidR="0097371B" w:rsidRDefault="0097371B"/>
    <w:p w14:paraId="1E7ED955" w14:textId="77777777" w:rsidR="00657BD2" w:rsidRPr="00657BD2" w:rsidRDefault="00657BD2" w:rsidP="00657BD2"/>
    <w:p w14:paraId="3A7A7213" w14:textId="77777777" w:rsidR="00657BD2" w:rsidRPr="00657BD2" w:rsidRDefault="00657BD2" w:rsidP="00657BD2"/>
    <w:p w14:paraId="20A24D33" w14:textId="77777777" w:rsidR="00657BD2" w:rsidRDefault="00657BD2" w:rsidP="00657BD2"/>
    <w:p w14:paraId="050A19BA" w14:textId="77777777" w:rsidR="00AD43F7" w:rsidRDefault="00AD43F7" w:rsidP="00657BD2">
      <w:pPr>
        <w:rPr>
          <w:rFonts w:ascii="Arial" w:hAnsi="Arial" w:cs="Arial"/>
          <w:b/>
          <w:bCs/>
          <w:u w:val="single"/>
        </w:rPr>
      </w:pPr>
    </w:p>
    <w:p w14:paraId="5FB0B807" w14:textId="3319EF9D" w:rsidR="00657BD2" w:rsidRPr="00AD43F7" w:rsidRDefault="007C28D6" w:rsidP="00657BD2">
      <w:pPr>
        <w:rPr>
          <w:rFonts w:ascii="Arial" w:hAnsi="Arial" w:cs="Arial"/>
          <w:b/>
          <w:bCs/>
          <w:sz w:val="24"/>
          <w:szCs w:val="24"/>
          <w:u w:val="single"/>
        </w:rPr>
      </w:pPr>
      <w:r w:rsidRPr="00AD43F7">
        <w:rPr>
          <w:rFonts w:ascii="Arial" w:hAnsi="Arial" w:cs="Arial"/>
          <w:b/>
          <w:bCs/>
          <w:sz w:val="24"/>
          <w:szCs w:val="24"/>
          <w:u w:val="single"/>
        </w:rPr>
        <w:lastRenderedPageBreak/>
        <w:t>INTRODUCTION</w:t>
      </w:r>
    </w:p>
    <w:p w14:paraId="64AAEFB8" w14:textId="65C6F25A" w:rsidR="005C5455" w:rsidRPr="00AD43F7" w:rsidRDefault="005C5455" w:rsidP="005C5455">
      <w:pPr>
        <w:rPr>
          <w:rFonts w:ascii="Arial" w:hAnsi="Arial" w:cs="Arial"/>
          <w:sz w:val="24"/>
          <w:szCs w:val="24"/>
        </w:rPr>
      </w:pPr>
      <w:r w:rsidRPr="00AD43F7">
        <w:rPr>
          <w:rFonts w:ascii="Arial" w:hAnsi="Arial" w:cs="Arial"/>
          <w:sz w:val="24"/>
          <w:szCs w:val="24"/>
        </w:rPr>
        <w:t>Tesco PLC stands as one of the largest retail entities in the United Kingdom, functioning within the grocery and general merchandise sectors. Founded in 1919, Tesco provides a diverse array of products and services, which encompass food and beverages, apparel, household items, financial services, and digital retail solutions via supermarkets, convenience stores, and online platforms (Tesco PLC, 2024). Tesco holds the position of market leader in the UK grocery industry, facing competition from significant retailers such as Sainsbury’s, Asda, Aldi, and Lidl (Johnson et al., 2020).</w:t>
      </w:r>
    </w:p>
    <w:p w14:paraId="1C4D16DE" w14:textId="0CBB6214" w:rsidR="00B465F2" w:rsidRPr="00AD43F7" w:rsidRDefault="005C5455" w:rsidP="005C5455">
      <w:pPr>
        <w:rPr>
          <w:rFonts w:ascii="Arial" w:hAnsi="Arial" w:cs="Arial"/>
          <w:sz w:val="24"/>
          <w:szCs w:val="24"/>
        </w:rPr>
      </w:pPr>
      <w:r w:rsidRPr="00AD43F7">
        <w:rPr>
          <w:rFonts w:ascii="Arial" w:hAnsi="Arial" w:cs="Arial"/>
          <w:sz w:val="24"/>
          <w:szCs w:val="24"/>
        </w:rPr>
        <w:t>This report aims to perform a situational analysis of Tesco PLC to assess the internal and external factors that impact its strategic performance and competitive standing. The SWOT analysis framework has been chosen as it offers a systematic approach to identifying the organisation's strengths, weaknesses, opportunities, and threats, thus facilitating strategic decision-making and long-term planning (Kotler et al., 2019). The objective of this report is to evaluate Tesco’s current strategic position and to underscore critical issues that could influence its future success.</w:t>
      </w:r>
    </w:p>
    <w:p w14:paraId="3260D986" w14:textId="77777777" w:rsidR="00DF0CFF" w:rsidRPr="00AD43F7" w:rsidRDefault="00DF0CFF" w:rsidP="00D45887">
      <w:pPr>
        <w:rPr>
          <w:rFonts w:ascii="Arial" w:hAnsi="Arial" w:cs="Arial"/>
          <w:b/>
          <w:bCs/>
          <w:sz w:val="24"/>
          <w:szCs w:val="24"/>
          <w:u w:val="single"/>
        </w:rPr>
      </w:pPr>
    </w:p>
    <w:p w14:paraId="480D07A9" w14:textId="77777777" w:rsidR="00717C33" w:rsidRPr="00AD43F7" w:rsidRDefault="00717C33" w:rsidP="00D45887">
      <w:pPr>
        <w:rPr>
          <w:rFonts w:ascii="Arial" w:hAnsi="Arial" w:cs="Arial"/>
          <w:b/>
          <w:bCs/>
          <w:sz w:val="24"/>
          <w:szCs w:val="24"/>
          <w:u w:val="single"/>
        </w:rPr>
      </w:pPr>
    </w:p>
    <w:p w14:paraId="5559654D" w14:textId="2CA789DE" w:rsidR="002472A6" w:rsidRPr="00AD43F7" w:rsidRDefault="002472A6" w:rsidP="00D45887">
      <w:pPr>
        <w:rPr>
          <w:rFonts w:ascii="Arial" w:hAnsi="Arial" w:cs="Arial"/>
          <w:b/>
          <w:bCs/>
          <w:sz w:val="24"/>
          <w:szCs w:val="24"/>
          <w:u w:val="single"/>
        </w:rPr>
      </w:pPr>
      <w:r w:rsidRPr="00AD43F7">
        <w:rPr>
          <w:rFonts w:ascii="Arial" w:hAnsi="Arial" w:cs="Arial"/>
          <w:b/>
          <w:bCs/>
          <w:sz w:val="24"/>
          <w:szCs w:val="24"/>
          <w:u w:val="single"/>
        </w:rPr>
        <w:t>SITUATIONAL ANA</w:t>
      </w:r>
      <w:r w:rsidR="00B465F2" w:rsidRPr="00AD43F7">
        <w:rPr>
          <w:rFonts w:ascii="Arial" w:hAnsi="Arial" w:cs="Arial"/>
          <w:b/>
          <w:bCs/>
          <w:sz w:val="24"/>
          <w:szCs w:val="24"/>
          <w:u w:val="single"/>
        </w:rPr>
        <w:t>LYSIS - SWOT</w:t>
      </w:r>
    </w:p>
    <w:p w14:paraId="080E37DB" w14:textId="01E7284E" w:rsidR="00DF0CFF" w:rsidRPr="00AD43F7" w:rsidRDefault="00D80C04" w:rsidP="00DF0CFF">
      <w:pPr>
        <w:rPr>
          <w:rFonts w:ascii="Arial" w:hAnsi="Arial" w:cs="Arial"/>
          <w:sz w:val="24"/>
          <w:szCs w:val="24"/>
        </w:rPr>
      </w:pPr>
      <w:r w:rsidRPr="00AD43F7">
        <w:rPr>
          <w:rFonts w:ascii="Arial" w:hAnsi="Arial" w:cs="Arial"/>
          <w:b/>
          <w:bCs/>
          <w:i/>
          <w:iCs/>
          <w:sz w:val="24"/>
          <w:szCs w:val="24"/>
        </w:rPr>
        <w:t>Strengths</w:t>
      </w:r>
      <w:r w:rsidR="00C06327" w:rsidRPr="00AD43F7">
        <w:rPr>
          <w:rFonts w:ascii="Arial" w:hAnsi="Arial" w:cs="Arial"/>
          <w:i/>
          <w:iCs/>
          <w:sz w:val="24"/>
          <w:szCs w:val="24"/>
        </w:rPr>
        <w:t xml:space="preserve"> </w:t>
      </w:r>
      <w:r w:rsidR="00A71318" w:rsidRPr="00AD43F7">
        <w:rPr>
          <w:rFonts w:ascii="Arial" w:hAnsi="Arial" w:cs="Arial"/>
          <w:i/>
          <w:iCs/>
          <w:sz w:val="24"/>
          <w:szCs w:val="24"/>
        </w:rPr>
        <w:t xml:space="preserve">- </w:t>
      </w:r>
      <w:r w:rsidR="00DF0CFF" w:rsidRPr="00AD43F7">
        <w:rPr>
          <w:rFonts w:ascii="Arial" w:hAnsi="Arial" w:cs="Arial"/>
          <w:sz w:val="24"/>
          <w:szCs w:val="24"/>
        </w:rPr>
        <w:t>Tesco’s foremost strength is its dominant market position within the UK retail sector. The substantial market share it holds indicates a high level of brand recognition and customer loyalty, which allows Tesco to leverage economies of scale and maintain significant bargaining power with suppliers (Tesco PLC, 2024). The company’s vast network of stores and its efficient supply chain operations further bolster its operational performance and competitive edge.</w:t>
      </w:r>
    </w:p>
    <w:p w14:paraId="6CFDAE5F" w14:textId="6F513EF1" w:rsidR="00BC6B7C" w:rsidRPr="00AD43F7" w:rsidRDefault="00DF0CFF" w:rsidP="00DF0CFF">
      <w:pPr>
        <w:rPr>
          <w:rFonts w:ascii="Arial" w:hAnsi="Arial" w:cs="Arial"/>
          <w:sz w:val="24"/>
          <w:szCs w:val="24"/>
        </w:rPr>
      </w:pPr>
      <w:r w:rsidRPr="00AD43F7">
        <w:rPr>
          <w:rFonts w:ascii="Arial" w:hAnsi="Arial" w:cs="Arial"/>
          <w:sz w:val="24"/>
          <w:szCs w:val="24"/>
        </w:rPr>
        <w:t xml:space="preserve">Another key strength is Tesco’s omnichannel retail approach, which seamlessly combines physical stores with online platforms. The company’s investments in digital technologies and logistics systems have enhanced customer convenience and operational efficiency. Furthermore, Tesco’s Clubcard loyalty programme enables the collection and analysis of customer data, facilitating </w:t>
      </w:r>
      <w:r w:rsidR="006C0DDA" w:rsidRPr="00AD43F7">
        <w:rPr>
          <w:rFonts w:ascii="Arial" w:hAnsi="Arial" w:cs="Arial"/>
          <w:sz w:val="24"/>
          <w:szCs w:val="24"/>
        </w:rPr>
        <w:t>identified</w:t>
      </w:r>
      <w:r w:rsidRPr="00AD43F7">
        <w:rPr>
          <w:rFonts w:ascii="Arial" w:hAnsi="Arial" w:cs="Arial"/>
          <w:sz w:val="24"/>
          <w:szCs w:val="24"/>
        </w:rPr>
        <w:t xml:space="preserve"> marketing strategies and reinforcing customer relationships</w:t>
      </w:r>
      <w:r w:rsidR="00717C33" w:rsidRPr="00AD43F7">
        <w:rPr>
          <w:rFonts w:ascii="Arial" w:hAnsi="Arial" w:cs="Arial"/>
          <w:sz w:val="24"/>
          <w:szCs w:val="24"/>
        </w:rPr>
        <w:t>.</w:t>
      </w:r>
    </w:p>
    <w:p w14:paraId="1B0C2975" w14:textId="77777777" w:rsidR="00093730" w:rsidRPr="00AD43F7" w:rsidRDefault="00093730" w:rsidP="009D43DA">
      <w:pPr>
        <w:rPr>
          <w:rFonts w:ascii="Arial" w:hAnsi="Arial" w:cs="Arial"/>
          <w:sz w:val="24"/>
          <w:szCs w:val="24"/>
        </w:rPr>
      </w:pPr>
    </w:p>
    <w:p w14:paraId="41C6CB01" w14:textId="603B25FD" w:rsidR="00093730" w:rsidRPr="00AD43F7" w:rsidRDefault="001B28C8" w:rsidP="00093730">
      <w:pPr>
        <w:rPr>
          <w:rFonts w:ascii="Arial" w:hAnsi="Arial" w:cs="Arial"/>
          <w:sz w:val="24"/>
          <w:szCs w:val="24"/>
        </w:rPr>
      </w:pPr>
      <w:r w:rsidRPr="00AD43F7">
        <w:rPr>
          <w:rFonts w:ascii="Arial" w:hAnsi="Arial" w:cs="Arial"/>
          <w:b/>
          <w:bCs/>
          <w:i/>
          <w:iCs/>
          <w:sz w:val="24"/>
          <w:szCs w:val="24"/>
        </w:rPr>
        <w:t>Weaknesses</w:t>
      </w:r>
      <w:r w:rsidRPr="00AD43F7">
        <w:rPr>
          <w:rFonts w:ascii="Arial" w:hAnsi="Arial" w:cs="Arial"/>
          <w:sz w:val="24"/>
          <w:szCs w:val="24"/>
        </w:rPr>
        <w:t xml:space="preserve"> - </w:t>
      </w:r>
      <w:r w:rsidR="00093730" w:rsidRPr="00AD43F7">
        <w:rPr>
          <w:rFonts w:ascii="Arial" w:hAnsi="Arial" w:cs="Arial"/>
          <w:sz w:val="24"/>
          <w:szCs w:val="24"/>
        </w:rPr>
        <w:t xml:space="preserve">Despite holding a robust position in the market, Tesco encounters various internal weaknesses. A significant drawback is its substantial dependence on the UK market, which makes the company vulnerable to economic fluctuations, shifts in consumer </w:t>
      </w:r>
      <w:r w:rsidR="00D41234" w:rsidRPr="00AD43F7">
        <w:rPr>
          <w:rFonts w:ascii="Arial" w:hAnsi="Arial" w:cs="Arial"/>
          <w:sz w:val="24"/>
          <w:szCs w:val="24"/>
        </w:rPr>
        <w:t>behaviour</w:t>
      </w:r>
      <w:r w:rsidR="00093730" w:rsidRPr="00AD43F7">
        <w:rPr>
          <w:rFonts w:ascii="Arial" w:hAnsi="Arial" w:cs="Arial"/>
          <w:sz w:val="24"/>
          <w:szCs w:val="24"/>
        </w:rPr>
        <w:t>, and regulatory changes within the domestic landscape (Tesco PLC, 2024). This reliance diminishes Tesco's capacity to manage risk through geographic diversification.</w:t>
      </w:r>
    </w:p>
    <w:p w14:paraId="3DFF0591" w14:textId="027CAD8B" w:rsidR="00E762CE" w:rsidRPr="00AD43F7" w:rsidRDefault="00093730" w:rsidP="00093730">
      <w:pPr>
        <w:rPr>
          <w:rFonts w:ascii="Arial" w:hAnsi="Arial" w:cs="Arial"/>
          <w:sz w:val="24"/>
          <w:szCs w:val="24"/>
        </w:rPr>
      </w:pPr>
      <w:r w:rsidRPr="00AD43F7">
        <w:rPr>
          <w:rFonts w:ascii="Arial" w:hAnsi="Arial" w:cs="Arial"/>
          <w:sz w:val="24"/>
          <w:szCs w:val="24"/>
        </w:rPr>
        <w:t xml:space="preserve">Additionally, Tesco functions within </w:t>
      </w:r>
      <w:proofErr w:type="gramStart"/>
      <w:r w:rsidRPr="00AD43F7">
        <w:rPr>
          <w:rFonts w:ascii="Arial" w:hAnsi="Arial" w:cs="Arial"/>
          <w:sz w:val="24"/>
          <w:szCs w:val="24"/>
        </w:rPr>
        <w:t>a</w:t>
      </w:r>
      <w:proofErr w:type="gramEnd"/>
      <w:r w:rsidRPr="00AD43F7">
        <w:rPr>
          <w:rFonts w:ascii="Arial" w:hAnsi="Arial" w:cs="Arial"/>
          <w:sz w:val="24"/>
          <w:szCs w:val="24"/>
        </w:rPr>
        <w:t xml:space="preserve"> </w:t>
      </w:r>
      <w:r w:rsidR="00D41234" w:rsidRPr="00AD43F7">
        <w:rPr>
          <w:rFonts w:ascii="Arial" w:hAnsi="Arial" w:cs="Arial"/>
          <w:sz w:val="24"/>
          <w:szCs w:val="24"/>
        </w:rPr>
        <w:t>extremely</w:t>
      </w:r>
      <w:r w:rsidRPr="00AD43F7">
        <w:rPr>
          <w:rFonts w:ascii="Arial" w:hAnsi="Arial" w:cs="Arial"/>
          <w:sz w:val="24"/>
          <w:szCs w:val="24"/>
        </w:rPr>
        <w:t xml:space="preserve"> competitive industry marked by slim profit margins. The intense price competition posed by discount retailers like Aldi and Lidl restricts profitability and hampers financial flexibility. Moreover, Tesco's extensive </w:t>
      </w:r>
      <w:r w:rsidRPr="00AD43F7">
        <w:rPr>
          <w:rFonts w:ascii="Arial" w:hAnsi="Arial" w:cs="Arial"/>
          <w:sz w:val="24"/>
          <w:szCs w:val="24"/>
        </w:rPr>
        <w:lastRenderedPageBreak/>
        <w:t>organi</w:t>
      </w:r>
      <w:r w:rsidR="003D59BA" w:rsidRPr="00AD43F7">
        <w:rPr>
          <w:rFonts w:ascii="Arial" w:hAnsi="Arial" w:cs="Arial"/>
          <w:sz w:val="24"/>
          <w:szCs w:val="24"/>
        </w:rPr>
        <w:t>s</w:t>
      </w:r>
      <w:r w:rsidRPr="00AD43F7">
        <w:rPr>
          <w:rFonts w:ascii="Arial" w:hAnsi="Arial" w:cs="Arial"/>
          <w:sz w:val="24"/>
          <w:szCs w:val="24"/>
        </w:rPr>
        <w:t>ational structure and intricate operations across various channels elevate operational costs and diminish organi</w:t>
      </w:r>
      <w:r w:rsidR="003D59BA" w:rsidRPr="00AD43F7">
        <w:rPr>
          <w:rFonts w:ascii="Arial" w:hAnsi="Arial" w:cs="Arial"/>
          <w:sz w:val="24"/>
          <w:szCs w:val="24"/>
        </w:rPr>
        <w:t>s</w:t>
      </w:r>
      <w:r w:rsidRPr="00AD43F7">
        <w:rPr>
          <w:rFonts w:ascii="Arial" w:hAnsi="Arial" w:cs="Arial"/>
          <w:sz w:val="24"/>
          <w:szCs w:val="24"/>
        </w:rPr>
        <w:t>ational agility, thereby complicating rapid strategic adjustments.</w:t>
      </w:r>
    </w:p>
    <w:p w14:paraId="45CD8F3A" w14:textId="77777777" w:rsidR="00E762CE" w:rsidRPr="00AD43F7" w:rsidRDefault="00E762CE" w:rsidP="009D43DA">
      <w:pPr>
        <w:rPr>
          <w:rFonts w:ascii="Arial" w:hAnsi="Arial" w:cs="Arial"/>
          <w:sz w:val="24"/>
          <w:szCs w:val="24"/>
        </w:rPr>
      </w:pPr>
    </w:p>
    <w:p w14:paraId="2F762EAB" w14:textId="005AE141" w:rsidR="00500761" w:rsidRPr="00AD43F7" w:rsidRDefault="00E762CE" w:rsidP="00500761">
      <w:pPr>
        <w:rPr>
          <w:rFonts w:ascii="Arial" w:hAnsi="Arial" w:cs="Arial"/>
          <w:sz w:val="24"/>
          <w:szCs w:val="24"/>
        </w:rPr>
      </w:pPr>
      <w:r w:rsidRPr="00AD43F7">
        <w:rPr>
          <w:rFonts w:ascii="Arial" w:hAnsi="Arial" w:cs="Arial"/>
          <w:b/>
          <w:bCs/>
          <w:i/>
          <w:iCs/>
          <w:sz w:val="24"/>
          <w:szCs w:val="24"/>
        </w:rPr>
        <w:t>Opportunities</w:t>
      </w:r>
      <w:r w:rsidRPr="00AD43F7">
        <w:rPr>
          <w:rFonts w:ascii="Arial" w:hAnsi="Arial" w:cs="Arial"/>
          <w:sz w:val="24"/>
          <w:szCs w:val="24"/>
        </w:rPr>
        <w:t xml:space="preserve"> - </w:t>
      </w:r>
      <w:r w:rsidR="00500761" w:rsidRPr="00AD43F7">
        <w:rPr>
          <w:rFonts w:ascii="Arial" w:hAnsi="Arial" w:cs="Arial"/>
          <w:sz w:val="24"/>
          <w:szCs w:val="24"/>
        </w:rPr>
        <w:t>Tesco is presented with considerable opportunities stemming from technological advancements and changing consumer preferences.</w:t>
      </w:r>
      <w:r w:rsidR="006221EE" w:rsidRPr="00AD43F7">
        <w:rPr>
          <w:rFonts w:ascii="Arial" w:hAnsi="Arial" w:cs="Arial"/>
          <w:sz w:val="24"/>
          <w:szCs w:val="24"/>
        </w:rPr>
        <w:t xml:space="preserve"> </w:t>
      </w:r>
      <w:r w:rsidR="00500761" w:rsidRPr="00AD43F7">
        <w:rPr>
          <w:rFonts w:ascii="Arial" w:hAnsi="Arial" w:cs="Arial"/>
          <w:sz w:val="24"/>
          <w:szCs w:val="24"/>
        </w:rPr>
        <w:t>The swift expansion of e-commerce and digital services offers Tesco the chance to broaden its online retail activities and improve customer interaction. Ongoing investments in automation, artificial intelligence, and data analytics can further enhance operational efficiency and marketing effectiveness (Kotler et al., 2019).</w:t>
      </w:r>
    </w:p>
    <w:p w14:paraId="3F1DFFB0" w14:textId="02787A30" w:rsidR="00962C21" w:rsidRPr="00AD43F7" w:rsidRDefault="00500761" w:rsidP="00500761">
      <w:pPr>
        <w:rPr>
          <w:rFonts w:ascii="Arial" w:hAnsi="Arial" w:cs="Arial"/>
          <w:sz w:val="24"/>
          <w:szCs w:val="24"/>
        </w:rPr>
      </w:pPr>
      <w:r w:rsidRPr="00AD43F7">
        <w:rPr>
          <w:rFonts w:ascii="Arial" w:hAnsi="Arial" w:cs="Arial"/>
          <w:sz w:val="24"/>
          <w:szCs w:val="24"/>
        </w:rPr>
        <w:t>Moreover, trends in sustainability and ethical consumption signify crucial opportunities. The rising consumer appetite for eco-friendly and socially responsible products enables Tesco to fortify its sustainability strategy and corporate social responsibility efforts. Furthermore, demographic shifts and urbani</w:t>
      </w:r>
      <w:r w:rsidR="00F87B35" w:rsidRPr="00AD43F7">
        <w:rPr>
          <w:rFonts w:ascii="Arial" w:hAnsi="Arial" w:cs="Arial"/>
          <w:sz w:val="24"/>
          <w:szCs w:val="24"/>
        </w:rPr>
        <w:t>s</w:t>
      </w:r>
      <w:r w:rsidRPr="00AD43F7">
        <w:rPr>
          <w:rFonts w:ascii="Arial" w:hAnsi="Arial" w:cs="Arial"/>
          <w:sz w:val="24"/>
          <w:szCs w:val="24"/>
        </w:rPr>
        <w:t>ation in the UK create avenues for Tesco to grow its convenience store formats and rapid delivery services, thus catering to the demands of contemporary consumers.</w:t>
      </w:r>
    </w:p>
    <w:p w14:paraId="3CF32F85" w14:textId="77777777" w:rsidR="00962C21" w:rsidRPr="00AD43F7" w:rsidRDefault="00962C21" w:rsidP="00962C21">
      <w:pPr>
        <w:rPr>
          <w:rFonts w:ascii="Arial" w:hAnsi="Arial" w:cs="Arial"/>
          <w:sz w:val="24"/>
          <w:szCs w:val="24"/>
        </w:rPr>
      </w:pPr>
    </w:p>
    <w:p w14:paraId="09A2F18E" w14:textId="4080BB2B" w:rsidR="000C300C" w:rsidRPr="00AD43F7" w:rsidRDefault="000679F5" w:rsidP="000C300C">
      <w:pPr>
        <w:rPr>
          <w:rFonts w:ascii="Arial" w:hAnsi="Arial" w:cs="Arial"/>
          <w:sz w:val="24"/>
          <w:szCs w:val="24"/>
        </w:rPr>
      </w:pPr>
      <w:r w:rsidRPr="00AD43F7">
        <w:rPr>
          <w:rFonts w:ascii="Arial" w:hAnsi="Arial" w:cs="Arial"/>
          <w:b/>
          <w:bCs/>
          <w:i/>
          <w:iCs/>
          <w:sz w:val="24"/>
          <w:szCs w:val="24"/>
        </w:rPr>
        <w:t>Threats</w:t>
      </w:r>
      <w:r w:rsidRPr="00AD43F7">
        <w:rPr>
          <w:rFonts w:ascii="Arial" w:hAnsi="Arial" w:cs="Arial"/>
          <w:sz w:val="24"/>
          <w:szCs w:val="24"/>
        </w:rPr>
        <w:t xml:space="preserve"> - </w:t>
      </w:r>
      <w:r w:rsidR="000C300C" w:rsidRPr="00AD43F7">
        <w:rPr>
          <w:rFonts w:ascii="Arial" w:hAnsi="Arial" w:cs="Arial"/>
          <w:sz w:val="24"/>
          <w:szCs w:val="24"/>
        </w:rPr>
        <w:t>Tesco functions within a highly competitive landscape marked by intense rivalry among leading supermarket chains and discount retailers. Competitors like Sainsbury’s, Asda, Aldi, and Lidl consistently apply pressure on pricing and market share, which constrains Tesco’s capacity to enhance profit margins (Johnson et al., 2020).</w:t>
      </w:r>
    </w:p>
    <w:p w14:paraId="2B71D769" w14:textId="16331621" w:rsidR="000C300C" w:rsidRPr="00AD43F7" w:rsidRDefault="000C300C" w:rsidP="000C300C">
      <w:pPr>
        <w:rPr>
          <w:rFonts w:ascii="Arial" w:hAnsi="Arial" w:cs="Arial"/>
          <w:sz w:val="24"/>
          <w:szCs w:val="24"/>
        </w:rPr>
      </w:pPr>
      <w:r w:rsidRPr="00AD43F7">
        <w:rPr>
          <w:rFonts w:ascii="Arial" w:hAnsi="Arial" w:cs="Arial"/>
          <w:sz w:val="24"/>
          <w:szCs w:val="24"/>
        </w:rPr>
        <w:t>Economic instability represents another considerable threat. Factors such as inflation, increasing energy expenses, and variations in consumer purchasing power can adversely impact Tesco’s sales performance. Additionally, post-Brexit trade barriers and disruptions in the supply chain further escalate operational costs and complexity.</w:t>
      </w:r>
    </w:p>
    <w:p w14:paraId="05EC72C2" w14:textId="0D773145" w:rsidR="00B72ABA" w:rsidRPr="00AD43F7" w:rsidRDefault="000C300C" w:rsidP="000C300C">
      <w:pPr>
        <w:rPr>
          <w:rFonts w:ascii="Arial" w:hAnsi="Arial" w:cs="Arial"/>
          <w:sz w:val="24"/>
          <w:szCs w:val="24"/>
        </w:rPr>
      </w:pPr>
      <w:r w:rsidRPr="00AD43F7">
        <w:rPr>
          <w:rFonts w:ascii="Arial" w:hAnsi="Arial" w:cs="Arial"/>
          <w:sz w:val="24"/>
          <w:szCs w:val="24"/>
        </w:rPr>
        <w:t xml:space="preserve">Regulatory challenges also pose difficulties, as Tesco is required to adhere to stringent competition laws, </w:t>
      </w:r>
      <w:r w:rsidR="003B1342" w:rsidRPr="00AD43F7">
        <w:rPr>
          <w:rFonts w:ascii="Arial" w:hAnsi="Arial" w:cs="Arial"/>
          <w:sz w:val="24"/>
          <w:szCs w:val="24"/>
        </w:rPr>
        <w:t>labour</w:t>
      </w:r>
      <w:r w:rsidRPr="00AD43F7">
        <w:rPr>
          <w:rFonts w:ascii="Arial" w:hAnsi="Arial" w:cs="Arial"/>
          <w:sz w:val="24"/>
          <w:szCs w:val="24"/>
        </w:rPr>
        <w:t xml:space="preserve"> regulations, and food safety standards. </w:t>
      </w:r>
    </w:p>
    <w:p w14:paraId="193848EC" w14:textId="77777777" w:rsidR="00E75ED8" w:rsidRPr="00AD43F7" w:rsidRDefault="00E75ED8" w:rsidP="00B72ABA">
      <w:pPr>
        <w:rPr>
          <w:rFonts w:ascii="Arial" w:hAnsi="Arial" w:cs="Arial"/>
          <w:b/>
          <w:bCs/>
          <w:sz w:val="24"/>
          <w:szCs w:val="24"/>
          <w:u w:val="single"/>
        </w:rPr>
      </w:pPr>
    </w:p>
    <w:p w14:paraId="3AA7FA6C" w14:textId="5E39C05F" w:rsidR="00EA1723" w:rsidRPr="00AD43F7" w:rsidRDefault="00B72ABA" w:rsidP="00EA1723">
      <w:pPr>
        <w:rPr>
          <w:rFonts w:ascii="Arial" w:hAnsi="Arial" w:cs="Arial"/>
          <w:b/>
          <w:bCs/>
          <w:sz w:val="24"/>
          <w:szCs w:val="24"/>
          <w:u w:val="single"/>
        </w:rPr>
      </w:pPr>
      <w:r w:rsidRPr="00AD43F7">
        <w:rPr>
          <w:rFonts w:ascii="Arial" w:hAnsi="Arial" w:cs="Arial"/>
          <w:b/>
          <w:bCs/>
          <w:sz w:val="24"/>
          <w:szCs w:val="24"/>
          <w:u w:val="single"/>
        </w:rPr>
        <w:t>CRITICAL ANALYSIS AND EVALUATION</w:t>
      </w:r>
    </w:p>
    <w:p w14:paraId="080C356B" w14:textId="0BD01FD3" w:rsidR="00EA1723" w:rsidRPr="00AD43F7" w:rsidRDefault="00EA1723" w:rsidP="00EA1723">
      <w:pPr>
        <w:rPr>
          <w:rFonts w:ascii="Arial" w:hAnsi="Arial" w:cs="Arial"/>
          <w:sz w:val="24"/>
          <w:szCs w:val="24"/>
        </w:rPr>
      </w:pPr>
      <w:r w:rsidRPr="00AD43F7">
        <w:rPr>
          <w:rFonts w:ascii="Arial" w:hAnsi="Arial" w:cs="Arial"/>
          <w:sz w:val="24"/>
          <w:szCs w:val="24"/>
        </w:rPr>
        <w:t>The SWOT analysis reveals that Tesco's strategic position is influenced by the interplay between its internal capabilities and external environmental factors.</w:t>
      </w:r>
      <w:r w:rsidR="003D00E6" w:rsidRPr="00AD43F7">
        <w:rPr>
          <w:rFonts w:ascii="Arial" w:hAnsi="Arial" w:cs="Arial"/>
          <w:sz w:val="24"/>
          <w:szCs w:val="24"/>
        </w:rPr>
        <w:t xml:space="preserve"> </w:t>
      </w:r>
      <w:r w:rsidRPr="00AD43F7">
        <w:rPr>
          <w:rFonts w:ascii="Arial" w:hAnsi="Arial" w:cs="Arial"/>
          <w:sz w:val="24"/>
          <w:szCs w:val="24"/>
        </w:rPr>
        <w:t>Tesco's robust brand, digital infrastructure, and market leadership confer a competitive edge; however, its reliance on the UK market and vulnerability to fierce competition underscore strategic weaknesses.</w:t>
      </w:r>
    </w:p>
    <w:p w14:paraId="0257F73A" w14:textId="23D78E55" w:rsidR="00EA1723" w:rsidRPr="00AD43F7" w:rsidRDefault="00EA1723" w:rsidP="00EA1723">
      <w:pPr>
        <w:rPr>
          <w:rFonts w:ascii="Arial" w:hAnsi="Arial" w:cs="Arial"/>
          <w:sz w:val="24"/>
          <w:szCs w:val="24"/>
        </w:rPr>
      </w:pPr>
      <w:r w:rsidRPr="00AD43F7">
        <w:rPr>
          <w:rFonts w:ascii="Arial" w:hAnsi="Arial" w:cs="Arial"/>
          <w:sz w:val="24"/>
          <w:szCs w:val="24"/>
        </w:rPr>
        <w:t xml:space="preserve">From a resource-based perspective, Tesco's achievements stem from its capacity to </w:t>
      </w:r>
      <w:r w:rsidR="00E15061" w:rsidRPr="00AD43F7">
        <w:rPr>
          <w:rFonts w:ascii="Arial" w:hAnsi="Arial" w:cs="Arial"/>
          <w:sz w:val="24"/>
          <w:szCs w:val="24"/>
        </w:rPr>
        <w:t>use</w:t>
      </w:r>
      <w:r w:rsidRPr="00AD43F7">
        <w:rPr>
          <w:rFonts w:ascii="Arial" w:hAnsi="Arial" w:cs="Arial"/>
          <w:sz w:val="24"/>
          <w:szCs w:val="24"/>
        </w:rPr>
        <w:t xml:space="preserve"> distinctive resources such as brand equity and customer data (Barney, 1991). Nevertheless, Ansoff's Matrix indicates that increased diversification and market development could mitigate risks and foster long-term growth (Ansoff, 1957). In </w:t>
      </w:r>
      <w:r w:rsidRPr="00AD43F7">
        <w:rPr>
          <w:rFonts w:ascii="Arial" w:hAnsi="Arial" w:cs="Arial"/>
          <w:sz w:val="24"/>
          <w:szCs w:val="24"/>
        </w:rPr>
        <w:lastRenderedPageBreak/>
        <w:t>comparison to global competitors like Walmart, Tesco's relatively limited international footprint may hinder its strategic resilience.</w:t>
      </w:r>
    </w:p>
    <w:p w14:paraId="126BA8B4" w14:textId="77777777" w:rsidR="00665A75" w:rsidRPr="00AD43F7" w:rsidRDefault="00EA1723" w:rsidP="00EA1723">
      <w:pPr>
        <w:rPr>
          <w:rFonts w:ascii="Arial" w:hAnsi="Arial" w:cs="Arial"/>
          <w:sz w:val="24"/>
          <w:szCs w:val="24"/>
        </w:rPr>
      </w:pPr>
      <w:r w:rsidRPr="00AD43F7">
        <w:rPr>
          <w:rFonts w:ascii="Arial" w:hAnsi="Arial" w:cs="Arial"/>
          <w:sz w:val="24"/>
          <w:szCs w:val="24"/>
        </w:rPr>
        <w:t>Porter's (1985) generic strategies framework further elucidates Tesco's strategic challenges. Tesco employs a hybrid strategy that merges cost leadership with differentiation through quality, convenience, and sustainability. While this strategy allows Tesco to compete against low-cost competitors, it also compresses profit margins and necessitates trade-offs between cost efficiency and innovation.</w:t>
      </w:r>
    </w:p>
    <w:p w14:paraId="1CD6B46D" w14:textId="36CF4793" w:rsidR="00EA1723" w:rsidRPr="00AD43F7" w:rsidRDefault="00EA1723" w:rsidP="00EA1723">
      <w:pPr>
        <w:rPr>
          <w:rFonts w:ascii="Arial" w:hAnsi="Arial" w:cs="Arial"/>
          <w:sz w:val="24"/>
          <w:szCs w:val="24"/>
        </w:rPr>
      </w:pPr>
      <w:r w:rsidRPr="00AD43F7">
        <w:rPr>
          <w:rFonts w:ascii="Arial" w:hAnsi="Arial" w:cs="Arial"/>
          <w:sz w:val="24"/>
          <w:szCs w:val="24"/>
        </w:rPr>
        <w:t xml:space="preserve">External opportunities such as </w:t>
      </w:r>
      <w:r w:rsidR="0035162E" w:rsidRPr="00AD43F7">
        <w:rPr>
          <w:rFonts w:ascii="Arial" w:hAnsi="Arial" w:cs="Arial"/>
          <w:sz w:val="24"/>
          <w:szCs w:val="24"/>
        </w:rPr>
        <w:t>digitalisation</w:t>
      </w:r>
      <w:r w:rsidRPr="00AD43F7">
        <w:rPr>
          <w:rFonts w:ascii="Arial" w:hAnsi="Arial" w:cs="Arial"/>
          <w:sz w:val="24"/>
          <w:szCs w:val="24"/>
        </w:rPr>
        <w:t xml:space="preserve"> and sustainability play a crucial role in shaping Tesco's strategic choices. Investments in e-commerce and sustainable products demonstrate the necessity to adapt to evolving consumer expectations. As Kotler et al. (2019) contend, organi</w:t>
      </w:r>
      <w:r w:rsidR="00EA564E" w:rsidRPr="00AD43F7">
        <w:rPr>
          <w:rFonts w:ascii="Arial" w:hAnsi="Arial" w:cs="Arial"/>
          <w:sz w:val="24"/>
          <w:szCs w:val="24"/>
        </w:rPr>
        <w:t>s</w:t>
      </w:r>
      <w:r w:rsidRPr="00AD43F7">
        <w:rPr>
          <w:rFonts w:ascii="Arial" w:hAnsi="Arial" w:cs="Arial"/>
          <w:sz w:val="24"/>
          <w:szCs w:val="24"/>
        </w:rPr>
        <w:t>ations that do not respond to technological and social transformations risk losing their competitive edge.</w:t>
      </w:r>
    </w:p>
    <w:p w14:paraId="366BE0D4" w14:textId="45DE0130" w:rsidR="00B43FF7" w:rsidRPr="00AD43F7" w:rsidRDefault="00EA1723" w:rsidP="00B43FF7">
      <w:pPr>
        <w:rPr>
          <w:rFonts w:ascii="Arial" w:hAnsi="Arial" w:cs="Arial"/>
          <w:sz w:val="24"/>
          <w:szCs w:val="24"/>
        </w:rPr>
      </w:pPr>
      <w:r w:rsidRPr="00AD43F7">
        <w:rPr>
          <w:rFonts w:ascii="Arial" w:hAnsi="Arial" w:cs="Arial"/>
          <w:sz w:val="24"/>
          <w:szCs w:val="24"/>
        </w:rPr>
        <w:t>In summary, Tesco's long-term success hinges on its ability to achieve a strategic alignment between internal resources and external conditions. Ongoing innovation, diversification, and proficient risk management are vital for maintaining a competitive advantage in the ever-changing retail landscape.</w:t>
      </w:r>
    </w:p>
    <w:p w14:paraId="6A5E10DD" w14:textId="77777777" w:rsidR="00DD0C43" w:rsidRPr="00AD43F7" w:rsidRDefault="00DD0C43" w:rsidP="00B43FF7">
      <w:pPr>
        <w:rPr>
          <w:rFonts w:ascii="Arial" w:hAnsi="Arial" w:cs="Arial"/>
          <w:sz w:val="24"/>
          <w:szCs w:val="24"/>
        </w:rPr>
      </w:pPr>
    </w:p>
    <w:p w14:paraId="33D4BE93" w14:textId="77777777" w:rsidR="00DD0C43" w:rsidRPr="00AD43F7" w:rsidRDefault="00DD0C43" w:rsidP="00B43FF7">
      <w:pPr>
        <w:rPr>
          <w:rFonts w:ascii="Arial" w:hAnsi="Arial" w:cs="Arial"/>
          <w:sz w:val="24"/>
          <w:szCs w:val="24"/>
        </w:rPr>
      </w:pPr>
    </w:p>
    <w:p w14:paraId="147E0918" w14:textId="77777777" w:rsidR="00760AAE" w:rsidRPr="00AD43F7" w:rsidRDefault="00760AAE" w:rsidP="00B43FF7">
      <w:pPr>
        <w:rPr>
          <w:rFonts w:ascii="Arial" w:hAnsi="Arial" w:cs="Arial"/>
          <w:sz w:val="24"/>
          <w:szCs w:val="24"/>
        </w:rPr>
      </w:pPr>
    </w:p>
    <w:p w14:paraId="37EC8299" w14:textId="60AEE819" w:rsidR="00960848" w:rsidRPr="00AD43F7" w:rsidRDefault="00B43FF7" w:rsidP="00960848">
      <w:pPr>
        <w:rPr>
          <w:rFonts w:ascii="Arial" w:hAnsi="Arial" w:cs="Arial"/>
          <w:b/>
          <w:bCs/>
          <w:sz w:val="24"/>
          <w:szCs w:val="24"/>
          <w:u w:val="single"/>
        </w:rPr>
      </w:pPr>
      <w:r w:rsidRPr="00AD43F7">
        <w:rPr>
          <w:rFonts w:ascii="Arial" w:hAnsi="Arial" w:cs="Arial"/>
          <w:b/>
          <w:bCs/>
          <w:sz w:val="24"/>
          <w:szCs w:val="24"/>
          <w:u w:val="single"/>
        </w:rPr>
        <w:t xml:space="preserve">CONCLUSION </w:t>
      </w:r>
      <w:r w:rsidR="00760AAE" w:rsidRPr="00AD43F7">
        <w:rPr>
          <w:rFonts w:ascii="Arial" w:hAnsi="Arial" w:cs="Arial"/>
          <w:b/>
          <w:bCs/>
          <w:sz w:val="24"/>
          <w:szCs w:val="24"/>
          <w:u w:val="single"/>
        </w:rPr>
        <w:t>AND RECOMMENDATION</w:t>
      </w:r>
    </w:p>
    <w:p w14:paraId="33A2267D" w14:textId="46D1C0D5" w:rsidR="00960848" w:rsidRPr="00AD43F7" w:rsidRDefault="00960848" w:rsidP="00960848">
      <w:pPr>
        <w:rPr>
          <w:rFonts w:ascii="Arial" w:hAnsi="Arial" w:cs="Arial"/>
          <w:sz w:val="24"/>
          <w:szCs w:val="24"/>
        </w:rPr>
      </w:pPr>
      <w:r w:rsidRPr="00AD43F7">
        <w:rPr>
          <w:rFonts w:ascii="Arial" w:hAnsi="Arial" w:cs="Arial"/>
          <w:sz w:val="24"/>
          <w:szCs w:val="24"/>
        </w:rPr>
        <w:t xml:space="preserve">This report has conducted an analysis of Tesco PLC </w:t>
      </w:r>
      <w:r w:rsidR="00FF6040" w:rsidRPr="00AD43F7">
        <w:rPr>
          <w:rFonts w:ascii="Arial" w:hAnsi="Arial" w:cs="Arial"/>
          <w:sz w:val="24"/>
          <w:szCs w:val="24"/>
        </w:rPr>
        <w:t>using</w:t>
      </w:r>
      <w:r w:rsidRPr="00AD43F7">
        <w:rPr>
          <w:rFonts w:ascii="Arial" w:hAnsi="Arial" w:cs="Arial"/>
          <w:sz w:val="24"/>
          <w:szCs w:val="24"/>
        </w:rPr>
        <w:t xml:space="preserve"> the SWOT model to assess both internal strengths and weaknesses, as well as external opportunities and threats. The evaluation revealed Tesco’s significant market leadership, digital capabilities, and brand reputation as primary strengths, whereas its reliance on the UK market and low profit margins </w:t>
      </w:r>
      <w:r w:rsidR="0049629D" w:rsidRPr="00AD43F7">
        <w:rPr>
          <w:rFonts w:ascii="Arial" w:hAnsi="Arial" w:cs="Arial"/>
          <w:sz w:val="24"/>
          <w:szCs w:val="24"/>
        </w:rPr>
        <w:t>was</w:t>
      </w:r>
      <w:r w:rsidRPr="00AD43F7">
        <w:rPr>
          <w:rFonts w:ascii="Arial" w:hAnsi="Arial" w:cs="Arial"/>
          <w:sz w:val="24"/>
          <w:szCs w:val="24"/>
        </w:rPr>
        <w:t xml:space="preserve"> recogni</w:t>
      </w:r>
      <w:r w:rsidR="0049629D" w:rsidRPr="00AD43F7">
        <w:rPr>
          <w:rFonts w:ascii="Arial" w:hAnsi="Arial" w:cs="Arial"/>
          <w:sz w:val="24"/>
          <w:szCs w:val="24"/>
        </w:rPr>
        <w:t>s</w:t>
      </w:r>
      <w:r w:rsidRPr="00AD43F7">
        <w:rPr>
          <w:rFonts w:ascii="Arial" w:hAnsi="Arial" w:cs="Arial"/>
          <w:sz w:val="24"/>
          <w:szCs w:val="24"/>
        </w:rPr>
        <w:t xml:space="preserve">ed as substantial weaknesses. Opportunities associated with digital transformation and sustainability were </w:t>
      </w:r>
      <w:r w:rsidR="00376B97" w:rsidRPr="00AD43F7">
        <w:rPr>
          <w:rFonts w:ascii="Arial" w:hAnsi="Arial" w:cs="Arial"/>
          <w:sz w:val="24"/>
          <w:szCs w:val="24"/>
        </w:rPr>
        <w:t>highlighted</w:t>
      </w:r>
      <w:r w:rsidRPr="00AD43F7">
        <w:rPr>
          <w:rFonts w:ascii="Arial" w:hAnsi="Arial" w:cs="Arial"/>
          <w:sz w:val="24"/>
          <w:szCs w:val="24"/>
        </w:rPr>
        <w:t>, along with threats including fierce competition, economic instability, and regulatory challenges.</w:t>
      </w:r>
    </w:p>
    <w:p w14:paraId="4072DB44" w14:textId="590E1CE4" w:rsidR="00960848" w:rsidRPr="00AD43F7" w:rsidRDefault="00960848" w:rsidP="00960848">
      <w:pPr>
        <w:rPr>
          <w:rFonts w:ascii="Arial" w:hAnsi="Arial" w:cs="Arial"/>
          <w:sz w:val="24"/>
          <w:szCs w:val="24"/>
        </w:rPr>
      </w:pPr>
      <w:r w:rsidRPr="00AD43F7">
        <w:rPr>
          <w:rFonts w:ascii="Arial" w:hAnsi="Arial" w:cs="Arial"/>
          <w:sz w:val="24"/>
          <w:szCs w:val="24"/>
        </w:rPr>
        <w:t>Following the analysis, a number of recommendations are put forward. Firstly, Tesco ought to broaden its international operations to lessen dependence on the UK market. Secondly, ongoing investment in digital technologies and data analytics is crucial for improving customer experience and operational efficiency. Thirdly, Tesco should enhance its sustainability initiatives to align with consumer expectations and regulatory demands. Lastly, Tesco must uphold a balanced competitive strategy that merges cost leadership with differentiation to maintain long-term competitiveness.</w:t>
      </w:r>
    </w:p>
    <w:p w14:paraId="45502C13" w14:textId="3576D264" w:rsidR="00960848" w:rsidRPr="00AD43F7" w:rsidRDefault="00960848" w:rsidP="00960848">
      <w:pPr>
        <w:rPr>
          <w:rFonts w:ascii="Arial" w:hAnsi="Arial" w:cs="Arial"/>
          <w:sz w:val="24"/>
          <w:szCs w:val="24"/>
        </w:rPr>
      </w:pPr>
      <w:r w:rsidRPr="00AD43F7">
        <w:rPr>
          <w:rFonts w:ascii="Arial" w:hAnsi="Arial" w:cs="Arial"/>
          <w:sz w:val="24"/>
          <w:szCs w:val="24"/>
        </w:rPr>
        <w:t>In summary, situational analysis serves as an essential instrument in strategic planning, allowing organi</w:t>
      </w:r>
      <w:r w:rsidR="00461221" w:rsidRPr="00AD43F7">
        <w:rPr>
          <w:rFonts w:ascii="Arial" w:hAnsi="Arial" w:cs="Arial"/>
          <w:sz w:val="24"/>
          <w:szCs w:val="24"/>
        </w:rPr>
        <w:t>s</w:t>
      </w:r>
      <w:r w:rsidRPr="00AD43F7">
        <w:rPr>
          <w:rFonts w:ascii="Arial" w:hAnsi="Arial" w:cs="Arial"/>
          <w:sz w:val="24"/>
          <w:szCs w:val="24"/>
        </w:rPr>
        <w:t>ations to comprehend their internal capabilities and external landscape. By methodically assessing strengths, weaknesses, opportunities, and threats, companies like Tesco can make well-informed strategic choices and attain sustainable success.</w:t>
      </w:r>
    </w:p>
    <w:p w14:paraId="2E05E474" w14:textId="77777777" w:rsidR="00AD43F7" w:rsidRDefault="00AD43F7" w:rsidP="00BA52AC"/>
    <w:p w14:paraId="6FBF204F" w14:textId="04756446" w:rsidR="00BA52AC" w:rsidRDefault="00BA52AC" w:rsidP="00BA52AC">
      <w:pPr>
        <w:jc w:val="center"/>
        <w:rPr>
          <w:b/>
          <w:bCs/>
          <w:u w:val="single"/>
        </w:rPr>
      </w:pPr>
      <w:r w:rsidRPr="00BA52AC">
        <w:rPr>
          <w:b/>
          <w:bCs/>
          <w:u w:val="single"/>
        </w:rPr>
        <w:lastRenderedPageBreak/>
        <w:t>REFERENCES</w:t>
      </w:r>
    </w:p>
    <w:p w14:paraId="414DE97C" w14:textId="77777777" w:rsidR="00A4184C" w:rsidRDefault="00A4184C" w:rsidP="00A4184C">
      <w:pPr>
        <w:rPr>
          <w:b/>
          <w:bCs/>
          <w:u w:val="single"/>
        </w:rPr>
      </w:pPr>
    </w:p>
    <w:p w14:paraId="42E23458" w14:textId="7760368E" w:rsidR="00A4184C" w:rsidRPr="00B46B5A" w:rsidRDefault="00A4184C" w:rsidP="00A4184C">
      <w:pPr>
        <w:pStyle w:val="ListParagraph"/>
        <w:numPr>
          <w:ilvl w:val="0"/>
          <w:numId w:val="1"/>
        </w:numPr>
        <w:rPr>
          <w:rFonts w:ascii="Arial" w:hAnsi="Arial" w:cs="Arial"/>
          <w:sz w:val="24"/>
          <w:szCs w:val="24"/>
        </w:rPr>
      </w:pPr>
      <w:r w:rsidRPr="00B46B5A">
        <w:rPr>
          <w:rFonts w:ascii="Arial" w:hAnsi="Arial" w:cs="Arial"/>
          <w:sz w:val="24"/>
          <w:szCs w:val="24"/>
        </w:rPr>
        <w:t>Ansoff, H.I. (1957) ‘Strategies for diversification’, Harvard Business Review, 35(5), pp. 113–124.</w:t>
      </w:r>
    </w:p>
    <w:p w14:paraId="176F20B4" w14:textId="6ACD5159" w:rsidR="00A4184C" w:rsidRPr="00B46B5A" w:rsidRDefault="0010331F" w:rsidP="00A4184C">
      <w:pPr>
        <w:pStyle w:val="ListParagraph"/>
        <w:numPr>
          <w:ilvl w:val="0"/>
          <w:numId w:val="1"/>
        </w:numPr>
        <w:rPr>
          <w:rFonts w:ascii="Arial" w:hAnsi="Arial" w:cs="Arial"/>
          <w:sz w:val="24"/>
          <w:szCs w:val="24"/>
        </w:rPr>
      </w:pPr>
      <w:r w:rsidRPr="00B46B5A">
        <w:rPr>
          <w:rFonts w:ascii="Arial" w:hAnsi="Arial" w:cs="Arial"/>
          <w:sz w:val="24"/>
          <w:szCs w:val="24"/>
        </w:rPr>
        <w:t>Barney, J. (1991) ‘Firm resources and sustained competitive advantage’, Journal of Management, 17(1), pp. 99–120.</w:t>
      </w:r>
    </w:p>
    <w:p w14:paraId="7DC4782C" w14:textId="01101901" w:rsidR="00F90DDA" w:rsidRPr="00B46B5A" w:rsidRDefault="00F90DDA" w:rsidP="00A4184C">
      <w:pPr>
        <w:pStyle w:val="ListParagraph"/>
        <w:numPr>
          <w:ilvl w:val="0"/>
          <w:numId w:val="1"/>
        </w:numPr>
        <w:rPr>
          <w:rFonts w:ascii="Arial" w:hAnsi="Arial" w:cs="Arial"/>
          <w:sz w:val="24"/>
          <w:szCs w:val="24"/>
        </w:rPr>
      </w:pPr>
      <w:r w:rsidRPr="00B46B5A">
        <w:rPr>
          <w:rFonts w:ascii="Arial" w:hAnsi="Arial" w:cs="Arial"/>
          <w:sz w:val="24"/>
          <w:szCs w:val="24"/>
        </w:rPr>
        <w:t xml:space="preserve">Grant, R.M. (2022) Contemporary Strategy Analysis. 11th </w:t>
      </w:r>
      <w:proofErr w:type="spellStart"/>
      <w:r w:rsidRPr="00B46B5A">
        <w:rPr>
          <w:rFonts w:ascii="Arial" w:hAnsi="Arial" w:cs="Arial"/>
          <w:sz w:val="24"/>
          <w:szCs w:val="24"/>
        </w:rPr>
        <w:t>edn</w:t>
      </w:r>
      <w:proofErr w:type="spellEnd"/>
      <w:r w:rsidRPr="00B46B5A">
        <w:rPr>
          <w:rFonts w:ascii="Arial" w:hAnsi="Arial" w:cs="Arial"/>
          <w:sz w:val="24"/>
          <w:szCs w:val="24"/>
        </w:rPr>
        <w:t>. Hoboken: Wiley.</w:t>
      </w:r>
    </w:p>
    <w:p w14:paraId="36FD440B" w14:textId="1E222FE9" w:rsidR="0010331F" w:rsidRPr="00B46B5A" w:rsidRDefault="003E2DC5" w:rsidP="00A4184C">
      <w:pPr>
        <w:pStyle w:val="ListParagraph"/>
        <w:numPr>
          <w:ilvl w:val="0"/>
          <w:numId w:val="1"/>
        </w:numPr>
        <w:rPr>
          <w:rFonts w:ascii="Arial" w:hAnsi="Arial" w:cs="Arial"/>
          <w:sz w:val="24"/>
          <w:szCs w:val="24"/>
        </w:rPr>
      </w:pPr>
      <w:r w:rsidRPr="00B46B5A">
        <w:rPr>
          <w:rFonts w:ascii="Arial" w:hAnsi="Arial" w:cs="Arial"/>
          <w:sz w:val="24"/>
          <w:szCs w:val="24"/>
        </w:rPr>
        <w:t xml:space="preserve">Johnson, G., Scholes, K. and Whittington, R. (2020) Exploring Strategy. 12th </w:t>
      </w:r>
      <w:proofErr w:type="spellStart"/>
      <w:r w:rsidRPr="00B46B5A">
        <w:rPr>
          <w:rFonts w:ascii="Arial" w:hAnsi="Arial" w:cs="Arial"/>
          <w:sz w:val="24"/>
          <w:szCs w:val="24"/>
        </w:rPr>
        <w:t>edn</w:t>
      </w:r>
      <w:proofErr w:type="spellEnd"/>
      <w:r w:rsidRPr="00B46B5A">
        <w:rPr>
          <w:rFonts w:ascii="Arial" w:hAnsi="Arial" w:cs="Arial"/>
          <w:sz w:val="24"/>
          <w:szCs w:val="24"/>
        </w:rPr>
        <w:t>. Harlow: Pearson.</w:t>
      </w:r>
    </w:p>
    <w:p w14:paraId="05349EAA" w14:textId="68B8ABDC" w:rsidR="003E2DC5" w:rsidRPr="00B46B5A" w:rsidRDefault="003E2DC5" w:rsidP="00A4184C">
      <w:pPr>
        <w:pStyle w:val="ListParagraph"/>
        <w:numPr>
          <w:ilvl w:val="0"/>
          <w:numId w:val="1"/>
        </w:numPr>
        <w:rPr>
          <w:rFonts w:ascii="Arial" w:hAnsi="Arial" w:cs="Arial"/>
          <w:sz w:val="24"/>
          <w:szCs w:val="24"/>
        </w:rPr>
      </w:pPr>
      <w:r w:rsidRPr="00B46B5A">
        <w:rPr>
          <w:rFonts w:ascii="Arial" w:hAnsi="Arial" w:cs="Arial"/>
          <w:sz w:val="24"/>
          <w:szCs w:val="24"/>
        </w:rPr>
        <w:t xml:space="preserve">Kotler, P., Keller, K., Chernev, A. and Armstrong, G. (2019) Marketing Management. 16th </w:t>
      </w:r>
      <w:proofErr w:type="spellStart"/>
      <w:r w:rsidRPr="00B46B5A">
        <w:rPr>
          <w:rFonts w:ascii="Arial" w:hAnsi="Arial" w:cs="Arial"/>
          <w:sz w:val="24"/>
          <w:szCs w:val="24"/>
        </w:rPr>
        <w:t>edn</w:t>
      </w:r>
      <w:proofErr w:type="spellEnd"/>
      <w:r w:rsidRPr="00B46B5A">
        <w:rPr>
          <w:rFonts w:ascii="Arial" w:hAnsi="Arial" w:cs="Arial"/>
          <w:sz w:val="24"/>
          <w:szCs w:val="24"/>
        </w:rPr>
        <w:t>. Harlow: Pearson.</w:t>
      </w:r>
    </w:p>
    <w:p w14:paraId="651C6F94" w14:textId="102B378C" w:rsidR="00E63585" w:rsidRPr="00B46B5A" w:rsidRDefault="00E63585" w:rsidP="00A4184C">
      <w:pPr>
        <w:pStyle w:val="ListParagraph"/>
        <w:numPr>
          <w:ilvl w:val="0"/>
          <w:numId w:val="1"/>
        </w:numPr>
        <w:rPr>
          <w:rFonts w:ascii="Arial" w:hAnsi="Arial" w:cs="Arial"/>
          <w:sz w:val="24"/>
          <w:szCs w:val="24"/>
        </w:rPr>
      </w:pPr>
      <w:r w:rsidRPr="00B46B5A">
        <w:rPr>
          <w:rFonts w:ascii="Arial" w:hAnsi="Arial" w:cs="Arial"/>
          <w:sz w:val="24"/>
          <w:szCs w:val="24"/>
        </w:rPr>
        <w:t>McKinsey &amp; Company (2023) The Future of Retail: Reimagining the Consumer Experience. Available at: https://www.mckinsey.com</w:t>
      </w:r>
    </w:p>
    <w:p w14:paraId="706208D9" w14:textId="35236D31" w:rsidR="003E2DC5" w:rsidRPr="00B46B5A" w:rsidRDefault="008E648D" w:rsidP="00A4184C">
      <w:pPr>
        <w:pStyle w:val="ListParagraph"/>
        <w:numPr>
          <w:ilvl w:val="0"/>
          <w:numId w:val="1"/>
        </w:numPr>
        <w:rPr>
          <w:rFonts w:ascii="Arial" w:hAnsi="Arial" w:cs="Arial"/>
          <w:sz w:val="24"/>
          <w:szCs w:val="24"/>
        </w:rPr>
      </w:pPr>
      <w:r w:rsidRPr="00B46B5A">
        <w:rPr>
          <w:rFonts w:ascii="Arial" w:hAnsi="Arial" w:cs="Arial"/>
          <w:sz w:val="24"/>
          <w:szCs w:val="24"/>
        </w:rPr>
        <w:t>Porter, M.E. (1985) Competitive Advantage: Creating and Sustaining Superior Performance. New York: Free Press.</w:t>
      </w:r>
    </w:p>
    <w:p w14:paraId="2FCE6E72" w14:textId="758C9EAC" w:rsidR="00D73961" w:rsidRPr="00B46B5A" w:rsidRDefault="00D73961" w:rsidP="00A4184C">
      <w:pPr>
        <w:pStyle w:val="ListParagraph"/>
        <w:numPr>
          <w:ilvl w:val="0"/>
          <w:numId w:val="1"/>
        </w:numPr>
        <w:rPr>
          <w:rFonts w:ascii="Arial" w:hAnsi="Arial" w:cs="Arial"/>
          <w:sz w:val="24"/>
          <w:szCs w:val="24"/>
        </w:rPr>
      </w:pPr>
      <w:r w:rsidRPr="00B46B5A">
        <w:rPr>
          <w:rFonts w:ascii="Arial" w:hAnsi="Arial" w:cs="Arial"/>
          <w:sz w:val="24"/>
          <w:szCs w:val="24"/>
        </w:rPr>
        <w:t>Porter, M.E. (2008) ‘The five competitive forces that shape strategy’, Harvard Business Review, 86(1), pp. 78–93.</w:t>
      </w:r>
    </w:p>
    <w:p w14:paraId="2563B7BC" w14:textId="79F8AE5E" w:rsidR="008E648D" w:rsidRPr="00B46B5A" w:rsidRDefault="008E648D" w:rsidP="00A4184C">
      <w:pPr>
        <w:pStyle w:val="ListParagraph"/>
        <w:numPr>
          <w:ilvl w:val="0"/>
          <w:numId w:val="1"/>
        </w:numPr>
        <w:rPr>
          <w:rFonts w:ascii="Arial" w:hAnsi="Arial" w:cs="Arial"/>
          <w:sz w:val="24"/>
          <w:szCs w:val="24"/>
        </w:rPr>
      </w:pPr>
      <w:r w:rsidRPr="00B46B5A">
        <w:rPr>
          <w:rFonts w:ascii="Arial" w:hAnsi="Arial" w:cs="Arial"/>
          <w:sz w:val="24"/>
          <w:szCs w:val="24"/>
        </w:rPr>
        <w:t xml:space="preserve">Tesco PLC (2024) Annual Report and Financial Statements 2024 </w:t>
      </w:r>
      <w:hyperlink r:id="rId6" w:history="1">
        <w:r w:rsidRPr="00B46B5A">
          <w:rPr>
            <w:rStyle w:val="Hyperlink"/>
            <w:rFonts w:ascii="Arial" w:hAnsi="Arial" w:cs="Arial"/>
            <w:sz w:val="24"/>
            <w:szCs w:val="24"/>
          </w:rPr>
          <w:t>https://www.tescoplc.com</w:t>
        </w:r>
      </w:hyperlink>
    </w:p>
    <w:p w14:paraId="73B9FE36" w14:textId="759B522B" w:rsidR="008E648D" w:rsidRPr="00B46B5A" w:rsidRDefault="006E24D1" w:rsidP="00A4184C">
      <w:pPr>
        <w:pStyle w:val="ListParagraph"/>
        <w:numPr>
          <w:ilvl w:val="0"/>
          <w:numId w:val="1"/>
        </w:numPr>
        <w:rPr>
          <w:rFonts w:ascii="Arial" w:hAnsi="Arial" w:cs="Arial"/>
          <w:sz w:val="24"/>
          <w:szCs w:val="24"/>
        </w:rPr>
      </w:pPr>
      <w:r w:rsidRPr="00B46B5A">
        <w:rPr>
          <w:rFonts w:ascii="Arial" w:hAnsi="Arial" w:cs="Arial"/>
          <w:sz w:val="24"/>
          <w:szCs w:val="24"/>
        </w:rPr>
        <w:t>Kantar (2025) UK Grocery Market Share Report.</w:t>
      </w:r>
      <w:r w:rsidR="008C2FBE" w:rsidRPr="00B46B5A">
        <w:rPr>
          <w:rFonts w:ascii="Arial" w:hAnsi="Arial" w:cs="Arial"/>
          <w:sz w:val="24"/>
          <w:szCs w:val="24"/>
        </w:rPr>
        <w:t xml:space="preserve"> </w:t>
      </w:r>
      <w:r w:rsidRPr="00B46B5A">
        <w:rPr>
          <w:rFonts w:ascii="Arial" w:hAnsi="Arial" w:cs="Arial"/>
          <w:sz w:val="24"/>
          <w:szCs w:val="24"/>
        </w:rPr>
        <w:t xml:space="preserve"> </w:t>
      </w:r>
      <w:hyperlink r:id="rId7" w:history="1">
        <w:r w:rsidR="008C2FBE" w:rsidRPr="00B46B5A">
          <w:rPr>
            <w:rStyle w:val="Hyperlink"/>
            <w:rFonts w:ascii="Arial" w:hAnsi="Arial" w:cs="Arial"/>
            <w:sz w:val="24"/>
            <w:szCs w:val="24"/>
          </w:rPr>
          <w:t>https://www.kantar.com</w:t>
        </w:r>
      </w:hyperlink>
    </w:p>
    <w:p w14:paraId="214AF1DF" w14:textId="77777777" w:rsidR="008C2FBE" w:rsidRPr="00B46B5A" w:rsidRDefault="008C2FBE" w:rsidP="00BC5FAC">
      <w:pPr>
        <w:pStyle w:val="ListParagraph"/>
        <w:rPr>
          <w:rFonts w:ascii="Arial" w:hAnsi="Arial" w:cs="Arial"/>
          <w:sz w:val="24"/>
          <w:szCs w:val="24"/>
        </w:rPr>
      </w:pPr>
    </w:p>
    <w:sectPr w:rsidR="008C2FBE" w:rsidRPr="00B46B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582AD0"/>
    <w:multiLevelType w:val="hybridMultilevel"/>
    <w:tmpl w:val="68642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1525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BD2"/>
    <w:rsid w:val="00027014"/>
    <w:rsid w:val="000679F5"/>
    <w:rsid w:val="00093730"/>
    <w:rsid w:val="000C300C"/>
    <w:rsid w:val="000D2C23"/>
    <w:rsid w:val="0010331F"/>
    <w:rsid w:val="0013118B"/>
    <w:rsid w:val="001A66C3"/>
    <w:rsid w:val="001B0311"/>
    <w:rsid w:val="001B28C8"/>
    <w:rsid w:val="002472A6"/>
    <w:rsid w:val="002A03AD"/>
    <w:rsid w:val="002D2661"/>
    <w:rsid w:val="003243EE"/>
    <w:rsid w:val="0035162E"/>
    <w:rsid w:val="00376B97"/>
    <w:rsid w:val="003A3324"/>
    <w:rsid w:val="003B1342"/>
    <w:rsid w:val="003C2FBE"/>
    <w:rsid w:val="003D00E6"/>
    <w:rsid w:val="003D59BA"/>
    <w:rsid w:val="003E2DC5"/>
    <w:rsid w:val="003F077F"/>
    <w:rsid w:val="004230AB"/>
    <w:rsid w:val="0044476B"/>
    <w:rsid w:val="00461221"/>
    <w:rsid w:val="0049629D"/>
    <w:rsid w:val="004A025D"/>
    <w:rsid w:val="004D33A1"/>
    <w:rsid w:val="00500761"/>
    <w:rsid w:val="005127DB"/>
    <w:rsid w:val="005405F7"/>
    <w:rsid w:val="005426B5"/>
    <w:rsid w:val="005C5455"/>
    <w:rsid w:val="005D3AA9"/>
    <w:rsid w:val="005D52A5"/>
    <w:rsid w:val="005E164B"/>
    <w:rsid w:val="00615976"/>
    <w:rsid w:val="006221EE"/>
    <w:rsid w:val="00657BD2"/>
    <w:rsid w:val="00665A75"/>
    <w:rsid w:val="006746AC"/>
    <w:rsid w:val="00697E57"/>
    <w:rsid w:val="006C0DDA"/>
    <w:rsid w:val="006E24D1"/>
    <w:rsid w:val="00717C33"/>
    <w:rsid w:val="007448FC"/>
    <w:rsid w:val="007553AC"/>
    <w:rsid w:val="007575F6"/>
    <w:rsid w:val="00760AAE"/>
    <w:rsid w:val="00772ED4"/>
    <w:rsid w:val="007B09C4"/>
    <w:rsid w:val="007B710C"/>
    <w:rsid w:val="007C28D6"/>
    <w:rsid w:val="00841CB0"/>
    <w:rsid w:val="008C2FBE"/>
    <w:rsid w:val="008E648D"/>
    <w:rsid w:val="00960848"/>
    <w:rsid w:val="00962C21"/>
    <w:rsid w:val="0097371B"/>
    <w:rsid w:val="009C583A"/>
    <w:rsid w:val="009D43DA"/>
    <w:rsid w:val="009D61BA"/>
    <w:rsid w:val="009E483C"/>
    <w:rsid w:val="00A0485B"/>
    <w:rsid w:val="00A4184C"/>
    <w:rsid w:val="00A42BE3"/>
    <w:rsid w:val="00A71318"/>
    <w:rsid w:val="00A91FD1"/>
    <w:rsid w:val="00AD43F7"/>
    <w:rsid w:val="00B25DC7"/>
    <w:rsid w:val="00B43FF7"/>
    <w:rsid w:val="00B465F2"/>
    <w:rsid w:val="00B46B5A"/>
    <w:rsid w:val="00B52BF1"/>
    <w:rsid w:val="00B72ABA"/>
    <w:rsid w:val="00B77F17"/>
    <w:rsid w:val="00B96772"/>
    <w:rsid w:val="00BA52AC"/>
    <w:rsid w:val="00BB7C96"/>
    <w:rsid w:val="00BC5FAC"/>
    <w:rsid w:val="00BC6B0F"/>
    <w:rsid w:val="00BC6B7C"/>
    <w:rsid w:val="00BD241D"/>
    <w:rsid w:val="00C06327"/>
    <w:rsid w:val="00CC2675"/>
    <w:rsid w:val="00CE48AD"/>
    <w:rsid w:val="00D20FBA"/>
    <w:rsid w:val="00D41234"/>
    <w:rsid w:val="00D45887"/>
    <w:rsid w:val="00D47588"/>
    <w:rsid w:val="00D65B40"/>
    <w:rsid w:val="00D73961"/>
    <w:rsid w:val="00D80C04"/>
    <w:rsid w:val="00D95144"/>
    <w:rsid w:val="00DD0C43"/>
    <w:rsid w:val="00DD6FC0"/>
    <w:rsid w:val="00DF0CFF"/>
    <w:rsid w:val="00E04D85"/>
    <w:rsid w:val="00E15061"/>
    <w:rsid w:val="00E63585"/>
    <w:rsid w:val="00E75ED8"/>
    <w:rsid w:val="00E762CE"/>
    <w:rsid w:val="00E77F1C"/>
    <w:rsid w:val="00EA1723"/>
    <w:rsid w:val="00EA564E"/>
    <w:rsid w:val="00EE2C1B"/>
    <w:rsid w:val="00F05112"/>
    <w:rsid w:val="00F87B35"/>
    <w:rsid w:val="00F90DDA"/>
    <w:rsid w:val="00FA5F44"/>
    <w:rsid w:val="00FC50DF"/>
    <w:rsid w:val="00FE369D"/>
    <w:rsid w:val="00FF6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BC742"/>
  <w15:chartTrackingRefBased/>
  <w15:docId w15:val="{83A6F5A1-2951-49AD-8757-8B29ECFCA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BD2"/>
  </w:style>
  <w:style w:type="paragraph" w:styleId="Heading1">
    <w:name w:val="heading 1"/>
    <w:basedOn w:val="Normal"/>
    <w:next w:val="Normal"/>
    <w:link w:val="Heading1Char"/>
    <w:uiPriority w:val="9"/>
    <w:qFormat/>
    <w:rsid w:val="00657B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7B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7B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7B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7B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7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7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7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7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B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7B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7B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7B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7B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7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7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7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7BD2"/>
    <w:rPr>
      <w:rFonts w:eastAsiaTheme="majorEastAsia" w:cstheme="majorBidi"/>
      <w:color w:val="272727" w:themeColor="text1" w:themeTint="D8"/>
    </w:rPr>
  </w:style>
  <w:style w:type="paragraph" w:styleId="Title">
    <w:name w:val="Title"/>
    <w:basedOn w:val="Normal"/>
    <w:next w:val="Normal"/>
    <w:link w:val="TitleChar"/>
    <w:uiPriority w:val="10"/>
    <w:qFormat/>
    <w:rsid w:val="00657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7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7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7BD2"/>
    <w:pPr>
      <w:spacing w:before="160"/>
      <w:jc w:val="center"/>
    </w:pPr>
    <w:rPr>
      <w:i/>
      <w:iCs/>
      <w:color w:val="404040" w:themeColor="text1" w:themeTint="BF"/>
    </w:rPr>
  </w:style>
  <w:style w:type="character" w:customStyle="1" w:styleId="QuoteChar">
    <w:name w:val="Quote Char"/>
    <w:basedOn w:val="DefaultParagraphFont"/>
    <w:link w:val="Quote"/>
    <w:uiPriority w:val="29"/>
    <w:rsid w:val="00657BD2"/>
    <w:rPr>
      <w:i/>
      <w:iCs/>
      <w:color w:val="404040" w:themeColor="text1" w:themeTint="BF"/>
    </w:rPr>
  </w:style>
  <w:style w:type="paragraph" w:styleId="ListParagraph">
    <w:name w:val="List Paragraph"/>
    <w:basedOn w:val="Normal"/>
    <w:uiPriority w:val="34"/>
    <w:qFormat/>
    <w:rsid w:val="00657BD2"/>
    <w:pPr>
      <w:ind w:left="720"/>
      <w:contextualSpacing/>
    </w:pPr>
  </w:style>
  <w:style w:type="character" w:styleId="IntenseEmphasis">
    <w:name w:val="Intense Emphasis"/>
    <w:basedOn w:val="DefaultParagraphFont"/>
    <w:uiPriority w:val="21"/>
    <w:qFormat/>
    <w:rsid w:val="00657BD2"/>
    <w:rPr>
      <w:i/>
      <w:iCs/>
      <w:color w:val="0F4761" w:themeColor="accent1" w:themeShade="BF"/>
    </w:rPr>
  </w:style>
  <w:style w:type="paragraph" w:styleId="IntenseQuote">
    <w:name w:val="Intense Quote"/>
    <w:basedOn w:val="Normal"/>
    <w:next w:val="Normal"/>
    <w:link w:val="IntenseQuoteChar"/>
    <w:uiPriority w:val="30"/>
    <w:qFormat/>
    <w:rsid w:val="00657B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7BD2"/>
    <w:rPr>
      <w:i/>
      <w:iCs/>
      <w:color w:val="0F4761" w:themeColor="accent1" w:themeShade="BF"/>
    </w:rPr>
  </w:style>
  <w:style w:type="character" w:styleId="IntenseReference">
    <w:name w:val="Intense Reference"/>
    <w:basedOn w:val="DefaultParagraphFont"/>
    <w:uiPriority w:val="32"/>
    <w:qFormat/>
    <w:rsid w:val="00657BD2"/>
    <w:rPr>
      <w:b/>
      <w:bCs/>
      <w:smallCaps/>
      <w:color w:val="0F4761" w:themeColor="accent1" w:themeShade="BF"/>
      <w:spacing w:val="5"/>
    </w:rPr>
  </w:style>
  <w:style w:type="character" w:styleId="Hyperlink">
    <w:name w:val="Hyperlink"/>
    <w:basedOn w:val="DefaultParagraphFont"/>
    <w:uiPriority w:val="99"/>
    <w:unhideWhenUsed/>
    <w:rsid w:val="008E648D"/>
    <w:rPr>
      <w:color w:val="467886" w:themeColor="hyperlink"/>
      <w:u w:val="single"/>
    </w:rPr>
  </w:style>
  <w:style w:type="character" w:styleId="UnresolvedMention">
    <w:name w:val="Unresolved Mention"/>
    <w:basedOn w:val="DefaultParagraphFont"/>
    <w:uiPriority w:val="99"/>
    <w:semiHidden/>
    <w:unhideWhenUsed/>
    <w:rsid w:val="008E64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anta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scoplc.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1435</Words>
  <Characters>8184</Characters>
  <Application>Microsoft Office Word</Application>
  <DocSecurity>0</DocSecurity>
  <Lines>68</Lines>
  <Paragraphs>19</Paragraphs>
  <ScaleCrop>false</ScaleCrop>
  <Company/>
  <LinksUpToDate>false</LinksUpToDate>
  <CharactersWithSpaces>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caraman lidia</dc:creator>
  <cp:keywords/>
  <dc:description/>
  <cp:lastModifiedBy>caraman lidia</cp:lastModifiedBy>
  <cp:revision>2</cp:revision>
  <dcterms:created xsi:type="dcterms:W3CDTF">2026-02-16T18:45:00Z</dcterms:created>
  <dcterms:modified xsi:type="dcterms:W3CDTF">2026-02-16T18:45:00Z</dcterms:modified>
</cp:coreProperties>
</file>