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8E5089" w14:textId="5962EFDC" w:rsidR="004716D8" w:rsidRPr="004716D8" w:rsidRDefault="004716D8" w:rsidP="004716D8">
      <w:pPr>
        <w:pStyle w:val="Title"/>
        <w:spacing w:before="120" w:after="120" w:line="360" w:lineRule="auto"/>
        <w:jc w:val="center"/>
        <w:rPr>
          <w:rFonts w:ascii="Arial" w:hAnsi="Arial" w:cs="Arial"/>
          <w:b/>
          <w:bCs/>
        </w:rPr>
      </w:pPr>
      <w:r w:rsidRPr="004716D8">
        <w:rPr>
          <w:rFonts w:ascii="Arial" w:hAnsi="Arial" w:cs="Arial"/>
          <w:noProof/>
          <w:lang w:eastAsia="en-GB"/>
        </w:rPr>
        <w:drawing>
          <wp:inline distT="0" distB="0" distL="0" distR="0" wp14:anchorId="4398A86F" wp14:editId="5CA47FE4">
            <wp:extent cx="2611755" cy="10311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2622644" cy="1035453"/>
                    </a:xfrm>
                    <a:prstGeom prst="rect">
                      <a:avLst/>
                    </a:prstGeom>
                  </pic:spPr>
                </pic:pic>
              </a:graphicData>
            </a:graphic>
          </wp:inline>
        </w:drawing>
      </w:r>
    </w:p>
    <w:p w14:paraId="226F0A42" w14:textId="77777777" w:rsidR="008B5A72" w:rsidRDefault="008B5A72" w:rsidP="00D07833">
      <w:pPr>
        <w:spacing w:before="120" w:after="120" w:line="360" w:lineRule="auto"/>
        <w:rPr>
          <w:rFonts w:ascii="Arial" w:hAnsi="Arial" w:cs="Arial"/>
          <w:b/>
          <w:sz w:val="32"/>
          <w:szCs w:val="32"/>
        </w:rPr>
      </w:pPr>
    </w:p>
    <w:p w14:paraId="7B352557" w14:textId="501F0FE6" w:rsidR="004716D8" w:rsidRPr="00D07833" w:rsidRDefault="002F35C3" w:rsidP="00D07833">
      <w:pPr>
        <w:spacing w:before="120" w:after="120" w:line="360" w:lineRule="auto"/>
        <w:jc w:val="right"/>
        <w:rPr>
          <w:rFonts w:ascii="Arial" w:hAnsi="Arial" w:cs="Arial"/>
          <w:bCs/>
          <w:sz w:val="32"/>
          <w:szCs w:val="32"/>
        </w:rPr>
      </w:pPr>
      <w:r w:rsidRPr="00D07833">
        <w:rPr>
          <w:rFonts w:ascii="Arial" w:hAnsi="Arial" w:cs="Arial"/>
          <w:bCs/>
          <w:sz w:val="32"/>
          <w:szCs w:val="32"/>
        </w:rPr>
        <w:t>BMIH5005</w:t>
      </w:r>
    </w:p>
    <w:p w14:paraId="398E812F" w14:textId="43DB6807" w:rsidR="00D07833" w:rsidRPr="00D07833" w:rsidRDefault="00D07833" w:rsidP="00D07833">
      <w:pPr>
        <w:spacing w:before="120" w:after="120" w:line="360" w:lineRule="auto"/>
        <w:jc w:val="right"/>
        <w:rPr>
          <w:rFonts w:ascii="Arial" w:hAnsi="Arial" w:cs="Arial"/>
          <w:bCs/>
          <w:sz w:val="28"/>
          <w:szCs w:val="28"/>
        </w:rPr>
      </w:pPr>
      <w:r w:rsidRPr="00D07833">
        <w:rPr>
          <w:rFonts w:ascii="Arial" w:hAnsi="Arial" w:cs="Arial"/>
          <w:bCs/>
          <w:sz w:val="28"/>
          <w:szCs w:val="28"/>
        </w:rPr>
        <w:t>Aiga Bordasa</w:t>
      </w:r>
    </w:p>
    <w:p w14:paraId="5978815C" w14:textId="7B1F50EB" w:rsidR="00D07833" w:rsidRPr="00D07833" w:rsidRDefault="00D07833" w:rsidP="00D07833">
      <w:pPr>
        <w:spacing w:before="120" w:after="120" w:line="360" w:lineRule="auto"/>
        <w:jc w:val="right"/>
        <w:rPr>
          <w:rFonts w:ascii="Arial" w:hAnsi="Arial" w:cs="Arial"/>
          <w:bCs/>
          <w:sz w:val="28"/>
          <w:szCs w:val="28"/>
        </w:rPr>
      </w:pPr>
      <w:r w:rsidRPr="00D07833">
        <w:rPr>
          <w:rFonts w:ascii="Arial" w:hAnsi="Arial" w:cs="Arial"/>
          <w:bCs/>
          <w:sz w:val="28"/>
          <w:szCs w:val="28"/>
        </w:rPr>
        <w:t>Student nr 2238996</w:t>
      </w:r>
    </w:p>
    <w:p w14:paraId="12EDF34B" w14:textId="605A9B80" w:rsidR="00D07833" w:rsidRPr="00D07833" w:rsidRDefault="00D07833" w:rsidP="00D07833">
      <w:pPr>
        <w:spacing w:before="120" w:after="120" w:line="360" w:lineRule="auto"/>
        <w:jc w:val="right"/>
        <w:rPr>
          <w:rFonts w:ascii="Arial" w:hAnsi="Arial" w:cs="Arial"/>
          <w:bCs/>
          <w:sz w:val="32"/>
          <w:szCs w:val="32"/>
        </w:rPr>
      </w:pPr>
      <w:r w:rsidRPr="00D07833">
        <w:rPr>
          <w:rFonts w:ascii="Arial" w:hAnsi="Arial" w:cs="Arial"/>
          <w:bCs/>
          <w:sz w:val="28"/>
          <w:szCs w:val="28"/>
        </w:rPr>
        <w:t>Lecture</w:t>
      </w:r>
      <w:r>
        <w:rPr>
          <w:rFonts w:ascii="Arial" w:hAnsi="Arial" w:cs="Arial"/>
          <w:bCs/>
          <w:sz w:val="28"/>
          <w:szCs w:val="28"/>
        </w:rPr>
        <w:t xml:space="preserve">: </w:t>
      </w:r>
      <w:r w:rsidRPr="00D07833">
        <w:rPr>
          <w:rFonts w:ascii="Arial" w:hAnsi="Arial" w:cs="Arial"/>
          <w:bCs/>
          <w:sz w:val="28"/>
          <w:szCs w:val="28"/>
        </w:rPr>
        <w:t>Scott James</w:t>
      </w:r>
    </w:p>
    <w:p w14:paraId="5AA3989D" w14:textId="77777777" w:rsidR="00D07833" w:rsidRPr="004716D8" w:rsidRDefault="00D07833" w:rsidP="004716D8">
      <w:pPr>
        <w:spacing w:before="120" w:after="120" w:line="360" w:lineRule="auto"/>
        <w:jc w:val="center"/>
        <w:rPr>
          <w:rFonts w:ascii="Arial" w:hAnsi="Arial" w:cs="Arial"/>
          <w:b/>
          <w:sz w:val="32"/>
          <w:szCs w:val="32"/>
        </w:rPr>
      </w:pPr>
    </w:p>
    <w:p w14:paraId="5DDB4688" w14:textId="4A505376" w:rsidR="004716D8" w:rsidRDefault="002F35C3" w:rsidP="004716D8">
      <w:pPr>
        <w:spacing w:before="120" w:after="120" w:line="360" w:lineRule="auto"/>
        <w:jc w:val="center"/>
        <w:rPr>
          <w:rFonts w:ascii="Arial" w:hAnsi="Arial" w:cs="Arial"/>
          <w:b/>
          <w:sz w:val="32"/>
          <w:szCs w:val="32"/>
        </w:rPr>
      </w:pPr>
      <w:r w:rsidRPr="002F35C3">
        <w:rPr>
          <w:rFonts w:ascii="Arial" w:hAnsi="Arial" w:cs="Arial"/>
          <w:b/>
          <w:sz w:val="32"/>
          <w:szCs w:val="32"/>
        </w:rPr>
        <w:t>Personnel Resourcing and Development</w:t>
      </w:r>
    </w:p>
    <w:p w14:paraId="402DAF17" w14:textId="77777777" w:rsidR="004716D8" w:rsidRDefault="004716D8" w:rsidP="004716D8">
      <w:pPr>
        <w:spacing w:before="120" w:after="120" w:line="360" w:lineRule="auto"/>
        <w:jc w:val="center"/>
        <w:rPr>
          <w:rFonts w:ascii="Arial" w:hAnsi="Arial" w:cs="Arial"/>
          <w:b/>
          <w:sz w:val="32"/>
          <w:szCs w:val="32"/>
        </w:rPr>
      </w:pPr>
    </w:p>
    <w:p w14:paraId="33A2DD79" w14:textId="300E2664" w:rsidR="004716D8" w:rsidRDefault="002F35C3" w:rsidP="002F35C3">
      <w:pPr>
        <w:spacing w:before="120" w:after="120" w:line="360" w:lineRule="auto"/>
        <w:jc w:val="center"/>
        <w:rPr>
          <w:rFonts w:ascii="Arial" w:hAnsi="Arial" w:cs="Arial"/>
          <w:b/>
          <w:sz w:val="32"/>
          <w:szCs w:val="32"/>
        </w:rPr>
      </w:pPr>
      <w:r w:rsidRPr="002F35C3">
        <w:rPr>
          <w:rFonts w:ascii="Arial" w:hAnsi="Arial" w:cs="Arial"/>
          <w:b/>
          <w:sz w:val="32"/>
          <w:szCs w:val="32"/>
        </w:rPr>
        <w:t>Discuss how the</w:t>
      </w:r>
      <w:r>
        <w:rPr>
          <w:rFonts w:ascii="Arial" w:hAnsi="Arial" w:cs="Arial"/>
          <w:b/>
          <w:sz w:val="32"/>
          <w:szCs w:val="32"/>
        </w:rPr>
        <w:t xml:space="preserve"> </w:t>
      </w:r>
      <w:r w:rsidRPr="002F35C3">
        <w:rPr>
          <w:rFonts w:ascii="Arial" w:hAnsi="Arial" w:cs="Arial"/>
          <w:b/>
          <w:sz w:val="32"/>
          <w:szCs w:val="32"/>
        </w:rPr>
        <w:t>evolution of HRM</w:t>
      </w:r>
      <w:r>
        <w:rPr>
          <w:rFonts w:ascii="Arial" w:hAnsi="Arial" w:cs="Arial"/>
          <w:b/>
          <w:sz w:val="32"/>
          <w:szCs w:val="32"/>
        </w:rPr>
        <w:t xml:space="preserve"> </w:t>
      </w:r>
      <w:r w:rsidRPr="002F35C3">
        <w:rPr>
          <w:rFonts w:ascii="Arial" w:hAnsi="Arial" w:cs="Arial"/>
          <w:b/>
          <w:sz w:val="32"/>
          <w:szCs w:val="32"/>
        </w:rPr>
        <w:t>facilitates the strategic</w:t>
      </w:r>
      <w:r>
        <w:rPr>
          <w:rFonts w:ascii="Arial" w:hAnsi="Arial" w:cs="Arial"/>
          <w:b/>
          <w:sz w:val="32"/>
          <w:szCs w:val="32"/>
        </w:rPr>
        <w:t xml:space="preserve"> </w:t>
      </w:r>
      <w:r w:rsidRPr="002F35C3">
        <w:rPr>
          <w:rFonts w:ascii="Arial" w:hAnsi="Arial" w:cs="Arial"/>
          <w:b/>
          <w:sz w:val="32"/>
          <w:szCs w:val="32"/>
        </w:rPr>
        <w:t>development of an</w:t>
      </w:r>
      <w:r>
        <w:rPr>
          <w:rFonts w:ascii="Arial" w:hAnsi="Arial" w:cs="Arial"/>
          <w:b/>
          <w:sz w:val="32"/>
          <w:szCs w:val="32"/>
        </w:rPr>
        <w:t xml:space="preserve"> </w:t>
      </w:r>
      <w:r w:rsidRPr="002F35C3">
        <w:rPr>
          <w:rFonts w:ascii="Arial" w:hAnsi="Arial" w:cs="Arial"/>
          <w:b/>
          <w:sz w:val="32"/>
          <w:szCs w:val="32"/>
        </w:rPr>
        <w:t>international hotel brand</w:t>
      </w:r>
      <w:r>
        <w:rPr>
          <w:rFonts w:ascii="Arial" w:hAnsi="Arial" w:cs="Arial"/>
          <w:b/>
          <w:sz w:val="32"/>
          <w:szCs w:val="32"/>
        </w:rPr>
        <w:t xml:space="preserve"> </w:t>
      </w:r>
      <w:r w:rsidRPr="002F35C3">
        <w:rPr>
          <w:rFonts w:ascii="Arial" w:hAnsi="Arial" w:cs="Arial"/>
          <w:b/>
          <w:sz w:val="32"/>
          <w:szCs w:val="32"/>
        </w:rPr>
        <w:t>through workforce</w:t>
      </w:r>
      <w:r>
        <w:rPr>
          <w:rFonts w:ascii="Arial" w:hAnsi="Arial" w:cs="Arial"/>
          <w:b/>
          <w:sz w:val="32"/>
          <w:szCs w:val="32"/>
        </w:rPr>
        <w:t xml:space="preserve"> </w:t>
      </w:r>
      <w:r w:rsidRPr="002F35C3">
        <w:rPr>
          <w:rFonts w:ascii="Arial" w:hAnsi="Arial" w:cs="Arial"/>
          <w:b/>
          <w:sz w:val="32"/>
          <w:szCs w:val="32"/>
        </w:rPr>
        <w:t xml:space="preserve">planning, </w:t>
      </w:r>
      <w:proofErr w:type="gramStart"/>
      <w:r w:rsidRPr="002F35C3">
        <w:rPr>
          <w:rFonts w:ascii="Arial" w:hAnsi="Arial" w:cs="Arial"/>
          <w:b/>
          <w:sz w:val="32"/>
          <w:szCs w:val="32"/>
        </w:rPr>
        <w:t>recruitment</w:t>
      </w:r>
      <w:proofErr w:type="gramEnd"/>
      <w:r w:rsidRPr="002F35C3">
        <w:rPr>
          <w:rFonts w:ascii="Arial" w:hAnsi="Arial" w:cs="Arial"/>
          <w:b/>
          <w:sz w:val="32"/>
          <w:szCs w:val="32"/>
        </w:rPr>
        <w:t xml:space="preserve"> and</w:t>
      </w:r>
      <w:r>
        <w:rPr>
          <w:rFonts w:ascii="Arial" w:hAnsi="Arial" w:cs="Arial"/>
          <w:b/>
          <w:sz w:val="32"/>
          <w:szCs w:val="32"/>
        </w:rPr>
        <w:t xml:space="preserve"> </w:t>
      </w:r>
      <w:r w:rsidRPr="002F35C3">
        <w:rPr>
          <w:rFonts w:ascii="Arial" w:hAnsi="Arial" w:cs="Arial"/>
          <w:b/>
          <w:sz w:val="32"/>
          <w:szCs w:val="32"/>
        </w:rPr>
        <w:t>selection.</w:t>
      </w:r>
    </w:p>
    <w:p w14:paraId="51B88B66" w14:textId="4EF8B59B" w:rsidR="00DC62A1" w:rsidRPr="004716D8" w:rsidRDefault="00DC62A1" w:rsidP="004716D8">
      <w:pPr>
        <w:spacing w:before="120" w:after="120" w:line="360" w:lineRule="auto"/>
        <w:jc w:val="center"/>
        <w:rPr>
          <w:rFonts w:ascii="Arial" w:eastAsia="Times New Roman" w:hAnsi="Arial" w:cs="Arial"/>
          <w:kern w:val="0"/>
          <w14:ligatures w14:val="none"/>
        </w:rPr>
      </w:pPr>
      <w:r w:rsidRPr="004716D8">
        <w:rPr>
          <w:rFonts w:ascii="Arial" w:hAnsi="Arial" w:cs="Arial"/>
        </w:rPr>
        <w:br w:type="page"/>
      </w:r>
    </w:p>
    <w:p w14:paraId="2FD45DE0" w14:textId="6E481E42" w:rsidR="00DC62A1" w:rsidRPr="004716D8" w:rsidRDefault="00DC62A1" w:rsidP="002F35C3">
      <w:pPr>
        <w:pStyle w:val="NormalWeb"/>
        <w:spacing w:before="120" w:beforeAutospacing="0" w:after="120" w:afterAutospacing="0" w:line="360" w:lineRule="auto"/>
        <w:jc w:val="both"/>
        <w:rPr>
          <w:rFonts w:ascii="Arial" w:hAnsi="Arial" w:cs="Arial"/>
        </w:rPr>
      </w:pPr>
      <w:r w:rsidRPr="004716D8">
        <w:rPr>
          <w:rFonts w:ascii="Arial" w:hAnsi="Arial" w:cs="Arial"/>
        </w:rPr>
        <w:lastRenderedPageBreak/>
        <w:t>The progress in HRM has dramatically impacted the strategic development of international hotel brands. The essay explores the HRM's strategic role in the global hotel brand's growth through the workforce planning, recruitment, and selection processes, with particular attention on Wyndham Hotels &amp; Resorts</w:t>
      </w:r>
      <w:r w:rsidR="0009485F" w:rsidRPr="004716D8">
        <w:rPr>
          <w:rFonts w:ascii="Arial" w:hAnsi="Arial" w:cs="Arial"/>
        </w:rPr>
        <w:t xml:space="preserve"> (Gehrels., 2019)</w:t>
      </w:r>
      <w:r w:rsidRPr="004716D8">
        <w:rPr>
          <w:rFonts w:ascii="Arial" w:hAnsi="Arial" w:cs="Arial"/>
        </w:rPr>
        <w:t xml:space="preserve">. Before going into the strategic functions of HRM, it is vital to clearly understand the meaning of the key terms, which are workforce planning, recruitment, and selection. The history of human resources management (HRM) has been one of a series of changes resulting from the transformations of organizational paradigms, societal norms, and technological advancements. At first, HRM was mainly a function of administration, concentrating on payroll, record-keeping, and complying with </w:t>
      </w:r>
      <w:proofErr w:type="spellStart"/>
      <w:r w:rsidRPr="004716D8">
        <w:rPr>
          <w:rFonts w:ascii="Arial" w:hAnsi="Arial" w:cs="Arial"/>
        </w:rPr>
        <w:t>labor</w:t>
      </w:r>
      <w:proofErr w:type="spellEnd"/>
      <w:r w:rsidRPr="004716D8">
        <w:rPr>
          <w:rFonts w:ascii="Arial" w:hAnsi="Arial" w:cs="Arial"/>
        </w:rPr>
        <w:t xml:space="preserve"> rules</w:t>
      </w:r>
      <w:r w:rsidR="0009485F" w:rsidRPr="004716D8">
        <w:rPr>
          <w:rFonts w:ascii="Arial" w:hAnsi="Arial" w:cs="Arial"/>
        </w:rPr>
        <w:t xml:space="preserve"> as quoted by Prathima et al. (2019)</w:t>
      </w:r>
      <w:r w:rsidRPr="004716D8">
        <w:rPr>
          <w:rFonts w:ascii="Arial" w:hAnsi="Arial" w:cs="Arial"/>
        </w:rPr>
        <w:t>. Nevertheless, as the businesses came to the fact that human capital is a critical factor in a company's success, HRM underwent a transformation to become a strategic partner in the organization's development. </w:t>
      </w:r>
    </w:p>
    <w:p w14:paraId="2B7E5D21" w14:textId="64452531" w:rsidR="00DC62A1" w:rsidRPr="004716D8" w:rsidRDefault="00DC62A1" w:rsidP="002F35C3">
      <w:pPr>
        <w:pStyle w:val="NormalWeb"/>
        <w:spacing w:before="120" w:beforeAutospacing="0" w:after="120" w:afterAutospacing="0" w:line="360" w:lineRule="auto"/>
        <w:jc w:val="both"/>
        <w:rPr>
          <w:rFonts w:ascii="Arial" w:hAnsi="Arial" w:cs="Arial"/>
        </w:rPr>
      </w:pPr>
      <w:r w:rsidRPr="004716D8">
        <w:rPr>
          <w:rFonts w:ascii="Arial" w:hAnsi="Arial" w:cs="Arial"/>
        </w:rPr>
        <w:t>The most crucial change in HRM has been its conversion from reactive to proactive. In the past, HR departments acted reactively, responded to the current staffing demand, and solved the issues as they appeared. Nevertheless, as organizations started to see the strategic value of workforce planning, HRM gradually took a proactive approach, foresaw future talent needs, and aligned them with business objectives. Thus, the forward-looking HRM was able to be a more critical part of the organizational goals, bringing the organization's success and sustainability over the long term. The change of HRM from reactive to proactive implies a fundamental shift in the HR department's role and strategic contribution within the organization. Generally, the HR departments mainly concentrated on pressing issues like filling vacant posts or settling the employee's complaints that occurred in such matters</w:t>
      </w:r>
      <w:r w:rsidR="0009485F" w:rsidRPr="004716D8">
        <w:rPr>
          <w:rFonts w:ascii="Arial" w:hAnsi="Arial" w:cs="Arial"/>
        </w:rPr>
        <w:t xml:space="preserve"> (</w:t>
      </w:r>
      <w:r w:rsidR="0009485F" w:rsidRPr="004716D8">
        <w:rPr>
          <w:rFonts w:ascii="Arial" w:hAnsi="Arial" w:cs="Arial"/>
          <w:shd w:val="clear" w:color="auto" w:fill="FFFFFF"/>
        </w:rPr>
        <w:t xml:space="preserve">Hassanein &amp; </w:t>
      </w:r>
      <w:proofErr w:type="spellStart"/>
      <w:r w:rsidR="0009485F" w:rsidRPr="004716D8">
        <w:rPr>
          <w:rFonts w:ascii="Arial" w:hAnsi="Arial" w:cs="Arial"/>
          <w:shd w:val="clear" w:color="auto" w:fill="FFFFFF"/>
        </w:rPr>
        <w:t>Özgit</w:t>
      </w:r>
      <w:proofErr w:type="spellEnd"/>
      <w:r w:rsidR="0009485F" w:rsidRPr="004716D8">
        <w:rPr>
          <w:rFonts w:ascii="Arial" w:hAnsi="Arial" w:cs="Arial"/>
          <w:shd w:val="clear" w:color="auto" w:fill="FFFFFF"/>
        </w:rPr>
        <w:t>., 2022)</w:t>
      </w:r>
      <w:r w:rsidRPr="004716D8">
        <w:rPr>
          <w:rFonts w:ascii="Arial" w:hAnsi="Arial" w:cs="Arial"/>
        </w:rPr>
        <w:t xml:space="preserve">. This passive method often results in difficulties in long-term workforce planning and the HR's restricted capability to achieve broader organizational goals more effectively. Although the human resources department was seen as a low priority at the start of the companies, as the businesses began to realize the strategic importance of human capital in achieving business success, HRM underwent a significant change. This change was because the master planning of the workforce, as well as the goal setting, was received by the companies as crucial for the match of the talent strategy with the </w:t>
      </w:r>
      <w:r w:rsidRPr="004716D8">
        <w:rPr>
          <w:rFonts w:ascii="Arial" w:hAnsi="Arial" w:cs="Arial"/>
        </w:rPr>
        <w:lastRenderedPageBreak/>
        <w:t>main business goals. Through the foresight of future talent requirements, HRM can devise the situation and find the plates and the brainwaves</w:t>
      </w:r>
      <w:r w:rsidR="0009485F" w:rsidRPr="004716D8">
        <w:rPr>
          <w:rFonts w:ascii="Arial" w:hAnsi="Arial" w:cs="Arial"/>
        </w:rPr>
        <w:t xml:space="preserve"> (</w:t>
      </w:r>
      <w:proofErr w:type="spellStart"/>
      <w:r w:rsidR="0009485F" w:rsidRPr="004716D8">
        <w:rPr>
          <w:rFonts w:ascii="Arial" w:hAnsi="Arial" w:cs="Arial"/>
        </w:rPr>
        <w:t>Ererdi</w:t>
      </w:r>
      <w:proofErr w:type="spellEnd"/>
      <w:r w:rsidR="0009485F" w:rsidRPr="004716D8">
        <w:rPr>
          <w:rFonts w:ascii="Arial" w:hAnsi="Arial" w:cs="Arial"/>
        </w:rPr>
        <w:t xml:space="preserve"> et al., 2022)</w:t>
      </w:r>
      <w:r w:rsidRPr="004716D8">
        <w:rPr>
          <w:rFonts w:ascii="Arial" w:hAnsi="Arial" w:cs="Arial"/>
        </w:rPr>
        <w:t xml:space="preserve"> to establish and execute the initiatives to train and obtain the required talents to boost organizational growth and competitiveness. Workforce planning is a proactive process that includes several main ingredients. By performing strategic workforce analysis, HRM analyses demographic trends, industry dynamics, and technological changes to predict future talent needs. Humans can identify the external factors that affect the Labor market, foresee skill demands that may change in the future, and, accordingly, make the necessary changes in recruitment and development strategies. Besides, proactive workforce planning is basically about synchronizing HR strategies with the general organizational objectives. HR departments work with the senior management and the business units to get information about the company's strategic direction and then turn it into workforce plans</w:t>
      </w:r>
      <w:r w:rsidR="0009485F" w:rsidRPr="004716D8">
        <w:rPr>
          <w:rFonts w:ascii="Arial" w:hAnsi="Arial" w:cs="Arial"/>
        </w:rPr>
        <w:t xml:space="preserve"> (Greer., 2021)</w:t>
      </w:r>
      <w:r w:rsidRPr="004716D8">
        <w:rPr>
          <w:rFonts w:ascii="Arial" w:hAnsi="Arial" w:cs="Arial"/>
        </w:rPr>
        <w:t>. The HR policies agree with the business goals, which support the business objectives, for example, entering new markets, diversifying the product line, and improving the efficiency of the operations. Finally, workforce planning is done beforehand so the HRM can take a talent management approach that concentrates on developing and retaining central employees</w:t>
      </w:r>
      <w:r w:rsidR="0023369A" w:rsidRPr="004716D8">
        <w:rPr>
          <w:rFonts w:ascii="Arial" w:hAnsi="Arial" w:cs="Arial"/>
        </w:rPr>
        <w:t xml:space="preserve"> (</w:t>
      </w:r>
      <w:r w:rsidR="0023369A" w:rsidRPr="004716D8">
        <w:rPr>
          <w:rFonts w:ascii="Arial" w:hAnsi="Arial" w:cs="Arial"/>
          <w:shd w:val="clear" w:color="auto" w:fill="FFFFFF"/>
        </w:rPr>
        <w:t>Chakraborty &amp; Biswas., 2020)</w:t>
      </w:r>
      <w:r w:rsidRPr="004716D8">
        <w:rPr>
          <w:rFonts w:ascii="Arial" w:hAnsi="Arial" w:cs="Arial"/>
        </w:rPr>
        <w:t xml:space="preserve">. </w:t>
      </w:r>
    </w:p>
    <w:p w14:paraId="75B9A9B6" w14:textId="7D08193A" w:rsidR="00DC62A1" w:rsidRPr="004716D8" w:rsidRDefault="00DC62A1" w:rsidP="002F35C3">
      <w:pPr>
        <w:pStyle w:val="NormalWeb"/>
        <w:spacing w:before="120" w:beforeAutospacing="0" w:after="120" w:afterAutospacing="0" w:line="360" w:lineRule="auto"/>
        <w:jc w:val="both"/>
        <w:rPr>
          <w:rFonts w:ascii="Arial" w:hAnsi="Arial" w:cs="Arial"/>
        </w:rPr>
      </w:pPr>
      <w:r w:rsidRPr="004716D8">
        <w:rPr>
          <w:rFonts w:ascii="Arial" w:hAnsi="Arial" w:cs="Arial"/>
        </w:rPr>
        <w:t>Besides, the HRM development process has been marked by the rise of talent management and employee involvement</w:t>
      </w:r>
      <w:r w:rsidR="00FC2512" w:rsidRPr="004716D8">
        <w:rPr>
          <w:rFonts w:ascii="Arial" w:hAnsi="Arial" w:cs="Arial"/>
        </w:rPr>
        <w:t xml:space="preserve"> (Pandita &amp; Ray., 2018)</w:t>
      </w:r>
      <w:r w:rsidRPr="004716D8">
        <w:rPr>
          <w:rFonts w:ascii="Arial" w:hAnsi="Arial" w:cs="Arial"/>
        </w:rPr>
        <w:t>. Until now, HRM has concentrated mainly on recruitment and selection processes and has had very few retention and talent development activities. Nevertheless, the HRM started to change its strategy and focus on attracting, developing, and retaining top-performing employees, making the competition for top talent more intense and the employee expectations more evolved. Thus, the focus on talent management results in organizational competitiveness, and at the same time, a culture of continuous learning and innovation is also developed. Besides, technological development has been the main reason for the changes in the HRM that we now know</w:t>
      </w:r>
      <w:r w:rsidR="00FC2512" w:rsidRPr="004716D8">
        <w:rPr>
          <w:rFonts w:ascii="Arial" w:hAnsi="Arial" w:cs="Arial"/>
        </w:rPr>
        <w:t xml:space="preserve"> (</w:t>
      </w:r>
      <w:r w:rsidR="00FC2512" w:rsidRPr="004716D8">
        <w:rPr>
          <w:rFonts w:ascii="Arial" w:hAnsi="Arial" w:cs="Arial"/>
          <w:color w:val="222222"/>
          <w:shd w:val="clear" w:color="auto" w:fill="FFFFFF"/>
        </w:rPr>
        <w:t>Piwowar-</w:t>
      </w:r>
      <w:proofErr w:type="spellStart"/>
      <w:r w:rsidR="00FC2512" w:rsidRPr="004716D8">
        <w:rPr>
          <w:rFonts w:ascii="Arial" w:hAnsi="Arial" w:cs="Arial"/>
          <w:color w:val="222222"/>
          <w:shd w:val="clear" w:color="auto" w:fill="FFFFFF"/>
        </w:rPr>
        <w:t>Sulej</w:t>
      </w:r>
      <w:proofErr w:type="spellEnd"/>
      <w:r w:rsidR="00FC2512" w:rsidRPr="004716D8">
        <w:rPr>
          <w:rFonts w:ascii="Arial" w:hAnsi="Arial" w:cs="Arial"/>
          <w:color w:val="222222"/>
          <w:shd w:val="clear" w:color="auto" w:fill="FFFFFF"/>
        </w:rPr>
        <w:t>., 2021)</w:t>
      </w:r>
      <w:r w:rsidRPr="004716D8">
        <w:rPr>
          <w:rFonts w:ascii="Arial" w:hAnsi="Arial" w:cs="Arial"/>
        </w:rPr>
        <w:t xml:space="preserve">. Human resource information systems (HRIS), data analytics, and artificial intelligence are the reasons for the conversion of HR practices to new practices that are more </w:t>
      </w:r>
      <w:r w:rsidR="00FC2512" w:rsidRPr="004716D8">
        <w:rPr>
          <w:rFonts w:ascii="Arial" w:hAnsi="Arial" w:cs="Arial"/>
        </w:rPr>
        <w:t>efficient,</w:t>
      </w:r>
      <w:r w:rsidRPr="004716D8">
        <w:rPr>
          <w:rFonts w:ascii="Arial" w:hAnsi="Arial" w:cs="Arial"/>
        </w:rPr>
        <w:t xml:space="preserve"> and data driven. As HRM has integrated technology into its functioning, the systems have become more </w:t>
      </w:r>
      <w:r w:rsidRPr="004716D8">
        <w:rPr>
          <w:rFonts w:ascii="Arial" w:hAnsi="Arial" w:cs="Arial"/>
        </w:rPr>
        <w:lastRenderedPageBreak/>
        <w:t>efficient, the recruitment outcomes have improved</w:t>
      </w:r>
      <w:r w:rsidR="00FC2512" w:rsidRPr="004716D8">
        <w:rPr>
          <w:rFonts w:ascii="Arial" w:hAnsi="Arial" w:cs="Arial"/>
        </w:rPr>
        <w:t xml:space="preserve"> (</w:t>
      </w:r>
      <w:proofErr w:type="spellStart"/>
      <w:r w:rsidR="00FC2512" w:rsidRPr="004716D8">
        <w:rPr>
          <w:rFonts w:ascii="Arial" w:hAnsi="Arial" w:cs="Arial"/>
          <w:shd w:val="clear" w:color="auto" w:fill="FFFFFF"/>
        </w:rPr>
        <w:t>Kambur</w:t>
      </w:r>
      <w:proofErr w:type="spellEnd"/>
      <w:r w:rsidR="00FC2512" w:rsidRPr="004716D8">
        <w:rPr>
          <w:rFonts w:ascii="Arial" w:hAnsi="Arial" w:cs="Arial"/>
          <w:shd w:val="clear" w:color="auto" w:fill="FFFFFF"/>
        </w:rPr>
        <w:t xml:space="preserve"> &amp; Yildirim., 2023)</w:t>
      </w:r>
      <w:r w:rsidRPr="004716D8">
        <w:rPr>
          <w:rFonts w:ascii="Arial" w:hAnsi="Arial" w:cs="Arial"/>
        </w:rPr>
        <w:t>, and the employee experience has been enhanced. Besides, digital platforms have made it possible for organizations to hire global talent and work from home according to the changes in the workforce. </w:t>
      </w:r>
    </w:p>
    <w:p w14:paraId="2DA02D36" w14:textId="7CF87FA0" w:rsidR="00DC62A1" w:rsidRPr="004716D8" w:rsidRDefault="00DC62A1" w:rsidP="002F35C3">
      <w:pPr>
        <w:pStyle w:val="NormalWeb"/>
        <w:spacing w:before="120" w:beforeAutospacing="0" w:after="120" w:afterAutospacing="0" w:line="360" w:lineRule="auto"/>
        <w:jc w:val="both"/>
        <w:rPr>
          <w:rFonts w:ascii="Arial" w:hAnsi="Arial" w:cs="Arial"/>
        </w:rPr>
      </w:pPr>
      <w:r w:rsidRPr="004716D8">
        <w:rPr>
          <w:rFonts w:ascii="Arial" w:hAnsi="Arial" w:cs="Arial"/>
        </w:rPr>
        <w:t>HRM has moved from an administrative function to a strategic partner in organizational development, especially in international hotels like Wyndham Hotels &amp; Resorts. Thus, the whole team works towards a common goal, and the organization succeeds. The change of HRM from an administrative function to a strategic partner for international hotel brands such as Wyndham Hotels &amp; Resorts shows the significant change in HR in the organizations</w:t>
      </w:r>
      <w:r w:rsidR="00FC2512" w:rsidRPr="004716D8">
        <w:rPr>
          <w:rFonts w:ascii="Arial" w:hAnsi="Arial" w:cs="Arial"/>
        </w:rPr>
        <w:t xml:space="preserve"> (Manhas &amp; Jain., 2022)</w:t>
      </w:r>
      <w:r w:rsidRPr="004716D8">
        <w:rPr>
          <w:rFonts w:ascii="Arial" w:hAnsi="Arial" w:cs="Arial"/>
        </w:rPr>
        <w:t>. In the past, the HR departments mainly dealt with administrative tasks like payroll processing, compliance, and personnel record-keeping. Nonetheless, although businesses started to admit the importance of human capital in the organization's growth, the HRM became a partner in the organization's development. The most essential part of this process is that HR is already and will be proactive in its actions to align the business strategies. Rather than just responding to the needs that arise, like filling job positions or settling employee complaints, HR departments of international hotels like Wyndham now participate in the strategic planning processes that connect the HR activities with the main organizational objectives</w:t>
      </w:r>
      <w:r w:rsidR="00FC2512" w:rsidRPr="004716D8">
        <w:rPr>
          <w:rFonts w:ascii="Arial" w:hAnsi="Arial" w:cs="Arial"/>
        </w:rPr>
        <w:t xml:space="preserve"> (Putra et al., 2023)</w:t>
      </w:r>
      <w:r w:rsidRPr="004716D8">
        <w:rPr>
          <w:rFonts w:ascii="Arial" w:hAnsi="Arial" w:cs="Arial"/>
        </w:rPr>
        <w:t>. With this policy of being ahead of the curve, the HR department can spot future challenges and opportunities and, at the same time, create initiatives that will support the long-term business objectives. </w:t>
      </w:r>
    </w:p>
    <w:p w14:paraId="37C318EB" w14:textId="23D6717D" w:rsidR="00DC62A1" w:rsidRPr="004716D8" w:rsidRDefault="00DC62A1" w:rsidP="002F35C3">
      <w:pPr>
        <w:pStyle w:val="NormalWeb"/>
        <w:spacing w:before="120" w:beforeAutospacing="0" w:after="120" w:afterAutospacing="0" w:line="360" w:lineRule="auto"/>
        <w:jc w:val="both"/>
        <w:rPr>
          <w:rFonts w:ascii="Arial" w:hAnsi="Arial" w:cs="Arial"/>
        </w:rPr>
      </w:pPr>
      <w:r w:rsidRPr="004716D8">
        <w:rPr>
          <w:rFonts w:ascii="Arial" w:hAnsi="Arial" w:cs="Arial"/>
        </w:rPr>
        <w:t>For instance, HR in Wyndham Hotels &amp; Resorts may work closely with senior leadership and business unit managers to spot new trends in the hospitality industry and predict changes in guest preferences or market dynamics</w:t>
      </w:r>
      <w:r w:rsidR="00FC2512" w:rsidRPr="004716D8">
        <w:rPr>
          <w:rFonts w:ascii="Arial" w:hAnsi="Arial" w:cs="Arial"/>
        </w:rPr>
        <w:t xml:space="preserve"> (</w:t>
      </w:r>
      <w:r w:rsidR="00FC2512" w:rsidRPr="004716D8">
        <w:rPr>
          <w:rFonts w:ascii="Arial" w:hAnsi="Arial" w:cs="Arial"/>
          <w:shd w:val="clear" w:color="auto" w:fill="FFFFFF"/>
        </w:rPr>
        <w:t xml:space="preserve">Gajjar &amp; </w:t>
      </w:r>
      <w:proofErr w:type="spellStart"/>
      <w:r w:rsidR="00FC2512" w:rsidRPr="004716D8">
        <w:rPr>
          <w:rFonts w:ascii="Arial" w:hAnsi="Arial" w:cs="Arial"/>
          <w:shd w:val="clear" w:color="auto" w:fill="FFFFFF"/>
        </w:rPr>
        <w:t>Okumus</w:t>
      </w:r>
      <w:proofErr w:type="spellEnd"/>
      <w:r w:rsidR="00FC2512" w:rsidRPr="004716D8">
        <w:rPr>
          <w:rFonts w:ascii="Arial" w:hAnsi="Arial" w:cs="Arial"/>
          <w:shd w:val="clear" w:color="auto" w:fill="FFFFFF"/>
        </w:rPr>
        <w:t>., 2018)</w:t>
      </w:r>
      <w:r w:rsidRPr="004716D8">
        <w:rPr>
          <w:rFonts w:ascii="Arial" w:hAnsi="Arial" w:cs="Arial"/>
        </w:rPr>
        <w:t xml:space="preserve">. The study shows that HR can create talent acquisition strategies to ensure the organization possesses the required mix of skills and competencies to fulfill changing customer demands. Besides, HRM's strategic partnership role is not limited to talent acquisition but also constitutes talent development, employee engagement, and organizational culture. Through HR strategies that align with the business objectives, HR departments can form training and development programs that develop employees' skills and abilities, resulting in innovation and operational excellence in the organization. </w:t>
      </w:r>
      <w:r w:rsidRPr="004716D8">
        <w:rPr>
          <w:rFonts w:ascii="Arial" w:hAnsi="Arial" w:cs="Arial"/>
        </w:rPr>
        <w:lastRenderedPageBreak/>
        <w:t>Moreover, HR can design activities to create a positive work environment and programs that will engage the employees more</w:t>
      </w:r>
      <w:r w:rsidR="00FC2512" w:rsidRPr="004716D8">
        <w:rPr>
          <w:rFonts w:ascii="Arial" w:hAnsi="Arial" w:cs="Arial"/>
        </w:rPr>
        <w:t xml:space="preserve"> (Li et al., 2018)</w:t>
      </w:r>
      <w:r w:rsidRPr="004716D8">
        <w:rPr>
          <w:rFonts w:ascii="Arial" w:hAnsi="Arial" w:cs="Arial"/>
        </w:rPr>
        <w:t>. Therefore, the retention of employees will be improved, and turnover costs will be reduced. </w:t>
      </w:r>
    </w:p>
    <w:p w14:paraId="07A910C8" w14:textId="6EE7CB27" w:rsidR="00DC62A1" w:rsidRPr="004716D8" w:rsidRDefault="00DC62A1" w:rsidP="002F35C3">
      <w:pPr>
        <w:pStyle w:val="NormalWeb"/>
        <w:spacing w:before="120" w:beforeAutospacing="0" w:after="120" w:afterAutospacing="0" w:line="360" w:lineRule="auto"/>
        <w:jc w:val="both"/>
        <w:rPr>
          <w:rFonts w:ascii="Arial" w:hAnsi="Arial" w:cs="Arial"/>
        </w:rPr>
      </w:pPr>
      <w:r w:rsidRPr="004716D8">
        <w:rPr>
          <w:rFonts w:ascii="Arial" w:hAnsi="Arial" w:cs="Arial"/>
        </w:rPr>
        <w:t xml:space="preserve">Besides, HRM's strategic relationship with the organization is shown by its help with organizational change initiatives and strategic planning processes. For example, HR may assess the workforce scenario when Wyndham Hotels &amp; Resorts carries out the expansion project or enters new markets. After all, HR can work with other functional areas to devise methods for attracting, training, and deploying talent based on the expansion aims. The strategic HR planning at Wyndham Hotels &amp; Resorts is well-organized and deals with </w:t>
      </w:r>
      <w:proofErr w:type="spellStart"/>
      <w:r w:rsidRPr="004716D8">
        <w:rPr>
          <w:rFonts w:ascii="Arial" w:hAnsi="Arial" w:cs="Arial"/>
        </w:rPr>
        <w:t>labor</w:t>
      </w:r>
      <w:proofErr w:type="spellEnd"/>
      <w:r w:rsidRPr="004716D8">
        <w:rPr>
          <w:rFonts w:ascii="Arial" w:hAnsi="Arial" w:cs="Arial"/>
        </w:rPr>
        <w:t xml:space="preserve"> demand and supply forecasting</w:t>
      </w:r>
      <w:r w:rsidR="00FC2512" w:rsidRPr="004716D8">
        <w:rPr>
          <w:rFonts w:ascii="Arial" w:hAnsi="Arial" w:cs="Arial"/>
        </w:rPr>
        <w:t xml:space="preserve"> (</w:t>
      </w:r>
      <w:proofErr w:type="spellStart"/>
      <w:r w:rsidR="00FC2512" w:rsidRPr="004716D8">
        <w:rPr>
          <w:rFonts w:ascii="Arial" w:hAnsi="Arial" w:cs="Arial"/>
        </w:rPr>
        <w:t>Widyasari</w:t>
      </w:r>
      <w:proofErr w:type="spellEnd"/>
      <w:r w:rsidR="00FC2512" w:rsidRPr="004716D8">
        <w:rPr>
          <w:rFonts w:ascii="Arial" w:hAnsi="Arial" w:cs="Arial"/>
        </w:rPr>
        <w:t xml:space="preserve"> et al., 2021)</w:t>
      </w:r>
      <w:r w:rsidRPr="004716D8">
        <w:rPr>
          <w:rFonts w:ascii="Arial" w:hAnsi="Arial" w:cs="Arial"/>
        </w:rPr>
        <w:t xml:space="preserve">. The main task of HR is to ensure that HR activities and programs are in line with the business goals. The process aims to provide the organization with the appropriate employees to facilitate its growth plans. This procedure is crucial for Wyndham to keep in the game in the fast-changing hospitality industry and quickly react to market changes. Wyndham's HR team conducts studies and assessments to predict future staffing requirements, including market trends, customer demands, and projected business growth. They evaluate the present workforce structure and the skills inventory to find out the possibilities of the gaps and the areas for development. By comprehending the forecasted </w:t>
      </w:r>
      <w:proofErr w:type="spellStart"/>
      <w:r w:rsidRPr="004716D8">
        <w:rPr>
          <w:rFonts w:ascii="Arial" w:hAnsi="Arial" w:cs="Arial"/>
        </w:rPr>
        <w:t>labor</w:t>
      </w:r>
      <w:proofErr w:type="spellEnd"/>
      <w:r w:rsidRPr="004716D8">
        <w:rPr>
          <w:rFonts w:ascii="Arial" w:hAnsi="Arial" w:cs="Arial"/>
        </w:rPr>
        <w:t xml:space="preserve"> demand changes, Wyndham will be able to plan the recruitment, training, and development initiatives in a way that will cater to future requirements.</w:t>
      </w:r>
      <w:r w:rsidR="00377F78" w:rsidRPr="004716D8">
        <w:rPr>
          <w:rFonts w:ascii="Arial" w:hAnsi="Arial" w:cs="Arial"/>
        </w:rPr>
        <w:t xml:space="preserve"> </w:t>
      </w:r>
      <w:r w:rsidRPr="004716D8">
        <w:rPr>
          <w:rFonts w:ascii="Arial" w:hAnsi="Arial" w:cs="Arial"/>
        </w:rPr>
        <w:t>The HR team works with upper management to define clear goals and strategies for the company's expansion. The goals are those which are concerned with the new markets, the introduction of new hotel concepts, or even the improvement of operational efficiency. HR stitches its workforce planning activities into the strategic objectives of the organization. Thus, it ensures that the recruitment, development, and talent management initiatives work towards achieving the organization's long-term vision. The Wyndham HR team works closely with the business leaders to find the gaps in the talent pool when the company decides to expand to new markets or launch a new hotel concept</w:t>
      </w:r>
      <w:r w:rsidR="00FC2512" w:rsidRPr="004716D8">
        <w:rPr>
          <w:rFonts w:ascii="Arial" w:hAnsi="Arial" w:cs="Arial"/>
        </w:rPr>
        <w:t xml:space="preserve"> (</w:t>
      </w:r>
      <w:r w:rsidR="00FC2512" w:rsidRPr="004716D8">
        <w:rPr>
          <w:rFonts w:ascii="Arial" w:hAnsi="Arial" w:cs="Arial"/>
          <w:shd w:val="clear" w:color="auto" w:fill="FFFFFF"/>
        </w:rPr>
        <w:t>Leung et al., 2022)</w:t>
      </w:r>
      <w:r w:rsidRPr="004716D8">
        <w:rPr>
          <w:rFonts w:ascii="Arial" w:hAnsi="Arial" w:cs="Arial"/>
        </w:rPr>
        <w:t xml:space="preserve">. They evaluate the skills and competencies needed for success in these new ventures and then develop the recruitment strategy that will address them in a targeted way. This could be done by employing talented people from </w:t>
      </w:r>
      <w:r w:rsidRPr="004716D8">
        <w:rPr>
          <w:rFonts w:ascii="Arial" w:hAnsi="Arial" w:cs="Arial"/>
        </w:rPr>
        <w:lastRenderedPageBreak/>
        <w:t>different sources, such as promotions from within, recruiting new personnel, and collaborating with educational institutions or industry associations. For instance, if Wyndham extends its presence in a particular region, such as Asia-Pacific, it is called geographic expansion. Thus, in that case, HR may liaise with the regional business leaders to find out which local people can speak the local language</w:t>
      </w:r>
      <w:r w:rsidR="00FC2512" w:rsidRPr="004716D8">
        <w:rPr>
          <w:rFonts w:ascii="Arial" w:hAnsi="Arial" w:cs="Arial"/>
        </w:rPr>
        <w:t xml:space="preserve"> (Wan., 2019)</w:t>
      </w:r>
      <w:r w:rsidRPr="004716D8">
        <w:rPr>
          <w:rFonts w:ascii="Arial" w:hAnsi="Arial" w:cs="Arial"/>
        </w:rPr>
        <w:t>, have a good knowledge of the culture, and are good at hospitality</w:t>
      </w:r>
      <w:r w:rsidR="0009485F" w:rsidRPr="004716D8">
        <w:rPr>
          <w:rFonts w:ascii="Arial" w:hAnsi="Arial" w:cs="Arial"/>
        </w:rPr>
        <w:t>.</w:t>
      </w:r>
    </w:p>
    <w:p w14:paraId="328CBAE8" w14:textId="22205E7C" w:rsidR="00DC62A1" w:rsidRPr="004716D8" w:rsidRDefault="00DC62A1" w:rsidP="002F35C3">
      <w:pPr>
        <w:pStyle w:val="NormalWeb"/>
        <w:spacing w:before="120" w:beforeAutospacing="0" w:after="120" w:afterAutospacing="0" w:line="360" w:lineRule="auto"/>
        <w:jc w:val="both"/>
        <w:rPr>
          <w:rFonts w:ascii="Arial" w:hAnsi="Arial" w:cs="Arial"/>
        </w:rPr>
      </w:pPr>
      <w:r w:rsidRPr="004716D8">
        <w:rPr>
          <w:rFonts w:ascii="Arial" w:hAnsi="Arial" w:cs="Arial"/>
        </w:rPr>
        <w:t>How Wyndham deals with HRM proves that it is really into the HRM and HR strategy that aligns with the company's business objectives</w:t>
      </w:r>
      <w:r w:rsidR="00FC2512" w:rsidRPr="004716D8">
        <w:rPr>
          <w:rFonts w:ascii="Arial" w:hAnsi="Arial" w:cs="Arial"/>
        </w:rPr>
        <w:t xml:space="preserve"> (</w:t>
      </w:r>
      <w:r w:rsidR="00FC2512" w:rsidRPr="004716D8">
        <w:rPr>
          <w:rFonts w:ascii="Arial" w:hAnsi="Arial" w:cs="Arial"/>
          <w:shd w:val="clear" w:color="auto" w:fill="FFFFFF"/>
        </w:rPr>
        <w:t>Manoharan et al., 2021)</w:t>
      </w:r>
      <w:r w:rsidRPr="004716D8">
        <w:rPr>
          <w:rFonts w:ascii="Arial" w:hAnsi="Arial" w:cs="Arial"/>
        </w:rPr>
        <w:t>. The company foresees future talent needs by carrying out detailed workforce planning and recognizing the growth and development areas. Through data-driven insights and teamwork with the business leaders, Wyndham can make sound decisions about acquiring and using talents, thus positioning itself to expand into new markets and businesses. Recruitment is the doorway that leads to qualified people who are masters of the needed skills and knowledge and have the same values and ethics as the Wyndham brand. The company's focus on the cultural fit and alignment of the new hires to the organizational culture guarantees that the new hires will be able to fit in well into the company where they will be working and, thus, will form a robust and high-performing workforce. Besides, Wyndham's specific hiring strategies, such as talent sourcing and employer branding activities, prove to be its advantage since they make it the employer of choice, and thus, the company is better at attracting the right talent for its needs. The Wyndham selection process is thorough and precise. It is intended to detect people who are not only the perfect match for the organization's current demands but also those who can become successful in the future, and hence, they can be the organization's future leaders. Using well-structured and competency-based interviews</w:t>
      </w:r>
      <w:r w:rsidR="0023369A" w:rsidRPr="004716D8">
        <w:rPr>
          <w:rFonts w:ascii="Arial" w:hAnsi="Arial" w:cs="Arial"/>
        </w:rPr>
        <w:t xml:space="preserve"> (Dusch et al., 2018)</w:t>
      </w:r>
      <w:r w:rsidRPr="004716D8">
        <w:rPr>
          <w:rFonts w:ascii="Arial" w:hAnsi="Arial" w:cs="Arial"/>
        </w:rPr>
        <w:t>, Wyndham can tell whether a candidate is good at what he is doing if he has the behaviour that a business wants and is compatible with the corporate culture.</w:t>
      </w:r>
    </w:p>
    <w:p w14:paraId="5BEB155F" w14:textId="7307F263" w:rsidR="0023369A" w:rsidRPr="004716D8" w:rsidRDefault="00DC62A1" w:rsidP="002F35C3">
      <w:pPr>
        <w:pStyle w:val="NormalWeb"/>
        <w:spacing w:before="120" w:beforeAutospacing="0" w:after="120" w:afterAutospacing="0" w:line="360" w:lineRule="auto"/>
        <w:jc w:val="both"/>
        <w:rPr>
          <w:rFonts w:ascii="Arial" w:hAnsi="Arial" w:cs="Arial"/>
        </w:rPr>
      </w:pPr>
      <w:r w:rsidRPr="004716D8">
        <w:rPr>
          <w:rFonts w:ascii="Arial" w:hAnsi="Arial" w:cs="Arial"/>
        </w:rPr>
        <w:t xml:space="preserve">The strategic tying up of the HRM functions within Wyndham Hotels &amp; Resorts shows the vital position that human capital has in the growth and stability of the organization. Through encouraging innovation, collaboration, and excellence, Wyndham creates a future workforce that will succeed in the ever-changing industry landscape and become </w:t>
      </w:r>
      <w:r w:rsidRPr="004716D8">
        <w:rPr>
          <w:rFonts w:ascii="Arial" w:hAnsi="Arial" w:cs="Arial"/>
        </w:rPr>
        <w:lastRenderedPageBreak/>
        <w:t>a leader in the global hospitality sector</w:t>
      </w:r>
      <w:r w:rsidR="0023369A" w:rsidRPr="004716D8">
        <w:rPr>
          <w:rFonts w:ascii="Arial" w:hAnsi="Arial" w:cs="Arial"/>
        </w:rPr>
        <w:t xml:space="preserve"> (Gilbert &amp; Hood., 2020)</w:t>
      </w:r>
      <w:r w:rsidRPr="004716D8">
        <w:rPr>
          <w:rFonts w:ascii="Arial" w:hAnsi="Arial" w:cs="Arial"/>
        </w:rPr>
        <w:t>. Wyndham has kept its people and strategic HRM practices going and, hence, has developed the best chance for success, taking up emerging opportunities and coping with challenges with confidence and resilience. </w:t>
      </w:r>
    </w:p>
    <w:p w14:paraId="12EAC32B" w14:textId="77777777" w:rsidR="0023369A" w:rsidRPr="004716D8" w:rsidRDefault="0023369A" w:rsidP="002F35C3">
      <w:pPr>
        <w:spacing w:before="120" w:after="120" w:line="360" w:lineRule="auto"/>
        <w:jc w:val="both"/>
        <w:rPr>
          <w:rFonts w:ascii="Arial" w:eastAsia="Times New Roman" w:hAnsi="Arial" w:cs="Arial"/>
          <w:kern w:val="0"/>
          <w14:ligatures w14:val="none"/>
        </w:rPr>
      </w:pPr>
      <w:r w:rsidRPr="004716D8">
        <w:rPr>
          <w:rFonts w:ascii="Arial" w:hAnsi="Arial" w:cs="Arial"/>
        </w:rPr>
        <w:br w:type="page"/>
      </w:r>
    </w:p>
    <w:p w14:paraId="39D67309" w14:textId="513F64FF" w:rsidR="00DC62A1" w:rsidRPr="004716D8" w:rsidRDefault="0023369A" w:rsidP="002F35C3">
      <w:pPr>
        <w:pStyle w:val="NormalWeb"/>
        <w:spacing w:before="120" w:beforeAutospacing="0" w:after="120" w:afterAutospacing="0" w:line="360" w:lineRule="auto"/>
        <w:jc w:val="both"/>
        <w:rPr>
          <w:rFonts w:ascii="Arial" w:hAnsi="Arial" w:cs="Arial"/>
          <w:b/>
          <w:bCs/>
          <w:sz w:val="28"/>
          <w:szCs w:val="28"/>
        </w:rPr>
      </w:pPr>
      <w:r w:rsidRPr="004716D8">
        <w:rPr>
          <w:rFonts w:ascii="Arial" w:hAnsi="Arial" w:cs="Arial"/>
          <w:b/>
          <w:bCs/>
          <w:sz w:val="28"/>
          <w:szCs w:val="28"/>
        </w:rPr>
        <w:lastRenderedPageBreak/>
        <w:t>References</w:t>
      </w:r>
    </w:p>
    <w:p w14:paraId="4E53BB5B" w14:textId="77777777" w:rsidR="002F35C3" w:rsidRPr="002F35C3" w:rsidRDefault="002F35C3" w:rsidP="002F35C3">
      <w:pPr>
        <w:spacing w:before="120" w:after="120" w:line="360" w:lineRule="auto"/>
        <w:ind w:left="720" w:hanging="720"/>
        <w:jc w:val="both"/>
        <w:rPr>
          <w:rFonts w:ascii="Arial" w:hAnsi="Arial" w:cs="Arial"/>
          <w:sz w:val="32"/>
          <w:szCs w:val="32"/>
        </w:rPr>
      </w:pPr>
      <w:bookmarkStart w:id="0" w:name="_Hlk166543720"/>
      <w:r w:rsidRPr="002F35C3">
        <w:rPr>
          <w:rFonts w:ascii="Arial" w:hAnsi="Arial" w:cs="Arial"/>
          <w:color w:val="222222"/>
          <w:shd w:val="clear" w:color="auto" w:fill="FFFFFF"/>
        </w:rPr>
        <w:t>Chakraborty, D. and Biswas, W., 2020</w:t>
      </w:r>
      <w:bookmarkEnd w:id="0"/>
      <w:r w:rsidRPr="002F35C3">
        <w:rPr>
          <w:rFonts w:ascii="Arial" w:hAnsi="Arial" w:cs="Arial"/>
          <w:color w:val="222222"/>
          <w:shd w:val="clear" w:color="auto" w:fill="FFFFFF"/>
        </w:rPr>
        <w:t>. Articulating the value of human resource planning (HRP) activities in augmenting organizational performance toward a sustained competitive firm. </w:t>
      </w:r>
      <w:r w:rsidRPr="002F35C3">
        <w:rPr>
          <w:rFonts w:ascii="Arial" w:hAnsi="Arial" w:cs="Arial"/>
          <w:i/>
          <w:iCs/>
          <w:color w:val="222222"/>
          <w:shd w:val="clear" w:color="auto" w:fill="FFFFFF"/>
        </w:rPr>
        <w:t>Journal of Asia Business Studies</w:t>
      </w:r>
      <w:r w:rsidRPr="002F35C3">
        <w:rPr>
          <w:rFonts w:ascii="Arial" w:hAnsi="Arial" w:cs="Arial"/>
          <w:color w:val="222222"/>
          <w:shd w:val="clear" w:color="auto" w:fill="FFFFFF"/>
        </w:rPr>
        <w:t>, </w:t>
      </w:r>
      <w:r w:rsidRPr="002F35C3">
        <w:rPr>
          <w:rFonts w:ascii="Arial" w:hAnsi="Arial" w:cs="Arial"/>
          <w:i/>
          <w:iCs/>
          <w:color w:val="222222"/>
          <w:shd w:val="clear" w:color="auto" w:fill="FFFFFF"/>
        </w:rPr>
        <w:t>14</w:t>
      </w:r>
      <w:r w:rsidRPr="002F35C3">
        <w:rPr>
          <w:rFonts w:ascii="Arial" w:hAnsi="Arial" w:cs="Arial"/>
          <w:color w:val="222222"/>
          <w:shd w:val="clear" w:color="auto" w:fill="FFFFFF"/>
        </w:rPr>
        <w:t xml:space="preserve">(1), pp.62-90. </w:t>
      </w:r>
    </w:p>
    <w:p w14:paraId="7D477C01" w14:textId="77777777" w:rsidR="002F35C3" w:rsidRPr="002F35C3" w:rsidRDefault="002F35C3" w:rsidP="002F35C3">
      <w:pPr>
        <w:spacing w:before="120" w:after="120" w:line="360" w:lineRule="auto"/>
        <w:ind w:left="720" w:hanging="720"/>
        <w:jc w:val="both"/>
        <w:rPr>
          <w:rFonts w:ascii="Arial" w:hAnsi="Arial" w:cs="Arial"/>
          <w:sz w:val="32"/>
          <w:szCs w:val="32"/>
        </w:rPr>
      </w:pPr>
      <w:r w:rsidRPr="002F35C3">
        <w:rPr>
          <w:rFonts w:ascii="Arial" w:hAnsi="Arial" w:cs="Arial"/>
          <w:color w:val="222222"/>
          <w:shd w:val="clear" w:color="auto" w:fill="FFFFFF"/>
        </w:rPr>
        <w:t xml:space="preserve">Dusch, M., </w:t>
      </w:r>
      <w:proofErr w:type="spellStart"/>
      <w:r w:rsidRPr="002F35C3">
        <w:rPr>
          <w:rFonts w:ascii="Arial" w:hAnsi="Arial" w:cs="Arial"/>
          <w:color w:val="222222"/>
          <w:shd w:val="clear" w:color="auto" w:fill="FFFFFF"/>
        </w:rPr>
        <w:t>Narciß</w:t>
      </w:r>
      <w:proofErr w:type="spellEnd"/>
      <w:r w:rsidRPr="002F35C3">
        <w:rPr>
          <w:rFonts w:ascii="Arial" w:hAnsi="Arial" w:cs="Arial"/>
          <w:color w:val="222222"/>
          <w:shd w:val="clear" w:color="auto" w:fill="FFFFFF"/>
        </w:rPr>
        <w:t xml:space="preserve">, E., </w:t>
      </w:r>
      <w:proofErr w:type="spellStart"/>
      <w:r w:rsidRPr="002F35C3">
        <w:rPr>
          <w:rFonts w:ascii="Arial" w:hAnsi="Arial" w:cs="Arial"/>
          <w:color w:val="222222"/>
          <w:shd w:val="clear" w:color="auto" w:fill="FFFFFF"/>
        </w:rPr>
        <w:t>Strohmer</w:t>
      </w:r>
      <w:proofErr w:type="spellEnd"/>
      <w:r w:rsidRPr="002F35C3">
        <w:rPr>
          <w:rFonts w:ascii="Arial" w:hAnsi="Arial" w:cs="Arial"/>
          <w:color w:val="222222"/>
          <w:shd w:val="clear" w:color="auto" w:fill="FFFFFF"/>
        </w:rPr>
        <w:t xml:space="preserve">, R. and </w:t>
      </w:r>
      <w:proofErr w:type="spellStart"/>
      <w:r w:rsidRPr="002F35C3">
        <w:rPr>
          <w:rFonts w:ascii="Arial" w:hAnsi="Arial" w:cs="Arial"/>
          <w:color w:val="222222"/>
          <w:shd w:val="clear" w:color="auto" w:fill="FFFFFF"/>
        </w:rPr>
        <w:t>Schüttpelz</w:t>
      </w:r>
      <w:proofErr w:type="spellEnd"/>
      <w:r w:rsidRPr="002F35C3">
        <w:rPr>
          <w:rFonts w:ascii="Arial" w:hAnsi="Arial" w:cs="Arial"/>
          <w:color w:val="222222"/>
          <w:shd w:val="clear" w:color="auto" w:fill="FFFFFF"/>
        </w:rPr>
        <w:t xml:space="preserve">-Brauns, K., 2018. Competency-based learning in an ambulatory care setting: Implementation of simulation training in the Ambulatory Care Rotation during the final year of the </w:t>
      </w:r>
      <w:proofErr w:type="spellStart"/>
      <w:r w:rsidRPr="002F35C3">
        <w:rPr>
          <w:rFonts w:ascii="Arial" w:hAnsi="Arial" w:cs="Arial"/>
          <w:color w:val="222222"/>
          <w:shd w:val="clear" w:color="auto" w:fill="FFFFFF"/>
        </w:rPr>
        <w:t>MaReCuM</w:t>
      </w:r>
      <w:proofErr w:type="spellEnd"/>
      <w:r w:rsidRPr="002F35C3">
        <w:rPr>
          <w:rFonts w:ascii="Arial" w:hAnsi="Arial" w:cs="Arial"/>
          <w:color w:val="222222"/>
          <w:shd w:val="clear" w:color="auto" w:fill="FFFFFF"/>
        </w:rPr>
        <w:t xml:space="preserve"> model curriculum. </w:t>
      </w:r>
      <w:r w:rsidRPr="002F35C3">
        <w:rPr>
          <w:rFonts w:ascii="Arial" w:hAnsi="Arial" w:cs="Arial"/>
          <w:i/>
          <w:iCs/>
          <w:color w:val="222222"/>
          <w:shd w:val="clear" w:color="auto" w:fill="FFFFFF"/>
        </w:rPr>
        <w:t>GMS Journal for Medical Education</w:t>
      </w:r>
      <w:r w:rsidRPr="002F35C3">
        <w:rPr>
          <w:rFonts w:ascii="Arial" w:hAnsi="Arial" w:cs="Arial"/>
          <w:color w:val="222222"/>
          <w:shd w:val="clear" w:color="auto" w:fill="FFFFFF"/>
        </w:rPr>
        <w:t>, </w:t>
      </w:r>
      <w:r w:rsidRPr="002F35C3">
        <w:rPr>
          <w:rFonts w:ascii="Arial" w:hAnsi="Arial" w:cs="Arial"/>
          <w:i/>
          <w:iCs/>
          <w:color w:val="222222"/>
          <w:shd w:val="clear" w:color="auto" w:fill="FFFFFF"/>
        </w:rPr>
        <w:t>35</w:t>
      </w:r>
      <w:r w:rsidRPr="002F35C3">
        <w:rPr>
          <w:rFonts w:ascii="Arial" w:hAnsi="Arial" w:cs="Arial"/>
          <w:color w:val="222222"/>
          <w:shd w:val="clear" w:color="auto" w:fill="FFFFFF"/>
        </w:rPr>
        <w:t>(1</w:t>
      </w:r>
    </w:p>
    <w:p w14:paraId="3A6D2C6C" w14:textId="77777777" w:rsidR="002F35C3" w:rsidRPr="002F35C3" w:rsidRDefault="002F35C3" w:rsidP="002F35C3">
      <w:pPr>
        <w:spacing w:before="120" w:after="120" w:line="360" w:lineRule="auto"/>
        <w:ind w:left="720" w:hanging="720"/>
        <w:jc w:val="both"/>
        <w:rPr>
          <w:rFonts w:ascii="Arial" w:hAnsi="Arial" w:cs="Arial"/>
          <w:sz w:val="32"/>
          <w:szCs w:val="32"/>
        </w:rPr>
      </w:pPr>
      <w:proofErr w:type="spellStart"/>
      <w:r w:rsidRPr="002F35C3">
        <w:rPr>
          <w:rFonts w:ascii="Arial" w:hAnsi="Arial" w:cs="Arial"/>
          <w:color w:val="222222"/>
          <w:shd w:val="clear" w:color="auto" w:fill="FFFFFF"/>
        </w:rPr>
        <w:t>Ererdi</w:t>
      </w:r>
      <w:proofErr w:type="spellEnd"/>
      <w:r w:rsidRPr="002F35C3">
        <w:rPr>
          <w:rFonts w:ascii="Arial" w:hAnsi="Arial" w:cs="Arial"/>
          <w:color w:val="222222"/>
          <w:shd w:val="clear" w:color="auto" w:fill="FFFFFF"/>
        </w:rPr>
        <w:t xml:space="preserve">, C., </w:t>
      </w:r>
      <w:proofErr w:type="spellStart"/>
      <w:r w:rsidRPr="002F35C3">
        <w:rPr>
          <w:rFonts w:ascii="Arial" w:hAnsi="Arial" w:cs="Arial"/>
          <w:color w:val="222222"/>
          <w:shd w:val="clear" w:color="auto" w:fill="FFFFFF"/>
        </w:rPr>
        <w:t>Nurgabdeshov</w:t>
      </w:r>
      <w:proofErr w:type="spellEnd"/>
      <w:r w:rsidRPr="002F35C3">
        <w:rPr>
          <w:rFonts w:ascii="Arial" w:hAnsi="Arial" w:cs="Arial"/>
          <w:color w:val="222222"/>
          <w:shd w:val="clear" w:color="auto" w:fill="FFFFFF"/>
        </w:rPr>
        <w:t xml:space="preserve">, A., </w:t>
      </w:r>
      <w:proofErr w:type="spellStart"/>
      <w:r w:rsidRPr="002F35C3">
        <w:rPr>
          <w:rFonts w:ascii="Arial" w:hAnsi="Arial" w:cs="Arial"/>
          <w:color w:val="222222"/>
          <w:shd w:val="clear" w:color="auto" w:fill="FFFFFF"/>
        </w:rPr>
        <w:t>Kozhakhmet</w:t>
      </w:r>
      <w:proofErr w:type="spellEnd"/>
      <w:r w:rsidRPr="002F35C3">
        <w:rPr>
          <w:rFonts w:ascii="Arial" w:hAnsi="Arial" w:cs="Arial"/>
          <w:color w:val="222222"/>
          <w:shd w:val="clear" w:color="auto" w:fill="FFFFFF"/>
        </w:rPr>
        <w:t xml:space="preserve">, S., </w:t>
      </w:r>
      <w:proofErr w:type="spellStart"/>
      <w:r w:rsidRPr="002F35C3">
        <w:rPr>
          <w:rFonts w:ascii="Arial" w:hAnsi="Arial" w:cs="Arial"/>
          <w:color w:val="222222"/>
          <w:shd w:val="clear" w:color="auto" w:fill="FFFFFF"/>
        </w:rPr>
        <w:t>Rofcanin</w:t>
      </w:r>
      <w:proofErr w:type="spellEnd"/>
      <w:r w:rsidRPr="002F35C3">
        <w:rPr>
          <w:rFonts w:ascii="Arial" w:hAnsi="Arial" w:cs="Arial"/>
          <w:color w:val="222222"/>
          <w:shd w:val="clear" w:color="auto" w:fill="FFFFFF"/>
        </w:rPr>
        <w:t xml:space="preserve">, Y. and </w:t>
      </w:r>
      <w:proofErr w:type="spellStart"/>
      <w:r w:rsidRPr="002F35C3">
        <w:rPr>
          <w:rFonts w:ascii="Arial" w:hAnsi="Arial" w:cs="Arial"/>
          <w:color w:val="222222"/>
          <w:shd w:val="clear" w:color="auto" w:fill="FFFFFF"/>
        </w:rPr>
        <w:t>Demirbag</w:t>
      </w:r>
      <w:proofErr w:type="spellEnd"/>
      <w:r w:rsidRPr="002F35C3">
        <w:rPr>
          <w:rFonts w:ascii="Arial" w:hAnsi="Arial" w:cs="Arial"/>
          <w:color w:val="222222"/>
          <w:shd w:val="clear" w:color="auto" w:fill="FFFFFF"/>
        </w:rPr>
        <w:t>, M., 2022. International HRM in the context of uncertainty and crisis: A systematic review of literature (2000–2018). </w:t>
      </w:r>
      <w:r w:rsidRPr="002F35C3">
        <w:rPr>
          <w:rFonts w:ascii="Arial" w:hAnsi="Arial" w:cs="Arial"/>
          <w:i/>
          <w:iCs/>
          <w:color w:val="222222"/>
          <w:shd w:val="clear" w:color="auto" w:fill="FFFFFF"/>
        </w:rPr>
        <w:t>The International Journal of Human Resource Management</w:t>
      </w:r>
      <w:r w:rsidRPr="002F35C3">
        <w:rPr>
          <w:rFonts w:ascii="Arial" w:hAnsi="Arial" w:cs="Arial"/>
          <w:color w:val="222222"/>
          <w:shd w:val="clear" w:color="auto" w:fill="FFFFFF"/>
        </w:rPr>
        <w:t>, </w:t>
      </w:r>
      <w:r w:rsidRPr="002F35C3">
        <w:rPr>
          <w:rFonts w:ascii="Arial" w:hAnsi="Arial" w:cs="Arial"/>
          <w:i/>
          <w:iCs/>
          <w:color w:val="222222"/>
          <w:shd w:val="clear" w:color="auto" w:fill="FFFFFF"/>
        </w:rPr>
        <w:t>33</w:t>
      </w:r>
      <w:r w:rsidRPr="002F35C3">
        <w:rPr>
          <w:rFonts w:ascii="Arial" w:hAnsi="Arial" w:cs="Arial"/>
          <w:color w:val="222222"/>
          <w:shd w:val="clear" w:color="auto" w:fill="FFFFFF"/>
        </w:rPr>
        <w:t>(12), pp.2503-2540.</w:t>
      </w:r>
    </w:p>
    <w:p w14:paraId="094E0108" w14:textId="77777777" w:rsidR="002F35C3" w:rsidRPr="002F35C3" w:rsidRDefault="002F35C3" w:rsidP="002F35C3">
      <w:pPr>
        <w:spacing w:before="120" w:after="120" w:line="360" w:lineRule="auto"/>
        <w:ind w:left="720" w:hanging="720"/>
        <w:jc w:val="both"/>
        <w:rPr>
          <w:rFonts w:ascii="Arial" w:hAnsi="Arial" w:cs="Arial"/>
          <w:sz w:val="32"/>
          <w:szCs w:val="32"/>
        </w:rPr>
      </w:pPr>
      <w:bookmarkStart w:id="1" w:name="_Hlk166543271"/>
      <w:r w:rsidRPr="002F35C3">
        <w:rPr>
          <w:rFonts w:ascii="Arial" w:hAnsi="Arial" w:cs="Arial"/>
          <w:color w:val="222222"/>
          <w:shd w:val="clear" w:color="auto" w:fill="FFFFFF"/>
        </w:rPr>
        <w:t xml:space="preserve">Gajjar, T. and </w:t>
      </w:r>
      <w:proofErr w:type="spellStart"/>
      <w:r w:rsidRPr="002F35C3">
        <w:rPr>
          <w:rFonts w:ascii="Arial" w:hAnsi="Arial" w:cs="Arial"/>
          <w:color w:val="222222"/>
          <w:shd w:val="clear" w:color="auto" w:fill="FFFFFF"/>
        </w:rPr>
        <w:t>Okumus</w:t>
      </w:r>
      <w:proofErr w:type="spellEnd"/>
      <w:r w:rsidRPr="002F35C3">
        <w:rPr>
          <w:rFonts w:ascii="Arial" w:hAnsi="Arial" w:cs="Arial"/>
          <w:color w:val="222222"/>
          <w:shd w:val="clear" w:color="auto" w:fill="FFFFFF"/>
        </w:rPr>
        <w:t>, F., 2018</w:t>
      </w:r>
      <w:bookmarkEnd w:id="1"/>
      <w:r w:rsidRPr="002F35C3">
        <w:rPr>
          <w:rFonts w:ascii="Arial" w:hAnsi="Arial" w:cs="Arial"/>
          <w:color w:val="222222"/>
          <w:shd w:val="clear" w:color="auto" w:fill="FFFFFF"/>
        </w:rPr>
        <w:t xml:space="preserve">. Diversity management: what are the leading hospitality and tourism companies </w:t>
      </w:r>
      <w:proofErr w:type="gramStart"/>
      <w:r w:rsidRPr="002F35C3">
        <w:rPr>
          <w:rFonts w:ascii="Arial" w:hAnsi="Arial" w:cs="Arial"/>
          <w:color w:val="222222"/>
          <w:shd w:val="clear" w:color="auto" w:fill="FFFFFF"/>
        </w:rPr>
        <w:t>reporting?.</w:t>
      </w:r>
      <w:proofErr w:type="gramEnd"/>
      <w:r w:rsidRPr="002F35C3">
        <w:rPr>
          <w:rFonts w:ascii="Arial" w:hAnsi="Arial" w:cs="Arial"/>
          <w:color w:val="222222"/>
          <w:shd w:val="clear" w:color="auto" w:fill="FFFFFF"/>
        </w:rPr>
        <w:t> </w:t>
      </w:r>
      <w:r w:rsidRPr="002F35C3">
        <w:rPr>
          <w:rFonts w:ascii="Arial" w:hAnsi="Arial" w:cs="Arial"/>
          <w:i/>
          <w:iCs/>
          <w:color w:val="222222"/>
          <w:shd w:val="clear" w:color="auto" w:fill="FFFFFF"/>
        </w:rPr>
        <w:t>Journal of Hospitality Marketing &amp; Management</w:t>
      </w:r>
      <w:r w:rsidRPr="002F35C3">
        <w:rPr>
          <w:rFonts w:ascii="Arial" w:hAnsi="Arial" w:cs="Arial"/>
          <w:color w:val="222222"/>
          <w:shd w:val="clear" w:color="auto" w:fill="FFFFFF"/>
        </w:rPr>
        <w:t>, </w:t>
      </w:r>
      <w:r w:rsidRPr="002F35C3">
        <w:rPr>
          <w:rFonts w:ascii="Arial" w:hAnsi="Arial" w:cs="Arial"/>
          <w:i/>
          <w:iCs/>
          <w:color w:val="222222"/>
          <w:shd w:val="clear" w:color="auto" w:fill="FFFFFF"/>
        </w:rPr>
        <w:t>27</w:t>
      </w:r>
      <w:r w:rsidRPr="002F35C3">
        <w:rPr>
          <w:rFonts w:ascii="Arial" w:hAnsi="Arial" w:cs="Arial"/>
          <w:color w:val="222222"/>
          <w:shd w:val="clear" w:color="auto" w:fill="FFFFFF"/>
        </w:rPr>
        <w:t>(8), pp.905-925.</w:t>
      </w:r>
    </w:p>
    <w:p w14:paraId="108A4290" w14:textId="77777777" w:rsidR="002F35C3" w:rsidRPr="002F35C3" w:rsidRDefault="002F35C3" w:rsidP="002F35C3">
      <w:pPr>
        <w:spacing w:before="120" w:after="120" w:line="360" w:lineRule="auto"/>
        <w:ind w:left="720" w:hanging="720"/>
        <w:jc w:val="both"/>
        <w:rPr>
          <w:rFonts w:ascii="Arial" w:hAnsi="Arial" w:cs="Arial"/>
          <w:color w:val="222222"/>
          <w:shd w:val="clear" w:color="auto" w:fill="FFFFFF"/>
        </w:rPr>
      </w:pPr>
      <w:r w:rsidRPr="002F35C3">
        <w:rPr>
          <w:rFonts w:ascii="Arial" w:hAnsi="Arial" w:cs="Arial"/>
          <w:color w:val="222222"/>
          <w:shd w:val="clear" w:color="auto" w:fill="FFFFFF"/>
        </w:rPr>
        <w:t>Gehrels, S., 2019. Hospitableness in Human Resources Management. In </w:t>
      </w:r>
      <w:r w:rsidRPr="002F35C3">
        <w:rPr>
          <w:rFonts w:ascii="Arial" w:hAnsi="Arial" w:cs="Arial"/>
          <w:i/>
          <w:iCs/>
          <w:color w:val="222222"/>
          <w:shd w:val="clear" w:color="auto" w:fill="FFFFFF"/>
        </w:rPr>
        <w:t>Employer Branding for the Hospitality and Tourism Industry: Finding and Keeping Talent</w:t>
      </w:r>
      <w:r w:rsidRPr="002F35C3">
        <w:rPr>
          <w:rFonts w:ascii="Arial" w:hAnsi="Arial" w:cs="Arial"/>
          <w:color w:val="222222"/>
          <w:shd w:val="clear" w:color="auto" w:fill="FFFFFF"/>
        </w:rPr>
        <w:t> (pp. 43-60). Emerald Publishing Limited.</w:t>
      </w:r>
    </w:p>
    <w:p w14:paraId="232839B3" w14:textId="77777777" w:rsidR="002F35C3" w:rsidRPr="002F35C3" w:rsidRDefault="002F35C3" w:rsidP="002F35C3">
      <w:pPr>
        <w:spacing w:before="120" w:after="120" w:line="360" w:lineRule="auto"/>
        <w:ind w:left="720" w:hanging="720"/>
        <w:jc w:val="both"/>
        <w:rPr>
          <w:rFonts w:ascii="Arial" w:hAnsi="Arial" w:cs="Arial"/>
          <w:color w:val="222222"/>
          <w:shd w:val="clear" w:color="auto" w:fill="FFFFFF"/>
        </w:rPr>
      </w:pPr>
      <w:r w:rsidRPr="002F35C3">
        <w:rPr>
          <w:rFonts w:ascii="Arial" w:hAnsi="Arial" w:cs="Arial"/>
          <w:color w:val="222222"/>
          <w:shd w:val="clear" w:color="auto" w:fill="FFFFFF"/>
        </w:rPr>
        <w:t>Gilbert, J.A. and Hood, J.N., 2020. The case for an inclusive workplace: Beyond rhetoric and rote policy. </w:t>
      </w:r>
      <w:r w:rsidRPr="002F35C3">
        <w:rPr>
          <w:rFonts w:ascii="Arial" w:hAnsi="Arial" w:cs="Arial"/>
          <w:i/>
          <w:iCs/>
          <w:color w:val="222222"/>
          <w:shd w:val="clear" w:color="auto" w:fill="FFFFFF"/>
        </w:rPr>
        <w:t>SAM Advanced Management Journal</w:t>
      </w:r>
      <w:r w:rsidRPr="002F35C3">
        <w:rPr>
          <w:rFonts w:ascii="Arial" w:hAnsi="Arial" w:cs="Arial"/>
          <w:color w:val="222222"/>
          <w:shd w:val="clear" w:color="auto" w:fill="FFFFFF"/>
        </w:rPr>
        <w:t>, </w:t>
      </w:r>
      <w:r w:rsidRPr="002F35C3">
        <w:rPr>
          <w:rFonts w:ascii="Arial" w:hAnsi="Arial" w:cs="Arial"/>
          <w:i/>
          <w:iCs/>
          <w:color w:val="222222"/>
          <w:shd w:val="clear" w:color="auto" w:fill="FFFFFF"/>
        </w:rPr>
        <w:t>85</w:t>
      </w:r>
      <w:r w:rsidRPr="002F35C3">
        <w:rPr>
          <w:rFonts w:ascii="Arial" w:hAnsi="Arial" w:cs="Arial"/>
          <w:color w:val="222222"/>
          <w:shd w:val="clear" w:color="auto" w:fill="FFFFFF"/>
        </w:rPr>
        <w:t>(1), pp.13-27.</w:t>
      </w:r>
    </w:p>
    <w:p w14:paraId="593A4205" w14:textId="77777777" w:rsidR="002F35C3" w:rsidRPr="002F35C3" w:rsidRDefault="002F35C3" w:rsidP="002F35C3">
      <w:pPr>
        <w:spacing w:before="120" w:after="120" w:line="360" w:lineRule="auto"/>
        <w:ind w:left="720" w:hanging="720"/>
        <w:jc w:val="both"/>
        <w:rPr>
          <w:rFonts w:ascii="Arial" w:hAnsi="Arial" w:cs="Arial"/>
          <w:color w:val="222222"/>
          <w:shd w:val="clear" w:color="auto" w:fill="FFFFFF"/>
        </w:rPr>
      </w:pPr>
      <w:r w:rsidRPr="002F35C3">
        <w:rPr>
          <w:rFonts w:ascii="Arial" w:hAnsi="Arial" w:cs="Arial"/>
          <w:color w:val="222222"/>
          <w:shd w:val="clear" w:color="auto" w:fill="FFFFFF"/>
        </w:rPr>
        <w:t>Greer, C.R., 2021. </w:t>
      </w:r>
      <w:r w:rsidRPr="002F35C3">
        <w:rPr>
          <w:rFonts w:ascii="Arial" w:hAnsi="Arial" w:cs="Arial"/>
          <w:i/>
          <w:iCs/>
          <w:color w:val="222222"/>
          <w:shd w:val="clear" w:color="auto" w:fill="FFFFFF"/>
        </w:rPr>
        <w:t>Strategic human resource management</w:t>
      </w:r>
      <w:r w:rsidRPr="002F35C3">
        <w:rPr>
          <w:rFonts w:ascii="Arial" w:hAnsi="Arial" w:cs="Arial"/>
          <w:color w:val="222222"/>
          <w:shd w:val="clear" w:color="auto" w:fill="FFFFFF"/>
        </w:rPr>
        <w:t>. Pearson Custom Publishing.</w:t>
      </w:r>
    </w:p>
    <w:p w14:paraId="2B03AA49" w14:textId="77777777" w:rsidR="002F35C3" w:rsidRPr="002F35C3" w:rsidRDefault="002F35C3" w:rsidP="002F35C3">
      <w:pPr>
        <w:spacing w:before="120" w:after="120" w:line="360" w:lineRule="auto"/>
        <w:ind w:left="720" w:hanging="720"/>
        <w:jc w:val="both"/>
        <w:rPr>
          <w:rFonts w:ascii="Arial" w:hAnsi="Arial" w:cs="Arial"/>
          <w:color w:val="222222"/>
          <w:shd w:val="clear" w:color="auto" w:fill="FFFFFF"/>
        </w:rPr>
      </w:pPr>
      <w:bookmarkStart w:id="2" w:name="_Hlk166542782"/>
      <w:r w:rsidRPr="002F35C3">
        <w:rPr>
          <w:rFonts w:ascii="Arial" w:hAnsi="Arial" w:cs="Arial"/>
          <w:color w:val="222222"/>
          <w:shd w:val="clear" w:color="auto" w:fill="FFFFFF"/>
        </w:rPr>
        <w:t xml:space="preserve">Hassanein, F. and </w:t>
      </w:r>
      <w:proofErr w:type="spellStart"/>
      <w:r w:rsidRPr="002F35C3">
        <w:rPr>
          <w:rFonts w:ascii="Arial" w:hAnsi="Arial" w:cs="Arial"/>
          <w:color w:val="222222"/>
          <w:shd w:val="clear" w:color="auto" w:fill="FFFFFF"/>
        </w:rPr>
        <w:t>Özgit</w:t>
      </w:r>
      <w:proofErr w:type="spellEnd"/>
      <w:r w:rsidRPr="002F35C3">
        <w:rPr>
          <w:rFonts w:ascii="Arial" w:hAnsi="Arial" w:cs="Arial"/>
          <w:color w:val="222222"/>
          <w:shd w:val="clear" w:color="auto" w:fill="FFFFFF"/>
        </w:rPr>
        <w:t>, H., 2022</w:t>
      </w:r>
      <w:bookmarkEnd w:id="2"/>
      <w:r w:rsidRPr="002F35C3">
        <w:rPr>
          <w:rFonts w:ascii="Arial" w:hAnsi="Arial" w:cs="Arial"/>
          <w:color w:val="222222"/>
          <w:shd w:val="clear" w:color="auto" w:fill="FFFFFF"/>
        </w:rPr>
        <w:t>. Sustaining human resources through talent management strategies and employee engagement in the Middle East hotel industry. </w:t>
      </w:r>
      <w:r w:rsidRPr="002F35C3">
        <w:rPr>
          <w:rFonts w:ascii="Arial" w:hAnsi="Arial" w:cs="Arial"/>
          <w:i/>
          <w:iCs/>
          <w:color w:val="222222"/>
          <w:shd w:val="clear" w:color="auto" w:fill="FFFFFF"/>
        </w:rPr>
        <w:t>Sustainability</w:t>
      </w:r>
      <w:r w:rsidRPr="002F35C3">
        <w:rPr>
          <w:rFonts w:ascii="Arial" w:hAnsi="Arial" w:cs="Arial"/>
          <w:color w:val="222222"/>
          <w:shd w:val="clear" w:color="auto" w:fill="FFFFFF"/>
        </w:rPr>
        <w:t>, </w:t>
      </w:r>
      <w:r w:rsidRPr="002F35C3">
        <w:rPr>
          <w:rFonts w:ascii="Arial" w:hAnsi="Arial" w:cs="Arial"/>
          <w:i/>
          <w:iCs/>
          <w:color w:val="222222"/>
          <w:shd w:val="clear" w:color="auto" w:fill="FFFFFF"/>
        </w:rPr>
        <w:t>14</w:t>
      </w:r>
      <w:r w:rsidRPr="002F35C3">
        <w:rPr>
          <w:rFonts w:ascii="Arial" w:hAnsi="Arial" w:cs="Arial"/>
          <w:color w:val="222222"/>
          <w:shd w:val="clear" w:color="auto" w:fill="FFFFFF"/>
        </w:rPr>
        <w:t>(22), p.15365.</w:t>
      </w:r>
    </w:p>
    <w:p w14:paraId="46A87EA6" w14:textId="77777777" w:rsidR="002F35C3" w:rsidRPr="002F35C3" w:rsidRDefault="002F35C3" w:rsidP="002F35C3">
      <w:pPr>
        <w:spacing w:before="120" w:after="120" w:line="360" w:lineRule="auto"/>
        <w:ind w:left="720" w:hanging="720"/>
        <w:jc w:val="both"/>
        <w:rPr>
          <w:rFonts w:ascii="Arial" w:hAnsi="Arial" w:cs="Arial"/>
          <w:color w:val="222222"/>
          <w:shd w:val="clear" w:color="auto" w:fill="FFFFFF"/>
        </w:rPr>
      </w:pPr>
      <w:bookmarkStart w:id="3" w:name="_Hlk166543039"/>
      <w:proofErr w:type="spellStart"/>
      <w:r w:rsidRPr="002F35C3">
        <w:rPr>
          <w:rFonts w:ascii="Arial" w:hAnsi="Arial" w:cs="Arial"/>
          <w:color w:val="222222"/>
          <w:shd w:val="clear" w:color="auto" w:fill="FFFFFF"/>
        </w:rPr>
        <w:t>Kambur</w:t>
      </w:r>
      <w:proofErr w:type="spellEnd"/>
      <w:r w:rsidRPr="002F35C3">
        <w:rPr>
          <w:rFonts w:ascii="Arial" w:hAnsi="Arial" w:cs="Arial"/>
          <w:color w:val="222222"/>
          <w:shd w:val="clear" w:color="auto" w:fill="FFFFFF"/>
        </w:rPr>
        <w:t>, E. and Yildirim, T., 2023</w:t>
      </w:r>
      <w:bookmarkEnd w:id="3"/>
      <w:r w:rsidRPr="002F35C3">
        <w:rPr>
          <w:rFonts w:ascii="Arial" w:hAnsi="Arial" w:cs="Arial"/>
          <w:color w:val="222222"/>
          <w:shd w:val="clear" w:color="auto" w:fill="FFFFFF"/>
        </w:rPr>
        <w:t>. From traditional to smart human resources management. </w:t>
      </w:r>
      <w:r w:rsidRPr="002F35C3">
        <w:rPr>
          <w:rFonts w:ascii="Arial" w:hAnsi="Arial" w:cs="Arial"/>
          <w:i/>
          <w:iCs/>
          <w:color w:val="222222"/>
          <w:shd w:val="clear" w:color="auto" w:fill="FFFFFF"/>
        </w:rPr>
        <w:t>International Journal of Manpower</w:t>
      </w:r>
      <w:r w:rsidRPr="002F35C3">
        <w:rPr>
          <w:rFonts w:ascii="Arial" w:hAnsi="Arial" w:cs="Arial"/>
          <w:color w:val="222222"/>
          <w:shd w:val="clear" w:color="auto" w:fill="FFFFFF"/>
        </w:rPr>
        <w:t>, </w:t>
      </w:r>
      <w:r w:rsidRPr="002F35C3">
        <w:rPr>
          <w:rFonts w:ascii="Arial" w:hAnsi="Arial" w:cs="Arial"/>
          <w:i/>
          <w:iCs/>
          <w:color w:val="222222"/>
          <w:shd w:val="clear" w:color="auto" w:fill="FFFFFF"/>
        </w:rPr>
        <w:t>44</w:t>
      </w:r>
      <w:r w:rsidRPr="002F35C3">
        <w:rPr>
          <w:rFonts w:ascii="Arial" w:hAnsi="Arial" w:cs="Arial"/>
          <w:color w:val="222222"/>
          <w:shd w:val="clear" w:color="auto" w:fill="FFFFFF"/>
        </w:rPr>
        <w:t>(3), pp.422-452.</w:t>
      </w:r>
    </w:p>
    <w:p w14:paraId="490F6EC3" w14:textId="77777777" w:rsidR="002F35C3" w:rsidRPr="002F35C3" w:rsidRDefault="002F35C3" w:rsidP="002F35C3">
      <w:pPr>
        <w:spacing w:before="120" w:after="120" w:line="360" w:lineRule="auto"/>
        <w:ind w:left="720" w:hanging="720"/>
        <w:jc w:val="both"/>
        <w:rPr>
          <w:rFonts w:ascii="Arial" w:hAnsi="Arial" w:cs="Arial"/>
          <w:color w:val="222222"/>
          <w:shd w:val="clear" w:color="auto" w:fill="FFFFFF"/>
        </w:rPr>
      </w:pPr>
      <w:bookmarkStart w:id="4" w:name="_Hlk166543432"/>
      <w:r w:rsidRPr="002F35C3">
        <w:rPr>
          <w:rFonts w:ascii="Arial" w:hAnsi="Arial" w:cs="Arial"/>
          <w:color w:val="222222"/>
          <w:shd w:val="clear" w:color="auto" w:fill="FFFFFF"/>
        </w:rPr>
        <w:lastRenderedPageBreak/>
        <w:t>Leung</w:t>
      </w:r>
      <w:bookmarkEnd w:id="4"/>
      <w:r w:rsidRPr="002F35C3">
        <w:rPr>
          <w:rFonts w:ascii="Arial" w:hAnsi="Arial" w:cs="Arial"/>
          <w:color w:val="222222"/>
          <w:shd w:val="clear" w:color="auto" w:fill="FFFFFF"/>
        </w:rPr>
        <w:t>, M., Velilla Lanza, V., Hu, Y.F., McEntire, K. and Calderaro, J., 2022. Analysis on Marriott International's Diversity, Equity and Inclusion Performance Based on the Beach and Segars (2022) Contemporary Model of DEI. </w:t>
      </w:r>
      <w:r w:rsidRPr="002F35C3">
        <w:rPr>
          <w:rFonts w:ascii="Arial" w:hAnsi="Arial" w:cs="Arial"/>
          <w:i/>
          <w:iCs/>
          <w:color w:val="222222"/>
          <w:shd w:val="clear" w:color="auto" w:fill="FFFFFF"/>
        </w:rPr>
        <w:t xml:space="preserve">Kimberly and Calderaro, Jason, Analysis on Marriott International's Diversity, </w:t>
      </w:r>
      <w:proofErr w:type="gramStart"/>
      <w:r w:rsidRPr="002F35C3">
        <w:rPr>
          <w:rFonts w:ascii="Arial" w:hAnsi="Arial" w:cs="Arial"/>
          <w:i/>
          <w:iCs/>
          <w:color w:val="222222"/>
          <w:shd w:val="clear" w:color="auto" w:fill="FFFFFF"/>
        </w:rPr>
        <w:t>Equity</w:t>
      </w:r>
      <w:proofErr w:type="gramEnd"/>
      <w:r w:rsidRPr="002F35C3">
        <w:rPr>
          <w:rFonts w:ascii="Arial" w:hAnsi="Arial" w:cs="Arial"/>
          <w:i/>
          <w:iCs/>
          <w:color w:val="222222"/>
          <w:shd w:val="clear" w:color="auto" w:fill="FFFFFF"/>
        </w:rPr>
        <w:t xml:space="preserve"> and Inclusion Performance Based on the Beach and Segars</w:t>
      </w:r>
      <w:r w:rsidRPr="002F35C3">
        <w:rPr>
          <w:rFonts w:ascii="Arial" w:hAnsi="Arial" w:cs="Arial"/>
          <w:color w:val="222222"/>
          <w:shd w:val="clear" w:color="auto" w:fill="FFFFFF"/>
        </w:rPr>
        <w:t>.</w:t>
      </w:r>
    </w:p>
    <w:p w14:paraId="7018FB1D" w14:textId="77777777" w:rsidR="002F35C3" w:rsidRPr="002F35C3" w:rsidRDefault="002F35C3" w:rsidP="002F35C3">
      <w:pPr>
        <w:spacing w:before="120" w:after="120" w:line="360" w:lineRule="auto"/>
        <w:ind w:left="720" w:hanging="720"/>
        <w:jc w:val="both"/>
        <w:rPr>
          <w:rFonts w:ascii="Arial" w:hAnsi="Arial" w:cs="Arial"/>
          <w:color w:val="222222"/>
          <w:shd w:val="clear" w:color="auto" w:fill="FFFFFF"/>
        </w:rPr>
      </w:pPr>
      <w:r w:rsidRPr="002F35C3">
        <w:rPr>
          <w:rFonts w:ascii="Arial" w:hAnsi="Arial" w:cs="Arial"/>
          <w:color w:val="222222"/>
          <w:shd w:val="clear" w:color="auto" w:fill="FFFFFF"/>
        </w:rPr>
        <w:t>Li, Y., Wang, M., Van Jaarsveld, D.D., Lee, G.K. and Ma, D.G., 2018. From employee-experienced high-involvement work system to innovation: An emergence-based human resource management framework. </w:t>
      </w:r>
      <w:r w:rsidRPr="002F35C3">
        <w:rPr>
          <w:rFonts w:ascii="Arial" w:hAnsi="Arial" w:cs="Arial"/>
          <w:i/>
          <w:iCs/>
          <w:color w:val="222222"/>
          <w:shd w:val="clear" w:color="auto" w:fill="FFFFFF"/>
        </w:rPr>
        <w:t>Academy of Management Journal</w:t>
      </w:r>
      <w:r w:rsidRPr="002F35C3">
        <w:rPr>
          <w:rFonts w:ascii="Arial" w:hAnsi="Arial" w:cs="Arial"/>
          <w:color w:val="222222"/>
          <w:shd w:val="clear" w:color="auto" w:fill="FFFFFF"/>
        </w:rPr>
        <w:t>, </w:t>
      </w:r>
      <w:r w:rsidRPr="002F35C3">
        <w:rPr>
          <w:rFonts w:ascii="Arial" w:hAnsi="Arial" w:cs="Arial"/>
          <w:i/>
          <w:iCs/>
          <w:color w:val="222222"/>
          <w:shd w:val="clear" w:color="auto" w:fill="FFFFFF"/>
        </w:rPr>
        <w:t>61</w:t>
      </w:r>
      <w:r w:rsidRPr="002F35C3">
        <w:rPr>
          <w:rFonts w:ascii="Arial" w:hAnsi="Arial" w:cs="Arial"/>
          <w:color w:val="222222"/>
          <w:shd w:val="clear" w:color="auto" w:fill="FFFFFF"/>
        </w:rPr>
        <w:t>(5), pp.2000-2019.</w:t>
      </w:r>
    </w:p>
    <w:p w14:paraId="0966844B" w14:textId="77777777" w:rsidR="002F35C3" w:rsidRPr="002F35C3" w:rsidRDefault="002F35C3" w:rsidP="002F35C3">
      <w:pPr>
        <w:spacing w:before="120" w:after="120" w:line="360" w:lineRule="auto"/>
        <w:ind w:left="720" w:hanging="720"/>
        <w:jc w:val="both"/>
        <w:rPr>
          <w:rFonts w:ascii="Arial" w:hAnsi="Arial" w:cs="Arial"/>
          <w:color w:val="222222"/>
          <w:shd w:val="clear" w:color="auto" w:fill="FFFFFF"/>
        </w:rPr>
      </w:pPr>
      <w:r w:rsidRPr="002F35C3">
        <w:rPr>
          <w:rFonts w:ascii="Arial" w:hAnsi="Arial" w:cs="Arial"/>
          <w:color w:val="222222"/>
          <w:shd w:val="clear" w:color="auto" w:fill="FFFFFF"/>
        </w:rPr>
        <w:t>Manhas, P. and Jain, D., 2022. Training process in hotel Ramada, Jammu. </w:t>
      </w:r>
      <w:r w:rsidRPr="002F35C3">
        <w:rPr>
          <w:rFonts w:ascii="Arial" w:hAnsi="Arial" w:cs="Arial"/>
          <w:i/>
          <w:iCs/>
          <w:color w:val="222222"/>
          <w:shd w:val="clear" w:color="auto" w:fill="FFFFFF"/>
        </w:rPr>
        <w:t>International Journal of Engineering, Science and Mathematics</w:t>
      </w:r>
      <w:r w:rsidRPr="002F35C3">
        <w:rPr>
          <w:rFonts w:ascii="Arial" w:hAnsi="Arial" w:cs="Arial"/>
          <w:color w:val="222222"/>
          <w:shd w:val="clear" w:color="auto" w:fill="FFFFFF"/>
        </w:rPr>
        <w:t>, </w:t>
      </w:r>
      <w:r w:rsidRPr="002F35C3">
        <w:rPr>
          <w:rFonts w:ascii="Arial" w:hAnsi="Arial" w:cs="Arial"/>
          <w:i/>
          <w:iCs/>
          <w:color w:val="222222"/>
          <w:shd w:val="clear" w:color="auto" w:fill="FFFFFF"/>
        </w:rPr>
        <w:t>11</w:t>
      </w:r>
      <w:r w:rsidRPr="002F35C3">
        <w:rPr>
          <w:rFonts w:ascii="Arial" w:hAnsi="Arial" w:cs="Arial"/>
          <w:color w:val="222222"/>
          <w:shd w:val="clear" w:color="auto" w:fill="FFFFFF"/>
        </w:rPr>
        <w:t>(6), pp.16-27.</w:t>
      </w:r>
    </w:p>
    <w:p w14:paraId="3CEDF55B" w14:textId="77777777" w:rsidR="002F35C3" w:rsidRPr="002F35C3" w:rsidRDefault="002F35C3" w:rsidP="002F35C3">
      <w:pPr>
        <w:spacing w:before="120" w:after="120" w:line="360" w:lineRule="auto"/>
        <w:ind w:left="720" w:hanging="720"/>
        <w:jc w:val="both"/>
        <w:rPr>
          <w:rFonts w:ascii="Arial" w:hAnsi="Arial" w:cs="Arial"/>
          <w:color w:val="222222"/>
          <w:shd w:val="clear" w:color="auto" w:fill="FFFFFF"/>
        </w:rPr>
      </w:pPr>
      <w:bookmarkStart w:id="5" w:name="_Hlk166543528"/>
      <w:r w:rsidRPr="002F35C3">
        <w:rPr>
          <w:rFonts w:ascii="Arial" w:hAnsi="Arial" w:cs="Arial"/>
          <w:color w:val="222222"/>
          <w:shd w:val="clear" w:color="auto" w:fill="FFFFFF"/>
        </w:rPr>
        <w:t>Manoharan</w:t>
      </w:r>
      <w:bookmarkEnd w:id="5"/>
      <w:r w:rsidRPr="002F35C3">
        <w:rPr>
          <w:rFonts w:ascii="Arial" w:hAnsi="Arial" w:cs="Arial"/>
          <w:color w:val="222222"/>
          <w:shd w:val="clear" w:color="auto" w:fill="FFFFFF"/>
        </w:rPr>
        <w:t>, A., Madera, J.M. and Singal, M., 2021. Walking the talk in diversity management: Exploring links between strategic statements, management practices, and external recognition. </w:t>
      </w:r>
      <w:r w:rsidRPr="002F35C3">
        <w:rPr>
          <w:rFonts w:ascii="Arial" w:hAnsi="Arial" w:cs="Arial"/>
          <w:i/>
          <w:iCs/>
          <w:color w:val="222222"/>
          <w:shd w:val="clear" w:color="auto" w:fill="FFFFFF"/>
        </w:rPr>
        <w:t>International Journal of Hospitality Management</w:t>
      </w:r>
      <w:r w:rsidRPr="002F35C3">
        <w:rPr>
          <w:rFonts w:ascii="Arial" w:hAnsi="Arial" w:cs="Arial"/>
          <w:color w:val="222222"/>
          <w:shd w:val="clear" w:color="auto" w:fill="FFFFFF"/>
        </w:rPr>
        <w:t>, </w:t>
      </w:r>
      <w:r w:rsidRPr="002F35C3">
        <w:rPr>
          <w:rFonts w:ascii="Arial" w:hAnsi="Arial" w:cs="Arial"/>
          <w:i/>
          <w:iCs/>
          <w:color w:val="222222"/>
          <w:shd w:val="clear" w:color="auto" w:fill="FFFFFF"/>
        </w:rPr>
        <w:t>94</w:t>
      </w:r>
      <w:r w:rsidRPr="002F35C3">
        <w:rPr>
          <w:rFonts w:ascii="Arial" w:hAnsi="Arial" w:cs="Arial"/>
          <w:color w:val="222222"/>
          <w:shd w:val="clear" w:color="auto" w:fill="FFFFFF"/>
        </w:rPr>
        <w:t>, p.102864.</w:t>
      </w:r>
    </w:p>
    <w:p w14:paraId="0FEA822C" w14:textId="77777777" w:rsidR="002F35C3" w:rsidRPr="002F35C3" w:rsidRDefault="002F35C3" w:rsidP="002F35C3">
      <w:pPr>
        <w:spacing w:before="120" w:after="120" w:line="360" w:lineRule="auto"/>
        <w:ind w:left="720" w:hanging="720"/>
        <w:jc w:val="both"/>
        <w:rPr>
          <w:rFonts w:ascii="Arial" w:hAnsi="Arial" w:cs="Arial"/>
          <w:color w:val="222222"/>
          <w:shd w:val="clear" w:color="auto" w:fill="FFFFFF"/>
        </w:rPr>
      </w:pPr>
      <w:r w:rsidRPr="002F35C3">
        <w:rPr>
          <w:rFonts w:ascii="Arial" w:hAnsi="Arial" w:cs="Arial"/>
          <w:color w:val="222222"/>
          <w:shd w:val="clear" w:color="auto" w:fill="FFFFFF"/>
        </w:rPr>
        <w:t>Pandita, D. and Ray, S., 2018. Talent management and employee engagement–a meta-analysis of their impact on talent retention. </w:t>
      </w:r>
      <w:r w:rsidRPr="002F35C3">
        <w:rPr>
          <w:rFonts w:ascii="Arial" w:hAnsi="Arial" w:cs="Arial"/>
          <w:i/>
          <w:iCs/>
          <w:color w:val="222222"/>
          <w:shd w:val="clear" w:color="auto" w:fill="FFFFFF"/>
        </w:rPr>
        <w:t>Industrial and Commercial Training</w:t>
      </w:r>
      <w:r w:rsidRPr="002F35C3">
        <w:rPr>
          <w:rFonts w:ascii="Arial" w:hAnsi="Arial" w:cs="Arial"/>
          <w:color w:val="222222"/>
          <w:shd w:val="clear" w:color="auto" w:fill="FFFFFF"/>
        </w:rPr>
        <w:t>, </w:t>
      </w:r>
      <w:r w:rsidRPr="002F35C3">
        <w:rPr>
          <w:rFonts w:ascii="Arial" w:hAnsi="Arial" w:cs="Arial"/>
          <w:i/>
          <w:iCs/>
          <w:color w:val="222222"/>
          <w:shd w:val="clear" w:color="auto" w:fill="FFFFFF"/>
        </w:rPr>
        <w:t>50</w:t>
      </w:r>
      <w:r w:rsidRPr="002F35C3">
        <w:rPr>
          <w:rFonts w:ascii="Arial" w:hAnsi="Arial" w:cs="Arial"/>
          <w:color w:val="222222"/>
          <w:shd w:val="clear" w:color="auto" w:fill="FFFFFF"/>
        </w:rPr>
        <w:t>(4), pp.185-199.</w:t>
      </w:r>
    </w:p>
    <w:p w14:paraId="32908ADB" w14:textId="77777777" w:rsidR="002F35C3" w:rsidRPr="002F35C3" w:rsidRDefault="002F35C3" w:rsidP="002F35C3">
      <w:pPr>
        <w:spacing w:before="120" w:after="120" w:line="360" w:lineRule="auto"/>
        <w:ind w:left="720" w:hanging="720"/>
        <w:jc w:val="both"/>
        <w:rPr>
          <w:rFonts w:ascii="Arial" w:hAnsi="Arial" w:cs="Arial"/>
          <w:color w:val="222222"/>
          <w:shd w:val="clear" w:color="auto" w:fill="FFFFFF"/>
        </w:rPr>
      </w:pPr>
      <w:bookmarkStart w:id="6" w:name="_Hlk166542996"/>
      <w:r w:rsidRPr="002F35C3">
        <w:rPr>
          <w:rFonts w:ascii="Arial" w:hAnsi="Arial" w:cs="Arial"/>
          <w:color w:val="222222"/>
          <w:shd w:val="clear" w:color="auto" w:fill="FFFFFF"/>
        </w:rPr>
        <w:t>Piwowar-</w:t>
      </w:r>
      <w:proofErr w:type="spellStart"/>
      <w:r w:rsidRPr="002F35C3">
        <w:rPr>
          <w:rFonts w:ascii="Arial" w:hAnsi="Arial" w:cs="Arial"/>
          <w:color w:val="222222"/>
          <w:shd w:val="clear" w:color="auto" w:fill="FFFFFF"/>
        </w:rPr>
        <w:t>Sulej</w:t>
      </w:r>
      <w:bookmarkEnd w:id="6"/>
      <w:proofErr w:type="spellEnd"/>
      <w:r w:rsidRPr="002F35C3">
        <w:rPr>
          <w:rFonts w:ascii="Arial" w:hAnsi="Arial" w:cs="Arial"/>
          <w:color w:val="222222"/>
          <w:shd w:val="clear" w:color="auto" w:fill="FFFFFF"/>
        </w:rPr>
        <w:t>, K., 2021. Human resources development as an element of sustainable HRM–with the focus on production engineers. </w:t>
      </w:r>
      <w:r w:rsidRPr="002F35C3">
        <w:rPr>
          <w:rFonts w:ascii="Arial" w:hAnsi="Arial" w:cs="Arial"/>
          <w:i/>
          <w:iCs/>
          <w:color w:val="222222"/>
          <w:shd w:val="clear" w:color="auto" w:fill="FFFFFF"/>
        </w:rPr>
        <w:t>Journal of cleaner production</w:t>
      </w:r>
      <w:r w:rsidRPr="002F35C3">
        <w:rPr>
          <w:rFonts w:ascii="Arial" w:hAnsi="Arial" w:cs="Arial"/>
          <w:color w:val="222222"/>
          <w:shd w:val="clear" w:color="auto" w:fill="FFFFFF"/>
        </w:rPr>
        <w:t>, </w:t>
      </w:r>
      <w:r w:rsidRPr="002F35C3">
        <w:rPr>
          <w:rFonts w:ascii="Arial" w:hAnsi="Arial" w:cs="Arial"/>
          <w:i/>
          <w:iCs/>
          <w:color w:val="222222"/>
          <w:shd w:val="clear" w:color="auto" w:fill="FFFFFF"/>
        </w:rPr>
        <w:t>278</w:t>
      </w:r>
      <w:r w:rsidRPr="002F35C3">
        <w:rPr>
          <w:rFonts w:ascii="Arial" w:hAnsi="Arial" w:cs="Arial"/>
          <w:color w:val="222222"/>
          <w:shd w:val="clear" w:color="auto" w:fill="FFFFFF"/>
        </w:rPr>
        <w:t>, p.124008.</w:t>
      </w:r>
    </w:p>
    <w:p w14:paraId="6E2BC83A" w14:textId="77777777" w:rsidR="002F35C3" w:rsidRPr="002F35C3" w:rsidRDefault="002F35C3" w:rsidP="002F35C3">
      <w:pPr>
        <w:spacing w:before="120" w:after="120" w:line="360" w:lineRule="auto"/>
        <w:ind w:left="720" w:hanging="720"/>
        <w:jc w:val="both"/>
        <w:rPr>
          <w:rFonts w:ascii="Arial" w:hAnsi="Arial" w:cs="Arial"/>
          <w:sz w:val="32"/>
          <w:szCs w:val="32"/>
        </w:rPr>
      </w:pPr>
      <w:r w:rsidRPr="002F35C3">
        <w:rPr>
          <w:rFonts w:ascii="Arial" w:hAnsi="Arial" w:cs="Arial"/>
          <w:color w:val="222222"/>
          <w:shd w:val="clear" w:color="auto" w:fill="FFFFFF"/>
        </w:rPr>
        <w:t xml:space="preserve">Prathima, C., Srikanth, B., Chakradhar, G. and </w:t>
      </w:r>
      <w:proofErr w:type="spellStart"/>
      <w:r w:rsidRPr="002F35C3">
        <w:rPr>
          <w:rFonts w:ascii="Arial" w:hAnsi="Arial" w:cs="Arial"/>
          <w:color w:val="222222"/>
          <w:shd w:val="clear" w:color="auto" w:fill="FFFFFF"/>
        </w:rPr>
        <w:t>Teegala</w:t>
      </w:r>
      <w:proofErr w:type="spellEnd"/>
      <w:r w:rsidRPr="002F35C3">
        <w:rPr>
          <w:rFonts w:ascii="Arial" w:hAnsi="Arial" w:cs="Arial"/>
          <w:color w:val="222222"/>
          <w:shd w:val="clear" w:color="auto" w:fill="FFFFFF"/>
        </w:rPr>
        <w:t>, P., 2019. A STUDY ON FORMULATION AND EXECUTION OF HR POLICIES TO ENSURE CONSISTENCY, FAIRNESS, AND COMPLIANCE ACROSS ALL ASPECTS OF EMPLOYEE MANAGEMENT. </w:t>
      </w:r>
      <w:r w:rsidRPr="002F35C3">
        <w:rPr>
          <w:rFonts w:ascii="Arial" w:hAnsi="Arial" w:cs="Arial"/>
          <w:i/>
          <w:iCs/>
          <w:color w:val="222222"/>
          <w:shd w:val="clear" w:color="auto" w:fill="FFFFFF"/>
        </w:rPr>
        <w:t>RES MILITARIS</w:t>
      </w:r>
      <w:r w:rsidRPr="002F35C3">
        <w:rPr>
          <w:rFonts w:ascii="Arial" w:hAnsi="Arial" w:cs="Arial"/>
          <w:color w:val="222222"/>
          <w:shd w:val="clear" w:color="auto" w:fill="FFFFFF"/>
        </w:rPr>
        <w:t>, </w:t>
      </w:r>
      <w:r w:rsidRPr="002F35C3">
        <w:rPr>
          <w:rFonts w:ascii="Arial" w:hAnsi="Arial" w:cs="Arial"/>
          <w:i/>
          <w:iCs/>
          <w:color w:val="222222"/>
          <w:shd w:val="clear" w:color="auto" w:fill="FFFFFF"/>
        </w:rPr>
        <w:t>9</w:t>
      </w:r>
      <w:r w:rsidRPr="002F35C3">
        <w:rPr>
          <w:rFonts w:ascii="Arial" w:hAnsi="Arial" w:cs="Arial"/>
          <w:color w:val="222222"/>
          <w:shd w:val="clear" w:color="auto" w:fill="FFFFFF"/>
        </w:rPr>
        <w:t>(1), pp.12-22.</w:t>
      </w:r>
    </w:p>
    <w:p w14:paraId="20AD3CA7" w14:textId="77777777" w:rsidR="002F35C3" w:rsidRPr="002F35C3" w:rsidRDefault="002F35C3" w:rsidP="002F35C3">
      <w:pPr>
        <w:spacing w:before="120" w:after="120" w:line="360" w:lineRule="auto"/>
        <w:ind w:left="720" w:hanging="720"/>
        <w:jc w:val="both"/>
        <w:rPr>
          <w:rFonts w:ascii="Arial" w:hAnsi="Arial" w:cs="Arial"/>
          <w:sz w:val="32"/>
          <w:szCs w:val="32"/>
        </w:rPr>
      </w:pPr>
      <w:r w:rsidRPr="002F35C3">
        <w:rPr>
          <w:rFonts w:ascii="Arial" w:hAnsi="Arial" w:cs="Arial"/>
          <w:color w:val="222222"/>
          <w:shd w:val="clear" w:color="auto" w:fill="FFFFFF"/>
        </w:rPr>
        <w:t>Putra, R.A.B.N., Ernawati, N.M., Murni, N.G.N.S. and Virginiya, P.T., 2023. Multi-competency development: strategy to strengthen the resilience of human capital from unpredictable global disruption. </w:t>
      </w:r>
      <w:r w:rsidRPr="002F35C3">
        <w:rPr>
          <w:rFonts w:ascii="Arial" w:hAnsi="Arial" w:cs="Arial"/>
          <w:i/>
          <w:iCs/>
          <w:color w:val="222222"/>
          <w:shd w:val="clear" w:color="auto" w:fill="FFFFFF"/>
        </w:rPr>
        <w:t>International Journal of Applied Sciences in Tourism and Events</w:t>
      </w:r>
      <w:r w:rsidRPr="002F35C3">
        <w:rPr>
          <w:rFonts w:ascii="Arial" w:hAnsi="Arial" w:cs="Arial"/>
          <w:color w:val="222222"/>
          <w:shd w:val="clear" w:color="auto" w:fill="FFFFFF"/>
        </w:rPr>
        <w:t>, </w:t>
      </w:r>
      <w:r w:rsidRPr="002F35C3">
        <w:rPr>
          <w:rFonts w:ascii="Arial" w:hAnsi="Arial" w:cs="Arial"/>
          <w:i/>
          <w:iCs/>
          <w:color w:val="222222"/>
          <w:shd w:val="clear" w:color="auto" w:fill="FFFFFF"/>
        </w:rPr>
        <w:t>7</w:t>
      </w:r>
      <w:r w:rsidRPr="002F35C3">
        <w:rPr>
          <w:rFonts w:ascii="Arial" w:hAnsi="Arial" w:cs="Arial"/>
          <w:color w:val="222222"/>
          <w:shd w:val="clear" w:color="auto" w:fill="FFFFFF"/>
        </w:rPr>
        <w:t>(1), pp.95-106.</w:t>
      </w:r>
    </w:p>
    <w:p w14:paraId="30FC9595" w14:textId="77777777" w:rsidR="002F35C3" w:rsidRPr="002F35C3" w:rsidRDefault="002F35C3" w:rsidP="002F35C3">
      <w:pPr>
        <w:spacing w:before="120" w:after="120" w:line="360" w:lineRule="auto"/>
        <w:ind w:left="720" w:hanging="720"/>
        <w:jc w:val="both"/>
        <w:rPr>
          <w:rFonts w:ascii="Arial" w:hAnsi="Arial" w:cs="Arial"/>
          <w:sz w:val="32"/>
          <w:szCs w:val="32"/>
        </w:rPr>
      </w:pPr>
      <w:r w:rsidRPr="002F35C3">
        <w:rPr>
          <w:rFonts w:ascii="Arial" w:hAnsi="Arial" w:cs="Arial"/>
          <w:color w:val="222222"/>
          <w:shd w:val="clear" w:color="auto" w:fill="FFFFFF"/>
        </w:rPr>
        <w:lastRenderedPageBreak/>
        <w:t>Ronzoni, G., Torres, E. and Kang, J., 2018. Dual branding: a case study of Wyndham. </w:t>
      </w:r>
      <w:r w:rsidRPr="002F35C3">
        <w:rPr>
          <w:rFonts w:ascii="Arial" w:hAnsi="Arial" w:cs="Arial"/>
          <w:i/>
          <w:iCs/>
          <w:color w:val="222222"/>
          <w:shd w:val="clear" w:color="auto" w:fill="FFFFFF"/>
        </w:rPr>
        <w:t>Journal of Hospitality and Tourism Insights</w:t>
      </w:r>
      <w:r w:rsidRPr="002F35C3">
        <w:rPr>
          <w:rFonts w:ascii="Arial" w:hAnsi="Arial" w:cs="Arial"/>
          <w:color w:val="222222"/>
          <w:shd w:val="clear" w:color="auto" w:fill="FFFFFF"/>
        </w:rPr>
        <w:t>, </w:t>
      </w:r>
      <w:r w:rsidRPr="002F35C3">
        <w:rPr>
          <w:rFonts w:ascii="Arial" w:hAnsi="Arial" w:cs="Arial"/>
          <w:i/>
          <w:iCs/>
          <w:color w:val="222222"/>
          <w:shd w:val="clear" w:color="auto" w:fill="FFFFFF"/>
        </w:rPr>
        <w:t>1</w:t>
      </w:r>
      <w:r w:rsidRPr="002F35C3">
        <w:rPr>
          <w:rFonts w:ascii="Arial" w:hAnsi="Arial" w:cs="Arial"/>
          <w:color w:val="222222"/>
          <w:shd w:val="clear" w:color="auto" w:fill="FFFFFF"/>
        </w:rPr>
        <w:t>(3), pp.240-257.</w:t>
      </w:r>
    </w:p>
    <w:p w14:paraId="65033078" w14:textId="77777777" w:rsidR="002F35C3" w:rsidRPr="002F35C3" w:rsidRDefault="002F35C3" w:rsidP="002F35C3">
      <w:pPr>
        <w:spacing w:before="120" w:after="120" w:line="360" w:lineRule="auto"/>
        <w:ind w:left="720" w:hanging="720"/>
        <w:jc w:val="both"/>
        <w:rPr>
          <w:rFonts w:ascii="Arial" w:hAnsi="Arial" w:cs="Arial"/>
          <w:sz w:val="32"/>
          <w:szCs w:val="32"/>
        </w:rPr>
      </w:pPr>
      <w:r w:rsidRPr="002F35C3">
        <w:rPr>
          <w:rFonts w:ascii="Arial" w:hAnsi="Arial" w:cs="Arial"/>
          <w:color w:val="222222"/>
          <w:shd w:val="clear" w:color="auto" w:fill="FFFFFF"/>
        </w:rPr>
        <w:t>Wan, H.L., 2019. Global human resources: a key to mission accomplishment. </w:t>
      </w:r>
      <w:r w:rsidRPr="002F35C3">
        <w:rPr>
          <w:rFonts w:ascii="Arial" w:hAnsi="Arial" w:cs="Arial"/>
          <w:i/>
          <w:iCs/>
          <w:color w:val="222222"/>
          <w:shd w:val="clear" w:color="auto" w:fill="FFFFFF"/>
        </w:rPr>
        <w:t>Journal of Global Mobility: The Home of Expatriate Management Research</w:t>
      </w:r>
      <w:r w:rsidRPr="002F35C3">
        <w:rPr>
          <w:rFonts w:ascii="Arial" w:hAnsi="Arial" w:cs="Arial"/>
          <w:color w:val="222222"/>
          <w:shd w:val="clear" w:color="auto" w:fill="FFFFFF"/>
        </w:rPr>
        <w:t>, </w:t>
      </w:r>
      <w:r w:rsidRPr="002F35C3">
        <w:rPr>
          <w:rFonts w:ascii="Arial" w:hAnsi="Arial" w:cs="Arial"/>
          <w:i/>
          <w:iCs/>
          <w:color w:val="222222"/>
          <w:shd w:val="clear" w:color="auto" w:fill="FFFFFF"/>
        </w:rPr>
        <w:t>7</w:t>
      </w:r>
      <w:r w:rsidRPr="002F35C3">
        <w:rPr>
          <w:rFonts w:ascii="Arial" w:hAnsi="Arial" w:cs="Arial"/>
          <w:color w:val="222222"/>
          <w:shd w:val="clear" w:color="auto" w:fill="FFFFFF"/>
        </w:rPr>
        <w:t>(1), pp.5-26.</w:t>
      </w:r>
    </w:p>
    <w:p w14:paraId="5C2865F5" w14:textId="5D0403EB" w:rsidR="00616AC2" w:rsidRPr="004716D8" w:rsidRDefault="002F35C3" w:rsidP="002F35C3">
      <w:pPr>
        <w:spacing w:before="120" w:after="120" w:line="360" w:lineRule="auto"/>
        <w:ind w:left="720" w:hanging="720"/>
        <w:jc w:val="both"/>
        <w:rPr>
          <w:rFonts w:ascii="Arial" w:hAnsi="Arial" w:cs="Arial"/>
        </w:rPr>
      </w:pPr>
      <w:proofErr w:type="spellStart"/>
      <w:r w:rsidRPr="002F35C3">
        <w:rPr>
          <w:rFonts w:ascii="Arial" w:hAnsi="Arial" w:cs="Arial"/>
          <w:color w:val="222222"/>
          <w:shd w:val="clear" w:color="auto" w:fill="FFFFFF"/>
        </w:rPr>
        <w:t>Widyasari</w:t>
      </w:r>
      <w:proofErr w:type="spellEnd"/>
      <w:r w:rsidRPr="002F35C3">
        <w:rPr>
          <w:rFonts w:ascii="Arial" w:hAnsi="Arial" w:cs="Arial"/>
          <w:color w:val="222222"/>
          <w:shd w:val="clear" w:color="auto" w:fill="FFFFFF"/>
        </w:rPr>
        <w:t xml:space="preserve">, N.L.Y., </w:t>
      </w:r>
      <w:proofErr w:type="spellStart"/>
      <w:r w:rsidRPr="002F35C3">
        <w:rPr>
          <w:rFonts w:ascii="Arial" w:hAnsi="Arial" w:cs="Arial"/>
          <w:color w:val="222222"/>
          <w:shd w:val="clear" w:color="auto" w:fill="FFFFFF"/>
        </w:rPr>
        <w:t>Triyuni</w:t>
      </w:r>
      <w:proofErr w:type="spellEnd"/>
      <w:r w:rsidRPr="002F35C3">
        <w:rPr>
          <w:rFonts w:ascii="Arial" w:hAnsi="Arial" w:cs="Arial"/>
          <w:color w:val="222222"/>
          <w:shd w:val="clear" w:color="auto" w:fill="FFFFFF"/>
        </w:rPr>
        <w:t>, N.N. and Aryana, I.N.R., 2021. New Strategy of Marketing Mix Model to Enhance Hotel Revenue. </w:t>
      </w:r>
      <w:proofErr w:type="spellStart"/>
      <w:r w:rsidRPr="002F35C3">
        <w:rPr>
          <w:rFonts w:ascii="Arial" w:hAnsi="Arial" w:cs="Arial"/>
          <w:i/>
          <w:iCs/>
          <w:color w:val="222222"/>
          <w:shd w:val="clear" w:color="auto" w:fill="FFFFFF"/>
        </w:rPr>
        <w:t>Jurnal</w:t>
      </w:r>
      <w:proofErr w:type="spellEnd"/>
      <w:r w:rsidRPr="002F35C3">
        <w:rPr>
          <w:rFonts w:ascii="Arial" w:hAnsi="Arial" w:cs="Arial"/>
          <w:i/>
          <w:iCs/>
          <w:color w:val="222222"/>
          <w:shd w:val="clear" w:color="auto" w:fill="FFFFFF"/>
        </w:rPr>
        <w:t xml:space="preserve"> Sains </w:t>
      </w:r>
      <w:proofErr w:type="spellStart"/>
      <w:r w:rsidRPr="002F35C3">
        <w:rPr>
          <w:rFonts w:ascii="Arial" w:hAnsi="Arial" w:cs="Arial"/>
          <w:i/>
          <w:iCs/>
          <w:color w:val="222222"/>
          <w:shd w:val="clear" w:color="auto" w:fill="FFFFFF"/>
        </w:rPr>
        <w:t>Terapan</w:t>
      </w:r>
      <w:proofErr w:type="spellEnd"/>
      <w:r w:rsidRPr="002F35C3">
        <w:rPr>
          <w:rFonts w:ascii="Arial" w:hAnsi="Arial" w:cs="Arial"/>
          <w:i/>
          <w:iCs/>
          <w:color w:val="222222"/>
          <w:shd w:val="clear" w:color="auto" w:fill="FFFFFF"/>
        </w:rPr>
        <w:t xml:space="preserve"> </w:t>
      </w:r>
      <w:proofErr w:type="spellStart"/>
      <w:r w:rsidRPr="002F35C3">
        <w:rPr>
          <w:rFonts w:ascii="Arial" w:hAnsi="Arial" w:cs="Arial"/>
          <w:i/>
          <w:iCs/>
          <w:color w:val="222222"/>
          <w:shd w:val="clear" w:color="auto" w:fill="FFFFFF"/>
        </w:rPr>
        <w:t>Pariwisata</w:t>
      </w:r>
      <w:proofErr w:type="spellEnd"/>
      <w:r w:rsidRPr="002F35C3">
        <w:rPr>
          <w:rFonts w:ascii="Arial" w:hAnsi="Arial" w:cs="Arial"/>
          <w:color w:val="222222"/>
          <w:shd w:val="clear" w:color="auto" w:fill="FFFFFF"/>
        </w:rPr>
        <w:t>, </w:t>
      </w:r>
      <w:r w:rsidRPr="002F35C3">
        <w:rPr>
          <w:rFonts w:ascii="Arial" w:hAnsi="Arial" w:cs="Arial"/>
          <w:i/>
          <w:iCs/>
          <w:color w:val="222222"/>
          <w:shd w:val="clear" w:color="auto" w:fill="FFFFFF"/>
        </w:rPr>
        <w:t>6</w:t>
      </w:r>
      <w:r w:rsidRPr="002F35C3">
        <w:rPr>
          <w:rFonts w:ascii="Arial" w:hAnsi="Arial" w:cs="Arial"/>
          <w:color w:val="222222"/>
          <w:shd w:val="clear" w:color="auto" w:fill="FFFFFF"/>
        </w:rPr>
        <w:t>(2), pp.93-104.</w:t>
      </w:r>
    </w:p>
    <w:sectPr w:rsidR="00616AC2" w:rsidRPr="004716D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F2207"/>
    <w:multiLevelType w:val="hybridMultilevel"/>
    <w:tmpl w:val="2570BC6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678970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AC2"/>
    <w:rsid w:val="0009485F"/>
    <w:rsid w:val="0023369A"/>
    <w:rsid w:val="002D177D"/>
    <w:rsid w:val="002F35C3"/>
    <w:rsid w:val="00377F78"/>
    <w:rsid w:val="003E59C4"/>
    <w:rsid w:val="004716D8"/>
    <w:rsid w:val="005F761A"/>
    <w:rsid w:val="00616AC2"/>
    <w:rsid w:val="008B5A72"/>
    <w:rsid w:val="00A57B74"/>
    <w:rsid w:val="00B01CBF"/>
    <w:rsid w:val="00D07833"/>
    <w:rsid w:val="00DC62A1"/>
    <w:rsid w:val="00FC2512"/>
    <w:rsid w:val="00FE2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1C5980"/>
  <w15:docId w15:val="{31550E0C-75FA-4A80-A8E0-E31C8D842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A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6A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6A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6A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6A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6A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A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A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A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A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6A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6A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6A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6A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6A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A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A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AC2"/>
    <w:rPr>
      <w:rFonts w:eastAsiaTheme="majorEastAsia" w:cstheme="majorBidi"/>
      <w:color w:val="272727" w:themeColor="text1" w:themeTint="D8"/>
    </w:rPr>
  </w:style>
  <w:style w:type="paragraph" w:styleId="Title">
    <w:name w:val="Title"/>
    <w:basedOn w:val="Normal"/>
    <w:next w:val="Normal"/>
    <w:link w:val="TitleChar"/>
    <w:uiPriority w:val="10"/>
    <w:qFormat/>
    <w:rsid w:val="00616A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A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A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A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AC2"/>
    <w:pPr>
      <w:spacing w:before="160"/>
      <w:jc w:val="center"/>
    </w:pPr>
    <w:rPr>
      <w:i/>
      <w:iCs/>
      <w:color w:val="404040" w:themeColor="text1" w:themeTint="BF"/>
    </w:rPr>
  </w:style>
  <w:style w:type="character" w:customStyle="1" w:styleId="QuoteChar">
    <w:name w:val="Quote Char"/>
    <w:basedOn w:val="DefaultParagraphFont"/>
    <w:link w:val="Quote"/>
    <w:uiPriority w:val="29"/>
    <w:rsid w:val="00616AC2"/>
    <w:rPr>
      <w:i/>
      <w:iCs/>
      <w:color w:val="404040" w:themeColor="text1" w:themeTint="BF"/>
    </w:rPr>
  </w:style>
  <w:style w:type="paragraph" w:styleId="ListParagraph">
    <w:name w:val="List Paragraph"/>
    <w:basedOn w:val="Normal"/>
    <w:uiPriority w:val="34"/>
    <w:qFormat/>
    <w:rsid w:val="00616AC2"/>
    <w:pPr>
      <w:ind w:left="720"/>
      <w:contextualSpacing/>
    </w:pPr>
  </w:style>
  <w:style w:type="character" w:styleId="IntenseEmphasis">
    <w:name w:val="Intense Emphasis"/>
    <w:basedOn w:val="DefaultParagraphFont"/>
    <w:uiPriority w:val="21"/>
    <w:qFormat/>
    <w:rsid w:val="00616AC2"/>
    <w:rPr>
      <w:i/>
      <w:iCs/>
      <w:color w:val="0F4761" w:themeColor="accent1" w:themeShade="BF"/>
    </w:rPr>
  </w:style>
  <w:style w:type="paragraph" w:styleId="IntenseQuote">
    <w:name w:val="Intense Quote"/>
    <w:basedOn w:val="Normal"/>
    <w:next w:val="Normal"/>
    <w:link w:val="IntenseQuoteChar"/>
    <w:uiPriority w:val="30"/>
    <w:qFormat/>
    <w:rsid w:val="00616A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6AC2"/>
    <w:rPr>
      <w:i/>
      <w:iCs/>
      <w:color w:val="0F4761" w:themeColor="accent1" w:themeShade="BF"/>
    </w:rPr>
  </w:style>
  <w:style w:type="character" w:styleId="IntenseReference">
    <w:name w:val="Intense Reference"/>
    <w:basedOn w:val="DefaultParagraphFont"/>
    <w:uiPriority w:val="32"/>
    <w:qFormat/>
    <w:rsid w:val="00616AC2"/>
    <w:rPr>
      <w:b/>
      <w:bCs/>
      <w:smallCaps/>
      <w:color w:val="0F4761" w:themeColor="accent1" w:themeShade="BF"/>
      <w:spacing w:val="5"/>
    </w:rPr>
  </w:style>
  <w:style w:type="paragraph" w:styleId="NormalWeb">
    <w:name w:val="Normal (Web)"/>
    <w:basedOn w:val="Normal"/>
    <w:uiPriority w:val="99"/>
    <w:semiHidden/>
    <w:unhideWhenUsed/>
    <w:rsid w:val="00DC62A1"/>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BalloonText">
    <w:name w:val="Balloon Text"/>
    <w:basedOn w:val="Normal"/>
    <w:link w:val="BalloonTextChar"/>
    <w:uiPriority w:val="99"/>
    <w:semiHidden/>
    <w:unhideWhenUsed/>
    <w:rsid w:val="004716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16D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8436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2566</Words>
  <Characters>14862</Characters>
  <Application>Microsoft Office Word</Application>
  <DocSecurity>0</DocSecurity>
  <Lines>239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Bilal</dc:creator>
  <cp:lastModifiedBy>aiga bordas</cp:lastModifiedBy>
  <cp:revision>2</cp:revision>
  <dcterms:created xsi:type="dcterms:W3CDTF">2024-05-13T22:39:00Z</dcterms:created>
  <dcterms:modified xsi:type="dcterms:W3CDTF">2024-05-13T22:39:00Z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c4e3796ce767a4b6f02b779c680eb7cb2385b4a503476cb07c962f73812a40d7</vt:lpwstr>
  </property>
</Properties>
</file>