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CC81A5" w14:textId="0EB8ED06" w:rsidR="005D213F" w:rsidRPr="0030403B" w:rsidRDefault="005D213F" w:rsidP="0030403B">
      <w:pPr>
        <w:spacing w:line="480" w:lineRule="auto"/>
        <w:jc w:val="both"/>
        <w:rPr>
          <w:rFonts w:ascii="Arial" w:hAnsi="Arial" w:cs="Arial"/>
          <w:sz w:val="24"/>
          <w:szCs w:val="24"/>
        </w:rPr>
      </w:pPr>
      <w:bookmarkStart w:id="0" w:name="_GoBack"/>
      <w:bookmarkEnd w:id="0"/>
      <w:r w:rsidRPr="0030403B">
        <w:rPr>
          <w:rFonts w:ascii="Arial" w:hAnsi="Arial" w:cs="Arial"/>
          <w:sz w:val="24"/>
          <w:szCs w:val="24"/>
        </w:rPr>
        <w:t xml:space="preserve">TASK </w:t>
      </w:r>
      <w:r w:rsidR="00EC1413" w:rsidRPr="0030403B">
        <w:rPr>
          <w:rFonts w:ascii="Arial" w:hAnsi="Arial" w:cs="Arial"/>
          <w:sz w:val="24"/>
          <w:szCs w:val="24"/>
        </w:rPr>
        <w:t>1</w:t>
      </w:r>
    </w:p>
    <w:p w14:paraId="67D8617C" w14:textId="6F60A5FB" w:rsidR="008D15D2" w:rsidRPr="0030403B" w:rsidRDefault="008D15D2" w:rsidP="0030403B">
      <w:pPr>
        <w:spacing w:line="480" w:lineRule="auto"/>
        <w:jc w:val="both"/>
        <w:rPr>
          <w:rFonts w:ascii="Arial" w:hAnsi="Arial" w:cs="Arial"/>
          <w:sz w:val="24"/>
          <w:szCs w:val="24"/>
        </w:rPr>
      </w:pPr>
      <w:r w:rsidRPr="0030403B">
        <w:rPr>
          <w:rFonts w:ascii="Arial" w:hAnsi="Arial" w:cs="Arial"/>
          <w:sz w:val="24"/>
          <w:szCs w:val="24"/>
        </w:rPr>
        <w:t>My Professional Teaching Experience took place at the Workers' Educational Association (WEA) In Swansea teaching adult learners English. Thus this part of the assignment will investigate the English for Speakers of Other Languages (ESOL) curriculum, and critique its design.</w:t>
      </w:r>
    </w:p>
    <w:p w14:paraId="7320CF8D" w14:textId="1F334438" w:rsidR="008D15D2" w:rsidRPr="0030403B" w:rsidRDefault="008D15D2" w:rsidP="0030403B">
      <w:pPr>
        <w:spacing w:line="480" w:lineRule="auto"/>
        <w:jc w:val="both"/>
        <w:rPr>
          <w:rFonts w:ascii="Arial" w:hAnsi="Arial" w:cs="Arial"/>
          <w:sz w:val="24"/>
          <w:szCs w:val="24"/>
        </w:rPr>
      </w:pPr>
      <w:r w:rsidRPr="0030403B">
        <w:rPr>
          <w:rFonts w:ascii="Arial" w:hAnsi="Arial" w:cs="Arial"/>
          <w:sz w:val="24"/>
          <w:szCs w:val="24"/>
        </w:rPr>
        <w:t xml:space="preserve">The curriculum defined </w:t>
      </w:r>
      <w:r w:rsidR="008A0949" w:rsidRPr="0030403B">
        <w:rPr>
          <w:rFonts w:ascii="Arial" w:hAnsi="Arial" w:cs="Arial"/>
          <w:sz w:val="24"/>
          <w:szCs w:val="24"/>
        </w:rPr>
        <w:t xml:space="preserve">Null (2011) </w:t>
      </w:r>
      <w:r w:rsidRPr="0030403B">
        <w:rPr>
          <w:rFonts w:ascii="Arial" w:hAnsi="Arial" w:cs="Arial"/>
          <w:sz w:val="24"/>
          <w:szCs w:val="24"/>
        </w:rPr>
        <w:t>as a plan used in education that directs teacher instruction, developing a structure based on curriculum models. In education there is two model of curriculum, the Product Model: focus on the results, like grades, outcome orientated, clear measurability, clear structure and organisation contextual approach and the Process Model: focused on learning and how students develop and how their thinking will impact future learning</w:t>
      </w:r>
      <w:r w:rsidR="00CE5186" w:rsidRPr="0030403B">
        <w:rPr>
          <w:rFonts w:ascii="Arial" w:hAnsi="Arial" w:cs="Arial"/>
          <w:sz w:val="24"/>
          <w:szCs w:val="24"/>
        </w:rPr>
        <w:t xml:space="preserve"> (Kelly</w:t>
      </w:r>
      <w:r w:rsidR="00980420" w:rsidRPr="0030403B">
        <w:rPr>
          <w:rFonts w:ascii="Arial" w:hAnsi="Arial" w:cs="Arial"/>
          <w:sz w:val="24"/>
          <w:szCs w:val="24"/>
        </w:rPr>
        <w:t>, 2009</w:t>
      </w:r>
      <w:r w:rsidR="00CE5186" w:rsidRPr="0030403B">
        <w:rPr>
          <w:rFonts w:ascii="Arial" w:hAnsi="Arial" w:cs="Arial"/>
          <w:sz w:val="24"/>
          <w:szCs w:val="24"/>
        </w:rPr>
        <w:t>)</w:t>
      </w:r>
      <w:r w:rsidRPr="0030403B">
        <w:rPr>
          <w:rFonts w:ascii="Arial" w:hAnsi="Arial" w:cs="Arial"/>
          <w:sz w:val="24"/>
          <w:szCs w:val="24"/>
        </w:rPr>
        <w:t>.</w:t>
      </w:r>
      <w:r w:rsidR="00964782" w:rsidRPr="0030403B">
        <w:rPr>
          <w:rFonts w:ascii="Arial" w:hAnsi="Arial" w:cs="Arial"/>
          <w:sz w:val="24"/>
          <w:szCs w:val="24"/>
        </w:rPr>
        <w:t xml:space="preserve"> According </w:t>
      </w:r>
      <w:r w:rsidR="00A03EFE" w:rsidRPr="0030403B">
        <w:rPr>
          <w:rFonts w:ascii="Arial" w:hAnsi="Arial" w:cs="Arial"/>
          <w:sz w:val="24"/>
          <w:szCs w:val="24"/>
        </w:rPr>
        <w:t xml:space="preserve">to the curriculum </w:t>
      </w:r>
      <w:r w:rsidR="00230494" w:rsidRPr="0030403B">
        <w:rPr>
          <w:rFonts w:ascii="Arial" w:hAnsi="Arial" w:cs="Arial"/>
          <w:sz w:val="24"/>
          <w:szCs w:val="24"/>
        </w:rPr>
        <w:t>draft published</w:t>
      </w:r>
      <w:r w:rsidR="00A03EFE" w:rsidRPr="0030403B">
        <w:rPr>
          <w:rFonts w:ascii="Arial" w:hAnsi="Arial" w:cs="Arial"/>
          <w:sz w:val="24"/>
          <w:szCs w:val="24"/>
        </w:rPr>
        <w:t xml:space="preserve"> </w:t>
      </w:r>
      <w:r w:rsidR="007578FA" w:rsidRPr="0030403B">
        <w:rPr>
          <w:rFonts w:ascii="Arial" w:hAnsi="Arial" w:cs="Arial"/>
          <w:sz w:val="24"/>
          <w:szCs w:val="24"/>
        </w:rPr>
        <w:t xml:space="preserve">by the Basic Skills </w:t>
      </w:r>
      <w:r w:rsidR="00230494" w:rsidRPr="0030403B">
        <w:rPr>
          <w:rFonts w:ascii="Arial" w:hAnsi="Arial" w:cs="Arial"/>
          <w:sz w:val="24"/>
          <w:szCs w:val="24"/>
        </w:rPr>
        <w:t>Agency (</w:t>
      </w:r>
      <w:r w:rsidR="007578FA" w:rsidRPr="0030403B">
        <w:rPr>
          <w:rFonts w:ascii="Arial" w:hAnsi="Arial" w:cs="Arial"/>
          <w:sz w:val="24"/>
          <w:szCs w:val="24"/>
        </w:rPr>
        <w:t xml:space="preserve">2000) </w:t>
      </w:r>
      <w:r w:rsidR="00964782" w:rsidRPr="0030403B">
        <w:rPr>
          <w:rFonts w:ascii="Arial" w:hAnsi="Arial" w:cs="Arial"/>
          <w:sz w:val="24"/>
          <w:szCs w:val="24"/>
        </w:rPr>
        <w:t>ESOL</w:t>
      </w:r>
      <w:r w:rsidRPr="0030403B">
        <w:rPr>
          <w:rFonts w:ascii="Arial" w:hAnsi="Arial" w:cs="Arial"/>
          <w:sz w:val="24"/>
          <w:szCs w:val="24"/>
        </w:rPr>
        <w:t xml:space="preserve"> curriculum is a mix of both Product and the Process Models, with focus on the interaction between teacher and learners, development of critical thinking, effective translation into practice, results and outcomes are important to evaluate the learners’ </w:t>
      </w:r>
      <w:r w:rsidR="00230494" w:rsidRPr="0030403B">
        <w:rPr>
          <w:rFonts w:ascii="Arial" w:hAnsi="Arial" w:cs="Arial"/>
          <w:sz w:val="24"/>
          <w:szCs w:val="24"/>
        </w:rPr>
        <w:t>progression.</w:t>
      </w:r>
    </w:p>
    <w:p w14:paraId="4CC73794" w14:textId="5F3AFC03" w:rsidR="008D15D2" w:rsidRPr="0030403B" w:rsidRDefault="00230494" w:rsidP="0030403B">
      <w:pPr>
        <w:spacing w:line="480" w:lineRule="auto"/>
        <w:jc w:val="both"/>
        <w:rPr>
          <w:rFonts w:ascii="Arial" w:hAnsi="Arial" w:cs="Arial"/>
          <w:sz w:val="24"/>
          <w:szCs w:val="24"/>
        </w:rPr>
      </w:pPr>
      <w:r w:rsidRPr="0030403B">
        <w:rPr>
          <w:rFonts w:ascii="Arial" w:hAnsi="Arial" w:cs="Arial"/>
          <w:sz w:val="24"/>
          <w:szCs w:val="24"/>
        </w:rPr>
        <w:t xml:space="preserve">The Adult ESOL Core Curriculum document reveal that </w:t>
      </w:r>
      <w:r w:rsidR="008D15D2" w:rsidRPr="0030403B">
        <w:rPr>
          <w:rFonts w:ascii="Arial" w:hAnsi="Arial" w:cs="Arial"/>
          <w:sz w:val="24"/>
          <w:szCs w:val="24"/>
        </w:rPr>
        <w:t>Research carried by conduct a figure of 1-1.5 million learners who need to learn English and migrants arrive in the country with little to no English language skills at all, to better integration into the society migrants need to improve their English language capabilities. To do so the number of English classes should be increased</w:t>
      </w:r>
      <w:r w:rsidRPr="0030403B">
        <w:rPr>
          <w:rFonts w:ascii="Arial" w:hAnsi="Arial" w:cs="Arial"/>
          <w:sz w:val="24"/>
          <w:szCs w:val="24"/>
        </w:rPr>
        <w:t xml:space="preserve"> (Basic Skills Agency, 2001)</w:t>
      </w:r>
      <w:r w:rsidR="008D15D2" w:rsidRPr="0030403B">
        <w:rPr>
          <w:rFonts w:ascii="Arial" w:hAnsi="Arial" w:cs="Arial"/>
          <w:sz w:val="24"/>
          <w:szCs w:val="24"/>
        </w:rPr>
        <w:t>. However, lack of government funding is present and the demand for ESOL provision is far greater than the supply. As a result, English classes providers have waiting lists and migrants who want to learn English are regularly being turned away (</w:t>
      </w:r>
      <w:proofErr w:type="spellStart"/>
      <w:r w:rsidR="008D15D2" w:rsidRPr="0030403B">
        <w:rPr>
          <w:rFonts w:ascii="Arial" w:hAnsi="Arial" w:cs="Arial"/>
          <w:sz w:val="24"/>
          <w:szCs w:val="24"/>
        </w:rPr>
        <w:t>Mclntyre</w:t>
      </w:r>
      <w:proofErr w:type="spellEnd"/>
      <w:r w:rsidR="008D15D2" w:rsidRPr="0030403B">
        <w:rPr>
          <w:rFonts w:ascii="Arial" w:hAnsi="Arial" w:cs="Arial"/>
          <w:sz w:val="24"/>
          <w:szCs w:val="24"/>
        </w:rPr>
        <w:t>, 2017).</w:t>
      </w:r>
    </w:p>
    <w:p w14:paraId="11ABFD37" w14:textId="77777777" w:rsidR="008D15D2" w:rsidRPr="0030403B" w:rsidRDefault="008D15D2" w:rsidP="0030403B">
      <w:pPr>
        <w:spacing w:line="480" w:lineRule="auto"/>
        <w:jc w:val="both"/>
        <w:rPr>
          <w:rFonts w:ascii="Arial" w:hAnsi="Arial" w:cs="Arial"/>
          <w:sz w:val="24"/>
          <w:szCs w:val="24"/>
        </w:rPr>
      </w:pPr>
      <w:r w:rsidRPr="0030403B">
        <w:rPr>
          <w:rFonts w:ascii="Arial" w:hAnsi="Arial" w:cs="Arial"/>
          <w:sz w:val="24"/>
          <w:szCs w:val="24"/>
        </w:rPr>
        <w:lastRenderedPageBreak/>
        <w:t>In English language teaching there are many abbreviations used to describe teaching English  to non-native speakers, for example; ESOL is an abbreviation that stands for English for Speakers of Other Language used widely in post-16 education, English as an Additional Language (EAL), used to describe this work in schools, English as a Second Language (ESL) and English Language Teaching (ELT). However, the decision was taken to use the term ESOL in the curriculum (Basic Skills Agency, 2001).</w:t>
      </w:r>
    </w:p>
    <w:p w14:paraId="0E1DCF4C" w14:textId="77777777" w:rsidR="008D15D2" w:rsidRPr="0030403B" w:rsidRDefault="008D15D2" w:rsidP="0030403B">
      <w:pPr>
        <w:spacing w:line="480" w:lineRule="auto"/>
        <w:jc w:val="both"/>
        <w:rPr>
          <w:rFonts w:ascii="Arial" w:hAnsi="Arial" w:cs="Arial"/>
          <w:sz w:val="24"/>
          <w:szCs w:val="24"/>
        </w:rPr>
      </w:pPr>
      <w:r w:rsidRPr="0030403B">
        <w:rPr>
          <w:rFonts w:ascii="Arial" w:hAnsi="Arial" w:cs="Arial"/>
          <w:sz w:val="24"/>
          <w:szCs w:val="24"/>
        </w:rPr>
        <w:t>Brooks et al (2001) state that previously the boundaries between ESOL departments and mainstream educational provision in Further Education (FE) colleges were weakening, more recently, however, ESOL provision is altering to a new set of regulation and requirements since the Government have included ESOL within the general field of Adult Basic Skills so ESOL learners can be found in literacy and numeracy classes and in ESOL classes.</w:t>
      </w:r>
    </w:p>
    <w:p w14:paraId="28A63F72" w14:textId="7ACCED71" w:rsidR="008D15D2" w:rsidRPr="0030403B" w:rsidRDefault="008D15D2" w:rsidP="0030403B">
      <w:pPr>
        <w:spacing w:line="480" w:lineRule="auto"/>
        <w:jc w:val="both"/>
        <w:rPr>
          <w:rFonts w:ascii="Arial" w:hAnsi="Arial" w:cs="Arial"/>
          <w:sz w:val="24"/>
          <w:szCs w:val="24"/>
        </w:rPr>
      </w:pPr>
      <w:r w:rsidRPr="0030403B">
        <w:rPr>
          <w:rFonts w:ascii="Arial" w:hAnsi="Arial" w:cs="Arial"/>
          <w:sz w:val="24"/>
          <w:szCs w:val="24"/>
        </w:rPr>
        <w:t>Alongside this in 1991 the Fresh Start Report made by working groups on adult basic skills, chaired by Sir Claus Moser recommended the creation of a separate review group to consider the specific needs of learners whose first language is not English and the review group report called Breaking the Language Barriers published in August 2000. Among its recommendations, the report suggested the development of an Adult ESOL Core Curriculum as part of the national strategy for literacy, language and numeracy (Digital Education Resource Archive (DERA) (2013).</w:t>
      </w:r>
    </w:p>
    <w:p w14:paraId="0CDCD208" w14:textId="357468B8" w:rsidR="008D15D2" w:rsidRPr="0030403B" w:rsidRDefault="008D15D2" w:rsidP="0030403B">
      <w:pPr>
        <w:spacing w:line="480" w:lineRule="auto"/>
        <w:jc w:val="both"/>
        <w:rPr>
          <w:rFonts w:ascii="Arial" w:hAnsi="Arial" w:cs="Arial"/>
          <w:sz w:val="24"/>
          <w:szCs w:val="24"/>
        </w:rPr>
      </w:pPr>
      <w:r w:rsidRPr="0030403B">
        <w:rPr>
          <w:rFonts w:ascii="Arial" w:hAnsi="Arial" w:cs="Arial"/>
          <w:sz w:val="24"/>
          <w:szCs w:val="24"/>
        </w:rPr>
        <w:t xml:space="preserve">The new ESOL curriculum has six levels, designed to meet the needs of people at each level. Pre-Entry for a complete beginner, Entry 1 for beginner to elementary, Entry 2 for elementary to pre-intermediate, Entry 3 for pre-intermediate to intermediate, Level 1 for Intermediate to upper-intermediate and lastly Level 2 for </w:t>
      </w:r>
      <w:r w:rsidRPr="0030403B">
        <w:rPr>
          <w:rFonts w:ascii="Arial" w:hAnsi="Arial" w:cs="Arial"/>
          <w:sz w:val="24"/>
          <w:szCs w:val="24"/>
        </w:rPr>
        <w:lastRenderedPageBreak/>
        <w:t xml:space="preserve">upper-intermediate to advanced level. When it comes to speaking and listening, learners who undertake pre-entry level courses are those who have little or no English language skills and these courses are designed to provide them with a very basic level of English in order for them to progress onto the entry 1 course. Learners at each level are also expected to develop skills in reading, writing and grammatical structures </w:t>
      </w:r>
      <w:r w:rsidR="004E526A" w:rsidRPr="0030403B">
        <w:rPr>
          <w:rFonts w:ascii="Arial" w:hAnsi="Arial" w:cs="Arial"/>
          <w:sz w:val="24"/>
          <w:szCs w:val="24"/>
        </w:rPr>
        <w:t xml:space="preserve">(Basic Skills </w:t>
      </w:r>
      <w:r w:rsidR="00072DEE" w:rsidRPr="0030403B">
        <w:rPr>
          <w:rFonts w:ascii="Arial" w:hAnsi="Arial" w:cs="Arial"/>
          <w:sz w:val="24"/>
          <w:szCs w:val="24"/>
        </w:rPr>
        <w:t>Agency, 2000</w:t>
      </w:r>
      <w:r w:rsidR="004E526A" w:rsidRPr="0030403B">
        <w:rPr>
          <w:rFonts w:ascii="Arial" w:hAnsi="Arial" w:cs="Arial"/>
          <w:sz w:val="24"/>
          <w:szCs w:val="24"/>
        </w:rPr>
        <w:t>)</w:t>
      </w:r>
      <w:r w:rsidRPr="0030403B">
        <w:rPr>
          <w:rFonts w:ascii="Arial" w:hAnsi="Arial" w:cs="Arial"/>
          <w:sz w:val="24"/>
          <w:szCs w:val="24"/>
        </w:rPr>
        <w:t xml:space="preserve">. There is high demand for ESOL at entry level 1 and 2, however, the demand is falling off sharply at level 1 and 2 as the learners move onto vocational programmes or into Functional English classes </w:t>
      </w:r>
      <w:r w:rsidR="00950AFC" w:rsidRPr="0030403B">
        <w:rPr>
          <w:rFonts w:ascii="Arial" w:hAnsi="Arial" w:cs="Arial"/>
          <w:sz w:val="24"/>
          <w:szCs w:val="24"/>
        </w:rPr>
        <w:t>(DERA</w:t>
      </w:r>
      <w:r w:rsidR="00072DEE" w:rsidRPr="0030403B">
        <w:rPr>
          <w:rFonts w:ascii="Arial" w:hAnsi="Arial" w:cs="Arial"/>
          <w:sz w:val="24"/>
          <w:szCs w:val="24"/>
        </w:rPr>
        <w:t>, 2013</w:t>
      </w:r>
      <w:r w:rsidR="00950AFC" w:rsidRPr="0030403B">
        <w:rPr>
          <w:rFonts w:ascii="Arial" w:hAnsi="Arial" w:cs="Arial"/>
          <w:sz w:val="24"/>
          <w:szCs w:val="24"/>
        </w:rPr>
        <w:t>).</w:t>
      </w:r>
    </w:p>
    <w:p w14:paraId="0E7239AD" w14:textId="77777777" w:rsidR="008D15D2" w:rsidRPr="0030403B" w:rsidRDefault="008D15D2" w:rsidP="0030403B">
      <w:pPr>
        <w:spacing w:line="480" w:lineRule="auto"/>
        <w:jc w:val="both"/>
        <w:rPr>
          <w:rFonts w:ascii="Arial" w:hAnsi="Arial" w:cs="Arial"/>
          <w:sz w:val="24"/>
          <w:szCs w:val="24"/>
        </w:rPr>
      </w:pPr>
      <w:r w:rsidRPr="0030403B">
        <w:rPr>
          <w:rFonts w:ascii="Arial" w:hAnsi="Arial" w:cs="Arial"/>
          <w:sz w:val="24"/>
          <w:szCs w:val="24"/>
        </w:rPr>
        <w:t xml:space="preserve">Stated by </w:t>
      </w:r>
      <w:proofErr w:type="spellStart"/>
      <w:r w:rsidRPr="0030403B">
        <w:rPr>
          <w:rFonts w:ascii="Arial" w:hAnsi="Arial" w:cs="Arial"/>
          <w:sz w:val="24"/>
          <w:szCs w:val="24"/>
        </w:rPr>
        <w:t>Mclntyre</w:t>
      </w:r>
      <w:proofErr w:type="spellEnd"/>
      <w:r w:rsidRPr="0030403B">
        <w:rPr>
          <w:rFonts w:ascii="Arial" w:hAnsi="Arial" w:cs="Arial"/>
          <w:sz w:val="24"/>
          <w:szCs w:val="24"/>
        </w:rPr>
        <w:t xml:space="preserve"> (2017) the new ESOL Core Curriculum is based on the National Standards for Adult Literacy developed by the Qualifications and Curriculum Authority (QCA) in 2000 and offers a framework for English language learning and defines the skills, knowledge, and understanding that non-native English speakers need in order to demonstrate achievement of the national standards. The Department for Business Innovation and Skills (BIS) is responsible for ESOL, with funding administered through the Skills for Life programme through the Skills Funding Agency (SFA).</w:t>
      </w:r>
    </w:p>
    <w:p w14:paraId="4F1B613D" w14:textId="2A57A52B" w:rsidR="008D15D2" w:rsidRPr="0030403B" w:rsidRDefault="008D15D2" w:rsidP="0030403B">
      <w:pPr>
        <w:spacing w:line="480" w:lineRule="auto"/>
        <w:jc w:val="both"/>
        <w:rPr>
          <w:rFonts w:ascii="Arial" w:hAnsi="Arial" w:cs="Arial"/>
          <w:sz w:val="24"/>
          <w:szCs w:val="24"/>
        </w:rPr>
      </w:pPr>
      <w:r w:rsidRPr="0030403B">
        <w:rPr>
          <w:rFonts w:ascii="Arial" w:hAnsi="Arial" w:cs="Arial"/>
          <w:sz w:val="24"/>
          <w:szCs w:val="24"/>
        </w:rPr>
        <w:t xml:space="preserve">The curriculum for </w:t>
      </w:r>
      <w:r w:rsidR="000E495A" w:rsidRPr="0030403B">
        <w:rPr>
          <w:rFonts w:ascii="Arial" w:hAnsi="Arial" w:cs="Arial"/>
          <w:sz w:val="24"/>
          <w:szCs w:val="24"/>
        </w:rPr>
        <w:t xml:space="preserve">an </w:t>
      </w:r>
      <w:r w:rsidRPr="0030403B">
        <w:rPr>
          <w:rFonts w:ascii="Arial" w:hAnsi="Arial" w:cs="Arial"/>
          <w:sz w:val="24"/>
          <w:szCs w:val="24"/>
        </w:rPr>
        <w:t>ESOL lea</w:t>
      </w:r>
      <w:r w:rsidR="000E495A" w:rsidRPr="0030403B">
        <w:rPr>
          <w:rFonts w:ascii="Arial" w:hAnsi="Arial" w:cs="Arial"/>
          <w:sz w:val="24"/>
          <w:szCs w:val="24"/>
        </w:rPr>
        <w:t>r</w:t>
      </w:r>
      <w:r w:rsidRPr="0030403B">
        <w:rPr>
          <w:rFonts w:ascii="Arial" w:hAnsi="Arial" w:cs="Arial"/>
          <w:sz w:val="24"/>
          <w:szCs w:val="24"/>
        </w:rPr>
        <w:t xml:space="preserve">ner at Entry Level 1 is huge, starting from the beginning in all four skills - speaking, listening, reading and writing. Therefore, those learners need a longer, slower process to achieve. On the other hand, longer qualifications run the risk of losing students prior to completion as ESOL learner community is unsettled and geographically mobile </w:t>
      </w:r>
      <w:r w:rsidR="00AB2E4F" w:rsidRPr="0030403B">
        <w:rPr>
          <w:rFonts w:ascii="Arial" w:hAnsi="Arial" w:cs="Arial"/>
          <w:sz w:val="24"/>
          <w:szCs w:val="24"/>
        </w:rPr>
        <w:t>(DERA,2013)</w:t>
      </w:r>
      <w:r w:rsidRPr="0030403B">
        <w:rPr>
          <w:rFonts w:ascii="Arial" w:hAnsi="Arial" w:cs="Arial"/>
          <w:sz w:val="24"/>
          <w:szCs w:val="24"/>
        </w:rPr>
        <w:t>.</w:t>
      </w:r>
    </w:p>
    <w:p w14:paraId="686E2E42" w14:textId="77777777" w:rsidR="008D15D2" w:rsidRPr="0030403B" w:rsidRDefault="008D15D2" w:rsidP="0030403B">
      <w:pPr>
        <w:spacing w:line="480" w:lineRule="auto"/>
        <w:jc w:val="both"/>
        <w:rPr>
          <w:rFonts w:ascii="Arial" w:hAnsi="Arial" w:cs="Arial"/>
          <w:sz w:val="24"/>
          <w:szCs w:val="24"/>
        </w:rPr>
      </w:pPr>
      <w:r w:rsidRPr="0030403B">
        <w:rPr>
          <w:rFonts w:ascii="Arial" w:hAnsi="Arial" w:cs="Arial"/>
          <w:sz w:val="24"/>
          <w:szCs w:val="24"/>
        </w:rPr>
        <w:t>Therefore, some ESOL providers, felt that it was appropriate to run very long programmes for beginner learners so they try to split the content into smaller learning blocks using non-regulated provision.</w:t>
      </w:r>
    </w:p>
    <w:p w14:paraId="65F196A8" w14:textId="77777777" w:rsidR="008D15D2" w:rsidRPr="0030403B" w:rsidRDefault="008D15D2" w:rsidP="0030403B">
      <w:pPr>
        <w:spacing w:line="480" w:lineRule="auto"/>
        <w:jc w:val="both"/>
        <w:rPr>
          <w:rFonts w:ascii="Arial" w:hAnsi="Arial" w:cs="Arial"/>
          <w:sz w:val="24"/>
          <w:szCs w:val="24"/>
        </w:rPr>
      </w:pPr>
      <w:r w:rsidRPr="0030403B">
        <w:rPr>
          <w:rFonts w:ascii="Arial" w:hAnsi="Arial" w:cs="Arial"/>
          <w:sz w:val="24"/>
          <w:szCs w:val="24"/>
        </w:rPr>
        <w:lastRenderedPageBreak/>
        <w:t>ESOL provisions have been shaped for the needs of ESOL learners, these learners were considered to need different types of instruction and accreditation than that offered by the other branch of English language instruction, English as a Foreign Language (EFL). Which are based on the assumptions that the learners have already spent some time studying English, they wish to be in the UK for a short period and they have been successful students in their own countries (Cooke, 2000). EFL has produced materials, teacher training, language learning theory and research for both the teaching of English overseas and special short-term courses for learners coming to the UK, these courses are offered by language schools and FE colleges.</w:t>
      </w:r>
    </w:p>
    <w:p w14:paraId="002D8E77" w14:textId="2059A751" w:rsidR="008D15D2" w:rsidRPr="0030403B" w:rsidRDefault="008D15D2" w:rsidP="0030403B">
      <w:pPr>
        <w:spacing w:line="480" w:lineRule="auto"/>
        <w:jc w:val="both"/>
        <w:rPr>
          <w:rFonts w:ascii="Arial" w:hAnsi="Arial" w:cs="Arial"/>
          <w:sz w:val="24"/>
          <w:szCs w:val="24"/>
        </w:rPr>
      </w:pPr>
      <w:r w:rsidRPr="0030403B">
        <w:rPr>
          <w:rFonts w:ascii="Arial" w:hAnsi="Arial" w:cs="Arial"/>
          <w:sz w:val="24"/>
          <w:szCs w:val="24"/>
        </w:rPr>
        <w:t>However, the one size ESOL curriculum does not fit all the learners who face the challenge of extreme diversity of the backgrounds and needs of its learners for example; many refugees, asylum seekers and migrants now arrive with professional backgrounds, varied amounts of exposure to formal English learning and a desire to enter Higher Education here in the UK, or to validate their professional qualifications and pursue their professional careers, this is as well as Europeans working, or seeking to work here. These also seek language support and come with a wide range of educational backgrounds. At the same time, there is a significant minority of learners who arrive in this country with very little experience of formal education, and there are groups of learners within the ethnic minority communities who have been in the UK for some time and continue to need support, some on an outreach basis (</w:t>
      </w:r>
      <w:r w:rsidR="00481A0A" w:rsidRPr="0030403B">
        <w:rPr>
          <w:rFonts w:ascii="Arial" w:hAnsi="Arial" w:cs="Arial"/>
          <w:sz w:val="24"/>
          <w:szCs w:val="24"/>
        </w:rPr>
        <w:t>Basic Skills Agency (2000</w:t>
      </w:r>
      <w:r w:rsidRPr="0030403B">
        <w:rPr>
          <w:rFonts w:ascii="Arial" w:hAnsi="Arial" w:cs="Arial"/>
          <w:sz w:val="24"/>
          <w:szCs w:val="24"/>
        </w:rPr>
        <w:t>).</w:t>
      </w:r>
    </w:p>
    <w:p w14:paraId="6EBF2021" w14:textId="37186930" w:rsidR="008D15D2" w:rsidRPr="0030403B" w:rsidRDefault="008D15D2" w:rsidP="0030403B">
      <w:pPr>
        <w:spacing w:line="480" w:lineRule="auto"/>
        <w:jc w:val="both"/>
        <w:rPr>
          <w:rFonts w:ascii="Arial" w:hAnsi="Arial" w:cs="Arial"/>
          <w:sz w:val="24"/>
          <w:szCs w:val="24"/>
        </w:rPr>
      </w:pPr>
      <w:r w:rsidRPr="0030403B">
        <w:rPr>
          <w:rFonts w:ascii="Arial" w:hAnsi="Arial" w:cs="Arial"/>
          <w:sz w:val="24"/>
          <w:szCs w:val="24"/>
        </w:rPr>
        <w:t xml:space="preserve">ESOL providers use national accredited qualifications with ESOL learners at a low level and they need to pay close attention to their learner’s success rate. Learners need more time to study in non-regulated provision until providers have reasonable confidence that they will be able to succeed within a given time period, usually a year, </w:t>
      </w:r>
      <w:r w:rsidRPr="0030403B">
        <w:rPr>
          <w:rFonts w:ascii="Arial" w:hAnsi="Arial" w:cs="Arial"/>
          <w:sz w:val="24"/>
          <w:szCs w:val="24"/>
        </w:rPr>
        <w:lastRenderedPageBreak/>
        <w:t>at which point, they are enrolled onto accredited qualifications (</w:t>
      </w:r>
      <w:r w:rsidR="00957D71" w:rsidRPr="0030403B">
        <w:rPr>
          <w:rFonts w:ascii="Arial" w:hAnsi="Arial" w:cs="Arial"/>
          <w:sz w:val="24"/>
          <w:szCs w:val="24"/>
        </w:rPr>
        <w:t>Basic Skills Agency (2000</w:t>
      </w:r>
      <w:r w:rsidRPr="0030403B">
        <w:rPr>
          <w:rFonts w:ascii="Arial" w:hAnsi="Arial" w:cs="Arial"/>
          <w:sz w:val="24"/>
          <w:szCs w:val="24"/>
        </w:rPr>
        <w:t xml:space="preserve">). However, there is very little systematic monitoring at central government level of ESOL provision, funding, teaching quality or student outcomes across different programmes, this is the same for local government. This effectively means that the Government does not know the impact, or the value for money, of its budget, spend on ESOL </w:t>
      </w:r>
      <w:r w:rsidR="00957D71" w:rsidRPr="0030403B">
        <w:rPr>
          <w:rFonts w:ascii="Arial" w:hAnsi="Arial" w:cs="Arial"/>
          <w:sz w:val="24"/>
          <w:szCs w:val="24"/>
        </w:rPr>
        <w:t>(DERA</w:t>
      </w:r>
      <w:r w:rsidR="006F62ED" w:rsidRPr="0030403B">
        <w:rPr>
          <w:rFonts w:ascii="Arial" w:hAnsi="Arial" w:cs="Arial"/>
          <w:sz w:val="24"/>
          <w:szCs w:val="24"/>
        </w:rPr>
        <w:t>, 2013</w:t>
      </w:r>
      <w:r w:rsidR="00957D71" w:rsidRPr="0030403B">
        <w:rPr>
          <w:rFonts w:ascii="Arial" w:hAnsi="Arial" w:cs="Arial"/>
          <w:sz w:val="24"/>
          <w:szCs w:val="24"/>
        </w:rPr>
        <w:t>).</w:t>
      </w:r>
    </w:p>
    <w:p w14:paraId="1DE4A3BA" w14:textId="77777777" w:rsidR="008721D2" w:rsidRPr="0030403B" w:rsidRDefault="008721D2" w:rsidP="0030403B">
      <w:pPr>
        <w:spacing w:line="480" w:lineRule="auto"/>
        <w:jc w:val="both"/>
        <w:rPr>
          <w:rFonts w:ascii="Arial" w:hAnsi="Arial" w:cs="Arial"/>
          <w:sz w:val="24"/>
          <w:szCs w:val="24"/>
        </w:rPr>
      </w:pPr>
    </w:p>
    <w:p w14:paraId="17B7426D"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Task 2</w:t>
      </w:r>
    </w:p>
    <w:p w14:paraId="6C7C095D"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A brief description of the course including the level.</w:t>
      </w:r>
    </w:p>
    <w:p w14:paraId="6D8036B5" w14:textId="78788E0E"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 xml:space="preserve">This ESOL course for beginners is intended for learners from other countries who are now living in the United </w:t>
      </w:r>
      <w:r w:rsidR="00C26FF3">
        <w:rPr>
          <w:rFonts w:ascii="Arial" w:hAnsi="Arial" w:cs="Arial"/>
          <w:sz w:val="24"/>
          <w:szCs w:val="24"/>
        </w:rPr>
        <w:t xml:space="preserve">Kingdom. The course consists of twelve </w:t>
      </w:r>
      <w:r w:rsidR="00C26FF3" w:rsidRPr="0030403B">
        <w:rPr>
          <w:rFonts w:ascii="Arial" w:hAnsi="Arial" w:cs="Arial"/>
          <w:sz w:val="24"/>
          <w:szCs w:val="24"/>
        </w:rPr>
        <w:t>weeks</w:t>
      </w:r>
      <w:r w:rsidRPr="0030403B">
        <w:rPr>
          <w:rFonts w:ascii="Arial" w:hAnsi="Arial" w:cs="Arial"/>
          <w:sz w:val="24"/>
          <w:szCs w:val="24"/>
        </w:rPr>
        <w:t xml:space="preserve"> at two hours per week designed for level 1 pre-entry level to teach basic survival English to learners who have no knowledge of the language. The course is also to help them to develop their English language for work and further learning, offering help with practical English needed for everyday life.  The small friendly group of learners can work towards their aims, providing opportunities for the learners to develop skills and confidence required to enable them to progress.</w:t>
      </w:r>
    </w:p>
    <w:p w14:paraId="6ABFBCC1"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The target audience, who they are and why the course is relevant to them.</w:t>
      </w:r>
    </w:p>
    <w:p w14:paraId="58B933D2"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 xml:space="preserve">The target audience for this course are adults who have a first language other than English. According to a document published by the Basic Skills Agency (2001), this is divided into five categories; firstly, communities from the Asian sub-continent and Hong Kong who work long and irregular hours and therefore cannot attend classes regularly. Secondly, asylum seekers who are very keen to learn despite the challenges of resettlement and the trauma resulting from their recent experiences. Thirdly, </w:t>
      </w:r>
      <w:r w:rsidRPr="0030403B">
        <w:rPr>
          <w:rFonts w:ascii="Arial" w:hAnsi="Arial" w:cs="Arial"/>
          <w:sz w:val="24"/>
          <w:szCs w:val="24"/>
        </w:rPr>
        <w:lastRenderedPageBreak/>
        <w:t>refugees who have had professional jobs in the past, though some may have suffered a disrupted education due to war and unrest. Fourthly, migrant workers, mostly from Europe, who are here to work and settle for most or all of their lives. Finally, partners and spouses of learners from all parts of the world, who are established for some years and participate in the local community but are prevented by family responsibilities or low income from attending intensive ESOL courses.</w:t>
      </w:r>
    </w:p>
    <w:p w14:paraId="5405D4DB"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Lavender and Ward (2006) state that English language learning has an impact on individuals, families, communities and the productivity and safety of workplaces, for individuals learning the language make a difference to the way people relate to each other and how their children perform at school. Connections between enhancing language skills and greater social cohesion are acknowledged. Confidence in the English language opens doors and helps people engage in and contribute to civil society. Lack of fluency in the language condemns many people to poverty. Learning the language reduces costs to the public purse in welfare and health, adding skills to boost to the economy and creates a better integrated, more socially cohesive society.</w:t>
      </w:r>
    </w:p>
    <w:p w14:paraId="7EC3C007"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The course learning outcomes.</w:t>
      </w:r>
    </w:p>
    <w:p w14:paraId="36AAD104"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The course's overall aims are to develop knowledge of English language. Alphabetical awareness will encourage the learners to say the letters of the alphabet and sounds, identifying lower and upper case letters and write upper and lower case letters within a sentence structure. The course will also introduce a simple way of writing, constructing simple sentences about the self. By developing the ability to write a short sentence, learn and practice spelling vocabulary, practicing using the verb ‘to be’ in a positive format, this will contribute to the learner's ability.</w:t>
      </w:r>
    </w:p>
    <w:p w14:paraId="522165B0"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lastRenderedPageBreak/>
        <w:t>The course will help the learner to develop the skill to fill in a form correctly, learn and practice ‘form vocabulary’ (name, surname, address, tell number, postcode) and using a capital letter when needed. Also, introduce numbers 1 to 12 and help the learners to pronounce and write them as digits, understanding the meaning.</w:t>
      </w:r>
    </w:p>
    <w:p w14:paraId="6646E59B"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Practice speaking and writing skills, expand knowledge of vocabulary and pronunciation in the context of food, developing the ability to discuss likes and dislikes using correct grammar for a negative and third person. Build a range of vocabulary for describing the weather, by introducing phrases used for giving an opinion about the weather to build confidence and listening for gist.</w:t>
      </w:r>
    </w:p>
    <w:p w14:paraId="48E34EE3"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 xml:space="preserve">To help the learners to recognise the o’clock and half/quarter past/to, units of time: seconds/minutes/hours/days/months/years/fortnight/leap year/century/millennium, prepositions of time as above. By knowing units of time, read clock, tell time, know 12-hour, know 24-hour, and calculate journey times, read simple bus/train timetables. Also, develop recognition of the written forms of the days of the week in how to use these. In relation to planning for the week, by writing the days, using writing frames, utilising social list words to form very basic narratives about the days of the week and experiences, a greater facility to engage with the community will be provided. </w:t>
      </w:r>
    </w:p>
    <w:p w14:paraId="535643AA"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 xml:space="preserve">Know the names of common shapes (2D and 3D), understanding and explaining properties, shapes, describe utilising sketch and drawing accurately. </w:t>
      </w:r>
    </w:p>
    <w:p w14:paraId="2F6EAB7F"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The cross-cutting themes included, including justification for their inclusion.</w:t>
      </w:r>
    </w:p>
    <w:p w14:paraId="43B5FFB4"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 xml:space="preserve">The course included a number of cross-cutting themes embedded thought out course topics, to help the learners to for example learning about British food by bringing in To the class some typical Welsh food (Welsh cakes)and pictures of British food (Yorkshire </w:t>
      </w:r>
      <w:r w:rsidRPr="0030403B">
        <w:rPr>
          <w:rFonts w:ascii="Arial" w:hAnsi="Arial" w:cs="Arial"/>
          <w:sz w:val="24"/>
          <w:szCs w:val="24"/>
        </w:rPr>
        <w:lastRenderedPageBreak/>
        <w:t xml:space="preserve">pudding, Sunday dinner, shepherd’s pie etc.)  Will develop awareness of food and that can promote healthy eating. </w:t>
      </w:r>
    </w:p>
    <w:p w14:paraId="381F6AB1"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Learning about the classroom rules and the regulations will help the learners to develop skills such the importance of attendance and punctuality, practical skills for study and employment. The course also will establish some knowledge of numeracy and appropriate language used for filling forms which will help the learners to gain employability skills.</w:t>
      </w:r>
    </w:p>
    <w:p w14:paraId="284CDB06" w14:textId="07C4D545"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Another theme is to help the learners to express opinions objectively and respond appropriately, completing tasks independently, identifying own strengths and weaknesses</w:t>
      </w:r>
      <w:r w:rsidR="0055239F" w:rsidRPr="0030403B">
        <w:rPr>
          <w:rFonts w:ascii="Arial" w:hAnsi="Arial" w:cs="Arial"/>
          <w:sz w:val="24"/>
          <w:szCs w:val="24"/>
        </w:rPr>
        <w:t>, and</w:t>
      </w:r>
      <w:r w:rsidRPr="0030403B">
        <w:rPr>
          <w:rFonts w:ascii="Arial" w:hAnsi="Arial" w:cs="Arial"/>
          <w:sz w:val="24"/>
          <w:szCs w:val="24"/>
        </w:rPr>
        <w:t xml:space="preserve"> plan actions to develop.</w:t>
      </w:r>
    </w:p>
    <w:p w14:paraId="277B3D0A"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The course will help the learners to expand their interpersonal skills, such as teamwork, planning, working to a deadline, delegating, sharing tasks and understand the different roles in a team, all important skills for the workplace.</w:t>
      </w:r>
    </w:p>
    <w:p w14:paraId="3DE16387"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The course will also help the learners to develop personal skills such as listening, taking and using notes, asking for clarification gaining confidence in expressing their opinions.</w:t>
      </w:r>
    </w:p>
    <w:p w14:paraId="0AB4030B"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The teaching and learning strategies that will be used and why they were chosen, based on sound academic research.</w:t>
      </w:r>
    </w:p>
    <w:p w14:paraId="36E57E09"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 xml:space="preserve">ESOL classes are a mix of learners, from different background and culture. Thus the course contains a variety of learning and teaching strategies (Cruz </w:t>
      </w:r>
      <w:proofErr w:type="spellStart"/>
      <w:r w:rsidRPr="0030403B">
        <w:rPr>
          <w:rFonts w:ascii="Arial" w:hAnsi="Arial" w:cs="Arial"/>
          <w:sz w:val="24"/>
          <w:szCs w:val="24"/>
        </w:rPr>
        <w:t>Rondón</w:t>
      </w:r>
      <w:proofErr w:type="spellEnd"/>
      <w:r w:rsidRPr="0030403B">
        <w:rPr>
          <w:rFonts w:ascii="Arial" w:hAnsi="Arial" w:cs="Arial"/>
          <w:sz w:val="24"/>
          <w:szCs w:val="24"/>
        </w:rPr>
        <w:t xml:space="preserve">, &amp; Velasco Vera, 2016). By using different strategies for example; gameplay is one of the teaching and learning strategies used in this course such as Flashcards, Bingo, Icebreaking, Matching Games, Letter Tiles and Word Bank. Reece and Walker (2007) state that, games have a significant educational value and can be used in ESOL classroom to </w:t>
      </w:r>
      <w:r w:rsidRPr="0030403B">
        <w:rPr>
          <w:rFonts w:ascii="Arial" w:hAnsi="Arial" w:cs="Arial"/>
          <w:sz w:val="24"/>
          <w:szCs w:val="24"/>
        </w:rPr>
        <w:lastRenderedPageBreak/>
        <w:t>make learners use the language, and practice many types of communication. The Flashcards game is used for drills and to aid memorisation. However, some caution is needed when used for adult learners as teachers have to ensure that their games are age appropriate and not too easy or challenging for their students (</w:t>
      </w:r>
      <w:proofErr w:type="spellStart"/>
      <w:r w:rsidRPr="0030403B">
        <w:rPr>
          <w:rFonts w:ascii="Arial" w:hAnsi="Arial" w:cs="Arial"/>
          <w:sz w:val="24"/>
          <w:szCs w:val="24"/>
        </w:rPr>
        <w:t>Ginnis</w:t>
      </w:r>
      <w:proofErr w:type="spellEnd"/>
      <w:r w:rsidRPr="0030403B">
        <w:rPr>
          <w:rFonts w:ascii="Arial" w:hAnsi="Arial" w:cs="Arial"/>
          <w:sz w:val="24"/>
          <w:szCs w:val="24"/>
        </w:rPr>
        <w:t>, 2002).</w:t>
      </w:r>
    </w:p>
    <w:p w14:paraId="1D20EC39"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 xml:space="preserve">Group and Peer Work in one of the teaching and learning strategies applied in this course, where the learners will communicate together to do some tasks and practice speaking to others in the classroom. Skilled or knowledgeable learners can provide scaffolding for their peers in this setting to advance learning Pritchard (2013). Although there are numerous educational benefits of using this strategy, however, as with any group project, learners may feel resentment if a group member does not adequately contribute to a particular task, or become overly dominant and prevent others from contributing to decision-making processes. Therefore, teachers should consider best practices to lessen challenges from the beginning, focused on how students are grouped to achieve the maximum benefit to encourage a smoother group process (Aubrey and Riley, 2016). </w:t>
      </w:r>
    </w:p>
    <w:p w14:paraId="13130F17"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The recapping and oral Q &amp; A strategies are present in this course to check what has been understood at the end of a lesson and is also a way for teachers to evaluate the success of the learning immediately and to pick up mistakes (</w:t>
      </w:r>
      <w:proofErr w:type="spellStart"/>
      <w:r w:rsidRPr="0030403B">
        <w:rPr>
          <w:rFonts w:ascii="Arial" w:hAnsi="Arial" w:cs="Arial"/>
          <w:sz w:val="24"/>
          <w:szCs w:val="24"/>
        </w:rPr>
        <w:t>Hodgen</w:t>
      </w:r>
      <w:proofErr w:type="spellEnd"/>
      <w:r w:rsidRPr="0030403B">
        <w:rPr>
          <w:rFonts w:ascii="Arial" w:hAnsi="Arial" w:cs="Arial"/>
          <w:sz w:val="24"/>
          <w:szCs w:val="24"/>
        </w:rPr>
        <w:t xml:space="preserve"> et al., 2009).  Q&amp;A and Recap Strategy, are important in language classrooms, as spoken language is the ultimate goal in any language program. They focus on the learners’ ability to communicate with what they know; students may find that oral testing gives them opportunities to self-correct, ask for clarification and use language creatively. However, nervous and shy learners in class can find this intimidating (Cheng et al., 2008).</w:t>
      </w:r>
    </w:p>
    <w:p w14:paraId="5D36AAAA"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lastRenderedPageBreak/>
        <w:t>Discussing each topic and presenting the information will be one of the teaching strategy used in this course and provides immediate feedback on student knowledge of the subject. However, it cannot be an effective strategy for beginner level students with many not having the discussion skills (Reece and Walker, 2007).</w:t>
      </w:r>
    </w:p>
    <w:p w14:paraId="153E1646"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Drilling is one of the teaching strategies used in this course, conducted by learners’ repetition of vocabularies provided by the teacher. This method focuses on accuracy, providing an opportunity for learners to get immediate feedback on their accuracy. However, drills are a form of very controlled practice (Tice, 2004). And lastly, the Learning by Doing Strategy applied in this course where the student use train timetables and a clock to learn about the time.</w:t>
      </w:r>
    </w:p>
    <w:p w14:paraId="09E93F18"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The assessment strategies used, and why they were chosen, based on sound academic research.</w:t>
      </w:r>
    </w:p>
    <w:p w14:paraId="54263005"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The course contains a variety of assessment strategies to check the learners’ level of understanding including the Observation Assessment Strategy. To view comprehension, the teacher gathers evidence of student learning by walking around the classroom to observe if students are on task or need further clarification (Cheng et al., 2008).</w:t>
      </w:r>
    </w:p>
    <w:p w14:paraId="580D016A"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Quizzes are a popular assessment strategy in teaching ESOL, covering a wide range of material, offering an instant grading for the teacher, this method of assessment decreases test stress because even those with no knowledge of an answer have a chance to get the question correct. However, one mistake on a matching test can throw off so many answers a student has no hope of passing (Reece and Walker, 2007).</w:t>
      </w:r>
    </w:p>
    <w:p w14:paraId="05FC11EF"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lastRenderedPageBreak/>
        <w:t>Completing the course assessment booklet is one of assessing strategies used in this course. At the beginning of the course, the teacher will ask the learners to complete a booklet contains alternative responses such as true or false, filling activities such as order games and multiple choice to assess the current stage of a learner’s skills (Cheng et al., 2008).</w:t>
      </w:r>
    </w:p>
    <w:p w14:paraId="3248A9CF"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 xml:space="preserve">Different testing format strategies used in this course measure the amount of material that each student has learned, for example, the student is required to complete worksheets during the lesson, to ensure that the tasks are understood. Also at the end of the course, the teacher will set up a test to evaluate the learning process and progress made. However, tests are less common in the ESL classroom as they require a larger base of general knowledge than simpler test forms ((Reece and Walker, 2007). </w:t>
      </w:r>
    </w:p>
    <w:p w14:paraId="28A73594" w14:textId="77777777" w:rsidR="00E96D10" w:rsidRPr="0030403B" w:rsidRDefault="00E96D10" w:rsidP="0030403B">
      <w:pPr>
        <w:spacing w:line="480" w:lineRule="auto"/>
        <w:jc w:val="both"/>
        <w:rPr>
          <w:rFonts w:ascii="Arial" w:hAnsi="Arial" w:cs="Arial"/>
          <w:sz w:val="24"/>
          <w:szCs w:val="24"/>
        </w:rPr>
      </w:pPr>
    </w:p>
    <w:p w14:paraId="31BF3E44"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The evaluation techniques to be used to evaluate the learning and your teaching, and why they were chosen, based on sound academic research.</w:t>
      </w:r>
    </w:p>
    <w:p w14:paraId="10C485D5"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This course will use different evaluation techniques, to measure the achievements of the learning outcomes. For example; the teacher will reflect and add feedback notes on the course scheme of work to evaluate learning and amendments that should be developed to deliver the lesson in the best possible way (Xu, 2012).</w:t>
      </w:r>
    </w:p>
    <w:p w14:paraId="5E4EE8A9"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 xml:space="preserve">Having the learners’ feedback on teaching. The goal of education is to make students learn and understand, therefore, what learners perceive and experience in the class would directly determine how effective the learning is through the course. The teacher will collect feedback by doing questionnaires, surveys or interviews, interviewing the learners face to face or through a simple questionnaire. However, learners are not </w:t>
      </w:r>
      <w:r w:rsidRPr="0030403B">
        <w:rPr>
          <w:rFonts w:ascii="Arial" w:hAnsi="Arial" w:cs="Arial"/>
          <w:sz w:val="24"/>
          <w:szCs w:val="24"/>
        </w:rPr>
        <w:lastRenderedPageBreak/>
        <w:t>always honest in giving their opinion; if they receive good grades, they may, in turn, write an excellent evaluation, however, if on the other hand students receive bad grades feedback may be biased (Hand &amp; Rowe, 2001).</w:t>
      </w:r>
    </w:p>
    <w:p w14:paraId="144082A6"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 xml:space="preserve">The other way of getting feedback from the learners is by doing the final test at the end of the course. The test or exam is a fast and successful way to assess students' learning on crucial points. The teacher can provide a quick quiz for students to determine how much they know and how much they can answer collectively or individually (Reece and Walker, 2007). </w:t>
      </w:r>
    </w:p>
    <w:p w14:paraId="09E0D953" w14:textId="77777777" w:rsidR="00E96D10" w:rsidRPr="0030403B" w:rsidRDefault="00E96D10" w:rsidP="0030403B">
      <w:pPr>
        <w:spacing w:line="480" w:lineRule="auto"/>
        <w:jc w:val="both"/>
        <w:rPr>
          <w:rFonts w:ascii="Arial" w:hAnsi="Arial" w:cs="Arial"/>
          <w:sz w:val="24"/>
          <w:szCs w:val="24"/>
        </w:rPr>
      </w:pPr>
      <w:r w:rsidRPr="0030403B">
        <w:rPr>
          <w:rFonts w:ascii="Arial" w:hAnsi="Arial" w:cs="Arial"/>
          <w:sz w:val="24"/>
          <w:szCs w:val="24"/>
        </w:rPr>
        <w:t>Peer review and recommendation will be one of the techniques teachers will use to evaluate teaching by inviting other colleagues to sit in the class and directly observe teaching style, contents, pace etc. and provide feedback and constructive criticisms. A similar assessment provision can be through video recordings. Observation by others allows a teacher to become aware of many things that they may be too busy to notice while conducting their teaching. Teachers can negotiate with the observers before the class observation regarding the areas of focus, and discuss the essential points in a debriefing meeting afterwards. However, some teachers' behaviour changes negatively due to stress when being observed by seniors, especially if assessors are in a position to make decisions about their promotion and tenure. Ideally, peers would be willing to freely exchange and share their ideas honestly (Iqbal, Ii (2014).</w:t>
      </w:r>
    </w:p>
    <w:p w14:paraId="368D6D7E" w14:textId="43C0EC86" w:rsidR="00E96D10" w:rsidRPr="0030403B" w:rsidRDefault="00E96D10" w:rsidP="0030403B">
      <w:pPr>
        <w:spacing w:line="480" w:lineRule="auto"/>
        <w:jc w:val="both"/>
        <w:rPr>
          <w:rFonts w:ascii="Arial" w:hAnsi="Arial" w:cs="Arial"/>
          <w:sz w:val="24"/>
          <w:szCs w:val="24"/>
        </w:rPr>
      </w:pPr>
    </w:p>
    <w:p w14:paraId="59331703" w14:textId="4AEA491C" w:rsidR="00EC1413" w:rsidRPr="0030403B" w:rsidRDefault="00EC1413" w:rsidP="0030403B">
      <w:pPr>
        <w:spacing w:line="480" w:lineRule="auto"/>
        <w:jc w:val="both"/>
        <w:rPr>
          <w:rFonts w:ascii="Arial" w:hAnsi="Arial" w:cs="Arial"/>
          <w:sz w:val="24"/>
          <w:szCs w:val="24"/>
        </w:rPr>
      </w:pPr>
      <w:r w:rsidRPr="0030403B">
        <w:rPr>
          <w:rFonts w:ascii="Arial" w:hAnsi="Arial" w:cs="Arial"/>
          <w:sz w:val="24"/>
          <w:szCs w:val="24"/>
        </w:rPr>
        <w:t>TASK 4</w:t>
      </w:r>
    </w:p>
    <w:p w14:paraId="664A0AAC"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Task four</w:t>
      </w:r>
    </w:p>
    <w:p w14:paraId="418851C2"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lastRenderedPageBreak/>
        <w:t>Demonstrate clearly the link between the teaching, learning and assessment strategies chosen and learning theories through an academic critique.</w:t>
      </w:r>
    </w:p>
    <w:p w14:paraId="25B5612F"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 xml:space="preserve">A classroom of diverse learners with diverse language histories can be a challenge for a classroom teacher as learners are so varied. Backgrounds may span a vast continuum, ranging from people with no previous education or employment at one end to highly educated professionals, such as doctors or university lecturers, also, their varying motivations, interests, learning styles, ages, aptitudes, abilities (Basic Skills Agency, 2001). The course contained few learning and teaching methodologies as no particular strategy will work for every learner. These strategies are linking </w:t>
      </w:r>
      <w:proofErr w:type="gramStart"/>
      <w:r w:rsidRPr="0030403B">
        <w:rPr>
          <w:rFonts w:ascii="Arial" w:hAnsi="Arial" w:cs="Arial"/>
          <w:sz w:val="24"/>
          <w:szCs w:val="24"/>
        </w:rPr>
        <w:t>to</w:t>
      </w:r>
      <w:proofErr w:type="gramEnd"/>
      <w:r w:rsidRPr="0030403B">
        <w:rPr>
          <w:rFonts w:ascii="Arial" w:hAnsi="Arial" w:cs="Arial"/>
          <w:sz w:val="24"/>
          <w:szCs w:val="24"/>
        </w:rPr>
        <w:t xml:space="preserve"> many learning theories to address the process of learning the English language. </w:t>
      </w:r>
    </w:p>
    <w:p w14:paraId="3A5E1C85"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 xml:space="preserve">The Drilling learning and teaching strategy applied in the course has been used in foreign language classrooms for many years and based on the idea that repeating phrases correctly lots of times would lead to the proficiency of the language. This strategy as stated by Tice (2004) is a very controlled practice based on repeating one correct answer. The primary focus is on achieving the correct answer and learners do not take the initiative to change or improve things. This strategy links to the Behaviourism Theory. </w:t>
      </w:r>
    </w:p>
    <w:p w14:paraId="4778E8FE"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 xml:space="preserve">Behaviourism theorists view the learner as a blank slate who provision will be the experience. And learning happens when new behaviours are acquired through associations between stimuli and responses. Stated by Moore (2012) this theory credited to Skinner (1953) and its learning process based on observable changes in behaviour. Behaviour Theory defines learning as a change in behaviour and begins when stimulus from the environment is presented, consequently the learner reacts to the stimulus with a type of response. </w:t>
      </w:r>
    </w:p>
    <w:p w14:paraId="048F277A"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lastRenderedPageBreak/>
        <w:t>Reinforcement of the desired behaviour is arranged to follow for example study for a test and get a good grade. The new response is repeated to become automatic. Teachers use 'Behaviourism' when they reward or punish a student's behaviours. However, Behaviourism instruction does not prepare the learners for problem solving or creative thinking. Furthermore, learners do what they told and do not take the initiative to change or improve things (Bates, 2016).</w:t>
      </w:r>
    </w:p>
    <w:p w14:paraId="02EA2693"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 xml:space="preserve">The Question and Answer learning and assessing strategy is embedded in this course and link to the behaviourism theory. Student learning and gaining knowledge by either response or asking questions for clarification, with the teacher reinforcing student responses and questions in a positive way in order to encourage future participation. That can happen by making positive statements or using positive non-verbal communication include smiling, nodding and maintaining eye </w:t>
      </w:r>
      <w:proofErr w:type="gramStart"/>
      <w:r w:rsidRPr="0030403B">
        <w:rPr>
          <w:rFonts w:ascii="Arial" w:hAnsi="Arial" w:cs="Arial"/>
          <w:sz w:val="24"/>
          <w:szCs w:val="24"/>
        </w:rPr>
        <w:t>contact(</w:t>
      </w:r>
      <w:proofErr w:type="gramEnd"/>
      <w:r w:rsidRPr="0030403B">
        <w:rPr>
          <w:rFonts w:ascii="Arial" w:hAnsi="Arial" w:cs="Arial"/>
          <w:sz w:val="24"/>
          <w:szCs w:val="24"/>
        </w:rPr>
        <w:t>Cheng et al 2008).</w:t>
      </w:r>
    </w:p>
    <w:p w14:paraId="6BD6922B"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 xml:space="preserve">In relation to teaching ESOL, there is much the teacher can take from this theory to enhance the classroom and assist in student learning. The Behaviourism Learning Theory grew out of the belief that students could learn a second language by being taught to produce the correct response to the appropriate stimuli. The student would then receive either immediate positive or negative reinforcement in the shape of either correction or praise from the teacher. It is a very compelling method of education. And based on the premise that the learners see positive consequences from a particular type of behaviour, they are more likely to repeat that behaviour themselves (Reece and Walker, 2007). On the other hand, if negative consequences are the result, they are less likely to perform that behaviour again. Although many students have learned by this method and the theory has been very successful over the years. However, </w:t>
      </w:r>
      <w:r w:rsidRPr="0030403B">
        <w:rPr>
          <w:rFonts w:ascii="Arial" w:hAnsi="Arial" w:cs="Arial"/>
          <w:sz w:val="24"/>
          <w:szCs w:val="24"/>
        </w:rPr>
        <w:lastRenderedPageBreak/>
        <w:t xml:space="preserve">Behaviourism is not suitable as an efficient method of learning a foreign language (Bates, 2016). </w:t>
      </w:r>
    </w:p>
    <w:p w14:paraId="21B26161" w14:textId="77777777" w:rsidR="00AC0591" w:rsidRPr="0030403B" w:rsidRDefault="00AC0591" w:rsidP="0030403B">
      <w:pPr>
        <w:spacing w:line="480" w:lineRule="auto"/>
        <w:jc w:val="both"/>
        <w:rPr>
          <w:rFonts w:ascii="Arial" w:hAnsi="Arial" w:cs="Arial"/>
          <w:sz w:val="24"/>
          <w:szCs w:val="24"/>
        </w:rPr>
      </w:pPr>
    </w:p>
    <w:p w14:paraId="534E840E"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 xml:space="preserve">Discussing each topic and presenting the information will be one of the teaching strategies used within this course. This directed instruction links to the Cognitive Learning Theory (Reece and Walker, 2007). </w:t>
      </w:r>
    </w:p>
    <w:p w14:paraId="062CE14F"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In addition, the Assessment Teaching Strategy applied to this course is in a format of completing the assessment booklet and worksheets link to the Cognitive Learning Theory. During these assessments, the teacher carefully assesses the current stage of a learner's cognitive development and only allocate tasks for which the learner is prepared.  The learner can then be given tasks that are tailored to their developmental level and are motivating (Cheng et al., 2008).</w:t>
      </w:r>
    </w:p>
    <w:p w14:paraId="02CC4D79"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 xml:space="preserve">The Recapping Strategy linked to the Cognitive Learning </w:t>
      </w:r>
      <w:proofErr w:type="gramStart"/>
      <w:r w:rsidRPr="0030403B">
        <w:rPr>
          <w:rFonts w:ascii="Arial" w:hAnsi="Arial" w:cs="Arial"/>
          <w:sz w:val="24"/>
          <w:szCs w:val="24"/>
        </w:rPr>
        <w:t>Theory(</w:t>
      </w:r>
      <w:proofErr w:type="gramEnd"/>
      <w:r w:rsidRPr="0030403B">
        <w:rPr>
          <w:rFonts w:ascii="Arial" w:hAnsi="Arial" w:cs="Arial"/>
          <w:sz w:val="24"/>
          <w:szCs w:val="24"/>
        </w:rPr>
        <w:t xml:space="preserve">Cheng et al., 2008) is used in this course by the teacher to recall what the learner has achieved from the last lesson,  summarising the main points. </w:t>
      </w:r>
    </w:p>
    <w:p w14:paraId="72C4D027"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Stated by Reece and Walker (2007) Cognitive games promote and influence cognitive learning and are helpful when used to learn a foreign language and memorise new learning material. There are some game strategies which include Flashcards, Bingo, Icebreaking, Matching games, Letter tiles, Word bank and are applied in the course, linking to Cognitive Theory. The Quiz Teaching and Assessment Strategy link to the Behaviourism and the Cognitive Theory (Reece and Walker, 2007).</w:t>
      </w:r>
    </w:p>
    <w:p w14:paraId="03726707"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The Observation Assessment Strategy used in this course by the teacher to check the learner's level of knowledge link to the Cognitive Learning Theory (Cheng et al., 2008).</w:t>
      </w:r>
    </w:p>
    <w:p w14:paraId="56E72F83"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lastRenderedPageBreak/>
        <w:t>The Cognitive Learning Theory credited to Piaget is based on the idea that humans process the information they receive rather than respond to stimuli.  Theorists believe that learning happened through internal processing of information, the cognitive approach pays more attention to what goes inside the learner's head and is influenced by interaction with other human beings, object, and environments (Reece and Walker, 2007).</w:t>
      </w:r>
    </w:p>
    <w:p w14:paraId="7E16A8BA"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In relation to ESOL learning, the theory insists that education is based on understanding. Language learning is a creative process. Students can only perform after they have understood the system of the language. Learners cannot imitate without activating a cognitive process (Reece and Walker, 2007). In a cognitive approach classroom, meaningful learning and practice emphasised during the entire learning process. The theory develops all four skills of listening, speaking, reading and writing from the beginning of language courses, supported by the nature of real communication, in which people seldom use one skill. In real life, communication is carried through all possible channels: listening involves speaking, reading might involve writing and etc. When a foreign language learner can complete all of the target language resources, learning will be more effective (Basic Skills Agency, 2000).</w:t>
      </w:r>
    </w:p>
    <w:p w14:paraId="4653D63D"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 xml:space="preserve">The Peer and Group Work learning strategy supported by Vygotsky’s Constructivism theory (1978) (Aubrey and Riley (2016)  is one of the teaching and learning strategies applied to this course, where learners interact with each other and practice their knowledge and ideas.  Pritchard (2013) states that the learning in this theory, which is based on how the individual interprets the meaning of their experiences and since everyone has a different set of exposures learning in unique and different for each person. The learning process, therefore, is the process of adjusting our mental models to accommodate our new experiences. Teachers use this to prepare people for </w:t>
      </w:r>
      <w:r w:rsidRPr="0030403B">
        <w:rPr>
          <w:rFonts w:ascii="Arial" w:hAnsi="Arial" w:cs="Arial"/>
          <w:sz w:val="24"/>
          <w:szCs w:val="24"/>
        </w:rPr>
        <w:lastRenderedPageBreak/>
        <w:t xml:space="preserve">problem-solving so for a learner to be successful, the learner needs a significant base of knowledge to interpret and create ideas. </w:t>
      </w:r>
    </w:p>
    <w:p w14:paraId="194EC6F1"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 xml:space="preserve">Linking this theory to teaching ESOL, this learning theory is a mix of cultural approach and educational approach and beneficial for adult learners because it involves social interaction, cultural involvement, and all components of the teaching environment. Grounded in Vygotsky’s sociocultural theories of collaborative learning which </w:t>
      </w:r>
      <w:proofErr w:type="gramStart"/>
      <w:r w:rsidRPr="0030403B">
        <w:rPr>
          <w:rFonts w:ascii="Arial" w:hAnsi="Arial" w:cs="Arial"/>
          <w:sz w:val="24"/>
          <w:szCs w:val="24"/>
        </w:rPr>
        <w:t>is a compelling strategy in the classroom</w:t>
      </w:r>
      <w:proofErr w:type="gramEnd"/>
      <w:r w:rsidRPr="0030403B">
        <w:rPr>
          <w:rFonts w:ascii="Arial" w:hAnsi="Arial" w:cs="Arial"/>
          <w:sz w:val="24"/>
          <w:szCs w:val="24"/>
        </w:rPr>
        <w:t>; group work can help students uncover and address gaps and misconceptions in knowledge (Pritchard (2013).  However, Aubrey and Riley (2016) argue that Vygotsky’s Socio-Cultural Theory does not seem to apply to all social and cultural groups, as social groups may not be equal with all learners being able to gain the same meaning from engagement. Also, collaboration and participation vary from one learner to another; there are differences in skillset for each learner, which produces learning constraints. Learners with learning disabilities or learning difficulties, for example, might not be able to take away the same meaning from group interactions as those learners without learning disabilities or learning difficulties.</w:t>
      </w:r>
    </w:p>
    <w:p w14:paraId="7E32CAC9"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 xml:space="preserve">The best way to learn is putting tasks in practice, achieving this, the course included the Active Learning Strategy otherwise known as Experiential Learning Theory developed by the Humanism theorist David Kolb (1984) ( </w:t>
      </w:r>
      <w:proofErr w:type="spellStart"/>
      <w:r w:rsidRPr="0030403B">
        <w:rPr>
          <w:rFonts w:ascii="Arial" w:hAnsi="Arial" w:cs="Arial"/>
          <w:sz w:val="24"/>
          <w:szCs w:val="24"/>
        </w:rPr>
        <w:t>Dennick</w:t>
      </w:r>
      <w:proofErr w:type="spellEnd"/>
      <w:r w:rsidRPr="0030403B">
        <w:rPr>
          <w:rFonts w:ascii="Arial" w:hAnsi="Arial" w:cs="Arial"/>
          <w:sz w:val="24"/>
          <w:szCs w:val="24"/>
        </w:rPr>
        <w:t xml:space="preserve">, 2008).) This examines where the learners engage with the material, participate in the class and collaborate with each other.  </w:t>
      </w:r>
    </w:p>
    <w:p w14:paraId="7D9A8CE8"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 xml:space="preserve">To explain Kolb's Theory, one needs to understand the Humanism theory. According to Bates (2016), the Humanism theory posits that learner’s self-actualisation and creative ability are vital for their behaviour. This theory considers the learners’ free </w:t>
      </w:r>
      <w:r w:rsidRPr="0030403B">
        <w:rPr>
          <w:rFonts w:ascii="Arial" w:hAnsi="Arial" w:cs="Arial"/>
          <w:sz w:val="24"/>
          <w:szCs w:val="24"/>
        </w:rPr>
        <w:lastRenderedPageBreak/>
        <w:t>activity as the centre of teaching, ignoring the systematic logic of textbook and the teacher’s leading role and underestimating the power of the society. The primary theorist for this theory is Dewey, who called for education to be grounded in real experience. Dewey believes that schools should not focus on repetitive and rote memorisation. A learner to be given opportunities to engage in practical workshops to prove their knowledge through creativity and collaboration. However, Critics argue that some learners prefer instruction (Bates, 2016).</w:t>
      </w:r>
    </w:p>
    <w:p w14:paraId="2D1CA548"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 xml:space="preserve">Experiential Learning is a strategy defined by the </w:t>
      </w:r>
      <w:proofErr w:type="gramStart"/>
      <w:r w:rsidRPr="0030403B">
        <w:rPr>
          <w:rFonts w:ascii="Arial" w:hAnsi="Arial" w:cs="Arial"/>
          <w:sz w:val="24"/>
          <w:szCs w:val="24"/>
        </w:rPr>
        <w:t>learners</w:t>
      </w:r>
      <w:proofErr w:type="gramEnd"/>
      <w:r w:rsidRPr="0030403B">
        <w:rPr>
          <w:rFonts w:ascii="Arial" w:hAnsi="Arial" w:cs="Arial"/>
          <w:sz w:val="24"/>
          <w:szCs w:val="24"/>
        </w:rPr>
        <w:t xml:space="preserve"> current learning participation and its relationship to past and future activity and awareness. Kolb created a now widely accepted model of the learning cycle to demonstrate the process by which experience is translated into a learning model. This is composed of 4 elements; concrete experience, observation and reflection on that experience, the formation of abstract concepts based on the reflection and testing the new concepts. To learn, one must go through a series of steps after an initial experience which is supported by Aubrey and Riley (2016).  </w:t>
      </w:r>
    </w:p>
    <w:p w14:paraId="3EFD7E84"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 xml:space="preserve">In the field of ESOL acquisition, the experiential approach encourages learners to develop the target language skills through the experience of working together on a specific task, rather than only examining discrete elements of the target language. The reflection phase requires learners to engage actively with their own past acquisition experiences and focuses them on the future. </w:t>
      </w:r>
    </w:p>
    <w:p w14:paraId="1DEB731C"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 xml:space="preserve">Also according to the Humanism Theory, (student-centred approach). As learners have preference learning skills such as reading, writing, speaking and listening, teachers should incorporate diverse teaching philosophies and create an excellent learning environment for each student. That encourages students to do their best and </w:t>
      </w:r>
      <w:r w:rsidRPr="0030403B">
        <w:rPr>
          <w:rFonts w:ascii="Arial" w:hAnsi="Arial" w:cs="Arial"/>
          <w:sz w:val="24"/>
          <w:szCs w:val="24"/>
        </w:rPr>
        <w:lastRenderedPageBreak/>
        <w:t>makes learning exciting. Teachers should be aware of the importance of integrating all the skills in such way that students can transition from one action to other favourably (</w:t>
      </w:r>
      <w:proofErr w:type="spellStart"/>
      <w:r w:rsidRPr="0030403B">
        <w:rPr>
          <w:rFonts w:ascii="Arial" w:hAnsi="Arial" w:cs="Arial"/>
          <w:sz w:val="24"/>
          <w:szCs w:val="24"/>
        </w:rPr>
        <w:t>Peetham</w:t>
      </w:r>
      <w:proofErr w:type="spellEnd"/>
      <w:r w:rsidRPr="0030403B">
        <w:rPr>
          <w:rFonts w:ascii="Arial" w:hAnsi="Arial" w:cs="Arial"/>
          <w:sz w:val="24"/>
          <w:szCs w:val="24"/>
        </w:rPr>
        <w:t xml:space="preserve"> &amp; Sharpe 2013).</w:t>
      </w:r>
    </w:p>
    <w:p w14:paraId="6CABB4E3" w14:textId="77777777" w:rsidR="00AC0591" w:rsidRPr="0030403B" w:rsidRDefault="00AC0591" w:rsidP="0030403B">
      <w:pPr>
        <w:spacing w:line="480" w:lineRule="auto"/>
        <w:jc w:val="both"/>
        <w:rPr>
          <w:rFonts w:ascii="Arial" w:hAnsi="Arial" w:cs="Arial"/>
          <w:sz w:val="24"/>
          <w:szCs w:val="24"/>
        </w:rPr>
      </w:pPr>
      <w:r w:rsidRPr="0030403B">
        <w:rPr>
          <w:rFonts w:ascii="Arial" w:hAnsi="Arial" w:cs="Arial"/>
          <w:sz w:val="24"/>
          <w:szCs w:val="24"/>
        </w:rPr>
        <w:t>In conclusion, the Experiential Learning Theory holds many potential benefits for ESOL learners concerning motivation, investment and cultural understanding. However, despite acknowledged benefits, the theory is still far from being accepted by all teachers. There are several reasons for this, including classroom time constraints, difficulties with assessment, and lack of training in how to meet course outcomes Aubrey and Riley (2016).</w:t>
      </w:r>
    </w:p>
    <w:p w14:paraId="190386AC" w14:textId="3E4AE3D0" w:rsidR="00AC0591" w:rsidRPr="0030403B" w:rsidRDefault="00AC0591" w:rsidP="0030403B">
      <w:pPr>
        <w:spacing w:line="480" w:lineRule="auto"/>
        <w:jc w:val="both"/>
        <w:rPr>
          <w:rFonts w:ascii="Arial" w:hAnsi="Arial" w:cs="Arial"/>
          <w:sz w:val="24"/>
          <w:szCs w:val="24"/>
        </w:rPr>
      </w:pPr>
    </w:p>
    <w:p w14:paraId="03251B4B" w14:textId="77777777" w:rsidR="00824DE7" w:rsidRPr="0030403B" w:rsidRDefault="00824DE7" w:rsidP="0030403B">
      <w:pPr>
        <w:spacing w:line="480" w:lineRule="auto"/>
        <w:jc w:val="both"/>
        <w:rPr>
          <w:rFonts w:ascii="Arial" w:hAnsi="Arial" w:cs="Arial"/>
          <w:sz w:val="24"/>
          <w:szCs w:val="24"/>
        </w:rPr>
      </w:pPr>
    </w:p>
    <w:p w14:paraId="006CA654" w14:textId="77777777" w:rsidR="00824DE7" w:rsidRPr="0030403B" w:rsidRDefault="00824DE7" w:rsidP="0030403B">
      <w:pPr>
        <w:spacing w:line="480" w:lineRule="auto"/>
        <w:jc w:val="both"/>
        <w:rPr>
          <w:rFonts w:ascii="Arial" w:hAnsi="Arial" w:cs="Arial"/>
          <w:sz w:val="24"/>
          <w:szCs w:val="24"/>
        </w:rPr>
      </w:pPr>
    </w:p>
    <w:p w14:paraId="1973C431" w14:textId="77777777" w:rsidR="00824DE7" w:rsidRPr="0030403B" w:rsidRDefault="00824DE7" w:rsidP="0030403B">
      <w:pPr>
        <w:spacing w:line="480" w:lineRule="auto"/>
        <w:jc w:val="both"/>
        <w:rPr>
          <w:rFonts w:ascii="Arial" w:hAnsi="Arial" w:cs="Arial"/>
          <w:sz w:val="24"/>
          <w:szCs w:val="24"/>
        </w:rPr>
      </w:pPr>
    </w:p>
    <w:p w14:paraId="1C57E46C" w14:textId="77777777" w:rsidR="00824DE7" w:rsidRPr="0030403B" w:rsidRDefault="00824DE7" w:rsidP="0030403B">
      <w:pPr>
        <w:spacing w:line="480" w:lineRule="auto"/>
        <w:jc w:val="both"/>
        <w:rPr>
          <w:rFonts w:ascii="Arial" w:hAnsi="Arial" w:cs="Arial"/>
          <w:sz w:val="24"/>
          <w:szCs w:val="24"/>
        </w:rPr>
      </w:pPr>
    </w:p>
    <w:p w14:paraId="00797F6B" w14:textId="77777777" w:rsidR="00824DE7" w:rsidRPr="0030403B" w:rsidRDefault="00824DE7" w:rsidP="0030403B">
      <w:pPr>
        <w:spacing w:line="480" w:lineRule="auto"/>
        <w:jc w:val="both"/>
        <w:rPr>
          <w:rFonts w:ascii="Arial" w:hAnsi="Arial" w:cs="Arial"/>
          <w:sz w:val="24"/>
          <w:szCs w:val="24"/>
        </w:rPr>
      </w:pPr>
    </w:p>
    <w:p w14:paraId="1F15F180" w14:textId="77777777" w:rsidR="00C8764F" w:rsidRDefault="00C8764F" w:rsidP="0030403B">
      <w:pPr>
        <w:spacing w:line="480" w:lineRule="auto"/>
        <w:jc w:val="both"/>
        <w:rPr>
          <w:rFonts w:ascii="Arial" w:hAnsi="Arial" w:cs="Arial"/>
          <w:sz w:val="24"/>
          <w:szCs w:val="24"/>
        </w:rPr>
      </w:pPr>
    </w:p>
    <w:p w14:paraId="1F95B8FB" w14:textId="77777777" w:rsidR="00C8764F" w:rsidRDefault="00C8764F" w:rsidP="0030403B">
      <w:pPr>
        <w:spacing w:line="480" w:lineRule="auto"/>
        <w:jc w:val="both"/>
        <w:rPr>
          <w:rFonts w:ascii="Arial" w:hAnsi="Arial" w:cs="Arial"/>
          <w:sz w:val="24"/>
          <w:szCs w:val="24"/>
        </w:rPr>
      </w:pPr>
    </w:p>
    <w:p w14:paraId="1579F18D" w14:textId="77777777" w:rsidR="00C8764F" w:rsidRDefault="00C8764F" w:rsidP="0030403B">
      <w:pPr>
        <w:spacing w:line="480" w:lineRule="auto"/>
        <w:jc w:val="both"/>
        <w:rPr>
          <w:rFonts w:ascii="Arial" w:hAnsi="Arial" w:cs="Arial"/>
          <w:sz w:val="24"/>
          <w:szCs w:val="24"/>
        </w:rPr>
      </w:pPr>
    </w:p>
    <w:p w14:paraId="308BEB12" w14:textId="77777777" w:rsidR="00C8764F" w:rsidRDefault="00C8764F" w:rsidP="0030403B">
      <w:pPr>
        <w:spacing w:line="480" w:lineRule="auto"/>
        <w:jc w:val="both"/>
        <w:rPr>
          <w:rFonts w:ascii="Arial" w:hAnsi="Arial" w:cs="Arial"/>
          <w:sz w:val="24"/>
          <w:szCs w:val="24"/>
        </w:rPr>
      </w:pPr>
    </w:p>
    <w:p w14:paraId="793AE695" w14:textId="77777777" w:rsidR="00C8764F" w:rsidRDefault="00C8764F" w:rsidP="0030403B">
      <w:pPr>
        <w:spacing w:line="480" w:lineRule="auto"/>
        <w:jc w:val="both"/>
        <w:rPr>
          <w:rFonts w:ascii="Arial" w:hAnsi="Arial" w:cs="Arial"/>
          <w:sz w:val="24"/>
          <w:szCs w:val="24"/>
        </w:rPr>
      </w:pPr>
    </w:p>
    <w:p w14:paraId="769CABC8" w14:textId="77777777" w:rsidR="00C8764F" w:rsidRDefault="00C8764F" w:rsidP="0030403B">
      <w:pPr>
        <w:spacing w:line="480" w:lineRule="auto"/>
        <w:jc w:val="both"/>
        <w:rPr>
          <w:rFonts w:ascii="Arial" w:hAnsi="Arial" w:cs="Arial"/>
          <w:sz w:val="24"/>
          <w:szCs w:val="24"/>
        </w:rPr>
      </w:pPr>
    </w:p>
    <w:p w14:paraId="34759B30" w14:textId="63ACC8B5" w:rsidR="009E2053" w:rsidRPr="0030403B" w:rsidRDefault="009E2053" w:rsidP="0030403B">
      <w:pPr>
        <w:spacing w:line="480" w:lineRule="auto"/>
        <w:jc w:val="both"/>
        <w:rPr>
          <w:rFonts w:ascii="Arial" w:hAnsi="Arial" w:cs="Arial"/>
          <w:sz w:val="24"/>
          <w:szCs w:val="24"/>
        </w:rPr>
      </w:pPr>
      <w:r w:rsidRPr="0030403B">
        <w:rPr>
          <w:rFonts w:ascii="Arial" w:hAnsi="Arial" w:cs="Arial"/>
          <w:sz w:val="24"/>
          <w:szCs w:val="24"/>
        </w:rPr>
        <w:lastRenderedPageBreak/>
        <w:t xml:space="preserve">Reference List: </w:t>
      </w:r>
    </w:p>
    <w:p w14:paraId="1ECF497F" w14:textId="51F4B020"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Aubrey,</w:t>
      </w:r>
      <w:r w:rsidR="004873AE">
        <w:rPr>
          <w:rFonts w:ascii="Arial" w:hAnsi="Arial" w:cs="Arial"/>
          <w:sz w:val="24"/>
          <w:szCs w:val="24"/>
        </w:rPr>
        <w:t xml:space="preserve"> </w:t>
      </w:r>
      <w:r w:rsidRPr="0030403B">
        <w:rPr>
          <w:rFonts w:ascii="Arial" w:hAnsi="Arial" w:cs="Arial"/>
          <w:sz w:val="24"/>
          <w:szCs w:val="24"/>
        </w:rPr>
        <w:t xml:space="preserve">K. and </w:t>
      </w:r>
      <w:r w:rsidR="004873AE" w:rsidRPr="0030403B">
        <w:rPr>
          <w:rFonts w:ascii="Arial" w:hAnsi="Arial" w:cs="Arial"/>
          <w:sz w:val="24"/>
          <w:szCs w:val="24"/>
        </w:rPr>
        <w:t>Riley, A. (</w:t>
      </w:r>
      <w:r w:rsidRPr="0030403B">
        <w:rPr>
          <w:rFonts w:ascii="Arial" w:hAnsi="Arial" w:cs="Arial"/>
          <w:sz w:val="24"/>
          <w:szCs w:val="24"/>
        </w:rPr>
        <w:t>2016)</w:t>
      </w:r>
      <w:r w:rsidR="004873AE" w:rsidRPr="0030403B">
        <w:rPr>
          <w:rFonts w:ascii="Arial" w:hAnsi="Arial" w:cs="Arial"/>
          <w:sz w:val="24"/>
          <w:szCs w:val="24"/>
        </w:rPr>
        <w:t>,</w:t>
      </w:r>
      <w:r w:rsidR="004873AE" w:rsidRPr="0030403B">
        <w:rPr>
          <w:rFonts w:ascii="Arial" w:hAnsi="Arial" w:cs="Arial"/>
          <w:sz w:val="24"/>
          <w:szCs w:val="24"/>
          <w:u w:val="single"/>
        </w:rPr>
        <w:t xml:space="preserve"> Understanding</w:t>
      </w:r>
      <w:r w:rsidRPr="0030403B">
        <w:rPr>
          <w:rFonts w:ascii="Arial" w:hAnsi="Arial" w:cs="Arial"/>
          <w:sz w:val="24"/>
          <w:szCs w:val="24"/>
          <w:u w:val="single"/>
        </w:rPr>
        <w:t xml:space="preserve"> and Using Educational Theories</w:t>
      </w:r>
      <w:r w:rsidRPr="0030403B">
        <w:rPr>
          <w:rFonts w:ascii="Arial" w:hAnsi="Arial" w:cs="Arial"/>
          <w:sz w:val="24"/>
          <w:szCs w:val="24"/>
        </w:rPr>
        <w:t>, London: Sage.</w:t>
      </w:r>
    </w:p>
    <w:p w14:paraId="11434470" w14:textId="7135358D"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 xml:space="preserve">Basic Skills Agency, (2000), The Adult Basic Skills ESOL Curriculum Draft. [Pdf].Available </w:t>
      </w:r>
      <w:r w:rsidR="00F3099D" w:rsidRPr="0030403B">
        <w:rPr>
          <w:rFonts w:ascii="Arial" w:hAnsi="Arial" w:cs="Arial"/>
          <w:sz w:val="24"/>
          <w:szCs w:val="24"/>
        </w:rPr>
        <w:t xml:space="preserve">at :&lt; </w:t>
      </w:r>
      <w:hyperlink r:id="rId7" w:history="1">
        <w:r w:rsidRPr="0030403B">
          <w:rPr>
            <w:rStyle w:val="Hyperlink"/>
            <w:rFonts w:ascii="Arial" w:hAnsi="Arial" w:cs="Arial"/>
            <w:sz w:val="24"/>
            <w:szCs w:val="24"/>
          </w:rPr>
          <w:t>http://dera.ioe.ac.uk/15247/1/adult%20basic%20skills%20ESOL%20curriculum%20-%20draft.pdf&gt; [Accessed</w:t>
        </w:r>
      </w:hyperlink>
      <w:r w:rsidRPr="0030403B">
        <w:rPr>
          <w:rFonts w:ascii="Arial" w:hAnsi="Arial" w:cs="Arial"/>
          <w:sz w:val="24"/>
          <w:szCs w:val="24"/>
        </w:rPr>
        <w:t xml:space="preserve"> 14/02/2018].</w:t>
      </w:r>
    </w:p>
    <w:p w14:paraId="5CA5321C" w14:textId="15CD03C0"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 xml:space="preserve">Basic Skills Agency, (2001), </w:t>
      </w:r>
      <w:r w:rsidRPr="0030403B">
        <w:rPr>
          <w:rFonts w:ascii="Arial" w:hAnsi="Arial" w:cs="Arial"/>
          <w:sz w:val="24"/>
          <w:szCs w:val="24"/>
          <w:u w:val="single"/>
        </w:rPr>
        <w:t>Adult ESOL core curriculum</w:t>
      </w:r>
      <w:r w:rsidRPr="0030403B">
        <w:rPr>
          <w:rFonts w:ascii="Arial" w:hAnsi="Arial" w:cs="Arial"/>
          <w:sz w:val="24"/>
          <w:szCs w:val="24"/>
        </w:rPr>
        <w:t>. [</w:t>
      </w:r>
      <w:r w:rsidR="008843E7" w:rsidRPr="0030403B">
        <w:rPr>
          <w:rFonts w:ascii="Arial" w:hAnsi="Arial" w:cs="Arial"/>
          <w:sz w:val="24"/>
          <w:szCs w:val="24"/>
        </w:rPr>
        <w:t>Pdf</w:t>
      </w:r>
      <w:r w:rsidRPr="0030403B">
        <w:rPr>
          <w:rFonts w:ascii="Arial" w:hAnsi="Arial" w:cs="Arial"/>
          <w:sz w:val="24"/>
          <w:szCs w:val="24"/>
        </w:rPr>
        <w:t>]. Available at:</w:t>
      </w:r>
      <w:r w:rsidR="008843E7">
        <w:rPr>
          <w:rFonts w:ascii="Arial" w:hAnsi="Arial" w:cs="Arial"/>
          <w:sz w:val="24"/>
          <w:szCs w:val="24"/>
        </w:rPr>
        <w:t xml:space="preserve"> </w:t>
      </w:r>
      <w:hyperlink r:id="rId8" w:history="1">
        <w:r w:rsidRPr="0030403B">
          <w:rPr>
            <w:rStyle w:val="Hyperlink"/>
            <w:rFonts w:ascii="Arial" w:hAnsi="Arial" w:cs="Arial"/>
            <w:sz w:val="24"/>
            <w:szCs w:val="24"/>
          </w:rPr>
          <w:t>https://cdn.cityandguilds.com/productdocuments/skills_for_work_and_life/english_mathematics_and_ict_skills/4692/centre_documents/adult_esol_core_curriculum_v1.pdf</w:t>
        </w:r>
      </w:hyperlink>
      <w:r w:rsidRPr="0030403B">
        <w:rPr>
          <w:rFonts w:ascii="Arial" w:hAnsi="Arial" w:cs="Arial"/>
          <w:sz w:val="24"/>
          <w:szCs w:val="24"/>
        </w:rPr>
        <w:t xml:space="preserve"> [Accessed 26/02/2018].</w:t>
      </w:r>
    </w:p>
    <w:p w14:paraId="48804991" w14:textId="77777777"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 xml:space="preserve">Bates, B. (2016), </w:t>
      </w:r>
      <w:r w:rsidRPr="0030403B">
        <w:rPr>
          <w:rFonts w:ascii="Arial" w:hAnsi="Arial" w:cs="Arial"/>
          <w:sz w:val="24"/>
          <w:szCs w:val="24"/>
          <w:u w:val="single"/>
        </w:rPr>
        <w:t>Learning Theories Simplifies: … and how to apply them to teaching</w:t>
      </w:r>
      <w:r w:rsidRPr="0030403B">
        <w:rPr>
          <w:rFonts w:ascii="Arial" w:hAnsi="Arial" w:cs="Arial"/>
          <w:sz w:val="24"/>
          <w:szCs w:val="24"/>
        </w:rPr>
        <w:t>, London: Sage.</w:t>
      </w:r>
    </w:p>
    <w:p w14:paraId="7C932101" w14:textId="77777777"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 xml:space="preserve">Brooks, G. et al. (2001) </w:t>
      </w:r>
      <w:r w:rsidRPr="0030403B">
        <w:rPr>
          <w:rFonts w:ascii="Arial" w:hAnsi="Arial" w:cs="Arial"/>
          <w:sz w:val="24"/>
          <w:szCs w:val="24"/>
          <w:u w:val="single"/>
        </w:rPr>
        <w:t>Progress in Adult Literacy: Do learners learn?</w:t>
      </w:r>
      <w:r w:rsidRPr="0030403B">
        <w:rPr>
          <w:rFonts w:ascii="Arial" w:hAnsi="Arial" w:cs="Arial"/>
          <w:sz w:val="24"/>
          <w:szCs w:val="24"/>
        </w:rPr>
        <w:t xml:space="preserve"> London: The Basic Skills Agency.</w:t>
      </w:r>
    </w:p>
    <w:p w14:paraId="336621B2" w14:textId="77777777"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 xml:space="preserve">Cheng, L, Rogers, W, &amp; Wang, X .(2008), </w:t>
      </w:r>
      <w:r w:rsidRPr="0030403B">
        <w:rPr>
          <w:rFonts w:ascii="Arial" w:hAnsi="Arial" w:cs="Arial"/>
          <w:sz w:val="24"/>
          <w:szCs w:val="24"/>
          <w:u w:val="single"/>
        </w:rPr>
        <w:t>'Assessment purposes and procedures in ESL/EFL classrooms', </w:t>
      </w:r>
      <w:r w:rsidRPr="0030403B">
        <w:rPr>
          <w:rFonts w:ascii="Arial" w:hAnsi="Arial" w:cs="Arial"/>
          <w:iCs/>
          <w:sz w:val="24"/>
          <w:szCs w:val="24"/>
          <w:u w:val="single"/>
        </w:rPr>
        <w:t>Assessment &amp; Evaluation In Higher Education</w:t>
      </w:r>
      <w:r w:rsidRPr="0030403B">
        <w:rPr>
          <w:rFonts w:ascii="Arial" w:hAnsi="Arial" w:cs="Arial"/>
          <w:sz w:val="24"/>
          <w:szCs w:val="24"/>
        </w:rPr>
        <w:t>, 33, 1, pp. 9-32, Education Source, EBSCO</w:t>
      </w:r>
      <w:r w:rsidRPr="0030403B">
        <w:rPr>
          <w:rFonts w:ascii="Arial" w:hAnsi="Arial" w:cs="Arial"/>
          <w:i/>
          <w:iCs/>
          <w:sz w:val="24"/>
          <w:szCs w:val="24"/>
        </w:rPr>
        <w:t>host</w:t>
      </w:r>
      <w:r w:rsidRPr="0030403B">
        <w:rPr>
          <w:rFonts w:ascii="Arial" w:hAnsi="Arial" w:cs="Arial"/>
          <w:sz w:val="24"/>
          <w:szCs w:val="24"/>
        </w:rPr>
        <w:t>, viewed 4 March 2018.</w:t>
      </w:r>
    </w:p>
    <w:p w14:paraId="702766BA" w14:textId="3337109B"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Cooke, M. (2000),</w:t>
      </w:r>
      <w:r w:rsidRPr="0030403B">
        <w:rPr>
          <w:rFonts w:ascii="Arial" w:hAnsi="Arial" w:cs="Arial"/>
          <w:bCs/>
          <w:sz w:val="24"/>
          <w:szCs w:val="24"/>
        </w:rPr>
        <w:t xml:space="preserve"> </w:t>
      </w:r>
      <w:r w:rsidRPr="0030403B">
        <w:rPr>
          <w:rFonts w:ascii="Arial" w:hAnsi="Arial" w:cs="Arial"/>
          <w:bCs/>
          <w:sz w:val="24"/>
          <w:szCs w:val="24"/>
          <w:u w:val="single"/>
        </w:rPr>
        <w:t>wasted Opportunities: a case study of two ESOL programmes in a Further Education College in central London</w:t>
      </w:r>
      <w:r w:rsidR="0055239F" w:rsidRPr="0030403B">
        <w:rPr>
          <w:rFonts w:ascii="Arial" w:hAnsi="Arial" w:cs="Arial"/>
          <w:bCs/>
          <w:sz w:val="24"/>
          <w:szCs w:val="24"/>
          <w:u w:val="single"/>
        </w:rPr>
        <w:t>,</w:t>
      </w:r>
      <w:r w:rsidRPr="0030403B">
        <w:rPr>
          <w:rFonts w:ascii="Arial" w:hAnsi="Arial" w:cs="Arial"/>
          <w:sz w:val="24"/>
          <w:szCs w:val="24"/>
        </w:rPr>
        <w:t xml:space="preserve"> London: Institute of Education.</w:t>
      </w:r>
    </w:p>
    <w:p w14:paraId="329CEF33" w14:textId="77777777"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 xml:space="preserve">Cruz </w:t>
      </w:r>
      <w:proofErr w:type="spellStart"/>
      <w:r w:rsidRPr="0030403B">
        <w:rPr>
          <w:rFonts w:ascii="Arial" w:hAnsi="Arial" w:cs="Arial"/>
          <w:sz w:val="24"/>
          <w:szCs w:val="24"/>
        </w:rPr>
        <w:t>Rondón</w:t>
      </w:r>
      <w:proofErr w:type="spellEnd"/>
      <w:r w:rsidRPr="0030403B">
        <w:rPr>
          <w:rFonts w:ascii="Arial" w:hAnsi="Arial" w:cs="Arial"/>
          <w:sz w:val="24"/>
          <w:szCs w:val="24"/>
        </w:rPr>
        <w:t xml:space="preserve">, E, &amp; Velasco Vera, L (2016), </w:t>
      </w:r>
      <w:r w:rsidRPr="0030403B">
        <w:rPr>
          <w:rFonts w:ascii="Arial" w:hAnsi="Arial" w:cs="Arial"/>
          <w:sz w:val="24"/>
          <w:szCs w:val="24"/>
          <w:u w:val="single"/>
        </w:rPr>
        <w:t>'Understanding the Role of Teaching Materials in a Beginners' Level English as a Foreign Language Course: A Case Study', Profile: Issues In Teachers' Professional Development</w:t>
      </w:r>
      <w:r w:rsidRPr="0030403B">
        <w:rPr>
          <w:rFonts w:ascii="Arial" w:hAnsi="Arial" w:cs="Arial"/>
          <w:sz w:val="24"/>
          <w:szCs w:val="24"/>
        </w:rPr>
        <w:t>, 18, 2, pp. 125-137, Education Source, EBSCOhost, viewed 20 February 2018.</w:t>
      </w:r>
    </w:p>
    <w:p w14:paraId="4991344B" w14:textId="78113D85" w:rsidR="009E2053" w:rsidRPr="0030403B" w:rsidRDefault="009E2053" w:rsidP="00E15E77">
      <w:pPr>
        <w:spacing w:line="240" w:lineRule="auto"/>
        <w:jc w:val="both"/>
        <w:rPr>
          <w:rFonts w:ascii="Arial" w:hAnsi="Arial" w:cs="Arial"/>
          <w:sz w:val="24"/>
          <w:szCs w:val="24"/>
        </w:rPr>
      </w:pPr>
      <w:proofErr w:type="spellStart"/>
      <w:r w:rsidRPr="0030403B">
        <w:rPr>
          <w:rFonts w:ascii="Arial" w:hAnsi="Arial" w:cs="Arial"/>
          <w:sz w:val="24"/>
          <w:szCs w:val="24"/>
        </w:rPr>
        <w:t>Dennick</w:t>
      </w:r>
      <w:proofErr w:type="spellEnd"/>
      <w:r w:rsidRPr="0030403B">
        <w:rPr>
          <w:rFonts w:ascii="Arial" w:hAnsi="Arial" w:cs="Arial"/>
          <w:sz w:val="24"/>
          <w:szCs w:val="24"/>
        </w:rPr>
        <w:t>,</w:t>
      </w:r>
      <w:r w:rsidR="004873AE">
        <w:rPr>
          <w:rFonts w:ascii="Arial" w:hAnsi="Arial" w:cs="Arial"/>
          <w:sz w:val="24"/>
          <w:szCs w:val="24"/>
        </w:rPr>
        <w:t xml:space="preserve"> </w:t>
      </w:r>
      <w:r w:rsidRPr="0030403B">
        <w:rPr>
          <w:rFonts w:ascii="Arial" w:hAnsi="Arial" w:cs="Arial"/>
          <w:sz w:val="24"/>
          <w:szCs w:val="24"/>
        </w:rPr>
        <w:t>R</w:t>
      </w:r>
      <w:r w:rsidR="004873AE" w:rsidRPr="0030403B">
        <w:rPr>
          <w:rFonts w:ascii="Arial" w:hAnsi="Arial" w:cs="Arial"/>
          <w:sz w:val="24"/>
          <w:szCs w:val="24"/>
        </w:rPr>
        <w:t>. (</w:t>
      </w:r>
      <w:r w:rsidRPr="0030403B">
        <w:rPr>
          <w:rFonts w:ascii="Arial" w:hAnsi="Arial" w:cs="Arial"/>
          <w:sz w:val="24"/>
          <w:szCs w:val="24"/>
        </w:rPr>
        <w:t>2008)</w:t>
      </w:r>
      <w:r w:rsidR="004873AE" w:rsidRPr="0030403B">
        <w:rPr>
          <w:rFonts w:ascii="Arial" w:hAnsi="Arial" w:cs="Arial"/>
          <w:sz w:val="24"/>
          <w:szCs w:val="24"/>
        </w:rPr>
        <w:t>,</w:t>
      </w:r>
      <w:r w:rsidR="004873AE" w:rsidRPr="0030403B">
        <w:rPr>
          <w:rFonts w:ascii="Arial" w:hAnsi="Arial" w:cs="Arial"/>
          <w:sz w:val="24"/>
          <w:szCs w:val="24"/>
          <w:u w:val="single"/>
        </w:rPr>
        <w:t xml:space="preserve"> Theories</w:t>
      </w:r>
      <w:r w:rsidRPr="0030403B">
        <w:rPr>
          <w:rFonts w:ascii="Arial" w:hAnsi="Arial" w:cs="Arial"/>
          <w:sz w:val="24"/>
          <w:szCs w:val="24"/>
          <w:u w:val="single"/>
        </w:rPr>
        <w:t xml:space="preserve"> of learning:</w:t>
      </w:r>
      <w:r w:rsidR="004873AE">
        <w:rPr>
          <w:rFonts w:ascii="Arial" w:hAnsi="Arial" w:cs="Arial"/>
          <w:sz w:val="24"/>
          <w:szCs w:val="24"/>
          <w:u w:val="single"/>
        </w:rPr>
        <w:t xml:space="preserve"> </w:t>
      </w:r>
      <w:r w:rsidRPr="0030403B">
        <w:rPr>
          <w:rFonts w:ascii="Arial" w:hAnsi="Arial" w:cs="Arial"/>
          <w:sz w:val="24"/>
          <w:szCs w:val="24"/>
          <w:u w:val="single"/>
        </w:rPr>
        <w:t xml:space="preserve">constructive </w:t>
      </w:r>
      <w:r w:rsidR="004873AE" w:rsidRPr="0030403B">
        <w:rPr>
          <w:rFonts w:ascii="Arial" w:hAnsi="Arial" w:cs="Arial"/>
          <w:sz w:val="24"/>
          <w:szCs w:val="24"/>
          <w:u w:val="single"/>
        </w:rPr>
        <w:t>experience,</w:t>
      </w:r>
      <w:r w:rsidR="00FC1475" w:rsidRPr="0030403B">
        <w:rPr>
          <w:rFonts w:ascii="Arial" w:hAnsi="Arial" w:cs="Arial"/>
          <w:sz w:val="24"/>
          <w:szCs w:val="24"/>
        </w:rPr>
        <w:t xml:space="preserve"> </w:t>
      </w:r>
      <w:r w:rsidRPr="0030403B">
        <w:rPr>
          <w:rFonts w:ascii="Arial" w:hAnsi="Arial" w:cs="Arial"/>
          <w:sz w:val="24"/>
          <w:szCs w:val="24"/>
        </w:rPr>
        <w:t>Abingdon:</w:t>
      </w:r>
      <w:r w:rsidR="004873AE">
        <w:rPr>
          <w:rFonts w:ascii="Arial" w:hAnsi="Arial" w:cs="Arial"/>
          <w:sz w:val="24"/>
          <w:szCs w:val="24"/>
        </w:rPr>
        <w:t xml:space="preserve"> </w:t>
      </w:r>
      <w:r w:rsidRPr="0030403B">
        <w:rPr>
          <w:rFonts w:ascii="Arial" w:hAnsi="Arial" w:cs="Arial"/>
          <w:sz w:val="24"/>
          <w:szCs w:val="24"/>
        </w:rPr>
        <w:t>Routledge.</w:t>
      </w:r>
    </w:p>
    <w:p w14:paraId="629006FF" w14:textId="77777777"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 xml:space="preserve">DERA. (2013), Breaking the language barriers: the report of the Working Group on English for Speakers of Other languages (ESOL). [Pdf]. Available at :&lt; </w:t>
      </w:r>
      <w:hyperlink r:id="rId9" w:history="1">
        <w:r w:rsidRPr="0030403B">
          <w:rPr>
            <w:rStyle w:val="Hyperlink"/>
            <w:rFonts w:ascii="Arial" w:hAnsi="Arial" w:cs="Arial"/>
            <w:sz w:val="24"/>
            <w:szCs w:val="24"/>
          </w:rPr>
          <w:t>http://dera.ioe.ac.uk/18101/&gt;[Accessed 26/02/2018</w:t>
        </w:r>
      </w:hyperlink>
      <w:r w:rsidRPr="0030403B">
        <w:rPr>
          <w:rFonts w:ascii="Arial" w:hAnsi="Arial" w:cs="Arial"/>
          <w:sz w:val="24"/>
          <w:szCs w:val="24"/>
        </w:rPr>
        <w:t>].</w:t>
      </w:r>
    </w:p>
    <w:p w14:paraId="4A69581A" w14:textId="77777777" w:rsidR="009E2053" w:rsidRPr="0030403B" w:rsidRDefault="009E2053" w:rsidP="00E15E77">
      <w:pPr>
        <w:spacing w:line="240" w:lineRule="auto"/>
        <w:jc w:val="both"/>
        <w:rPr>
          <w:rFonts w:ascii="Arial" w:hAnsi="Arial" w:cs="Arial"/>
          <w:sz w:val="24"/>
          <w:szCs w:val="24"/>
        </w:rPr>
      </w:pPr>
      <w:proofErr w:type="spellStart"/>
      <w:r w:rsidRPr="0030403B">
        <w:rPr>
          <w:rFonts w:ascii="Arial" w:hAnsi="Arial" w:cs="Arial"/>
          <w:sz w:val="24"/>
          <w:szCs w:val="24"/>
        </w:rPr>
        <w:t>Ginnis</w:t>
      </w:r>
      <w:proofErr w:type="spellEnd"/>
      <w:r w:rsidRPr="0030403B">
        <w:rPr>
          <w:rFonts w:ascii="Arial" w:hAnsi="Arial" w:cs="Arial"/>
          <w:sz w:val="24"/>
          <w:szCs w:val="24"/>
        </w:rPr>
        <w:t xml:space="preserve">, P. (2002). </w:t>
      </w:r>
      <w:r w:rsidRPr="0030403B">
        <w:rPr>
          <w:rFonts w:ascii="Arial" w:hAnsi="Arial" w:cs="Arial"/>
          <w:sz w:val="24"/>
          <w:szCs w:val="24"/>
          <w:u w:val="single"/>
        </w:rPr>
        <w:t>The Teacher’s Toolkit</w:t>
      </w:r>
      <w:r w:rsidRPr="0030403B">
        <w:rPr>
          <w:rFonts w:ascii="Arial" w:hAnsi="Arial" w:cs="Arial"/>
          <w:sz w:val="24"/>
          <w:szCs w:val="24"/>
        </w:rPr>
        <w:t>, Carmarthen: Crown House Publishing.</w:t>
      </w:r>
    </w:p>
    <w:p w14:paraId="4665B3C3" w14:textId="77777777"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 xml:space="preserve">Hand, L, &amp; Rowe, M .(2001), </w:t>
      </w:r>
      <w:r w:rsidRPr="0030403B">
        <w:rPr>
          <w:rFonts w:ascii="Arial" w:hAnsi="Arial" w:cs="Arial"/>
          <w:sz w:val="24"/>
          <w:szCs w:val="24"/>
          <w:u w:val="single"/>
        </w:rPr>
        <w:t>'Evaluation of student feedback', </w:t>
      </w:r>
      <w:r w:rsidRPr="0030403B">
        <w:rPr>
          <w:rFonts w:ascii="Arial" w:hAnsi="Arial" w:cs="Arial"/>
          <w:i/>
          <w:iCs/>
          <w:sz w:val="24"/>
          <w:szCs w:val="24"/>
          <w:u w:val="single"/>
        </w:rPr>
        <w:t>Accounting Education</w:t>
      </w:r>
      <w:r w:rsidRPr="0030403B">
        <w:rPr>
          <w:rFonts w:ascii="Arial" w:hAnsi="Arial" w:cs="Arial"/>
          <w:sz w:val="24"/>
          <w:szCs w:val="24"/>
        </w:rPr>
        <w:t>, 10, 2, pp. 147-160, Education Source, EBSCO</w:t>
      </w:r>
      <w:r w:rsidRPr="0030403B">
        <w:rPr>
          <w:rFonts w:ascii="Arial" w:hAnsi="Arial" w:cs="Arial"/>
          <w:i/>
          <w:iCs/>
          <w:sz w:val="24"/>
          <w:szCs w:val="24"/>
        </w:rPr>
        <w:t>host</w:t>
      </w:r>
      <w:r w:rsidRPr="0030403B">
        <w:rPr>
          <w:rFonts w:ascii="Arial" w:hAnsi="Arial" w:cs="Arial"/>
          <w:sz w:val="24"/>
          <w:szCs w:val="24"/>
        </w:rPr>
        <w:t>, viewed 4 February h 2018.</w:t>
      </w:r>
    </w:p>
    <w:p w14:paraId="46AE2345" w14:textId="694C8D3A" w:rsidR="009E2053" w:rsidRPr="0030403B" w:rsidRDefault="009E2053" w:rsidP="00E15E77">
      <w:pPr>
        <w:spacing w:line="240" w:lineRule="auto"/>
        <w:jc w:val="both"/>
        <w:rPr>
          <w:rFonts w:ascii="Arial" w:hAnsi="Arial" w:cs="Arial"/>
          <w:sz w:val="24"/>
          <w:szCs w:val="24"/>
        </w:rPr>
      </w:pPr>
      <w:proofErr w:type="spellStart"/>
      <w:r w:rsidRPr="0030403B">
        <w:rPr>
          <w:rFonts w:ascii="Arial" w:hAnsi="Arial" w:cs="Arial"/>
          <w:sz w:val="24"/>
          <w:szCs w:val="24"/>
        </w:rPr>
        <w:t>Hodgen</w:t>
      </w:r>
      <w:proofErr w:type="spellEnd"/>
      <w:r w:rsidR="004873AE">
        <w:rPr>
          <w:rFonts w:ascii="Arial" w:hAnsi="Arial" w:cs="Arial"/>
          <w:sz w:val="24"/>
          <w:szCs w:val="24"/>
        </w:rPr>
        <w:t xml:space="preserve"> </w:t>
      </w:r>
      <w:r w:rsidRPr="0030403B">
        <w:rPr>
          <w:rFonts w:ascii="Arial" w:hAnsi="Arial" w:cs="Arial"/>
          <w:sz w:val="24"/>
          <w:szCs w:val="24"/>
        </w:rPr>
        <w:t>,</w:t>
      </w:r>
      <w:r w:rsidR="004873AE">
        <w:rPr>
          <w:rFonts w:ascii="Arial" w:hAnsi="Arial" w:cs="Arial"/>
          <w:sz w:val="24"/>
          <w:szCs w:val="24"/>
        </w:rPr>
        <w:t xml:space="preserve"> </w:t>
      </w:r>
      <w:r w:rsidRPr="0030403B">
        <w:rPr>
          <w:rFonts w:ascii="Arial" w:hAnsi="Arial" w:cs="Arial"/>
          <w:sz w:val="24"/>
          <w:szCs w:val="24"/>
        </w:rPr>
        <w:t>J.</w:t>
      </w:r>
      <w:r w:rsidR="004873AE">
        <w:rPr>
          <w:rFonts w:ascii="Arial" w:hAnsi="Arial" w:cs="Arial"/>
          <w:sz w:val="24"/>
          <w:szCs w:val="24"/>
        </w:rPr>
        <w:t xml:space="preserve"> </w:t>
      </w:r>
      <w:r w:rsidRPr="0030403B">
        <w:rPr>
          <w:rFonts w:ascii="Arial" w:hAnsi="Arial" w:cs="Arial"/>
          <w:sz w:val="24"/>
          <w:szCs w:val="24"/>
        </w:rPr>
        <w:t>Coben</w:t>
      </w:r>
      <w:r w:rsidR="004873AE">
        <w:rPr>
          <w:rFonts w:ascii="Arial" w:hAnsi="Arial" w:cs="Arial"/>
          <w:sz w:val="24"/>
          <w:szCs w:val="24"/>
        </w:rPr>
        <w:t xml:space="preserve"> </w:t>
      </w:r>
      <w:r w:rsidRPr="0030403B">
        <w:rPr>
          <w:rFonts w:ascii="Arial" w:hAnsi="Arial" w:cs="Arial"/>
          <w:sz w:val="24"/>
          <w:szCs w:val="24"/>
        </w:rPr>
        <w:t>,D.</w:t>
      </w:r>
      <w:r w:rsidR="004873AE">
        <w:rPr>
          <w:rFonts w:ascii="Arial" w:hAnsi="Arial" w:cs="Arial"/>
          <w:sz w:val="24"/>
          <w:szCs w:val="24"/>
        </w:rPr>
        <w:t xml:space="preserve"> </w:t>
      </w:r>
      <w:r w:rsidRPr="0030403B">
        <w:rPr>
          <w:rFonts w:ascii="Arial" w:hAnsi="Arial" w:cs="Arial"/>
          <w:sz w:val="24"/>
          <w:szCs w:val="24"/>
        </w:rPr>
        <w:t>and Rhodes,</w:t>
      </w:r>
      <w:r w:rsidR="004873AE">
        <w:rPr>
          <w:rFonts w:ascii="Arial" w:hAnsi="Arial" w:cs="Arial"/>
          <w:sz w:val="24"/>
          <w:szCs w:val="24"/>
        </w:rPr>
        <w:t xml:space="preserve"> </w:t>
      </w:r>
      <w:r w:rsidRPr="0030403B">
        <w:rPr>
          <w:rFonts w:ascii="Arial" w:hAnsi="Arial" w:cs="Arial"/>
          <w:sz w:val="24"/>
          <w:szCs w:val="24"/>
        </w:rPr>
        <w:t>V.(2009)</w:t>
      </w:r>
      <w:r w:rsidRPr="0030403B">
        <w:rPr>
          <w:rFonts w:ascii="Arial" w:hAnsi="Arial" w:cs="Arial"/>
          <w:sz w:val="24"/>
          <w:szCs w:val="24"/>
          <w:u w:val="single"/>
        </w:rPr>
        <w:t>Feedback, talk and engaging with learners Formative assessment in adult numeracy</w:t>
      </w:r>
      <w:r w:rsidRPr="0030403B">
        <w:rPr>
          <w:rFonts w:ascii="Arial" w:hAnsi="Arial" w:cs="Arial"/>
          <w:sz w:val="24"/>
          <w:szCs w:val="24"/>
        </w:rPr>
        <w:t>.[Pdf].Available at:&lt;http://dera.ioe.ac.uk/21955/1/doc_4713.pdf&gt;[Accessed 16/02/2018].</w:t>
      </w:r>
    </w:p>
    <w:p w14:paraId="218BE955" w14:textId="77777777"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 xml:space="preserve">Iqbal, Ii (2014), </w:t>
      </w:r>
      <w:r w:rsidRPr="0030403B">
        <w:rPr>
          <w:rFonts w:ascii="Arial" w:hAnsi="Arial" w:cs="Arial"/>
          <w:sz w:val="24"/>
          <w:szCs w:val="24"/>
          <w:u w:val="single"/>
        </w:rPr>
        <w:t>'Don't tell it like it is: Preserving collegiality in the summative peer review of teaching', </w:t>
      </w:r>
      <w:r w:rsidRPr="0030403B">
        <w:rPr>
          <w:rFonts w:ascii="Arial" w:hAnsi="Arial" w:cs="Arial"/>
          <w:iCs/>
          <w:sz w:val="24"/>
          <w:szCs w:val="24"/>
          <w:u w:val="single"/>
        </w:rPr>
        <w:t>Canadian Journal Of Higher Education</w:t>
      </w:r>
      <w:r w:rsidRPr="0030403B">
        <w:rPr>
          <w:rFonts w:ascii="Arial" w:hAnsi="Arial" w:cs="Arial"/>
          <w:sz w:val="24"/>
          <w:szCs w:val="24"/>
        </w:rPr>
        <w:t>, 44, 1, pp. 108-124, Education Source, EBSCO</w:t>
      </w:r>
      <w:r w:rsidRPr="0030403B">
        <w:rPr>
          <w:rFonts w:ascii="Arial" w:hAnsi="Arial" w:cs="Arial"/>
          <w:iCs/>
          <w:sz w:val="24"/>
          <w:szCs w:val="24"/>
        </w:rPr>
        <w:t>host</w:t>
      </w:r>
      <w:r w:rsidRPr="0030403B">
        <w:rPr>
          <w:rFonts w:ascii="Arial" w:hAnsi="Arial" w:cs="Arial"/>
          <w:sz w:val="24"/>
          <w:szCs w:val="24"/>
        </w:rPr>
        <w:t>, viewed 4 February  2018.</w:t>
      </w:r>
    </w:p>
    <w:p w14:paraId="0F831E80" w14:textId="77777777"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 xml:space="preserve">Kelly, A.V. (2009), </w:t>
      </w:r>
      <w:r w:rsidRPr="0030403B">
        <w:rPr>
          <w:rFonts w:ascii="Arial" w:hAnsi="Arial" w:cs="Arial"/>
          <w:sz w:val="24"/>
          <w:szCs w:val="24"/>
          <w:u w:val="single"/>
        </w:rPr>
        <w:t>The Curriculum: Theory and Practice</w:t>
      </w:r>
      <w:r w:rsidRPr="0030403B">
        <w:rPr>
          <w:rFonts w:ascii="Arial" w:hAnsi="Arial" w:cs="Arial"/>
          <w:sz w:val="24"/>
          <w:szCs w:val="24"/>
        </w:rPr>
        <w:t>, 6</w:t>
      </w:r>
      <w:r w:rsidRPr="0030403B">
        <w:rPr>
          <w:rFonts w:ascii="Arial" w:hAnsi="Arial" w:cs="Arial"/>
          <w:sz w:val="24"/>
          <w:szCs w:val="24"/>
          <w:vertAlign w:val="superscript"/>
        </w:rPr>
        <w:t>th</w:t>
      </w:r>
      <w:r w:rsidRPr="0030403B">
        <w:rPr>
          <w:rFonts w:ascii="Arial" w:hAnsi="Arial" w:cs="Arial"/>
          <w:sz w:val="24"/>
          <w:szCs w:val="24"/>
        </w:rPr>
        <w:t xml:space="preserve"> Ed., London: Sage.</w:t>
      </w:r>
    </w:p>
    <w:p w14:paraId="3435C5F4" w14:textId="77777777"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lastRenderedPageBreak/>
        <w:t xml:space="preserve">Lavender, P, &amp; Ward, J. (2006), </w:t>
      </w:r>
      <w:r w:rsidRPr="0030403B">
        <w:rPr>
          <w:rFonts w:ascii="Arial" w:hAnsi="Arial" w:cs="Arial"/>
          <w:sz w:val="24"/>
          <w:szCs w:val="24"/>
          <w:u w:val="single"/>
        </w:rPr>
        <w:t>'The trouble with ESOL', Adults Learning</w:t>
      </w:r>
      <w:r w:rsidRPr="0030403B">
        <w:rPr>
          <w:rFonts w:ascii="Arial" w:hAnsi="Arial" w:cs="Arial"/>
          <w:sz w:val="24"/>
          <w:szCs w:val="24"/>
        </w:rPr>
        <w:t>, 17, 9, pp. 8-9, Education Source, EBSCOhost, viewed 21 February 2018.</w:t>
      </w:r>
    </w:p>
    <w:p w14:paraId="0DF7F6FD" w14:textId="0E005FCF" w:rsidR="009E2053" w:rsidRPr="0030403B" w:rsidRDefault="00531C3A" w:rsidP="00E15E77">
      <w:pPr>
        <w:spacing w:line="240" w:lineRule="auto"/>
        <w:jc w:val="both"/>
        <w:rPr>
          <w:rFonts w:ascii="Arial" w:hAnsi="Arial" w:cs="Arial"/>
          <w:sz w:val="24"/>
          <w:szCs w:val="24"/>
        </w:rPr>
      </w:pPr>
      <w:r w:rsidRPr="0030403B">
        <w:rPr>
          <w:rFonts w:ascii="Arial" w:hAnsi="Arial" w:cs="Arial"/>
          <w:sz w:val="24"/>
          <w:szCs w:val="24"/>
        </w:rPr>
        <w:t>McIntyre</w:t>
      </w:r>
      <w:r w:rsidR="009E2053" w:rsidRPr="0030403B">
        <w:rPr>
          <w:rFonts w:ascii="Arial" w:hAnsi="Arial" w:cs="Arial"/>
          <w:sz w:val="24"/>
          <w:szCs w:val="24"/>
        </w:rPr>
        <w:t>, N.(2017),Migrants told to learn English upon entering UK face three-year wait for lessons).</w:t>
      </w:r>
      <w:r w:rsidR="009E2053" w:rsidRPr="0030403B">
        <w:rPr>
          <w:rFonts w:ascii="Arial" w:hAnsi="Arial" w:cs="Arial"/>
          <w:sz w:val="24"/>
          <w:szCs w:val="24"/>
          <w:u w:val="single"/>
        </w:rPr>
        <w:t>Independent</w:t>
      </w:r>
      <w:r w:rsidR="009E2053" w:rsidRPr="0030403B">
        <w:rPr>
          <w:rFonts w:ascii="Arial" w:hAnsi="Arial" w:cs="Arial"/>
          <w:sz w:val="24"/>
          <w:szCs w:val="24"/>
        </w:rPr>
        <w:t>.[Online]available at: &lt;</w:t>
      </w:r>
      <w:hyperlink r:id="rId10" w:history="1">
        <w:r w:rsidR="009E2053" w:rsidRPr="0030403B">
          <w:rPr>
            <w:rStyle w:val="Hyperlink"/>
            <w:rFonts w:ascii="Arial" w:hAnsi="Arial" w:cs="Arial"/>
            <w:sz w:val="24"/>
            <w:szCs w:val="24"/>
          </w:rPr>
          <w:t>http://www.independent.co.uk/news/uk/home-news/migrants-wait-years-english-classes-government-lessons-esol-a7517221.html&gt;[Accessed:26/02/2018</w:t>
        </w:r>
      </w:hyperlink>
      <w:r w:rsidR="009E2053" w:rsidRPr="0030403B">
        <w:rPr>
          <w:rFonts w:ascii="Arial" w:hAnsi="Arial" w:cs="Arial"/>
          <w:sz w:val="24"/>
          <w:szCs w:val="24"/>
        </w:rPr>
        <w:t>].</w:t>
      </w:r>
    </w:p>
    <w:p w14:paraId="7CCAF71D" w14:textId="77777777"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 xml:space="preserve">Moore, A. (2012), </w:t>
      </w:r>
      <w:r w:rsidRPr="0030403B">
        <w:rPr>
          <w:rFonts w:ascii="Arial" w:hAnsi="Arial" w:cs="Arial"/>
          <w:sz w:val="24"/>
          <w:szCs w:val="24"/>
          <w:u w:val="single"/>
        </w:rPr>
        <w:t>Teaching and Learning: Pedagogy, Curriculum and Culture</w:t>
      </w:r>
      <w:r w:rsidRPr="0030403B">
        <w:rPr>
          <w:rFonts w:ascii="Arial" w:hAnsi="Arial" w:cs="Arial"/>
          <w:sz w:val="24"/>
          <w:szCs w:val="24"/>
        </w:rPr>
        <w:t>, 2nd Ed., Abingdon: Routledge.</w:t>
      </w:r>
    </w:p>
    <w:p w14:paraId="1176FE03" w14:textId="77777777"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 xml:space="preserve">Null, W. (2011), </w:t>
      </w:r>
      <w:r w:rsidRPr="0030403B">
        <w:rPr>
          <w:rFonts w:ascii="Arial" w:hAnsi="Arial" w:cs="Arial"/>
          <w:sz w:val="24"/>
          <w:szCs w:val="24"/>
          <w:u w:val="single"/>
        </w:rPr>
        <w:t>Curriculum: From Theory to Practice, Plymouth</w:t>
      </w:r>
      <w:r w:rsidRPr="0030403B">
        <w:rPr>
          <w:rFonts w:ascii="Arial" w:hAnsi="Arial" w:cs="Arial"/>
          <w:sz w:val="24"/>
          <w:szCs w:val="24"/>
        </w:rPr>
        <w:t xml:space="preserve">: </w:t>
      </w:r>
      <w:proofErr w:type="spellStart"/>
      <w:r w:rsidRPr="0030403B">
        <w:rPr>
          <w:rFonts w:ascii="Arial" w:hAnsi="Arial" w:cs="Arial"/>
          <w:sz w:val="24"/>
          <w:szCs w:val="24"/>
        </w:rPr>
        <w:t>Rowman</w:t>
      </w:r>
      <w:proofErr w:type="spellEnd"/>
      <w:r w:rsidRPr="0030403B">
        <w:rPr>
          <w:rFonts w:ascii="Arial" w:hAnsi="Arial" w:cs="Arial"/>
          <w:sz w:val="24"/>
          <w:szCs w:val="24"/>
        </w:rPr>
        <w:t xml:space="preserve"> and Little Publishing.</w:t>
      </w:r>
    </w:p>
    <w:p w14:paraId="1CFB70EA" w14:textId="212C0C9D" w:rsidR="009E2053" w:rsidRPr="0030403B" w:rsidRDefault="009E2053" w:rsidP="00E15E77">
      <w:pPr>
        <w:spacing w:line="240" w:lineRule="auto"/>
        <w:jc w:val="both"/>
        <w:rPr>
          <w:rFonts w:ascii="Arial" w:hAnsi="Arial" w:cs="Arial"/>
          <w:sz w:val="24"/>
          <w:szCs w:val="24"/>
        </w:rPr>
      </w:pPr>
      <w:proofErr w:type="spellStart"/>
      <w:r w:rsidRPr="0030403B">
        <w:rPr>
          <w:rFonts w:ascii="Arial" w:hAnsi="Arial" w:cs="Arial"/>
          <w:sz w:val="24"/>
          <w:szCs w:val="24"/>
        </w:rPr>
        <w:t>Peetham</w:t>
      </w:r>
      <w:proofErr w:type="spellEnd"/>
      <w:r w:rsidRPr="0030403B">
        <w:rPr>
          <w:rFonts w:ascii="Arial" w:hAnsi="Arial" w:cs="Arial"/>
          <w:sz w:val="24"/>
          <w:szCs w:val="24"/>
        </w:rPr>
        <w:t>,</w:t>
      </w:r>
      <w:r w:rsidR="00531C3A">
        <w:rPr>
          <w:rFonts w:ascii="Arial" w:hAnsi="Arial" w:cs="Arial"/>
          <w:sz w:val="24"/>
          <w:szCs w:val="24"/>
        </w:rPr>
        <w:t xml:space="preserve"> </w:t>
      </w:r>
      <w:r w:rsidRPr="0030403B">
        <w:rPr>
          <w:rFonts w:ascii="Arial" w:hAnsi="Arial" w:cs="Arial"/>
          <w:sz w:val="24"/>
          <w:szCs w:val="24"/>
        </w:rPr>
        <w:t>H.</w:t>
      </w:r>
      <w:r w:rsidR="00531C3A">
        <w:rPr>
          <w:rFonts w:ascii="Arial" w:hAnsi="Arial" w:cs="Arial"/>
          <w:sz w:val="24"/>
          <w:szCs w:val="24"/>
        </w:rPr>
        <w:t xml:space="preserve"> </w:t>
      </w:r>
      <w:r w:rsidRPr="0030403B">
        <w:rPr>
          <w:rFonts w:ascii="Arial" w:hAnsi="Arial" w:cs="Arial"/>
          <w:sz w:val="24"/>
          <w:szCs w:val="24"/>
        </w:rPr>
        <w:t>and Sharpe,</w:t>
      </w:r>
      <w:r w:rsidR="00531C3A">
        <w:rPr>
          <w:rFonts w:ascii="Arial" w:hAnsi="Arial" w:cs="Arial"/>
          <w:sz w:val="24"/>
          <w:szCs w:val="24"/>
        </w:rPr>
        <w:t xml:space="preserve"> </w:t>
      </w:r>
      <w:r w:rsidRPr="0030403B">
        <w:rPr>
          <w:rFonts w:ascii="Arial" w:hAnsi="Arial" w:cs="Arial"/>
          <w:sz w:val="24"/>
          <w:szCs w:val="24"/>
        </w:rPr>
        <w:t>R.(2013)</w:t>
      </w:r>
      <w:r w:rsidR="001E5D04" w:rsidRPr="0030403B">
        <w:rPr>
          <w:rFonts w:ascii="Arial" w:hAnsi="Arial" w:cs="Arial"/>
          <w:sz w:val="24"/>
          <w:szCs w:val="24"/>
        </w:rPr>
        <w:t>,</w:t>
      </w:r>
      <w:r w:rsidRPr="0030403B">
        <w:rPr>
          <w:rFonts w:ascii="Arial" w:hAnsi="Arial" w:cs="Arial"/>
          <w:sz w:val="24"/>
          <w:szCs w:val="24"/>
          <w:u w:val="single"/>
        </w:rPr>
        <w:t>Rethinking Pedagogy for a Digital Age designing for 21st century learning</w:t>
      </w:r>
      <w:r w:rsidRPr="0030403B">
        <w:rPr>
          <w:rFonts w:ascii="Arial" w:hAnsi="Arial" w:cs="Arial"/>
          <w:sz w:val="24"/>
          <w:szCs w:val="24"/>
        </w:rPr>
        <w:t>.2nd Ed.</w:t>
      </w:r>
      <w:r w:rsidR="00531C3A">
        <w:rPr>
          <w:rFonts w:ascii="Arial" w:hAnsi="Arial" w:cs="Arial"/>
          <w:sz w:val="24"/>
          <w:szCs w:val="24"/>
        </w:rPr>
        <w:t xml:space="preserve"> </w:t>
      </w:r>
      <w:r w:rsidRPr="0030403B">
        <w:rPr>
          <w:rFonts w:ascii="Arial" w:hAnsi="Arial" w:cs="Arial"/>
          <w:sz w:val="24"/>
          <w:szCs w:val="24"/>
        </w:rPr>
        <w:t>Oxon:</w:t>
      </w:r>
      <w:r w:rsidR="00531C3A">
        <w:rPr>
          <w:rFonts w:ascii="Arial" w:hAnsi="Arial" w:cs="Arial"/>
          <w:sz w:val="24"/>
          <w:szCs w:val="24"/>
        </w:rPr>
        <w:t xml:space="preserve"> </w:t>
      </w:r>
      <w:r w:rsidRPr="0030403B">
        <w:rPr>
          <w:rFonts w:ascii="Arial" w:hAnsi="Arial" w:cs="Arial"/>
          <w:sz w:val="24"/>
          <w:szCs w:val="24"/>
        </w:rPr>
        <w:t>Rutledge.</w:t>
      </w:r>
    </w:p>
    <w:p w14:paraId="752780D8" w14:textId="2FA18C84"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Pritchard,</w:t>
      </w:r>
      <w:r w:rsidR="00531C3A">
        <w:rPr>
          <w:rFonts w:ascii="Arial" w:hAnsi="Arial" w:cs="Arial"/>
          <w:sz w:val="24"/>
          <w:szCs w:val="24"/>
        </w:rPr>
        <w:t xml:space="preserve"> </w:t>
      </w:r>
      <w:r w:rsidRPr="0030403B">
        <w:rPr>
          <w:rFonts w:ascii="Arial" w:hAnsi="Arial" w:cs="Arial"/>
          <w:sz w:val="24"/>
          <w:szCs w:val="24"/>
        </w:rPr>
        <w:t>A</w:t>
      </w:r>
      <w:r w:rsidR="00531C3A" w:rsidRPr="0030403B">
        <w:rPr>
          <w:rFonts w:ascii="Arial" w:hAnsi="Arial" w:cs="Arial"/>
          <w:sz w:val="24"/>
          <w:szCs w:val="24"/>
        </w:rPr>
        <w:t>. (</w:t>
      </w:r>
      <w:r w:rsidRPr="0030403B">
        <w:rPr>
          <w:rFonts w:ascii="Arial" w:hAnsi="Arial" w:cs="Arial"/>
          <w:sz w:val="24"/>
          <w:szCs w:val="24"/>
        </w:rPr>
        <w:t>2013)</w:t>
      </w:r>
      <w:r w:rsidR="00531C3A" w:rsidRPr="0030403B">
        <w:rPr>
          <w:rFonts w:ascii="Arial" w:hAnsi="Arial" w:cs="Arial"/>
          <w:sz w:val="24"/>
          <w:szCs w:val="24"/>
        </w:rPr>
        <w:t>,</w:t>
      </w:r>
      <w:r w:rsidR="00531C3A" w:rsidRPr="0030403B">
        <w:rPr>
          <w:rFonts w:ascii="Arial" w:hAnsi="Arial" w:cs="Arial"/>
          <w:sz w:val="24"/>
          <w:szCs w:val="24"/>
          <w:u w:val="single"/>
        </w:rPr>
        <w:t xml:space="preserve"> Way</w:t>
      </w:r>
      <w:r w:rsidRPr="0030403B">
        <w:rPr>
          <w:rFonts w:ascii="Arial" w:hAnsi="Arial" w:cs="Arial"/>
          <w:sz w:val="24"/>
          <w:szCs w:val="24"/>
          <w:u w:val="single"/>
        </w:rPr>
        <w:t xml:space="preserve"> of Learning Theories and Learning Styles in the Classroom</w:t>
      </w:r>
      <w:r w:rsidR="00531C3A" w:rsidRPr="0030403B">
        <w:rPr>
          <w:rFonts w:ascii="Arial" w:hAnsi="Arial" w:cs="Arial"/>
          <w:sz w:val="24"/>
          <w:szCs w:val="24"/>
        </w:rPr>
        <w:t>, 3rd</w:t>
      </w:r>
      <w:r w:rsidRPr="0030403B">
        <w:rPr>
          <w:rFonts w:ascii="Arial" w:hAnsi="Arial" w:cs="Arial"/>
          <w:sz w:val="24"/>
          <w:szCs w:val="24"/>
        </w:rPr>
        <w:t xml:space="preserve"> Ed.,</w:t>
      </w:r>
      <w:r w:rsidR="00531C3A">
        <w:rPr>
          <w:rFonts w:ascii="Arial" w:hAnsi="Arial" w:cs="Arial"/>
          <w:sz w:val="24"/>
          <w:szCs w:val="24"/>
        </w:rPr>
        <w:t xml:space="preserve"> </w:t>
      </w:r>
      <w:r w:rsidRPr="0030403B">
        <w:rPr>
          <w:rFonts w:ascii="Arial" w:hAnsi="Arial" w:cs="Arial"/>
          <w:sz w:val="24"/>
          <w:szCs w:val="24"/>
        </w:rPr>
        <w:t>Abingdon:</w:t>
      </w:r>
      <w:r w:rsidR="00531C3A">
        <w:rPr>
          <w:rFonts w:ascii="Arial" w:hAnsi="Arial" w:cs="Arial"/>
          <w:sz w:val="24"/>
          <w:szCs w:val="24"/>
        </w:rPr>
        <w:t xml:space="preserve"> </w:t>
      </w:r>
      <w:r w:rsidRPr="0030403B">
        <w:rPr>
          <w:rFonts w:ascii="Arial" w:hAnsi="Arial" w:cs="Arial"/>
          <w:sz w:val="24"/>
          <w:szCs w:val="24"/>
        </w:rPr>
        <w:t>Routledge.</w:t>
      </w:r>
    </w:p>
    <w:p w14:paraId="0786D562" w14:textId="77777777"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 xml:space="preserve">Reece, I. and Walker, S. (2007), </w:t>
      </w:r>
      <w:r w:rsidRPr="0030403B">
        <w:rPr>
          <w:rFonts w:ascii="Arial" w:hAnsi="Arial" w:cs="Arial"/>
          <w:sz w:val="24"/>
          <w:szCs w:val="24"/>
          <w:u w:val="single"/>
        </w:rPr>
        <w:t>Teaching, training and learning</w:t>
      </w:r>
      <w:r w:rsidRPr="0030403B">
        <w:rPr>
          <w:rFonts w:ascii="Arial" w:hAnsi="Arial" w:cs="Arial"/>
          <w:sz w:val="24"/>
          <w:szCs w:val="24"/>
        </w:rPr>
        <w:t>: A practical guide, 6th Ed., Sunderland: Business Education Publishers.</w:t>
      </w:r>
    </w:p>
    <w:p w14:paraId="5AB4CE44" w14:textId="3DEA608C"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Tice,</w:t>
      </w:r>
      <w:r w:rsidR="00531C3A">
        <w:rPr>
          <w:rFonts w:ascii="Arial" w:hAnsi="Arial" w:cs="Arial"/>
          <w:sz w:val="24"/>
          <w:szCs w:val="24"/>
        </w:rPr>
        <w:t xml:space="preserve"> </w:t>
      </w:r>
      <w:r w:rsidRPr="0030403B">
        <w:rPr>
          <w:rFonts w:ascii="Arial" w:hAnsi="Arial" w:cs="Arial"/>
          <w:sz w:val="24"/>
          <w:szCs w:val="24"/>
        </w:rPr>
        <w:t>J</w:t>
      </w:r>
      <w:r w:rsidR="00531C3A" w:rsidRPr="0030403B">
        <w:rPr>
          <w:rFonts w:ascii="Arial" w:hAnsi="Arial" w:cs="Arial"/>
          <w:sz w:val="24"/>
          <w:szCs w:val="24"/>
        </w:rPr>
        <w:t>. (</w:t>
      </w:r>
      <w:r w:rsidRPr="0030403B">
        <w:rPr>
          <w:rFonts w:ascii="Arial" w:hAnsi="Arial" w:cs="Arial"/>
          <w:sz w:val="24"/>
          <w:szCs w:val="24"/>
        </w:rPr>
        <w:t>2004)</w:t>
      </w:r>
      <w:r w:rsidR="00531C3A" w:rsidRPr="0030403B">
        <w:rPr>
          <w:rFonts w:ascii="Arial" w:hAnsi="Arial" w:cs="Arial"/>
          <w:sz w:val="24"/>
          <w:szCs w:val="24"/>
        </w:rPr>
        <w:t>, Drilling</w:t>
      </w:r>
      <w:r w:rsidRPr="0030403B">
        <w:rPr>
          <w:rFonts w:ascii="Arial" w:hAnsi="Arial" w:cs="Arial"/>
          <w:sz w:val="24"/>
          <w:szCs w:val="24"/>
        </w:rPr>
        <w:t xml:space="preserve"> 1.</w:t>
      </w:r>
      <w:r w:rsidRPr="0030403B">
        <w:rPr>
          <w:rFonts w:ascii="Arial" w:hAnsi="Arial" w:cs="Arial"/>
          <w:sz w:val="24"/>
          <w:szCs w:val="24"/>
          <w:u w:val="single"/>
        </w:rPr>
        <w:t>British Council</w:t>
      </w:r>
      <w:r w:rsidR="00531C3A" w:rsidRPr="0030403B">
        <w:rPr>
          <w:rFonts w:ascii="Arial" w:hAnsi="Arial" w:cs="Arial"/>
          <w:sz w:val="24"/>
          <w:szCs w:val="24"/>
        </w:rPr>
        <w:t>. [</w:t>
      </w:r>
      <w:r w:rsidRPr="0030403B">
        <w:rPr>
          <w:rFonts w:ascii="Arial" w:hAnsi="Arial" w:cs="Arial"/>
          <w:sz w:val="24"/>
          <w:szCs w:val="24"/>
        </w:rPr>
        <w:t>Online].Available at :</w:t>
      </w:r>
      <w:r w:rsidR="004873AE" w:rsidRPr="0030403B">
        <w:rPr>
          <w:rFonts w:ascii="Arial" w:hAnsi="Arial" w:cs="Arial"/>
          <w:sz w:val="24"/>
          <w:szCs w:val="24"/>
        </w:rPr>
        <w:t>&lt; http</w:t>
      </w:r>
      <w:r w:rsidRPr="0030403B">
        <w:rPr>
          <w:rFonts w:ascii="Arial" w:hAnsi="Arial" w:cs="Arial"/>
          <w:sz w:val="24"/>
          <w:szCs w:val="24"/>
        </w:rPr>
        <w:t>://www.teachingenglish.org.uk/article/drilling-1</w:t>
      </w:r>
      <w:r w:rsidR="004873AE" w:rsidRPr="0030403B">
        <w:rPr>
          <w:rFonts w:ascii="Arial" w:hAnsi="Arial" w:cs="Arial"/>
          <w:sz w:val="24"/>
          <w:szCs w:val="24"/>
        </w:rPr>
        <w:t>&gt; [</w:t>
      </w:r>
      <w:r w:rsidRPr="0030403B">
        <w:rPr>
          <w:rFonts w:ascii="Arial" w:hAnsi="Arial" w:cs="Arial"/>
          <w:sz w:val="24"/>
          <w:szCs w:val="24"/>
        </w:rPr>
        <w:t>Accessed</w:t>
      </w:r>
      <w:r w:rsidR="004873AE" w:rsidRPr="0030403B">
        <w:rPr>
          <w:rFonts w:ascii="Arial" w:hAnsi="Arial" w:cs="Arial"/>
          <w:sz w:val="24"/>
          <w:szCs w:val="24"/>
        </w:rPr>
        <w:t>: 04</w:t>
      </w:r>
      <w:r w:rsidRPr="0030403B">
        <w:rPr>
          <w:rFonts w:ascii="Arial" w:hAnsi="Arial" w:cs="Arial"/>
          <w:sz w:val="24"/>
          <w:szCs w:val="24"/>
        </w:rPr>
        <w:t>/03/18].</w:t>
      </w:r>
    </w:p>
    <w:p w14:paraId="6559F359" w14:textId="77777777" w:rsidR="009E2053" w:rsidRPr="0030403B" w:rsidRDefault="009E2053" w:rsidP="00E15E77">
      <w:pPr>
        <w:spacing w:line="240" w:lineRule="auto"/>
        <w:jc w:val="both"/>
        <w:rPr>
          <w:rFonts w:ascii="Arial" w:hAnsi="Arial" w:cs="Arial"/>
          <w:sz w:val="24"/>
          <w:szCs w:val="24"/>
        </w:rPr>
      </w:pPr>
      <w:r w:rsidRPr="0030403B">
        <w:rPr>
          <w:rFonts w:ascii="Arial" w:hAnsi="Arial" w:cs="Arial"/>
          <w:sz w:val="24"/>
          <w:szCs w:val="24"/>
        </w:rPr>
        <w:t xml:space="preserve">Xu, Yx .(2012), </w:t>
      </w:r>
      <w:r w:rsidRPr="0030403B">
        <w:rPr>
          <w:rFonts w:ascii="Arial" w:hAnsi="Arial" w:cs="Arial"/>
          <w:sz w:val="24"/>
          <w:szCs w:val="24"/>
          <w:u w:val="single"/>
        </w:rPr>
        <w:t>'Developing a comprehensive teaching evaluation system for foundation courses with enhanced validity and reliability', </w:t>
      </w:r>
      <w:r w:rsidRPr="0030403B">
        <w:rPr>
          <w:rFonts w:ascii="Arial" w:hAnsi="Arial" w:cs="Arial"/>
          <w:iCs/>
          <w:sz w:val="24"/>
          <w:szCs w:val="24"/>
          <w:u w:val="single"/>
        </w:rPr>
        <w:t>Educational Technology Research &amp; Development</w:t>
      </w:r>
      <w:r w:rsidRPr="0030403B">
        <w:rPr>
          <w:rFonts w:ascii="Arial" w:hAnsi="Arial" w:cs="Arial"/>
          <w:sz w:val="24"/>
          <w:szCs w:val="24"/>
        </w:rPr>
        <w:t>, 60, 5, pp. 821-837, Education Source, EBSCO</w:t>
      </w:r>
      <w:r w:rsidRPr="0030403B">
        <w:rPr>
          <w:rFonts w:ascii="Arial" w:hAnsi="Arial" w:cs="Arial"/>
          <w:i/>
          <w:iCs/>
          <w:sz w:val="24"/>
          <w:szCs w:val="24"/>
        </w:rPr>
        <w:t>host</w:t>
      </w:r>
      <w:r w:rsidRPr="0030403B">
        <w:rPr>
          <w:rFonts w:ascii="Arial" w:hAnsi="Arial" w:cs="Arial"/>
          <w:sz w:val="24"/>
          <w:szCs w:val="24"/>
        </w:rPr>
        <w:t>, viewed 4 February 2018.</w:t>
      </w:r>
    </w:p>
    <w:p w14:paraId="46D985B5" w14:textId="77777777" w:rsidR="009E2053" w:rsidRPr="0030403B" w:rsidRDefault="009E2053" w:rsidP="0030403B">
      <w:pPr>
        <w:spacing w:line="480" w:lineRule="auto"/>
        <w:jc w:val="both"/>
        <w:rPr>
          <w:rFonts w:ascii="Arial" w:hAnsi="Arial" w:cs="Arial"/>
          <w:sz w:val="24"/>
          <w:szCs w:val="24"/>
        </w:rPr>
      </w:pPr>
    </w:p>
    <w:p w14:paraId="5A127D26" w14:textId="77777777" w:rsidR="009E2053" w:rsidRPr="0030403B" w:rsidRDefault="009E2053" w:rsidP="0030403B">
      <w:pPr>
        <w:spacing w:line="480" w:lineRule="auto"/>
        <w:jc w:val="both"/>
        <w:rPr>
          <w:rFonts w:ascii="Arial" w:hAnsi="Arial" w:cs="Arial"/>
          <w:sz w:val="24"/>
          <w:szCs w:val="24"/>
        </w:rPr>
      </w:pPr>
    </w:p>
    <w:sectPr w:rsidR="009E2053" w:rsidRPr="0030403B">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2AEEDB" w14:textId="77777777" w:rsidR="009E35F1" w:rsidRDefault="009E35F1" w:rsidP="009E35F1">
      <w:pPr>
        <w:spacing w:after="0" w:line="240" w:lineRule="auto"/>
      </w:pPr>
      <w:r>
        <w:separator/>
      </w:r>
    </w:p>
  </w:endnote>
  <w:endnote w:type="continuationSeparator" w:id="0">
    <w:p w14:paraId="68A2798A" w14:textId="77777777" w:rsidR="009E35F1" w:rsidRDefault="009E35F1" w:rsidP="009E3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Yu Gothic UI"/>
    <w:panose1 w:val="02020609040205080304"/>
    <w:charset w:val="80"/>
    <w:family w:val="roman"/>
    <w:notTrueType/>
    <w:pitch w:val="fixed"/>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3D1415" w14:textId="77777777" w:rsidR="009E35F1" w:rsidRDefault="009E35F1" w:rsidP="009E35F1">
      <w:pPr>
        <w:spacing w:after="0" w:line="240" w:lineRule="auto"/>
      </w:pPr>
      <w:r>
        <w:separator/>
      </w:r>
    </w:p>
  </w:footnote>
  <w:footnote w:type="continuationSeparator" w:id="0">
    <w:p w14:paraId="172043F8" w14:textId="77777777" w:rsidR="009E35F1" w:rsidRDefault="009E35F1" w:rsidP="009E35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47C323" w14:textId="6144DA2C" w:rsidR="009E35F1" w:rsidRDefault="009E35F1">
    <w:pPr>
      <w:pStyle w:val="Header"/>
    </w:pPr>
    <w:r>
      <w:t>Latifa Ebdiwi</w:t>
    </w:r>
    <w:r>
      <w:ptab w:relativeTo="margin" w:alignment="center" w:leader="none"/>
    </w:r>
    <w:r>
      <w:ptab w:relativeTo="margin" w:alignment="right" w:leader="none"/>
    </w:r>
    <w:r>
      <w:t>P138180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A97743E"/>
    <w:multiLevelType w:val="hybridMultilevel"/>
    <w:tmpl w:val="739CC52E"/>
    <w:lvl w:ilvl="0" w:tplc="0809000F">
      <w:start w:val="1"/>
      <w:numFmt w:val="decimal"/>
      <w:lvlText w:val="%1."/>
      <w:lvlJc w:val="left"/>
      <w:pPr>
        <w:ind w:left="720" w:hanging="360"/>
      </w:pPr>
      <w:rPr>
        <w:rFont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64CD"/>
    <w:rsid w:val="00014B25"/>
    <w:rsid w:val="000221F2"/>
    <w:rsid w:val="00027AB9"/>
    <w:rsid w:val="000465AA"/>
    <w:rsid w:val="00061C95"/>
    <w:rsid w:val="0006328A"/>
    <w:rsid w:val="00066233"/>
    <w:rsid w:val="00072DEE"/>
    <w:rsid w:val="0007490C"/>
    <w:rsid w:val="00094169"/>
    <w:rsid w:val="000D22C5"/>
    <w:rsid w:val="000D4051"/>
    <w:rsid w:val="000E3C63"/>
    <w:rsid w:val="000E495A"/>
    <w:rsid w:val="0012109A"/>
    <w:rsid w:val="00122F63"/>
    <w:rsid w:val="0012423F"/>
    <w:rsid w:val="001702E6"/>
    <w:rsid w:val="00175C2E"/>
    <w:rsid w:val="00176750"/>
    <w:rsid w:val="00181091"/>
    <w:rsid w:val="001C3F3C"/>
    <w:rsid w:val="001C7627"/>
    <w:rsid w:val="001E5D04"/>
    <w:rsid w:val="00206206"/>
    <w:rsid w:val="00226CC2"/>
    <w:rsid w:val="00230494"/>
    <w:rsid w:val="00231D6A"/>
    <w:rsid w:val="002820BB"/>
    <w:rsid w:val="002E0ED9"/>
    <w:rsid w:val="002E4932"/>
    <w:rsid w:val="002F5457"/>
    <w:rsid w:val="0030403B"/>
    <w:rsid w:val="00311F0B"/>
    <w:rsid w:val="00330657"/>
    <w:rsid w:val="0034221E"/>
    <w:rsid w:val="00377A3D"/>
    <w:rsid w:val="003C6F53"/>
    <w:rsid w:val="003C70E4"/>
    <w:rsid w:val="003D30C3"/>
    <w:rsid w:val="003E6CC1"/>
    <w:rsid w:val="004073C9"/>
    <w:rsid w:val="0041023D"/>
    <w:rsid w:val="00465AD2"/>
    <w:rsid w:val="00481A0A"/>
    <w:rsid w:val="004873AE"/>
    <w:rsid w:val="004A19BA"/>
    <w:rsid w:val="004E526A"/>
    <w:rsid w:val="00503654"/>
    <w:rsid w:val="00531C3A"/>
    <w:rsid w:val="0055239F"/>
    <w:rsid w:val="00581920"/>
    <w:rsid w:val="005A319C"/>
    <w:rsid w:val="005B1EF0"/>
    <w:rsid w:val="005D213F"/>
    <w:rsid w:val="005D5713"/>
    <w:rsid w:val="005D5E80"/>
    <w:rsid w:val="005F0669"/>
    <w:rsid w:val="00617DC7"/>
    <w:rsid w:val="00617F7B"/>
    <w:rsid w:val="006443DA"/>
    <w:rsid w:val="0065124F"/>
    <w:rsid w:val="00655F22"/>
    <w:rsid w:val="006720DA"/>
    <w:rsid w:val="00675F05"/>
    <w:rsid w:val="00680DE0"/>
    <w:rsid w:val="00693C13"/>
    <w:rsid w:val="006C35FB"/>
    <w:rsid w:val="006C4405"/>
    <w:rsid w:val="006F3ECE"/>
    <w:rsid w:val="006F62ED"/>
    <w:rsid w:val="00712EDF"/>
    <w:rsid w:val="007254A1"/>
    <w:rsid w:val="007549BD"/>
    <w:rsid w:val="007578FA"/>
    <w:rsid w:val="0079297C"/>
    <w:rsid w:val="007A7B45"/>
    <w:rsid w:val="007B2DCF"/>
    <w:rsid w:val="007B3AA8"/>
    <w:rsid w:val="007B4699"/>
    <w:rsid w:val="007B5A42"/>
    <w:rsid w:val="007E542D"/>
    <w:rsid w:val="007E546D"/>
    <w:rsid w:val="00824DE7"/>
    <w:rsid w:val="00840302"/>
    <w:rsid w:val="00844925"/>
    <w:rsid w:val="0086128E"/>
    <w:rsid w:val="008721D2"/>
    <w:rsid w:val="008843E7"/>
    <w:rsid w:val="008A0949"/>
    <w:rsid w:val="008B60AE"/>
    <w:rsid w:val="008C6FFF"/>
    <w:rsid w:val="008D072E"/>
    <w:rsid w:val="008D15D2"/>
    <w:rsid w:val="008D2903"/>
    <w:rsid w:val="00903126"/>
    <w:rsid w:val="0090508C"/>
    <w:rsid w:val="00905D04"/>
    <w:rsid w:val="00917599"/>
    <w:rsid w:val="00941767"/>
    <w:rsid w:val="00950AFC"/>
    <w:rsid w:val="00951352"/>
    <w:rsid w:val="00953FE6"/>
    <w:rsid w:val="00957D71"/>
    <w:rsid w:val="00964782"/>
    <w:rsid w:val="00966E62"/>
    <w:rsid w:val="0097288A"/>
    <w:rsid w:val="00980420"/>
    <w:rsid w:val="009852E4"/>
    <w:rsid w:val="009A039B"/>
    <w:rsid w:val="009A7E84"/>
    <w:rsid w:val="009B6338"/>
    <w:rsid w:val="009C5AB2"/>
    <w:rsid w:val="009D2BA6"/>
    <w:rsid w:val="009E2053"/>
    <w:rsid w:val="009E35F1"/>
    <w:rsid w:val="009F475F"/>
    <w:rsid w:val="00A03EFE"/>
    <w:rsid w:val="00A55285"/>
    <w:rsid w:val="00A60F3F"/>
    <w:rsid w:val="00A64A1D"/>
    <w:rsid w:val="00A966F5"/>
    <w:rsid w:val="00AB2E4F"/>
    <w:rsid w:val="00AC0591"/>
    <w:rsid w:val="00B344F1"/>
    <w:rsid w:val="00B34C7F"/>
    <w:rsid w:val="00B43B2B"/>
    <w:rsid w:val="00B85B8A"/>
    <w:rsid w:val="00BA50EE"/>
    <w:rsid w:val="00BC2F88"/>
    <w:rsid w:val="00BE0506"/>
    <w:rsid w:val="00BE4B85"/>
    <w:rsid w:val="00BF78A7"/>
    <w:rsid w:val="00C26FF3"/>
    <w:rsid w:val="00C4227E"/>
    <w:rsid w:val="00C43498"/>
    <w:rsid w:val="00C86665"/>
    <w:rsid w:val="00C8764F"/>
    <w:rsid w:val="00CD4747"/>
    <w:rsid w:val="00CD4FF4"/>
    <w:rsid w:val="00CE5186"/>
    <w:rsid w:val="00CF2D13"/>
    <w:rsid w:val="00D30712"/>
    <w:rsid w:val="00D318D8"/>
    <w:rsid w:val="00D5416B"/>
    <w:rsid w:val="00E126C6"/>
    <w:rsid w:val="00E15E77"/>
    <w:rsid w:val="00E457A7"/>
    <w:rsid w:val="00E52710"/>
    <w:rsid w:val="00E641BD"/>
    <w:rsid w:val="00E656C0"/>
    <w:rsid w:val="00E7456F"/>
    <w:rsid w:val="00E764CD"/>
    <w:rsid w:val="00E96D10"/>
    <w:rsid w:val="00EB2EBA"/>
    <w:rsid w:val="00EC1413"/>
    <w:rsid w:val="00EE3C4F"/>
    <w:rsid w:val="00F141F8"/>
    <w:rsid w:val="00F17FE6"/>
    <w:rsid w:val="00F244E1"/>
    <w:rsid w:val="00F3099D"/>
    <w:rsid w:val="00F45BCB"/>
    <w:rsid w:val="00F83871"/>
    <w:rsid w:val="00F85574"/>
    <w:rsid w:val="00F929E1"/>
    <w:rsid w:val="00FC1475"/>
    <w:rsid w:val="00FE312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DCF02F3"/>
  <w15:docId w15:val="{93EAB0CA-56E9-47BC-9B8B-CF8276E8E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0DE0"/>
    <w:pPr>
      <w:spacing w:after="200" w:line="276" w:lineRule="auto"/>
      <w:ind w:left="720"/>
      <w:contextualSpacing/>
    </w:pPr>
  </w:style>
  <w:style w:type="character" w:styleId="CommentReference">
    <w:name w:val="annotation reference"/>
    <w:basedOn w:val="DefaultParagraphFont"/>
    <w:uiPriority w:val="99"/>
    <w:semiHidden/>
    <w:unhideWhenUsed/>
    <w:rsid w:val="009C5AB2"/>
    <w:rPr>
      <w:sz w:val="18"/>
      <w:szCs w:val="18"/>
    </w:rPr>
  </w:style>
  <w:style w:type="paragraph" w:styleId="CommentText">
    <w:name w:val="annotation text"/>
    <w:basedOn w:val="Normal"/>
    <w:link w:val="CommentTextChar"/>
    <w:uiPriority w:val="99"/>
    <w:semiHidden/>
    <w:unhideWhenUsed/>
    <w:rsid w:val="009C5AB2"/>
    <w:pPr>
      <w:spacing w:line="240" w:lineRule="auto"/>
    </w:pPr>
    <w:rPr>
      <w:sz w:val="24"/>
      <w:szCs w:val="24"/>
    </w:rPr>
  </w:style>
  <w:style w:type="character" w:customStyle="1" w:styleId="CommentTextChar">
    <w:name w:val="Comment Text Char"/>
    <w:basedOn w:val="DefaultParagraphFont"/>
    <w:link w:val="CommentText"/>
    <w:uiPriority w:val="99"/>
    <w:semiHidden/>
    <w:rsid w:val="009C5AB2"/>
    <w:rPr>
      <w:sz w:val="24"/>
      <w:szCs w:val="24"/>
    </w:rPr>
  </w:style>
  <w:style w:type="paragraph" w:styleId="CommentSubject">
    <w:name w:val="annotation subject"/>
    <w:basedOn w:val="CommentText"/>
    <w:next w:val="CommentText"/>
    <w:link w:val="CommentSubjectChar"/>
    <w:uiPriority w:val="99"/>
    <w:semiHidden/>
    <w:unhideWhenUsed/>
    <w:rsid w:val="009C5AB2"/>
    <w:rPr>
      <w:b/>
      <w:bCs/>
      <w:sz w:val="20"/>
      <w:szCs w:val="20"/>
    </w:rPr>
  </w:style>
  <w:style w:type="character" w:customStyle="1" w:styleId="CommentSubjectChar">
    <w:name w:val="Comment Subject Char"/>
    <w:basedOn w:val="CommentTextChar"/>
    <w:link w:val="CommentSubject"/>
    <w:uiPriority w:val="99"/>
    <w:semiHidden/>
    <w:rsid w:val="009C5AB2"/>
    <w:rPr>
      <w:b/>
      <w:bCs/>
      <w:sz w:val="20"/>
      <w:szCs w:val="20"/>
    </w:rPr>
  </w:style>
  <w:style w:type="paragraph" w:styleId="BalloonText">
    <w:name w:val="Balloon Text"/>
    <w:basedOn w:val="Normal"/>
    <w:link w:val="BalloonTextChar"/>
    <w:uiPriority w:val="99"/>
    <w:semiHidden/>
    <w:unhideWhenUsed/>
    <w:rsid w:val="009C5AB2"/>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9C5AB2"/>
    <w:rPr>
      <w:rFonts w:ascii="Lucida Grande" w:hAnsi="Lucida Grande"/>
      <w:sz w:val="18"/>
      <w:szCs w:val="18"/>
    </w:rPr>
  </w:style>
  <w:style w:type="character" w:styleId="Hyperlink">
    <w:name w:val="Hyperlink"/>
    <w:basedOn w:val="DefaultParagraphFont"/>
    <w:uiPriority w:val="99"/>
    <w:unhideWhenUsed/>
    <w:rsid w:val="00C43498"/>
    <w:rPr>
      <w:color w:val="0563C1" w:themeColor="hyperlink"/>
      <w:u w:val="single"/>
    </w:rPr>
  </w:style>
  <w:style w:type="paragraph" w:styleId="Header">
    <w:name w:val="header"/>
    <w:basedOn w:val="Normal"/>
    <w:link w:val="HeaderChar"/>
    <w:uiPriority w:val="99"/>
    <w:unhideWhenUsed/>
    <w:rsid w:val="009E35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35F1"/>
  </w:style>
  <w:style w:type="paragraph" w:styleId="Footer">
    <w:name w:val="footer"/>
    <w:basedOn w:val="Normal"/>
    <w:link w:val="FooterChar"/>
    <w:uiPriority w:val="99"/>
    <w:unhideWhenUsed/>
    <w:rsid w:val="009E35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35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5904166">
      <w:bodyDiv w:val="1"/>
      <w:marLeft w:val="0"/>
      <w:marRight w:val="0"/>
      <w:marTop w:val="0"/>
      <w:marBottom w:val="0"/>
      <w:divBdr>
        <w:top w:val="none" w:sz="0" w:space="0" w:color="auto"/>
        <w:left w:val="none" w:sz="0" w:space="0" w:color="auto"/>
        <w:bottom w:val="none" w:sz="0" w:space="0" w:color="auto"/>
        <w:right w:val="none" w:sz="0" w:space="0" w:color="auto"/>
      </w:divBdr>
    </w:div>
    <w:div w:id="1589656510">
      <w:bodyDiv w:val="1"/>
      <w:marLeft w:val="0"/>
      <w:marRight w:val="0"/>
      <w:marTop w:val="0"/>
      <w:marBottom w:val="0"/>
      <w:divBdr>
        <w:top w:val="none" w:sz="0" w:space="0" w:color="auto"/>
        <w:left w:val="none" w:sz="0" w:space="0" w:color="auto"/>
        <w:bottom w:val="none" w:sz="0" w:space="0" w:color="auto"/>
        <w:right w:val="none" w:sz="0" w:space="0" w:color="auto"/>
      </w:divBdr>
    </w:div>
    <w:div w:id="2021618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dn.cityandguilds.com/productdocuments/skills_for_work_and_life/english_mathematics_and_ict_skills/4692/centre_documents/adult_esol_core_curriculum_v1.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dera.ioe.ac.uk/15247/1/adult%20basic%20skills%20ESOL%20curriculum%20-%20draft.pdf%3e%20%5bAccesse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independent.co.uk/news/uk/home-news/migrants-wait-years-english-classes-government-lessons-esol-a7517221.html%3e%5bAccessed:26/02/2018" TargetMode="External"/><Relationship Id="rId4" Type="http://schemas.openxmlformats.org/officeDocument/2006/relationships/webSettings" Target="webSettings.xml"/><Relationship Id="rId9" Type="http://schemas.openxmlformats.org/officeDocument/2006/relationships/hyperlink" Target="http://dera.ioe.ac.uk/18101/%3e%5bAccessed%2026/02/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5603</Words>
  <Characters>31943</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Univeristy of Wales Trinity Saint David</dc:creator>
  <cp:keywords/>
  <dc:description/>
  <cp:lastModifiedBy>Latifa Ebdiwi (P138180)</cp:lastModifiedBy>
  <cp:revision>6</cp:revision>
  <dcterms:created xsi:type="dcterms:W3CDTF">2018-03-06T09:16:00Z</dcterms:created>
  <dcterms:modified xsi:type="dcterms:W3CDTF">2018-03-06T09:25:00Z</dcterms:modified>
</cp:coreProperties>
</file>