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BE204" w14:textId="77777777" w:rsidR="00D465E8" w:rsidRDefault="00D465E8" w:rsidP="00040555">
      <w:pPr>
        <w:rPr>
          <w:rFonts w:ascii="Arial" w:eastAsia="Calibri" w:hAnsi="Arial" w:cs="Arial"/>
          <w:sz w:val="28"/>
          <w:szCs w:val="28"/>
        </w:rPr>
      </w:pPr>
      <w:r>
        <w:rPr>
          <w:rFonts w:ascii="Arial" w:eastAsia="Calibri" w:hAnsi="Arial" w:cs="Arial"/>
          <w:sz w:val="28"/>
          <w:szCs w:val="28"/>
        </w:rPr>
        <w:t xml:space="preserve">             </w:t>
      </w:r>
      <w:r w:rsidR="000D7CC6" w:rsidRPr="00D465E8">
        <w:rPr>
          <w:rFonts w:ascii="Arial" w:eastAsia="Calibri" w:hAnsi="Arial" w:cs="Arial"/>
          <w:sz w:val="28"/>
          <w:szCs w:val="28"/>
        </w:rPr>
        <w:t xml:space="preserve">TYPE ONE DIABETES AND SUGAR </w:t>
      </w:r>
      <w:r w:rsidRPr="00D465E8">
        <w:rPr>
          <w:rFonts w:ascii="Arial" w:eastAsia="Calibri" w:hAnsi="Arial" w:cs="Arial"/>
          <w:sz w:val="28"/>
          <w:szCs w:val="28"/>
        </w:rPr>
        <w:t>REPONSE,</w:t>
      </w:r>
    </w:p>
    <w:p w14:paraId="5B2A94B6" w14:textId="77777777" w:rsidR="000D7CC6" w:rsidRDefault="00D465E8" w:rsidP="00040555">
      <w:pPr>
        <w:rPr>
          <w:rFonts w:ascii="Arial" w:eastAsia="Calibri" w:hAnsi="Arial" w:cs="Arial"/>
          <w:sz w:val="28"/>
          <w:szCs w:val="28"/>
        </w:rPr>
      </w:pPr>
      <w:r>
        <w:rPr>
          <w:rFonts w:ascii="Arial" w:eastAsia="Calibri" w:hAnsi="Arial" w:cs="Arial"/>
          <w:sz w:val="28"/>
          <w:szCs w:val="28"/>
        </w:rPr>
        <w:t xml:space="preserve">        </w:t>
      </w:r>
      <w:r w:rsidR="000D7CC6" w:rsidRPr="00D465E8">
        <w:rPr>
          <w:rFonts w:ascii="Arial" w:eastAsia="Calibri" w:hAnsi="Arial" w:cs="Arial"/>
          <w:sz w:val="28"/>
          <w:szCs w:val="28"/>
        </w:rPr>
        <w:t xml:space="preserve"> </w:t>
      </w:r>
      <w:r>
        <w:rPr>
          <w:rFonts w:ascii="Arial" w:eastAsia="Calibri" w:hAnsi="Arial" w:cs="Arial"/>
          <w:sz w:val="28"/>
          <w:szCs w:val="28"/>
        </w:rPr>
        <w:t xml:space="preserve">        </w:t>
      </w:r>
      <w:r w:rsidR="000D7CC6" w:rsidRPr="00D465E8">
        <w:rPr>
          <w:rFonts w:ascii="Arial" w:eastAsia="Calibri" w:hAnsi="Arial" w:cs="Arial"/>
          <w:sz w:val="28"/>
          <w:szCs w:val="28"/>
        </w:rPr>
        <w:t xml:space="preserve">HOW DOES AFECT THE </w:t>
      </w:r>
      <w:r w:rsidR="009325D0" w:rsidRPr="00D465E8">
        <w:rPr>
          <w:rFonts w:ascii="Arial" w:eastAsia="Calibri" w:hAnsi="Arial" w:cs="Arial"/>
          <w:sz w:val="28"/>
          <w:szCs w:val="28"/>
        </w:rPr>
        <w:t xml:space="preserve">GLYCEMIC </w:t>
      </w:r>
      <w:r>
        <w:rPr>
          <w:rFonts w:ascii="Arial" w:eastAsia="Calibri" w:hAnsi="Arial" w:cs="Arial"/>
          <w:sz w:val="28"/>
          <w:szCs w:val="28"/>
        </w:rPr>
        <w:t>INDEX</w:t>
      </w:r>
    </w:p>
    <w:p w14:paraId="0B97E695" w14:textId="77777777" w:rsidR="00D465E8" w:rsidRDefault="00D465E8" w:rsidP="00040555">
      <w:pPr>
        <w:rPr>
          <w:rFonts w:ascii="Arial" w:eastAsia="Calibri" w:hAnsi="Arial" w:cs="Arial"/>
          <w:sz w:val="28"/>
          <w:szCs w:val="28"/>
        </w:rPr>
      </w:pPr>
    </w:p>
    <w:p w14:paraId="5D759B26" w14:textId="77777777" w:rsidR="00D465E8" w:rsidRPr="00D465E8" w:rsidRDefault="00D465E8" w:rsidP="00401057">
      <w:pPr>
        <w:spacing w:line="360" w:lineRule="auto"/>
        <w:rPr>
          <w:rFonts w:ascii="Arial" w:eastAsia="Calibri" w:hAnsi="Arial" w:cs="Arial"/>
          <w:sz w:val="28"/>
          <w:szCs w:val="28"/>
        </w:rPr>
      </w:pPr>
    </w:p>
    <w:p w14:paraId="03CDE36A" w14:textId="77777777" w:rsidR="00EC5EF5" w:rsidRDefault="000D7CC6" w:rsidP="00401057">
      <w:pPr>
        <w:spacing w:line="360" w:lineRule="auto"/>
        <w:rPr>
          <w:rFonts w:ascii="Arial" w:eastAsia="Calibri" w:hAnsi="Arial" w:cs="Arial"/>
        </w:rPr>
      </w:pPr>
      <w:r>
        <w:rPr>
          <w:rFonts w:ascii="Arial" w:eastAsia="Calibri" w:hAnsi="Arial" w:cs="Arial"/>
        </w:rPr>
        <w:t xml:space="preserve"> </w:t>
      </w:r>
      <w:r w:rsidR="00040555" w:rsidRPr="00040555">
        <w:rPr>
          <w:rFonts w:ascii="Arial" w:eastAsia="Calibri" w:hAnsi="Arial" w:cs="Arial"/>
        </w:rPr>
        <w:t>Diabetes is a chronic condition that impairs the body's capacity to properly utilise meals (Type 1 diabetes,2021). Insulin, which is produced in the pancreas, aids the body in converting food into energy. In diabetics, either the pancreas does not produce insulin or the body does not use insulin adequately. Without insulin, glucose, the body's primary energy source, accumulates in the blood (Aalto, Uutela and Aro, 1997). Diabetes is classified into two types: type 1 diabetes and type 2 diabetes.</w:t>
      </w:r>
      <w:r w:rsidR="00040555" w:rsidRPr="00040555">
        <w:t xml:space="preserve"> </w:t>
      </w:r>
      <w:r w:rsidR="00040555" w:rsidRPr="00040555">
        <w:rPr>
          <w:rFonts w:ascii="Arial" w:eastAsia="Calibri" w:hAnsi="Arial" w:cs="Arial"/>
        </w:rPr>
        <w:t>Type 1 Diabetes is a dangerous disorder in which the blood glucose level is abnormally high due to the body's inability to generate the hormone insulin (Diabetes UK 2021). This occurs because the body destroys the pancreatic cells that create insulin, causing the pancreas to produce none at all (Diabetes UK 2021). Continuously poor glycemic control in adults with type 1 diabetes is a common, complex, and crucial condition that causes significant injury to the ocular, renal, neurological, and cardiovascular systems (DeVries, Snoek and Heine, 2004). Type 1 diabetes affects around 8% of diabetics in the United Kingdom (Diabetes UK 2021). It is a serious and long-term condition. Type 2 diabetes is a dangerous disease in which the pancreas' insulin does not operate correctly or the pancreas does not create enough insulin (Diabetes UK 2021). When the insulin generated by the pancreas is insufficient, a person develops type 2 diabetes. The body continues to break down carbohydrate from food and drink and convert it to glucose, but because insulin cannot function correctly, blood sugar levels rise. Type 2 diabetes affects around 90% of diabetics in the United Kingdom. High blood sugar levels, if unchecked, can gravely harm organs such as the eyes, heart, and feet. Diabetes UK 2021</w:t>
      </w:r>
      <w:r w:rsidR="00EC5EF5">
        <w:rPr>
          <w:rFonts w:ascii="Arial" w:eastAsia="Calibri" w:hAnsi="Arial" w:cs="Arial"/>
        </w:rPr>
        <w:t>.</w:t>
      </w:r>
    </w:p>
    <w:p w14:paraId="0C9A0E7C" w14:textId="77777777" w:rsidR="00757963" w:rsidRPr="00757963" w:rsidRDefault="00EC5EF5" w:rsidP="00401057">
      <w:pPr>
        <w:spacing w:line="360" w:lineRule="auto"/>
        <w:rPr>
          <w:rFonts w:ascii="Arial" w:hAnsi="Arial" w:cs="Arial"/>
        </w:rPr>
      </w:pPr>
      <w:r w:rsidRPr="00EC5EF5">
        <w:rPr>
          <w:rFonts w:ascii="Arial" w:eastAsia="Calibri" w:hAnsi="Arial" w:cs="Arial"/>
        </w:rPr>
        <w:t>The first WHO Global Diabetes Report was published on World Diabetes Day, April 7, 2016, which was dedicated to Diabetes. Diabetes is mentioned in ancient writings and is recognised as a severe disease, although it does not appear to have been treated on a regular basis by physicians or healers. The growing number of persons suffering from this disease has had a severe impact on human health and development during the previous few decades. Diabetes, along with cardiovascular disease, cancer, and chronic respiratory illness, was targeted in the 2011 United Nations High-Level Political Meeting's Political Declaration on the Prevention and Control of Noncommunicable Diseases (NCDs).</w:t>
      </w:r>
      <w:r w:rsidR="007F76E9" w:rsidRPr="007F76E9">
        <w:t xml:space="preserve"> </w:t>
      </w:r>
      <w:r w:rsidR="007F76E9" w:rsidRPr="007F76E9">
        <w:rPr>
          <w:rFonts w:ascii="Arial" w:eastAsia="Calibri" w:hAnsi="Arial" w:cs="Arial"/>
        </w:rPr>
        <w:t xml:space="preserve">Although much attention has been placed on the growth in type 2 diabetes, there has been a simultaneous rise in type 1 diabetes. Type 1 diabetes has long been thought to be a </w:t>
      </w:r>
      <w:r w:rsidR="007F76E9" w:rsidRPr="007F76E9">
        <w:rPr>
          <w:rFonts w:ascii="Arial" w:eastAsia="Calibri" w:hAnsi="Arial" w:cs="Arial"/>
        </w:rPr>
        <w:lastRenderedPageBreak/>
        <w:t>childhood disease, but new epidemiological studies have shown that the incidence is equivalent in adults.  The large international diversity in incidence is now recognised. A child in Finland is over 40 times more likely to get type 1 diabetes than a child in Japan, and nearly 100 times more likely to develop the condition than a youngster in China's Zunyi region.</w:t>
      </w:r>
      <w:r w:rsidR="007F76E9">
        <w:rPr>
          <w:rFonts w:ascii="Arial" w:eastAsia="Calibri" w:hAnsi="Arial" w:cs="Arial"/>
        </w:rPr>
        <w:t xml:space="preserve"> </w:t>
      </w:r>
      <w:r w:rsidR="007F76E9" w:rsidRPr="007F76E9">
        <w:rPr>
          <w:rFonts w:ascii="Arial" w:eastAsia="Calibri" w:hAnsi="Arial" w:cs="Arial"/>
        </w:rPr>
        <w:t>The EURODIAB joint study, a registry including 44 European countries, found an annual rate of increase in incidence.</w:t>
      </w:r>
      <w:r w:rsidR="007F76E9">
        <w:rPr>
          <w:rFonts w:ascii="Arial" w:eastAsia="Calibri" w:hAnsi="Arial" w:cs="Arial"/>
        </w:rPr>
        <w:t xml:space="preserve"> </w:t>
      </w:r>
      <w:r w:rsidR="007F76E9" w:rsidRPr="007F76E9">
        <w:rPr>
          <w:rFonts w:ascii="Arial" w:eastAsia="Calibri" w:hAnsi="Arial" w:cs="Arial"/>
        </w:rPr>
        <w:t>Type 1 diabetes is one of the most common chronic childhood disorders, affecting 18 to 20 children per 100,000 in the United Kingdom each year.  The American Diabetes Association committee supports the name type 1 diabetes for immune-mediated diabetes characterised by the loss of pancreatic islet cells. Type 1</w:t>
      </w:r>
      <w:r w:rsidR="008A3A50">
        <w:rPr>
          <w:rFonts w:ascii="Arial" w:eastAsia="Calibri" w:hAnsi="Arial" w:cs="Arial"/>
        </w:rPr>
        <w:t xml:space="preserve"> </w:t>
      </w:r>
      <w:r w:rsidR="007F76E9" w:rsidRPr="007F76E9">
        <w:rPr>
          <w:rFonts w:ascii="Arial" w:eastAsia="Calibri" w:hAnsi="Arial" w:cs="Arial"/>
        </w:rPr>
        <w:t>diabetes is defined as non-immune mediated diabetes with significant insulin insufficiency. We will use the term type 1 diabetes to refer to immune-mediated type 1 diabetes in this review.</w:t>
      </w:r>
      <w:r w:rsidR="007B1FED" w:rsidRPr="007B1FED">
        <w:t xml:space="preserve"> </w:t>
      </w:r>
      <w:r w:rsidR="007B1FED" w:rsidRPr="007B1FED">
        <w:rPr>
          <w:rFonts w:ascii="Arial" w:eastAsia="Calibri" w:hAnsi="Arial" w:cs="Arial"/>
        </w:rPr>
        <w:t>Human gastric emptying investigations have revealed that the intestinal transport of fructose solutions is twice as fast as that of glucose solutions. Fructose absorption involves facilitated diffusion, whereas glucose absorption is an active energy-dependent process.</w:t>
      </w:r>
      <w:r w:rsidR="007B1FED">
        <w:rPr>
          <w:rFonts w:ascii="Arial" w:eastAsia="Calibri" w:hAnsi="Arial" w:cs="Arial"/>
        </w:rPr>
        <w:t xml:space="preserve"> </w:t>
      </w:r>
      <w:r w:rsidR="007B1FED" w:rsidRPr="007B1FED">
        <w:rPr>
          <w:rFonts w:ascii="Arial" w:eastAsia="Calibri" w:hAnsi="Arial" w:cs="Arial"/>
        </w:rPr>
        <w:t>Intestinal fructose absorption has been found to be a linear process, as opposed to glucose absorption, which stays faster. This distinction could be explained by the differences in their transporters' properties.  Sucrose absorption requires previous breakdown in fructose and glucose. Sucrose-derived glucose is absorbed faster than free glucose, according to in vitro experiments. Furthermore, it has been demonstrated that, in contrast to glucose, fructose absorption is incomplete.</w:t>
      </w:r>
      <w:r w:rsidR="00F220B7" w:rsidRPr="00F220B7">
        <w:t xml:space="preserve"> </w:t>
      </w:r>
      <w:r w:rsidR="00F220B7" w:rsidRPr="00F220B7">
        <w:rPr>
          <w:rFonts w:ascii="Arial" w:eastAsia="Calibri" w:hAnsi="Arial" w:cs="Arial"/>
        </w:rPr>
        <w:t>The glucose and insulin responses to a fructose oral load are lower than those to a glucose load of equal magnitude. Furthermore, increasing fructose or glucose dosages have distinct effects on insulin response . The insulin response is proportionate to the load for a load of 0.5 and 1 g kg1 of glucose, although the glucose response is similar. However, insulin and glucose responses are identical in the presence of fructose.</w:t>
      </w:r>
      <w:r w:rsidR="00757963" w:rsidRPr="00757963">
        <w:t xml:space="preserve"> </w:t>
      </w:r>
      <w:r w:rsidR="00757963" w:rsidRPr="00757963">
        <w:rPr>
          <w:rFonts w:ascii="Arial" w:eastAsia="Calibri" w:hAnsi="Arial" w:cs="Arial"/>
        </w:rPr>
        <w:t>Current dietary recommendations for diabetes management (type 1 or type 2) do not include specific suggestions for sugar intake other than that they should be swapped for other carbs on a caloric basis, with the emphasis being on overall caloric amount. Prior to insulin therapy, diabetic medical nutrition therapy in type 1 diabetes was based on carbohydrate restriction. Postprandial hyperglycemia is now primarily treated by adjusting pre-meal insulin dosages based on carbohydrate counting. Carbohydrates have regained favour on an isocaloric basis since fat intake has been restricted due to the influence on lipid metabolism and cardiovascular risks. The glycemic index and carbohydrate caloric content are more important in type 2 diabetes.</w:t>
      </w:r>
      <w:r w:rsidR="00757963">
        <w:rPr>
          <w:rFonts w:ascii="Arial" w:eastAsia="Calibri" w:hAnsi="Arial" w:cs="Arial"/>
        </w:rPr>
        <w:t xml:space="preserve"> </w:t>
      </w:r>
      <w:r w:rsidR="00F220B7" w:rsidRPr="00F220B7">
        <w:rPr>
          <w:rFonts w:ascii="Arial" w:eastAsia="Calibri" w:hAnsi="Arial" w:cs="Arial"/>
        </w:rPr>
        <w:t xml:space="preserve"> This disparity could be explained by fructose's extremely mild effect on the rate of total glucose emergence in plasma . Following a glucose load, the rise in the rate of appearance of total glucose is primarily related to the appearance of exogenous glucose in plasma, whereas hyperglycemia and insulinemia severely restrict endogenous glucose synthesis.</w:t>
      </w:r>
      <w:r w:rsidR="00727C47" w:rsidRPr="00727C47">
        <w:t xml:space="preserve"> </w:t>
      </w:r>
      <w:r w:rsidR="00727C47" w:rsidRPr="00727C47">
        <w:rPr>
          <w:rFonts w:ascii="Arial" w:eastAsia="Calibri" w:hAnsi="Arial" w:cs="Arial"/>
        </w:rPr>
        <w:t xml:space="preserve">It is difficult to assess the relationship between </w:t>
      </w:r>
      <w:r w:rsidR="00727C47" w:rsidRPr="00727C47">
        <w:rPr>
          <w:rFonts w:ascii="Arial" w:eastAsia="Calibri" w:hAnsi="Arial" w:cs="Arial"/>
        </w:rPr>
        <w:lastRenderedPageBreak/>
        <w:t>carbohydrates, insulin resistance, and the pathophysiology of diabetes in human investigations. The variety in study design, as well as the issues caused by diet composition (changing of more than one nutritional component in the diet), may result in inconsistencies in results. Furthermore, the assessment of insulin resistance or sensitivity has not always been done using particular methodologies but has been mostly based on fasting and/or postprandial metabolic profiles.</w:t>
      </w:r>
      <w:r w:rsidR="00727C47" w:rsidRPr="00727C47">
        <w:t xml:space="preserve"> </w:t>
      </w:r>
      <w:r w:rsidR="00727C47" w:rsidRPr="00727C47">
        <w:rPr>
          <w:rFonts w:ascii="Arial" w:eastAsia="Calibri" w:hAnsi="Arial" w:cs="Arial"/>
        </w:rPr>
        <w:t>Several research have been conducted to compare the effect of sucrose or fructose instead of starch (8 studies) or sucrose instead of fructose (2 studies), with 7 studies focusing on type 1 diabetes and 15 on type 2 diabetes. One study examined two ad libitum low-fat, high-carbohydrate diets that were high in either simple or complex carbs.</w:t>
      </w:r>
      <w:r w:rsidR="00727C47" w:rsidRPr="00727C47">
        <w:t xml:space="preserve"> </w:t>
      </w:r>
      <w:r w:rsidR="00727C47" w:rsidRPr="00727C47">
        <w:rPr>
          <w:rFonts w:ascii="Arial" w:eastAsia="Calibri" w:hAnsi="Arial" w:cs="Arial"/>
        </w:rPr>
        <w:t xml:space="preserve">Two studies have found that sucrose (20–30%) has a negative effect on insulin resistance when the diet contains up to 30% of total calories in the form of sucrose rather than </w:t>
      </w:r>
      <w:r w:rsidR="00CE6C48" w:rsidRPr="00727C47">
        <w:rPr>
          <w:rFonts w:ascii="Arial" w:eastAsia="Calibri" w:hAnsi="Arial" w:cs="Arial"/>
        </w:rPr>
        <w:t>starch.</w:t>
      </w:r>
      <w:r w:rsidR="00727C47" w:rsidRPr="00727C47">
        <w:rPr>
          <w:rFonts w:ascii="Arial" w:eastAsia="Calibri" w:hAnsi="Arial" w:cs="Arial"/>
        </w:rPr>
        <w:t xml:space="preserve"> In the Reiser study, carbohydrate-sensitive adults consumed diets containing 5%, 18%, and 33% of calories as sucrose for 6 weeks each in a cross-over design, and serum insulin was significantly higher at 1 h after the 18% sucrose diet and at 0.5, 1, 2, and 3 h after the 33% sucrose diet, both compared to the 5% sucrose diet. The glucose response was likewise significantly higher following the 18% and 33% sucrose diets than after the 5% sucrose diet.</w:t>
      </w:r>
      <w:r w:rsidR="00117AE4" w:rsidRPr="00117AE4">
        <w:t xml:space="preserve"> </w:t>
      </w:r>
      <w:r w:rsidR="00117AE4" w:rsidRPr="00117AE4">
        <w:rPr>
          <w:rFonts w:ascii="Arial" w:eastAsia="Calibri" w:hAnsi="Arial" w:cs="Arial"/>
        </w:rPr>
        <w:t>According to this prospective data, there appears to be a trend for a negative effect of fructose and glucose on diabetes risk in the long run, but not enough information to draw conclusions about sucrose, maltose, or lactose. Nonetheless, differences between studies indicate that more research is needed to pinpoint the long-term independent effects of specific sugar intake on insulin resistance.</w:t>
      </w:r>
      <w:r w:rsidR="00117AE4" w:rsidRPr="00117AE4">
        <w:t xml:space="preserve"> </w:t>
      </w:r>
      <w:r w:rsidR="00117AE4" w:rsidRPr="00117AE4">
        <w:rPr>
          <w:rFonts w:ascii="Arial" w:eastAsia="Calibri" w:hAnsi="Arial" w:cs="Arial"/>
        </w:rPr>
        <w:t>Two research looked at the impact of simple carbs. The authors of the Women Health Study found no effect of total simple carbs, nor of sucrose, fructose, glucose, or lactose alone. Meyer discovered an increased risk (30 percent) of developing type 2 diabetes in women who consumed more than 25.8 g d1 of glucose and a growing risk of 27 percent in women who consumed more than 30g of fructose in the Iowa Women's Health Study. In another approach, women who consumed more than 51g of sucrose had a lower risk of developing type 2 diabetes (19%) than those who consumed less than 31g.</w:t>
      </w:r>
      <w:r w:rsidR="0079782D" w:rsidRPr="0079782D">
        <w:t xml:space="preserve"> </w:t>
      </w:r>
      <w:r w:rsidR="0079782D" w:rsidRPr="0079782D">
        <w:rPr>
          <w:rFonts w:ascii="Arial" w:eastAsia="Calibri" w:hAnsi="Arial" w:cs="Arial"/>
        </w:rPr>
        <w:t>Concerning type 2 diabetes, six prospective studies on large cohorts (between 4000 and 85 000 people) have been conducted, primarily in the United States: the Women's Health Study, the Iowa Women's Health Study, the Health Professional Follow-up Study, the Nurses' Health Study, and one in Finland. They lasted anywhere from 5 to 16 years. Three of these studies were classified as A, indicating a very high degree of proof, while the other three were classified as B, indicating a high level of proof.</w:t>
      </w:r>
      <w:r w:rsidR="0079782D" w:rsidRPr="0079782D">
        <w:t xml:space="preserve"> </w:t>
      </w:r>
      <w:r w:rsidR="00757963" w:rsidRPr="00757963">
        <w:rPr>
          <w:rFonts w:ascii="Arial" w:hAnsi="Arial" w:cs="Arial"/>
        </w:rPr>
        <w:t xml:space="preserve">The study of 173 South Asian and white males (classified A) employed 7-day weighed-food dietary evaluations and fasting, as well as 2-h post glucose load insulin concentration, to determine the relationship between type 2 diabetes incidence and dietary components . There was a substantial positive association between 2-hour insulin levels </w:t>
      </w:r>
      <w:r w:rsidR="00757963" w:rsidRPr="00757963">
        <w:rPr>
          <w:rFonts w:ascii="Arial" w:hAnsi="Arial" w:cs="Arial"/>
        </w:rPr>
        <w:lastRenderedPageBreak/>
        <w:t>following a glucose load and carbohydrate intake, with sucrose having a greater correlation than starch.</w:t>
      </w:r>
      <w:r w:rsidR="00867806" w:rsidRPr="00867806">
        <w:t xml:space="preserve"> </w:t>
      </w:r>
      <w:r w:rsidR="00867806" w:rsidRPr="00867806">
        <w:rPr>
          <w:rFonts w:ascii="Arial" w:hAnsi="Arial" w:cs="Arial"/>
        </w:rPr>
        <w:t>Regular physical activity has been linked to a variety of advantages, including enhanced quality of life, lower cardiovascular risk factors, and lower mortality. Despite this evidence, more than 60% of type 1 diabetes patients remain sedentary. To the best of</w:t>
      </w:r>
      <w:r w:rsidR="003601F8">
        <w:rPr>
          <w:rFonts w:ascii="Arial" w:hAnsi="Arial" w:cs="Arial"/>
        </w:rPr>
        <w:t xml:space="preserve"> </w:t>
      </w:r>
      <w:r w:rsidR="00867806" w:rsidRPr="00867806">
        <w:rPr>
          <w:rFonts w:ascii="Arial" w:hAnsi="Arial" w:cs="Arial"/>
        </w:rPr>
        <w:t>knowledge, there has only been one report that directly addresses impediments to physical activity among people with type 1 diabetes.</w:t>
      </w:r>
      <w:r w:rsidR="00036E2A">
        <w:rPr>
          <w:rFonts w:ascii="Arial" w:hAnsi="Arial" w:cs="Arial"/>
        </w:rPr>
        <w:t xml:space="preserve"> </w:t>
      </w:r>
    </w:p>
    <w:p w14:paraId="0D2A6EA3" w14:textId="77777777" w:rsidR="00040555" w:rsidRPr="009F63D7" w:rsidRDefault="0079782D" w:rsidP="00401057">
      <w:pPr>
        <w:spacing w:line="360" w:lineRule="auto"/>
        <w:rPr>
          <w:rFonts w:ascii="Arial" w:eastAsia="Calibri" w:hAnsi="Arial" w:cs="Arial"/>
          <w:sz w:val="24"/>
          <w:szCs w:val="24"/>
        </w:rPr>
      </w:pPr>
      <w:r w:rsidRPr="0079782D">
        <w:rPr>
          <w:rFonts w:ascii="Arial" w:eastAsia="Calibri" w:hAnsi="Arial" w:cs="Arial"/>
        </w:rPr>
        <w:t>All of these studies show no clear association between total simple carbohydrate intake and glycemic control or the risk of developing type 2 diabetes, and specific information on the influence of sucrose on diabetes is notably lacking.</w:t>
      </w:r>
      <w:r w:rsidRPr="0079782D">
        <w:t xml:space="preserve"> </w:t>
      </w:r>
      <w:r w:rsidRPr="0079782D">
        <w:rPr>
          <w:rFonts w:ascii="Arial" w:eastAsia="Calibri" w:hAnsi="Arial" w:cs="Arial"/>
        </w:rPr>
        <w:t xml:space="preserve">Conflicting results may arise as a result of the variety in the types of investigated subjects across all studies (diabetic, hyper-insulinemic, </w:t>
      </w:r>
      <w:r w:rsidR="002657AF" w:rsidRPr="0079782D">
        <w:rPr>
          <w:rFonts w:ascii="Arial" w:eastAsia="Calibri" w:hAnsi="Arial" w:cs="Arial"/>
        </w:rPr>
        <w:t>hyper triglyceridemic</w:t>
      </w:r>
      <w:r w:rsidRPr="0079782D">
        <w:rPr>
          <w:rFonts w:ascii="Arial" w:eastAsia="Calibri" w:hAnsi="Arial" w:cs="Arial"/>
        </w:rPr>
        <w:t>, healthy, etc.) . There is limited evidence to support guidelines on sugar intake that could be easily applied to the whole public, as high sugar intake may be more detrimental to particular categories of subjects. There are also disagreements among studies about the long-term detrimental effect of fructose on diabetes development. Many studies have recently linked high fructose intake to a risk factor for metabolic syndrome and diabetes.</w:t>
      </w:r>
      <w:r w:rsidRPr="0079782D">
        <w:t xml:space="preserve"> </w:t>
      </w:r>
      <w:r w:rsidRPr="0079782D">
        <w:rPr>
          <w:rFonts w:ascii="Arial" w:eastAsia="Calibri" w:hAnsi="Arial" w:cs="Arial"/>
        </w:rPr>
        <w:t>More research is needed to assess the influence of severe carbohydrate restriction on glucose and insulin metabolism, as well as weight loss regimens, in order to offer recommendations to reduce the risk of diabetes. In reality, numerous dietary or lifestyle factors, such as physical activity, caloric excess, and weight increase, may be more predictive of the development of metabolic abnormalities that precede diabetes. Furthermore, guidance must be given regarding the substitution of sugars for other goods in cases of stringent restriction in order to avoid the introduction of other items that may be detrimental to health in other ways.</w:t>
      </w:r>
      <w:r w:rsidR="00040555" w:rsidRPr="00516319">
        <w:rPr>
          <w:rFonts w:ascii="Arial" w:eastAsia="Calibri" w:hAnsi="Arial" w:cs="Arial"/>
        </w:rPr>
        <w:br w:type="page"/>
      </w:r>
    </w:p>
    <w:p w14:paraId="2FE3108C" w14:textId="77777777" w:rsidR="00040555" w:rsidRDefault="007B1FED">
      <w:r>
        <w:lastRenderedPageBreak/>
        <w:t xml:space="preserve">Reference </w:t>
      </w:r>
    </w:p>
    <w:p w14:paraId="34FEA094" w14:textId="77777777" w:rsidR="00F220B7" w:rsidRPr="00F220B7" w:rsidRDefault="00F220B7" w:rsidP="00F220B7">
      <w:pPr>
        <w:spacing w:after="240" w:line="240" w:lineRule="auto"/>
        <w:rPr>
          <w:rFonts w:ascii="Arial" w:hAnsi="Arial" w:cs="Arial"/>
        </w:rPr>
      </w:pPr>
      <w:r w:rsidRPr="00F220B7">
        <w:rPr>
          <w:rFonts w:ascii="Arial" w:hAnsi="Arial" w:cs="Arial"/>
        </w:rPr>
        <w:t xml:space="preserve">Aalto, A.-M., Uutela, A. and Aro, A. R. (1997) ‘Health related quality of life among insulin-dependent diabetics: disease-related and psychosocial correlates’, </w:t>
      </w:r>
      <w:r w:rsidRPr="00F220B7">
        <w:rPr>
          <w:rFonts w:ascii="Arial" w:hAnsi="Arial" w:cs="Arial"/>
          <w:i/>
          <w:iCs/>
        </w:rPr>
        <w:t>Patient Education and Counseling</w:t>
      </w:r>
      <w:r w:rsidRPr="00F220B7">
        <w:rPr>
          <w:rFonts w:ascii="Arial" w:hAnsi="Arial" w:cs="Arial"/>
        </w:rPr>
        <w:t>, 30(3), pp. 215–225. doi: 10.1016/S0738-3991(96)00963-9.</w:t>
      </w:r>
    </w:p>
    <w:p w14:paraId="27631FD0" w14:textId="77777777" w:rsidR="00F220B7" w:rsidRDefault="00F220B7" w:rsidP="00F220B7">
      <w:pPr>
        <w:spacing w:after="240" w:line="240" w:lineRule="auto"/>
        <w:rPr>
          <w:rFonts w:ascii="Arial" w:hAnsi="Arial" w:cs="Arial"/>
        </w:rPr>
      </w:pPr>
      <w:r w:rsidRPr="00F220B7">
        <w:rPr>
          <w:rFonts w:ascii="Arial" w:hAnsi="Arial" w:cs="Arial"/>
        </w:rPr>
        <w:t xml:space="preserve">DeVries, J. H., Snoek, F. J. and Heine, R. J. (2004) ‘Persistent poor glycaemic control in adult Type 1 diabetes. A closer look at the problem’, </w:t>
      </w:r>
      <w:r w:rsidRPr="00F220B7">
        <w:rPr>
          <w:rFonts w:ascii="Arial" w:hAnsi="Arial" w:cs="Arial"/>
          <w:i/>
          <w:iCs/>
        </w:rPr>
        <w:t>Diabetic Medicine</w:t>
      </w:r>
      <w:r w:rsidRPr="00F220B7">
        <w:rPr>
          <w:rFonts w:ascii="Arial" w:hAnsi="Arial" w:cs="Arial"/>
        </w:rPr>
        <w:t>, 21(12), pp. 1263–1268. doi: 10.1111/j.1464-5491.2004.01386.x.</w:t>
      </w:r>
    </w:p>
    <w:p w14:paraId="20C8446F" w14:textId="77777777" w:rsidR="00F220B7" w:rsidRPr="00F220B7" w:rsidRDefault="00F220B7" w:rsidP="00F220B7">
      <w:pPr>
        <w:spacing w:after="240" w:line="240" w:lineRule="auto"/>
        <w:rPr>
          <w:rFonts w:ascii="Arial" w:hAnsi="Arial" w:cs="Arial"/>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Delarue 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Normand 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Pachiaudi C</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Beylot M</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Lamisse F</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Riou JP</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The contribution of naturally labelled 13C fructose to glucose appearance in humans</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Diabetologia</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1993</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36</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338</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345</w:t>
      </w:r>
      <w:r>
        <w:rPr>
          <w:rFonts w:ascii="Open Sans" w:hAnsi="Open Sans" w:cs="Open Sans"/>
          <w:color w:val="1C1D1E"/>
          <w:sz w:val="21"/>
          <w:szCs w:val="21"/>
          <w:shd w:val="clear" w:color="auto" w:fill="EFEFF0"/>
        </w:rPr>
        <w:t>.</w:t>
      </w:r>
    </w:p>
    <w:p w14:paraId="3DF60FF2" w14:textId="77777777" w:rsidR="00F220B7" w:rsidRDefault="00F220B7" w:rsidP="00F220B7">
      <w:pPr>
        <w:rPr>
          <w:rFonts w:ascii="Open Sans" w:hAnsi="Open Sans" w:cs="Open Sans"/>
          <w:color w:val="1C1D1E"/>
          <w:sz w:val="21"/>
          <w:szCs w:val="21"/>
          <w:shd w:val="clear" w:color="auto" w:fill="EFEFF0"/>
        </w:rPr>
      </w:pPr>
      <w:r>
        <w:rPr>
          <w:rStyle w:val="author"/>
          <w:rFonts w:ascii="Open Sans" w:hAnsi="Open Sans" w:cs="Open Sans"/>
          <w:color w:val="1C1D1E"/>
          <w:sz w:val="21"/>
          <w:szCs w:val="21"/>
          <w:shd w:val="clear" w:color="auto" w:fill="EFEFF0"/>
        </w:rPr>
        <w:t>Ellwood KC</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Chatzidakis C</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Failla ML</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Fructose utilization by the human intestinal epithelial cell line, Caco-2</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Proc Soc Exp Biol Med</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1993</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202</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440</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446</w:t>
      </w:r>
      <w:r>
        <w:rPr>
          <w:rFonts w:ascii="Open Sans" w:hAnsi="Open Sans" w:cs="Open Sans"/>
          <w:color w:val="1C1D1E"/>
          <w:sz w:val="21"/>
          <w:szCs w:val="21"/>
          <w:shd w:val="clear" w:color="auto" w:fill="EFEFF0"/>
        </w:rPr>
        <w:t>.</w:t>
      </w:r>
    </w:p>
    <w:p w14:paraId="23CE848B" w14:textId="77777777" w:rsidR="00117AE4" w:rsidRDefault="00117AE4" w:rsidP="00F220B7">
      <w:pPr>
        <w:rPr>
          <w:rFonts w:ascii="Open Sans" w:hAnsi="Open Sans" w:cs="Open Sans"/>
          <w:color w:val="1C1D1E"/>
          <w:sz w:val="21"/>
          <w:szCs w:val="21"/>
          <w:shd w:val="clear" w:color="auto" w:fill="EFEFF0"/>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Hu FB</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Manson JE</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Stampfer MJ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Colditz G</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Liu 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Solomon CG</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Willett WC</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Diet, lifestyle, and the risk of type 2 diabetes mellitus in women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N Engl J Med</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2001</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345</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790</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797</w:t>
      </w:r>
      <w:r>
        <w:rPr>
          <w:rFonts w:ascii="Open Sans" w:hAnsi="Open Sans" w:cs="Open Sans"/>
          <w:color w:val="1C1D1E"/>
          <w:sz w:val="21"/>
          <w:szCs w:val="21"/>
          <w:shd w:val="clear" w:color="auto" w:fill="EFEFF0"/>
        </w:rPr>
        <w:t>.</w:t>
      </w:r>
    </w:p>
    <w:p w14:paraId="44BF82DE" w14:textId="77777777" w:rsidR="0079782D" w:rsidRDefault="0079782D" w:rsidP="00F220B7">
      <w:pPr>
        <w:rPr>
          <w:rFonts w:ascii="Open Sans" w:hAnsi="Open Sans" w:cs="Open Sans"/>
          <w:color w:val="1C1D1E"/>
          <w:sz w:val="21"/>
          <w:szCs w:val="21"/>
          <w:shd w:val="clear" w:color="auto" w:fill="EFEFF0"/>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Janket SJ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Manson JE</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Sesso H</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Buring JE</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Liu S</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A prospective study of sugar intake and risk of type 2 diabetes in women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Diabetes Care</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2003</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26</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1008</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1015</w:t>
      </w:r>
      <w:r>
        <w:rPr>
          <w:rFonts w:ascii="Open Sans" w:hAnsi="Open Sans" w:cs="Open Sans"/>
          <w:color w:val="1C1D1E"/>
          <w:sz w:val="21"/>
          <w:szCs w:val="21"/>
          <w:shd w:val="clear" w:color="auto" w:fill="EFEFF0"/>
        </w:rPr>
        <w:t>.</w:t>
      </w:r>
    </w:p>
    <w:p w14:paraId="020C453C" w14:textId="77777777" w:rsidR="00F220B7" w:rsidRDefault="00F220B7" w:rsidP="00F220B7">
      <w:pPr>
        <w:rPr>
          <w:rFonts w:ascii="Open Sans" w:hAnsi="Open Sans" w:cs="Open Sans"/>
          <w:color w:val="1C1D1E"/>
          <w:sz w:val="21"/>
          <w:szCs w:val="21"/>
          <w:shd w:val="clear" w:color="auto" w:fill="EFEFF0"/>
        </w:rPr>
      </w:pPr>
      <w:r>
        <w:rPr>
          <w:rStyle w:val="author"/>
          <w:rFonts w:ascii="Open Sans" w:hAnsi="Open Sans" w:cs="Open Sans"/>
          <w:color w:val="1C1D1E"/>
          <w:sz w:val="21"/>
          <w:szCs w:val="21"/>
          <w:shd w:val="clear" w:color="auto" w:fill="EFEFF0"/>
        </w:rPr>
        <w:t>Levin RJ</w:t>
      </w:r>
      <w:r>
        <w:rPr>
          <w:rFonts w:ascii="Open Sans" w:hAnsi="Open Sans" w:cs="Open Sans"/>
          <w:color w:val="1C1D1E"/>
          <w:sz w:val="21"/>
          <w:szCs w:val="21"/>
          <w:shd w:val="clear" w:color="auto" w:fill="EFEFF0"/>
        </w:rPr>
        <w:t>. </w:t>
      </w:r>
      <w:r>
        <w:rPr>
          <w:rStyle w:val="chaptertitle"/>
          <w:rFonts w:ascii="Open Sans" w:hAnsi="Open Sans" w:cs="Open Sans"/>
          <w:color w:val="1C1D1E"/>
          <w:sz w:val="21"/>
          <w:szCs w:val="21"/>
          <w:shd w:val="clear" w:color="auto" w:fill="EFEFF0"/>
        </w:rPr>
        <w:t>Dietary carbohydrate and the kinetics of intestinal functions in relation to hexose absorption</w:t>
      </w:r>
      <w:r>
        <w:rPr>
          <w:rFonts w:ascii="Open Sans" w:hAnsi="Open Sans" w:cs="Open Sans"/>
          <w:color w:val="1C1D1E"/>
          <w:sz w:val="21"/>
          <w:szCs w:val="21"/>
          <w:shd w:val="clear" w:color="auto" w:fill="EFEFF0"/>
        </w:rPr>
        <w:t>. In: </w:t>
      </w:r>
      <w:r>
        <w:rPr>
          <w:rStyle w:val="editor"/>
          <w:rFonts w:ascii="Open Sans" w:hAnsi="Open Sans" w:cs="Open Sans"/>
          <w:color w:val="1C1D1E"/>
          <w:sz w:val="21"/>
          <w:szCs w:val="21"/>
          <w:shd w:val="clear" w:color="auto" w:fill="EFEFF0"/>
        </w:rPr>
        <w:t>Dobbing J</w:t>
      </w:r>
      <w:r>
        <w:rPr>
          <w:rFonts w:ascii="Open Sans" w:hAnsi="Open Sans" w:cs="Open Sans"/>
          <w:color w:val="1C1D1E"/>
          <w:sz w:val="21"/>
          <w:szCs w:val="21"/>
          <w:shd w:val="clear" w:color="auto" w:fill="EFEFF0"/>
        </w:rPr>
        <w:t> (ed.). </w:t>
      </w:r>
      <w:r>
        <w:rPr>
          <w:rStyle w:val="booktitle"/>
          <w:rFonts w:ascii="Open Sans" w:hAnsi="Open Sans" w:cs="Open Sans"/>
          <w:i/>
          <w:iCs/>
          <w:color w:val="1C1D1E"/>
          <w:sz w:val="21"/>
          <w:szCs w:val="21"/>
          <w:shd w:val="clear" w:color="auto" w:fill="EFEFF0"/>
        </w:rPr>
        <w:t>Dietary Starches and Sugars in Man: a Comparison</w:t>
      </w:r>
      <w:r>
        <w:rPr>
          <w:rFonts w:ascii="Open Sans" w:hAnsi="Open Sans" w:cs="Open Sans"/>
          <w:color w:val="1C1D1E"/>
          <w:sz w:val="21"/>
          <w:szCs w:val="21"/>
          <w:shd w:val="clear" w:color="auto" w:fill="EFEFF0"/>
        </w:rPr>
        <w:t>. Springer-Verlag: London, </w:t>
      </w:r>
      <w:r>
        <w:rPr>
          <w:rStyle w:val="pubyear"/>
          <w:rFonts w:ascii="Open Sans" w:hAnsi="Open Sans" w:cs="Open Sans"/>
          <w:color w:val="1C1D1E"/>
          <w:sz w:val="21"/>
          <w:szCs w:val="21"/>
          <w:shd w:val="clear" w:color="auto" w:fill="EFEFF0"/>
        </w:rPr>
        <w:t>1989</w:t>
      </w:r>
      <w:r>
        <w:rPr>
          <w:rFonts w:ascii="Open Sans" w:hAnsi="Open Sans" w:cs="Open Sans"/>
          <w:color w:val="1C1D1E"/>
          <w:sz w:val="21"/>
          <w:szCs w:val="21"/>
          <w:shd w:val="clear" w:color="auto" w:fill="EFEFF0"/>
        </w:rPr>
        <w:t>, pp. </w:t>
      </w:r>
      <w:r>
        <w:rPr>
          <w:rStyle w:val="pagefirst"/>
          <w:rFonts w:ascii="Open Sans" w:hAnsi="Open Sans" w:cs="Open Sans"/>
          <w:color w:val="1C1D1E"/>
          <w:sz w:val="21"/>
          <w:szCs w:val="21"/>
          <w:shd w:val="clear" w:color="auto" w:fill="EFEFF0"/>
        </w:rPr>
        <w:t>89</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117</w:t>
      </w:r>
      <w:r>
        <w:rPr>
          <w:rFonts w:ascii="Open Sans" w:hAnsi="Open Sans" w:cs="Open Sans"/>
          <w:color w:val="1C1D1E"/>
          <w:sz w:val="21"/>
          <w:szCs w:val="21"/>
          <w:shd w:val="clear" w:color="auto" w:fill="EFEFF0"/>
        </w:rPr>
        <w:t>.</w:t>
      </w:r>
    </w:p>
    <w:p w14:paraId="2BC8C652" w14:textId="77777777" w:rsidR="00F220B7" w:rsidRDefault="00F220B7" w:rsidP="00F220B7">
      <w:pPr>
        <w:rPr>
          <w:rFonts w:ascii="Open Sans" w:hAnsi="Open Sans" w:cs="Open Sans"/>
          <w:color w:val="1C1D1E"/>
          <w:sz w:val="21"/>
          <w:szCs w:val="21"/>
          <w:shd w:val="clear" w:color="auto" w:fill="EFEFF0"/>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Mahraoui L</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Rousset M</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Dussaulx E</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Darmoul D</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Zweibaum A</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Brot-Laroche E</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Expression and localization of GLUT-5 in Caco-2 cells, human small intestine, and colon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Am J Physiol</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1992</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263</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G312</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G318</w:t>
      </w:r>
      <w:r>
        <w:rPr>
          <w:rFonts w:ascii="Open Sans" w:hAnsi="Open Sans" w:cs="Open Sans"/>
          <w:color w:val="1C1D1E"/>
          <w:sz w:val="21"/>
          <w:szCs w:val="21"/>
          <w:shd w:val="clear" w:color="auto" w:fill="EFEFF0"/>
        </w:rPr>
        <w:t>.</w:t>
      </w:r>
    </w:p>
    <w:p w14:paraId="506D021F" w14:textId="77777777" w:rsidR="00117AE4" w:rsidRDefault="00117AE4" w:rsidP="00F220B7">
      <w:pPr>
        <w:rPr>
          <w:rFonts w:ascii="Open Sans" w:hAnsi="Open Sans" w:cs="Open Sans"/>
          <w:color w:val="1C1D1E"/>
          <w:sz w:val="21"/>
          <w:szCs w:val="21"/>
          <w:shd w:val="clear" w:color="auto" w:fill="EFEFF0"/>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Meyer KA</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Kushi LH</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Jacobs DR Jr</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Slavin, 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Sellers TA</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Folsom AR</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Carbohydrates, dietary fiber, and incident type 2 diabetes in older women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Am J Clin Nutr</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2000</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71</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921</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930</w:t>
      </w:r>
      <w:r>
        <w:rPr>
          <w:rFonts w:ascii="Open Sans" w:hAnsi="Open Sans" w:cs="Open Sans"/>
          <w:color w:val="1C1D1E"/>
          <w:sz w:val="21"/>
          <w:szCs w:val="21"/>
          <w:shd w:val="clear" w:color="auto" w:fill="EFEFF0"/>
        </w:rPr>
        <w:t>.</w:t>
      </w:r>
    </w:p>
    <w:p w14:paraId="00F730F0" w14:textId="77777777" w:rsidR="00F220B7" w:rsidRDefault="00F220B7">
      <w:pPr>
        <w:rPr>
          <w:rFonts w:ascii="Open Sans" w:hAnsi="Open Sans" w:cs="Open Sans"/>
          <w:color w:val="1C1D1E"/>
          <w:sz w:val="21"/>
          <w:szCs w:val="21"/>
          <w:shd w:val="clear" w:color="auto" w:fill="EFEFF0"/>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Ravich WJ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Bayless TM</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Thomas M</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Fructose: incomplete intestinal absorption in humans</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Gastroenterology</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1983</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84</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26</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29</w:t>
      </w:r>
      <w:r>
        <w:rPr>
          <w:rFonts w:ascii="Open Sans" w:hAnsi="Open Sans" w:cs="Open Sans"/>
          <w:color w:val="1C1D1E"/>
          <w:sz w:val="21"/>
          <w:szCs w:val="21"/>
          <w:shd w:val="clear" w:color="auto" w:fill="EFEFF0"/>
        </w:rPr>
        <w:t>.</w:t>
      </w:r>
    </w:p>
    <w:p w14:paraId="261D1A37" w14:textId="77777777" w:rsidR="00727C47" w:rsidRDefault="00727C47">
      <w:pPr>
        <w:rPr>
          <w:rFonts w:ascii="Open Sans" w:hAnsi="Open Sans" w:cs="Open Sans"/>
          <w:color w:val="1C1D1E"/>
          <w:sz w:val="21"/>
          <w:szCs w:val="21"/>
          <w:shd w:val="clear" w:color="auto" w:fill="EFEFF0"/>
        </w:rPr>
      </w:pPr>
      <w:r>
        <w:rPr>
          <w:rStyle w:val="author"/>
          <w:rFonts w:ascii="Open Sans" w:hAnsi="Open Sans" w:cs="Open Sans"/>
          <w:color w:val="1C1D1E"/>
          <w:sz w:val="21"/>
          <w:szCs w:val="21"/>
          <w:shd w:val="clear" w:color="auto" w:fill="EFEFF0"/>
        </w:rPr>
        <w:t>Reiser 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Handler HB</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Gardner LB</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Hallfrisch JG</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Michaelis OE 4th</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Prather ES</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Isocaloric exchange of dietary starch and sucrose in humans. II. Effect on fasting blood insulin, glucose, and glucagon and on insulin and glucose response to a sucrose load</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Am J Clin Nutr</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1979</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32</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2206</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2216</w:t>
      </w:r>
      <w:r>
        <w:rPr>
          <w:rFonts w:ascii="Open Sans" w:hAnsi="Open Sans" w:cs="Open Sans"/>
          <w:color w:val="1C1D1E"/>
          <w:sz w:val="21"/>
          <w:szCs w:val="21"/>
          <w:shd w:val="clear" w:color="auto" w:fill="EFEFF0"/>
        </w:rPr>
        <w:t>.</w:t>
      </w:r>
    </w:p>
    <w:p w14:paraId="45837E35" w14:textId="77777777" w:rsidR="00727C47" w:rsidRDefault="00727C47">
      <w:pPr>
        <w:rPr>
          <w:rFonts w:ascii="Open Sans" w:hAnsi="Open Sans" w:cs="Open Sans"/>
          <w:color w:val="1C1D1E"/>
          <w:sz w:val="21"/>
          <w:szCs w:val="21"/>
          <w:shd w:val="clear" w:color="auto" w:fill="EFEFF0"/>
        </w:rPr>
      </w:pPr>
      <w:r>
        <w:rPr>
          <w:rStyle w:val="author"/>
          <w:rFonts w:ascii="Open Sans" w:hAnsi="Open Sans" w:cs="Open Sans"/>
          <w:color w:val="1C1D1E"/>
          <w:sz w:val="21"/>
          <w:szCs w:val="21"/>
          <w:shd w:val="clear" w:color="auto" w:fill="EFEFF0"/>
        </w:rPr>
        <w:t>Reiser 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Bohn E</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Hallfrisch 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Michaelis OE 4th</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Keeney M</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Prather ES</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Serum insulin and glucose in hyperinsulinemic subjects fed three different levels of sucrose</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Am J Clin Nutr</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1981</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34</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2348</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2358</w:t>
      </w:r>
      <w:r>
        <w:rPr>
          <w:rFonts w:ascii="Open Sans" w:hAnsi="Open Sans" w:cs="Open Sans"/>
          <w:color w:val="1C1D1E"/>
          <w:sz w:val="21"/>
          <w:szCs w:val="21"/>
          <w:shd w:val="clear" w:color="auto" w:fill="EFEFF0"/>
        </w:rPr>
        <w:t>.</w:t>
      </w:r>
    </w:p>
    <w:p w14:paraId="608D8E82" w14:textId="77777777" w:rsidR="00117AE4" w:rsidRDefault="00117AE4">
      <w:pPr>
        <w:rPr>
          <w:rFonts w:ascii="Open Sans" w:hAnsi="Open Sans" w:cs="Open Sans"/>
          <w:color w:val="1C1D1E"/>
          <w:sz w:val="21"/>
          <w:szCs w:val="21"/>
          <w:shd w:val="clear" w:color="auto" w:fill="EFEFF0"/>
        </w:rPr>
      </w:pPr>
      <w:r>
        <w:rPr>
          <w:rStyle w:val="author"/>
          <w:rFonts w:ascii="Open Sans" w:hAnsi="Open Sans" w:cs="Open Sans"/>
          <w:color w:val="1C1D1E"/>
          <w:sz w:val="21"/>
          <w:szCs w:val="21"/>
          <w:shd w:val="clear" w:color="auto" w:fill="EFEFF0"/>
        </w:rPr>
        <w:t>Salmeron 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Ascherio A</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Rimm EB</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Colditz GA</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Spiegelman D</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Jenkins DJ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Stampfer MJ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Wing AL</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Willett WC</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Dietary fiber, glycemic load, and risk of NIDDM in men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Diabetes Care</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1997</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20</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545</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550</w:t>
      </w:r>
      <w:r>
        <w:rPr>
          <w:rFonts w:ascii="Open Sans" w:hAnsi="Open Sans" w:cs="Open Sans"/>
          <w:color w:val="1C1D1E"/>
          <w:sz w:val="21"/>
          <w:szCs w:val="21"/>
          <w:shd w:val="clear" w:color="auto" w:fill="EFEFF0"/>
        </w:rPr>
        <w:t>.</w:t>
      </w:r>
    </w:p>
    <w:p w14:paraId="31A0EBE4" w14:textId="77777777" w:rsidR="0079782D" w:rsidRDefault="0079782D">
      <w:r>
        <w:rPr>
          <w:rFonts w:ascii="Open Sans" w:hAnsi="Open Sans" w:cs="Open Sans"/>
          <w:color w:val="1C1D1E"/>
          <w:sz w:val="21"/>
          <w:szCs w:val="21"/>
          <w:shd w:val="clear" w:color="auto" w:fill="EFEFF0"/>
        </w:rPr>
        <w:lastRenderedPageBreak/>
        <w:t> </w:t>
      </w:r>
      <w:r>
        <w:rPr>
          <w:rStyle w:val="author"/>
          <w:rFonts w:ascii="Open Sans" w:hAnsi="Open Sans" w:cs="Open Sans"/>
          <w:color w:val="1C1D1E"/>
          <w:sz w:val="21"/>
          <w:szCs w:val="21"/>
          <w:shd w:val="clear" w:color="auto" w:fill="EFEFF0"/>
        </w:rPr>
        <w:t>Schulze MB</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Manson JE</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Ludwig DS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Colditz GA</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Stampfer MJ</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Willett WC</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Hu FB</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Sugar-sweetened beverages, weight gain, and incidence of type 2 diabetes in young and middle-aged women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JAMA</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2004</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292</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927</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934</w:t>
      </w:r>
      <w:r>
        <w:rPr>
          <w:rFonts w:ascii="Open Sans" w:hAnsi="Open Sans" w:cs="Open Sans"/>
          <w:color w:val="1C1D1E"/>
          <w:sz w:val="21"/>
          <w:szCs w:val="21"/>
          <w:shd w:val="clear" w:color="auto" w:fill="EFEFF0"/>
        </w:rPr>
        <w:t>.</w:t>
      </w:r>
    </w:p>
    <w:p w14:paraId="05865B6E" w14:textId="77777777" w:rsidR="007B1FED" w:rsidRDefault="007B1FED">
      <w:pPr>
        <w:rPr>
          <w:rFonts w:ascii="Open Sans" w:hAnsi="Open Sans" w:cs="Open Sans"/>
          <w:color w:val="1C1D1E"/>
          <w:sz w:val="21"/>
          <w:szCs w:val="21"/>
          <w:shd w:val="clear" w:color="auto" w:fill="EFEFF0"/>
        </w:rPr>
      </w:pP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Sole CC</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Noakes TD</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Faster gastric emptying for glucose-polymer and fructose solutions than for glucose in humans</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Eur J Appl Physiol Occup Physiol</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1989</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58</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605</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612</w:t>
      </w:r>
      <w:r>
        <w:rPr>
          <w:rFonts w:ascii="Open Sans" w:hAnsi="Open Sans" w:cs="Open Sans"/>
          <w:color w:val="1C1D1E"/>
          <w:sz w:val="21"/>
          <w:szCs w:val="21"/>
          <w:shd w:val="clear" w:color="auto" w:fill="EFEFF0"/>
        </w:rPr>
        <w:t>.</w:t>
      </w:r>
    </w:p>
    <w:p w14:paraId="0E6E3706" w14:textId="77777777" w:rsidR="0079782D" w:rsidRDefault="0079782D">
      <w:pPr>
        <w:rPr>
          <w:rStyle w:val="author"/>
          <w:rFonts w:ascii="Open Sans" w:hAnsi="Open Sans" w:cs="Open Sans"/>
          <w:color w:val="1C1D1E"/>
          <w:sz w:val="21"/>
          <w:szCs w:val="21"/>
          <w:shd w:val="clear" w:color="auto" w:fill="EFEFF0"/>
        </w:rPr>
      </w:pPr>
    </w:p>
    <w:p w14:paraId="35418D2A" w14:textId="77777777" w:rsidR="00727C47" w:rsidRDefault="00727C47">
      <w:pPr>
        <w:rPr>
          <w:rFonts w:ascii="Open Sans" w:hAnsi="Open Sans" w:cs="Open Sans"/>
          <w:color w:val="1C1D1E"/>
          <w:sz w:val="21"/>
          <w:szCs w:val="21"/>
          <w:shd w:val="clear" w:color="auto" w:fill="EFEFF0"/>
        </w:rPr>
      </w:pPr>
      <w:r>
        <w:rPr>
          <w:rStyle w:val="author"/>
          <w:rFonts w:ascii="Open Sans" w:hAnsi="Open Sans" w:cs="Open Sans"/>
          <w:color w:val="1C1D1E"/>
          <w:sz w:val="21"/>
          <w:szCs w:val="21"/>
          <w:shd w:val="clear" w:color="auto" w:fill="EFEFF0"/>
        </w:rPr>
        <w:t>Tissot 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Normand S</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Guilluy R</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Pachiaudi C</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Beylot M</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Laville M</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Cohen R</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Mornex R</w:t>
      </w:r>
      <w:r>
        <w:rPr>
          <w:rFonts w:ascii="Open Sans" w:hAnsi="Open Sans" w:cs="Open Sans"/>
          <w:color w:val="1C1D1E"/>
          <w:sz w:val="21"/>
          <w:szCs w:val="21"/>
          <w:shd w:val="clear" w:color="auto" w:fill="EFEFF0"/>
        </w:rPr>
        <w:t>, </w:t>
      </w:r>
      <w:r>
        <w:rPr>
          <w:rStyle w:val="author"/>
          <w:rFonts w:ascii="Open Sans" w:hAnsi="Open Sans" w:cs="Open Sans"/>
          <w:color w:val="1C1D1E"/>
          <w:sz w:val="21"/>
          <w:szCs w:val="21"/>
          <w:shd w:val="clear" w:color="auto" w:fill="EFEFF0"/>
        </w:rPr>
        <w:t>Riou JP</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Use of a new gas chromatograph isotope ratio mass spectrometer to trace exogenous 13C labelled glucose at a very low level of enrichment in man</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Diabetologia</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1990</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33</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449</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456</w:t>
      </w:r>
      <w:r>
        <w:rPr>
          <w:rFonts w:ascii="Open Sans" w:hAnsi="Open Sans" w:cs="Open Sans"/>
          <w:color w:val="1C1D1E"/>
          <w:sz w:val="21"/>
          <w:szCs w:val="21"/>
          <w:shd w:val="clear" w:color="auto" w:fill="EFEFF0"/>
        </w:rPr>
        <w:t>.</w:t>
      </w:r>
    </w:p>
    <w:p w14:paraId="2ED14FA3" w14:textId="77777777" w:rsidR="00F220B7" w:rsidRDefault="00F220B7">
      <w:r>
        <w:rPr>
          <w:rStyle w:val="author"/>
          <w:rFonts w:ascii="Open Sans" w:hAnsi="Open Sans" w:cs="Open Sans"/>
          <w:color w:val="1C1D1E"/>
          <w:sz w:val="21"/>
          <w:szCs w:val="21"/>
          <w:shd w:val="clear" w:color="auto" w:fill="EFEFF0"/>
        </w:rPr>
        <w:t>Van den Berghe G</w:t>
      </w:r>
      <w:r>
        <w:rPr>
          <w:rFonts w:ascii="Open Sans" w:hAnsi="Open Sans" w:cs="Open Sans"/>
          <w:color w:val="1C1D1E"/>
          <w:sz w:val="21"/>
          <w:szCs w:val="21"/>
          <w:shd w:val="clear" w:color="auto" w:fill="EFEFF0"/>
        </w:rPr>
        <w:t>. </w:t>
      </w:r>
      <w:r>
        <w:rPr>
          <w:rStyle w:val="articletitle"/>
          <w:rFonts w:ascii="Open Sans" w:hAnsi="Open Sans" w:cs="Open Sans"/>
          <w:color w:val="1C1D1E"/>
          <w:sz w:val="21"/>
          <w:szCs w:val="21"/>
          <w:shd w:val="clear" w:color="auto" w:fill="EFEFF0"/>
        </w:rPr>
        <w:t>Fructose: metabolism and short-term effects on carbohydrate and purine metabolic pathways</w:t>
      </w:r>
      <w:r>
        <w:rPr>
          <w:rFonts w:ascii="Open Sans" w:hAnsi="Open Sans" w:cs="Open Sans"/>
          <w:color w:val="1C1D1E"/>
          <w:sz w:val="21"/>
          <w:szCs w:val="21"/>
          <w:shd w:val="clear" w:color="auto" w:fill="EFEFF0"/>
        </w:rPr>
        <w:t>. </w:t>
      </w:r>
      <w:r>
        <w:rPr>
          <w:rStyle w:val="journaltitle"/>
          <w:rFonts w:ascii="Open Sans" w:hAnsi="Open Sans" w:cs="Open Sans"/>
          <w:i/>
          <w:iCs/>
          <w:color w:val="1C1D1E"/>
          <w:sz w:val="21"/>
          <w:szCs w:val="21"/>
          <w:shd w:val="clear" w:color="auto" w:fill="EFEFF0"/>
        </w:rPr>
        <w:t>Prog Biochem Pharmacol</w:t>
      </w:r>
      <w:r>
        <w:rPr>
          <w:rFonts w:ascii="Open Sans" w:hAnsi="Open Sans" w:cs="Open Sans"/>
          <w:color w:val="1C1D1E"/>
          <w:sz w:val="21"/>
          <w:szCs w:val="21"/>
          <w:shd w:val="clear" w:color="auto" w:fill="EFEFF0"/>
        </w:rPr>
        <w:t> </w:t>
      </w:r>
      <w:r>
        <w:rPr>
          <w:rStyle w:val="pubyear"/>
          <w:rFonts w:ascii="Open Sans" w:hAnsi="Open Sans" w:cs="Open Sans"/>
          <w:color w:val="1C1D1E"/>
          <w:sz w:val="21"/>
          <w:szCs w:val="21"/>
          <w:shd w:val="clear" w:color="auto" w:fill="EFEFF0"/>
        </w:rPr>
        <w:t>1986</w:t>
      </w:r>
      <w:r>
        <w:rPr>
          <w:rFonts w:ascii="Open Sans" w:hAnsi="Open Sans" w:cs="Open Sans"/>
          <w:color w:val="1C1D1E"/>
          <w:sz w:val="21"/>
          <w:szCs w:val="21"/>
          <w:shd w:val="clear" w:color="auto" w:fill="EFEFF0"/>
        </w:rPr>
        <w:t>; </w:t>
      </w:r>
      <w:r>
        <w:rPr>
          <w:rStyle w:val="vol"/>
          <w:rFonts w:ascii="Open Sans" w:hAnsi="Open Sans" w:cs="Open Sans"/>
          <w:b/>
          <w:bCs/>
          <w:color w:val="1C1D1E"/>
          <w:sz w:val="21"/>
          <w:szCs w:val="21"/>
          <w:shd w:val="clear" w:color="auto" w:fill="EFEFF0"/>
        </w:rPr>
        <w:t>21</w:t>
      </w:r>
      <w:r>
        <w:rPr>
          <w:rFonts w:ascii="Open Sans" w:hAnsi="Open Sans" w:cs="Open Sans"/>
          <w:color w:val="1C1D1E"/>
          <w:sz w:val="21"/>
          <w:szCs w:val="21"/>
          <w:shd w:val="clear" w:color="auto" w:fill="EFEFF0"/>
        </w:rPr>
        <w:t>: </w:t>
      </w:r>
      <w:r>
        <w:rPr>
          <w:rStyle w:val="pagefirst"/>
          <w:rFonts w:ascii="Open Sans" w:hAnsi="Open Sans" w:cs="Open Sans"/>
          <w:color w:val="1C1D1E"/>
          <w:sz w:val="21"/>
          <w:szCs w:val="21"/>
          <w:shd w:val="clear" w:color="auto" w:fill="EFEFF0"/>
        </w:rPr>
        <w:t>1</w:t>
      </w:r>
      <w:r>
        <w:rPr>
          <w:rFonts w:ascii="Open Sans" w:hAnsi="Open Sans" w:cs="Open Sans"/>
          <w:color w:val="1C1D1E"/>
          <w:sz w:val="21"/>
          <w:szCs w:val="21"/>
          <w:shd w:val="clear" w:color="auto" w:fill="EFEFF0"/>
        </w:rPr>
        <w:t>–</w:t>
      </w:r>
      <w:r>
        <w:rPr>
          <w:rStyle w:val="pagelast"/>
          <w:rFonts w:ascii="Open Sans" w:hAnsi="Open Sans" w:cs="Open Sans"/>
          <w:color w:val="1C1D1E"/>
          <w:sz w:val="21"/>
          <w:szCs w:val="21"/>
          <w:shd w:val="clear" w:color="auto" w:fill="EFEFF0"/>
        </w:rPr>
        <w:t>32</w:t>
      </w:r>
      <w:r>
        <w:rPr>
          <w:rFonts w:ascii="Open Sans" w:hAnsi="Open Sans" w:cs="Open Sans"/>
          <w:color w:val="1C1D1E"/>
          <w:sz w:val="21"/>
          <w:szCs w:val="21"/>
          <w:shd w:val="clear" w:color="auto" w:fill="EFEFF0"/>
        </w:rPr>
        <w:t>.</w:t>
      </w:r>
    </w:p>
    <w:sectPr w:rsidR="00F22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555"/>
    <w:rsid w:val="00036E2A"/>
    <w:rsid w:val="00040555"/>
    <w:rsid w:val="00076409"/>
    <w:rsid w:val="000D7CC6"/>
    <w:rsid w:val="00117AE4"/>
    <w:rsid w:val="001B6F92"/>
    <w:rsid w:val="002657AF"/>
    <w:rsid w:val="003601F8"/>
    <w:rsid w:val="00401057"/>
    <w:rsid w:val="00581DD0"/>
    <w:rsid w:val="005A2D6D"/>
    <w:rsid w:val="00727C47"/>
    <w:rsid w:val="00757963"/>
    <w:rsid w:val="0079782D"/>
    <w:rsid w:val="007B1FED"/>
    <w:rsid w:val="007F76E9"/>
    <w:rsid w:val="00867806"/>
    <w:rsid w:val="008A3A50"/>
    <w:rsid w:val="009325D0"/>
    <w:rsid w:val="00CB5CD2"/>
    <w:rsid w:val="00CE6C48"/>
    <w:rsid w:val="00D465E8"/>
    <w:rsid w:val="00DC14FA"/>
    <w:rsid w:val="00EC5EF5"/>
    <w:rsid w:val="00F22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10E9B"/>
  <w15:chartTrackingRefBased/>
  <w15:docId w15:val="{C458C76A-D656-416C-B7D4-C84395297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7B1FED"/>
  </w:style>
  <w:style w:type="character" w:customStyle="1" w:styleId="articletitle">
    <w:name w:val="articletitle"/>
    <w:basedOn w:val="DefaultParagraphFont"/>
    <w:rsid w:val="007B1FED"/>
  </w:style>
  <w:style w:type="character" w:customStyle="1" w:styleId="journaltitle">
    <w:name w:val="journaltitle"/>
    <w:basedOn w:val="DefaultParagraphFont"/>
    <w:rsid w:val="007B1FED"/>
  </w:style>
  <w:style w:type="character" w:customStyle="1" w:styleId="pubyear">
    <w:name w:val="pubyear"/>
    <w:basedOn w:val="DefaultParagraphFont"/>
    <w:rsid w:val="007B1FED"/>
  </w:style>
  <w:style w:type="character" w:customStyle="1" w:styleId="vol">
    <w:name w:val="vol"/>
    <w:basedOn w:val="DefaultParagraphFont"/>
    <w:rsid w:val="007B1FED"/>
  </w:style>
  <w:style w:type="character" w:customStyle="1" w:styleId="pagefirst">
    <w:name w:val="pagefirst"/>
    <w:basedOn w:val="DefaultParagraphFont"/>
    <w:rsid w:val="007B1FED"/>
  </w:style>
  <w:style w:type="character" w:customStyle="1" w:styleId="pagelast">
    <w:name w:val="pagelast"/>
    <w:basedOn w:val="DefaultParagraphFont"/>
    <w:rsid w:val="007B1FED"/>
  </w:style>
  <w:style w:type="character" w:customStyle="1" w:styleId="chaptertitle">
    <w:name w:val="chaptertitle"/>
    <w:basedOn w:val="DefaultParagraphFont"/>
    <w:rsid w:val="007B1FED"/>
  </w:style>
  <w:style w:type="character" w:customStyle="1" w:styleId="editor">
    <w:name w:val="editor"/>
    <w:basedOn w:val="DefaultParagraphFont"/>
    <w:rsid w:val="007B1FED"/>
  </w:style>
  <w:style w:type="character" w:customStyle="1" w:styleId="booktitle">
    <w:name w:val="booktitle"/>
    <w:basedOn w:val="DefaultParagraphFont"/>
    <w:rsid w:val="007B1FED"/>
  </w:style>
  <w:style w:type="paragraph" w:styleId="Bibliography">
    <w:name w:val="Bibliography"/>
    <w:basedOn w:val="Normal"/>
    <w:next w:val="Normal"/>
    <w:uiPriority w:val="37"/>
    <w:semiHidden/>
    <w:unhideWhenUsed/>
    <w:rsid w:val="00F220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2198</Words>
  <Characters>12531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Constantina</dc:creator>
  <cp:keywords/>
  <dc:description/>
  <cp:lastModifiedBy>Georgiana Hurjui</cp:lastModifiedBy>
  <cp:revision>1</cp:revision>
  <dcterms:created xsi:type="dcterms:W3CDTF">2022-03-31T10:35:00Z</dcterms:created>
  <dcterms:modified xsi:type="dcterms:W3CDTF">2022-03-31T10:36:00Z</dcterms:modified>
</cp:coreProperties>
</file>