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widowControl w:val="0"/>
        <w:spacing w:after="0" w:line="240" w:lineRule="auto"/>
        <w:jc w:val="center"/>
        <w:rPr>
          <w:rFonts w:hint="default" w:ascii="Times New Roman" w:hAnsi="Times New Roman" w:cs="Times New Roman"/>
          <w:sz w:val="20"/>
          <w:szCs w:val="20"/>
        </w:rPr>
      </w:pPr>
      <w:bookmarkStart w:id="0" w:name="_cj8s7c7gq3dc" w:colFirst="0" w:colLast="0"/>
      <w:bookmarkEnd w:id="0"/>
      <w:r>
        <w:rPr>
          <w:rFonts w:hint="default" w:ascii="Times New Roman" w:hAnsi="Times New Roman" w:cs="Times New Roman"/>
        </w:rPr>
        <w:drawing>
          <wp:inline distT="0" distB="0" distL="0" distR="0">
            <wp:extent cx="2491740" cy="995045"/>
            <wp:effectExtent l="0" t="0" r="0" b="0"/>
            <wp:docPr id="2" name="image2.png" descr="University of Wales Trinity Saint David - University ..."/>
            <wp:cNvGraphicFramePr/>
            <a:graphic xmlns:a="http://schemas.openxmlformats.org/drawingml/2006/main">
              <a:graphicData uri="http://schemas.openxmlformats.org/drawingml/2006/picture">
                <pic:pic xmlns:pic="http://schemas.openxmlformats.org/drawingml/2006/picture">
                  <pic:nvPicPr>
                    <pic:cNvPr id="2" name="image2.png" descr="University of Wales Trinity Saint David - University ..."/>
                    <pic:cNvPicPr preferRelativeResize="0"/>
                  </pic:nvPicPr>
                  <pic:blipFill>
                    <a:blip r:embed="rId7"/>
                    <a:srcRect/>
                    <a:stretch>
                      <a:fillRect/>
                    </a:stretch>
                  </pic:blipFill>
                  <pic:spPr>
                    <a:xfrm>
                      <a:off x="0" y="0"/>
                      <a:ext cx="2491830" cy="995067"/>
                    </a:xfrm>
                    <a:prstGeom prst="rect">
                      <a:avLst/>
                    </a:prstGeom>
                  </pic:spPr>
                </pic:pic>
              </a:graphicData>
            </a:graphic>
          </wp:inline>
        </w:drawing>
      </w:r>
    </w:p>
    <w:p w14:paraId="00000002">
      <w:pPr>
        <w:widowControl w:val="0"/>
        <w:spacing w:after="0" w:line="240" w:lineRule="auto"/>
        <w:jc w:val="left"/>
        <w:rPr>
          <w:rFonts w:hint="default" w:ascii="Times New Roman" w:hAnsi="Times New Roman" w:cs="Times New Roman"/>
          <w:sz w:val="20"/>
          <w:szCs w:val="20"/>
        </w:rPr>
      </w:pPr>
    </w:p>
    <w:p w14:paraId="00000003">
      <w:pPr>
        <w:widowControl w:val="0"/>
        <w:spacing w:after="0" w:line="240" w:lineRule="auto"/>
        <w:jc w:val="left"/>
        <w:rPr>
          <w:rFonts w:hint="default" w:ascii="Times New Roman" w:hAnsi="Times New Roman" w:cs="Times New Roman"/>
          <w:sz w:val="20"/>
          <w:szCs w:val="20"/>
        </w:rPr>
      </w:pPr>
    </w:p>
    <w:p w14:paraId="00000004">
      <w:pPr>
        <w:widowControl w:val="0"/>
        <w:spacing w:after="0" w:line="240" w:lineRule="auto"/>
        <w:jc w:val="left"/>
        <w:rPr>
          <w:rFonts w:hint="default" w:ascii="Times New Roman" w:hAnsi="Times New Roman" w:cs="Times New Roman"/>
          <w:sz w:val="20"/>
          <w:szCs w:val="20"/>
        </w:rPr>
      </w:pPr>
    </w:p>
    <w:p w14:paraId="00000005">
      <w:pPr>
        <w:widowControl w:val="0"/>
        <w:spacing w:after="0" w:line="240" w:lineRule="auto"/>
        <w:jc w:val="left"/>
        <w:rPr>
          <w:rFonts w:hint="default" w:ascii="Times New Roman" w:hAnsi="Times New Roman" w:cs="Times New Roman"/>
          <w:sz w:val="20"/>
          <w:szCs w:val="20"/>
        </w:rPr>
      </w:pPr>
    </w:p>
    <w:p w14:paraId="00000006">
      <w:pPr>
        <w:widowControl w:val="0"/>
        <w:spacing w:after="0" w:line="240" w:lineRule="auto"/>
        <w:jc w:val="left"/>
        <w:rPr>
          <w:rFonts w:hint="default" w:ascii="Times New Roman" w:hAnsi="Times New Roman" w:cs="Times New Roman"/>
          <w:sz w:val="20"/>
          <w:szCs w:val="20"/>
        </w:rPr>
      </w:pPr>
    </w:p>
    <w:p w14:paraId="00000007">
      <w:pPr>
        <w:widowControl w:val="0"/>
        <w:spacing w:after="0" w:line="240" w:lineRule="auto"/>
        <w:jc w:val="left"/>
        <w:rPr>
          <w:rFonts w:hint="default" w:ascii="Times New Roman" w:hAnsi="Times New Roman" w:cs="Times New Roman"/>
          <w:sz w:val="20"/>
          <w:szCs w:val="20"/>
        </w:rPr>
      </w:pPr>
    </w:p>
    <w:p w14:paraId="00000008">
      <w:pPr>
        <w:widowControl w:val="0"/>
        <w:spacing w:after="0" w:line="240" w:lineRule="auto"/>
        <w:jc w:val="left"/>
        <w:rPr>
          <w:rFonts w:hint="default" w:ascii="Times New Roman" w:hAnsi="Times New Roman" w:cs="Times New Roman"/>
          <w:sz w:val="20"/>
          <w:szCs w:val="20"/>
        </w:rPr>
      </w:pPr>
    </w:p>
    <w:p w14:paraId="00000009">
      <w:pPr>
        <w:widowControl w:val="0"/>
        <w:spacing w:before="1"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Student Number:</w:t>
      </w:r>
    </w:p>
    <w:p w14:paraId="0000000A">
      <w:pPr>
        <w:widowControl w:val="0"/>
        <w:spacing w:before="1"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2433236</w:t>
      </w:r>
    </w:p>
    <w:p w14:paraId="0000000B">
      <w:pPr>
        <w:widowControl w:val="0"/>
        <w:spacing w:before="1" w:after="0" w:line="240" w:lineRule="auto"/>
        <w:jc w:val="center"/>
        <w:rPr>
          <w:rFonts w:hint="default" w:ascii="Times New Roman" w:hAnsi="Times New Roman" w:eastAsia="Arial" w:cs="Times New Roman"/>
          <w:b/>
          <w:bCs/>
        </w:rPr>
      </w:pPr>
    </w:p>
    <w:p w14:paraId="0000000C">
      <w:pPr>
        <w:widowControl w:val="0"/>
        <w:spacing w:before="1" w:after="0" w:line="240" w:lineRule="auto"/>
        <w:jc w:val="center"/>
        <w:rPr>
          <w:rFonts w:hint="default" w:ascii="Times New Roman" w:hAnsi="Times New Roman" w:eastAsia="Arial" w:cs="Times New Roman"/>
          <w:b/>
          <w:bCs/>
        </w:rPr>
      </w:pPr>
    </w:p>
    <w:p w14:paraId="0000000D">
      <w:pPr>
        <w:widowControl w:val="0"/>
        <w:spacing w:before="1" w:after="0" w:line="240" w:lineRule="auto"/>
        <w:jc w:val="center"/>
        <w:rPr>
          <w:rFonts w:hint="default" w:ascii="Times New Roman" w:hAnsi="Times New Roman" w:eastAsia="Arial" w:cs="Times New Roman"/>
          <w:b/>
          <w:bCs/>
        </w:rPr>
      </w:pPr>
    </w:p>
    <w:p w14:paraId="0000000E">
      <w:pPr>
        <w:widowControl w:val="0"/>
        <w:spacing w:before="1"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Student Name:</w:t>
      </w:r>
    </w:p>
    <w:p w14:paraId="0000000F">
      <w:pPr>
        <w:widowControl w:val="0"/>
        <w:spacing w:before="1"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Salomiben Rasikbhai Khristi</w:t>
      </w:r>
    </w:p>
    <w:p w14:paraId="00000010">
      <w:pPr>
        <w:widowControl w:val="0"/>
        <w:spacing w:before="1" w:after="0" w:line="240" w:lineRule="auto"/>
        <w:jc w:val="center"/>
        <w:rPr>
          <w:rFonts w:hint="default" w:ascii="Times New Roman" w:hAnsi="Times New Roman" w:eastAsia="Arial" w:cs="Times New Roman"/>
          <w:b/>
          <w:bCs/>
        </w:rPr>
      </w:pPr>
    </w:p>
    <w:p w14:paraId="00000011">
      <w:pPr>
        <w:widowControl w:val="0"/>
        <w:spacing w:before="1" w:after="0" w:line="240" w:lineRule="auto"/>
        <w:jc w:val="center"/>
        <w:rPr>
          <w:rFonts w:hint="default" w:ascii="Times New Roman" w:hAnsi="Times New Roman" w:eastAsia="Arial" w:cs="Times New Roman"/>
          <w:b/>
          <w:bCs/>
        </w:rPr>
      </w:pPr>
    </w:p>
    <w:p w14:paraId="00000012">
      <w:pPr>
        <w:widowControl w:val="0"/>
        <w:spacing w:after="0" w:line="240" w:lineRule="auto"/>
        <w:jc w:val="center"/>
        <w:rPr>
          <w:rFonts w:hint="default" w:ascii="Times New Roman" w:hAnsi="Times New Roman" w:eastAsia="Arial" w:cs="Times New Roman"/>
          <w:b/>
          <w:bCs/>
        </w:rPr>
      </w:pPr>
    </w:p>
    <w:p w14:paraId="00000013">
      <w:pPr>
        <w:widowControl w:val="0"/>
        <w:spacing w:before="1"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 xml:space="preserve">Module Code &amp; Title: </w:t>
      </w:r>
    </w:p>
    <w:p w14:paraId="00000014">
      <w:pPr>
        <w:widowControl w:val="0"/>
        <w:spacing w:before="1"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 xml:space="preserve">LCHS7003 </w:t>
      </w:r>
    </w:p>
    <w:p w14:paraId="00000015">
      <w:pPr>
        <w:widowControl w:val="0"/>
        <w:spacing w:before="1"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Community Care and Management of Longer-term Conditions</w:t>
      </w:r>
    </w:p>
    <w:p w14:paraId="00000016">
      <w:pPr>
        <w:widowControl w:val="0"/>
        <w:spacing w:before="11" w:after="0" w:line="240" w:lineRule="auto"/>
        <w:jc w:val="center"/>
        <w:rPr>
          <w:rFonts w:hint="default" w:ascii="Times New Roman" w:hAnsi="Times New Roman" w:eastAsia="Arial" w:cs="Times New Roman"/>
          <w:b/>
          <w:bCs/>
        </w:rPr>
      </w:pPr>
    </w:p>
    <w:p w14:paraId="00000017">
      <w:pPr>
        <w:widowControl w:val="0"/>
        <w:spacing w:before="11" w:after="0" w:line="240" w:lineRule="auto"/>
        <w:jc w:val="center"/>
        <w:rPr>
          <w:rFonts w:hint="default" w:ascii="Times New Roman" w:hAnsi="Times New Roman" w:eastAsia="Arial" w:cs="Times New Roman"/>
          <w:b/>
          <w:bCs/>
        </w:rPr>
      </w:pPr>
    </w:p>
    <w:p w14:paraId="00000018">
      <w:pPr>
        <w:widowControl w:val="0"/>
        <w:spacing w:before="11" w:after="0" w:line="240" w:lineRule="auto"/>
        <w:jc w:val="center"/>
        <w:rPr>
          <w:rFonts w:hint="default" w:ascii="Times New Roman" w:hAnsi="Times New Roman" w:eastAsia="Arial" w:cs="Times New Roman"/>
          <w:b/>
          <w:bCs/>
        </w:rPr>
      </w:pPr>
    </w:p>
    <w:p w14:paraId="00000019">
      <w:pPr>
        <w:widowControl w:val="0"/>
        <w:spacing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 xml:space="preserve">Assignment Title: </w:t>
      </w:r>
    </w:p>
    <w:p w14:paraId="0000001A">
      <w:pPr>
        <w:widowControl w:val="0"/>
        <w:spacing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Component 1</w:t>
      </w:r>
    </w:p>
    <w:p w14:paraId="0000001B">
      <w:pPr>
        <w:widowControl w:val="0"/>
        <w:spacing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Information Booklet of Long-term Condition Management</w:t>
      </w:r>
    </w:p>
    <w:p w14:paraId="0000001C">
      <w:pPr>
        <w:widowControl w:val="0"/>
        <w:spacing w:after="0" w:line="240" w:lineRule="auto"/>
        <w:jc w:val="center"/>
        <w:rPr>
          <w:rFonts w:hint="default" w:ascii="Times New Roman" w:hAnsi="Times New Roman" w:eastAsia="Arial" w:cs="Times New Roman"/>
          <w:b/>
          <w:bCs/>
        </w:rPr>
      </w:pPr>
    </w:p>
    <w:p w14:paraId="0000001D">
      <w:pPr>
        <w:widowControl w:val="0"/>
        <w:spacing w:after="0" w:line="240" w:lineRule="auto"/>
        <w:jc w:val="center"/>
        <w:rPr>
          <w:rFonts w:hint="default" w:ascii="Times New Roman" w:hAnsi="Times New Roman" w:eastAsia="Arial" w:cs="Times New Roman"/>
          <w:b/>
          <w:bCs/>
        </w:rPr>
      </w:pPr>
    </w:p>
    <w:p w14:paraId="0000001E">
      <w:pPr>
        <w:widowControl w:val="0"/>
        <w:spacing w:after="0" w:line="240" w:lineRule="auto"/>
        <w:jc w:val="center"/>
        <w:rPr>
          <w:rFonts w:hint="default" w:ascii="Times New Roman" w:hAnsi="Times New Roman" w:eastAsia="Arial" w:cs="Times New Roman"/>
          <w:b/>
          <w:bCs/>
        </w:rPr>
      </w:pPr>
    </w:p>
    <w:p w14:paraId="0000001F">
      <w:pPr>
        <w:widowControl w:val="0"/>
        <w:spacing w:before="1"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Professor Name:</w:t>
      </w:r>
    </w:p>
    <w:p w14:paraId="00000020">
      <w:pPr>
        <w:widowControl w:val="0"/>
        <w:spacing w:before="1"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Muhammed Khan</w:t>
      </w:r>
    </w:p>
    <w:p w14:paraId="00000021">
      <w:pPr>
        <w:widowControl w:val="0"/>
        <w:spacing w:after="0" w:line="240" w:lineRule="auto"/>
        <w:jc w:val="center"/>
        <w:rPr>
          <w:rFonts w:hint="default" w:ascii="Times New Roman" w:hAnsi="Times New Roman" w:eastAsia="Arial" w:cs="Times New Roman"/>
          <w:b/>
          <w:bCs/>
        </w:rPr>
      </w:pPr>
    </w:p>
    <w:p w14:paraId="00000022">
      <w:pPr>
        <w:widowControl w:val="0"/>
        <w:spacing w:after="0" w:line="240" w:lineRule="auto"/>
        <w:jc w:val="center"/>
        <w:rPr>
          <w:rFonts w:hint="default" w:ascii="Times New Roman" w:hAnsi="Times New Roman" w:eastAsia="Arial" w:cs="Times New Roman"/>
          <w:b/>
          <w:bCs/>
        </w:rPr>
      </w:pPr>
    </w:p>
    <w:p w14:paraId="00000023">
      <w:pPr>
        <w:widowControl w:val="0"/>
        <w:spacing w:after="0" w:line="240" w:lineRule="auto"/>
        <w:jc w:val="center"/>
        <w:rPr>
          <w:rFonts w:hint="default" w:ascii="Times New Roman" w:hAnsi="Times New Roman" w:eastAsia="Arial" w:cs="Times New Roman"/>
          <w:b/>
          <w:bCs/>
        </w:rPr>
      </w:pPr>
    </w:p>
    <w:p w14:paraId="00000024">
      <w:pPr>
        <w:widowControl w:val="0"/>
        <w:spacing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 xml:space="preserve">Word Count: </w:t>
      </w:r>
    </w:p>
    <w:p w14:paraId="00000025">
      <w:pPr>
        <w:widowControl w:val="0"/>
        <w:spacing w:after="0" w:line="240" w:lineRule="auto"/>
        <w:jc w:val="center"/>
        <w:rPr>
          <w:rFonts w:hint="default" w:ascii="Times New Roman" w:hAnsi="Times New Roman" w:eastAsia="Arial" w:cs="Times New Roman"/>
          <w:b/>
          <w:bCs/>
        </w:rPr>
      </w:pPr>
      <w:r>
        <w:rPr>
          <w:rFonts w:hint="default" w:ascii="Times New Roman" w:hAnsi="Times New Roman" w:eastAsia="Arial" w:cs="Times New Roman"/>
          <w:b/>
          <w:bCs/>
          <w:rtl w:val="0"/>
        </w:rPr>
        <w:t>2998</w:t>
      </w:r>
    </w:p>
    <w:p w14:paraId="00000026">
      <w:pPr>
        <w:rPr>
          <w:rFonts w:hint="default" w:ascii="Times New Roman" w:hAnsi="Times New Roman" w:eastAsia="Arial" w:cs="Times New Roman"/>
          <w:b/>
          <w:bCs/>
          <w:sz w:val="22"/>
          <w:szCs w:val="22"/>
        </w:rPr>
      </w:pPr>
      <w:r>
        <w:rPr>
          <w:rFonts w:hint="default" w:ascii="Times New Roman" w:hAnsi="Times New Roman" w:cs="Times New Roman"/>
        </w:rPr>
        <w:br w:type="page"/>
      </w:r>
    </w:p>
    <w:p w14:paraId="00000027">
      <w:pPr>
        <w:widowControl w:val="0"/>
        <w:spacing w:after="0" w:line="240" w:lineRule="auto"/>
        <w:jc w:val="center"/>
        <w:rPr>
          <w:rFonts w:hint="default" w:ascii="Times New Roman" w:hAnsi="Times New Roman" w:eastAsia="Arial" w:cs="Times New Roman"/>
          <w:b/>
          <w:bCs/>
          <w:sz w:val="22"/>
          <w:szCs w:val="22"/>
        </w:rPr>
      </w:pPr>
    </w:p>
    <w:p w14:paraId="00000028">
      <w:pPr>
        <w:widowControl w:val="0"/>
        <w:spacing w:after="0" w:line="240" w:lineRule="auto"/>
        <w:jc w:val="center"/>
        <w:rPr>
          <w:rFonts w:hint="default" w:ascii="Times New Roman" w:hAnsi="Times New Roman" w:eastAsia="Arial" w:cs="Times New Roman"/>
          <w:b/>
          <w:bCs/>
          <w:sz w:val="22"/>
          <w:szCs w:val="22"/>
        </w:rPr>
      </w:pPr>
    </w:p>
    <w:p w14:paraId="00000029">
      <w:pPr>
        <w:widowControl w:val="0"/>
        <w:spacing w:after="0" w:line="240" w:lineRule="auto"/>
        <w:jc w:val="center"/>
        <w:rPr>
          <w:rFonts w:hint="default" w:ascii="Times New Roman" w:hAnsi="Times New Roman" w:eastAsia="Arial" w:cs="Times New Roman"/>
          <w:b/>
          <w:bCs/>
          <w:sz w:val="22"/>
          <w:szCs w:val="22"/>
        </w:rPr>
      </w:pPr>
    </w:p>
    <w:p w14:paraId="0000002A">
      <w:pPr>
        <w:widowControl w:val="0"/>
        <w:spacing w:after="0" w:line="240" w:lineRule="auto"/>
        <w:jc w:val="center"/>
        <w:rPr>
          <w:rFonts w:hint="default" w:ascii="Times New Roman" w:hAnsi="Times New Roman" w:eastAsia="Arial" w:cs="Times New Roman"/>
          <w:b/>
          <w:bCs/>
          <w:sz w:val="22"/>
          <w:szCs w:val="22"/>
        </w:rPr>
      </w:pPr>
    </w:p>
    <w:p w14:paraId="0000002B">
      <w:pPr>
        <w:widowControl w:val="0"/>
        <w:spacing w:after="0" w:line="240" w:lineRule="auto"/>
        <w:jc w:val="center"/>
        <w:rPr>
          <w:rFonts w:hint="default" w:ascii="Times New Roman" w:hAnsi="Times New Roman" w:eastAsia="Arial" w:cs="Times New Roman"/>
          <w:b/>
          <w:bCs/>
          <w:sz w:val="22"/>
          <w:szCs w:val="22"/>
        </w:rPr>
      </w:pPr>
    </w:p>
    <w:p w14:paraId="0000002C">
      <w:pPr>
        <w:widowControl w:val="0"/>
        <w:spacing w:after="0" w:line="240" w:lineRule="auto"/>
        <w:jc w:val="center"/>
        <w:rPr>
          <w:rFonts w:hint="default" w:ascii="Times New Roman" w:hAnsi="Times New Roman" w:eastAsia="Arial" w:cs="Times New Roman"/>
          <w:b/>
          <w:bCs/>
          <w:sz w:val="22"/>
          <w:szCs w:val="22"/>
        </w:rPr>
      </w:pPr>
    </w:p>
    <w:p w14:paraId="0000002D">
      <w:pPr>
        <w:widowControl w:val="0"/>
        <w:spacing w:after="0" w:line="240" w:lineRule="auto"/>
        <w:jc w:val="center"/>
        <w:rPr>
          <w:rFonts w:hint="default" w:ascii="Times New Roman" w:hAnsi="Times New Roman" w:eastAsia="Arial" w:cs="Times New Roman"/>
          <w:b/>
          <w:bCs/>
          <w:sz w:val="22"/>
          <w:szCs w:val="22"/>
        </w:rPr>
      </w:pPr>
    </w:p>
    <w:p w14:paraId="0000002E">
      <w:pPr>
        <w:widowControl w:val="0"/>
        <w:spacing w:after="0" w:line="240" w:lineRule="auto"/>
        <w:jc w:val="center"/>
        <w:rPr>
          <w:rFonts w:hint="default" w:ascii="Times New Roman" w:hAnsi="Times New Roman" w:eastAsia="Arial" w:cs="Times New Roman"/>
          <w:b/>
          <w:bCs/>
          <w:sz w:val="22"/>
          <w:szCs w:val="22"/>
        </w:rPr>
      </w:pPr>
    </w:p>
    <w:p w14:paraId="0000002F">
      <w:pPr>
        <w:widowControl w:val="0"/>
        <w:spacing w:after="0" w:line="240" w:lineRule="auto"/>
        <w:jc w:val="center"/>
        <w:rPr>
          <w:rFonts w:hint="default" w:ascii="Times New Roman" w:hAnsi="Times New Roman" w:eastAsia="Arial" w:cs="Times New Roman"/>
          <w:b/>
          <w:bCs/>
          <w:sz w:val="22"/>
          <w:szCs w:val="22"/>
        </w:rPr>
      </w:pPr>
    </w:p>
    <w:p w14:paraId="00000030">
      <w:pPr>
        <w:widowControl w:val="0"/>
        <w:spacing w:after="0" w:line="240" w:lineRule="auto"/>
        <w:jc w:val="center"/>
        <w:rPr>
          <w:rFonts w:hint="default" w:ascii="Times New Roman" w:hAnsi="Times New Roman" w:eastAsia="Arial" w:cs="Times New Roman"/>
          <w:b/>
          <w:bCs/>
          <w:sz w:val="22"/>
          <w:szCs w:val="22"/>
        </w:rPr>
      </w:pPr>
    </w:p>
    <w:p w14:paraId="00000031">
      <w:pPr>
        <w:widowControl w:val="0"/>
        <w:spacing w:after="0" w:line="240" w:lineRule="auto"/>
        <w:jc w:val="center"/>
        <w:rPr>
          <w:rFonts w:hint="default" w:ascii="Times New Roman" w:hAnsi="Times New Roman" w:eastAsia="Arial" w:cs="Times New Roman"/>
          <w:b/>
          <w:bCs/>
          <w:sz w:val="22"/>
          <w:szCs w:val="22"/>
        </w:rPr>
      </w:pPr>
    </w:p>
    <w:p w14:paraId="00000032">
      <w:pPr>
        <w:widowControl w:val="0"/>
        <w:spacing w:after="0" w:line="240" w:lineRule="auto"/>
        <w:jc w:val="center"/>
        <w:rPr>
          <w:rFonts w:hint="default" w:ascii="Times New Roman" w:hAnsi="Times New Roman" w:eastAsia="Arial" w:cs="Times New Roman"/>
          <w:b/>
          <w:bCs/>
          <w:sz w:val="22"/>
          <w:szCs w:val="22"/>
        </w:rPr>
      </w:pPr>
    </w:p>
    <w:p w14:paraId="00000033">
      <w:pPr>
        <w:widowControl w:val="0"/>
        <w:spacing w:after="0" w:line="240" w:lineRule="auto"/>
        <w:jc w:val="center"/>
        <w:rPr>
          <w:rFonts w:hint="default" w:ascii="Times New Roman" w:hAnsi="Times New Roman" w:eastAsia="Arial" w:cs="Times New Roman"/>
          <w:b/>
          <w:bCs/>
          <w:sz w:val="28"/>
          <w:szCs w:val="28"/>
        </w:rPr>
      </w:pPr>
      <w:r>
        <w:rPr>
          <w:rFonts w:hint="default" w:ascii="Times New Roman" w:hAnsi="Times New Roman" w:eastAsia="Arial" w:cs="Times New Roman"/>
          <w:b/>
          <w:bCs/>
          <w:sz w:val="28"/>
          <w:szCs w:val="28"/>
          <w:rtl w:val="0"/>
        </w:rPr>
        <w:t>Management and Impact of Coronary Heart Disease</w:t>
      </w:r>
    </w:p>
    <w:p w14:paraId="00000034">
      <w:pPr>
        <w:rPr>
          <w:rFonts w:hint="default" w:ascii="Times New Roman" w:hAnsi="Times New Roman" w:eastAsia="Arial" w:cs="Times New Roman"/>
          <w:b/>
          <w:bCs/>
        </w:rPr>
      </w:pPr>
      <w:r>
        <w:rPr>
          <w:rFonts w:hint="default" w:ascii="Times New Roman" w:hAnsi="Times New Roman" w:cs="Times New Roman"/>
        </w:rPr>
        <w:br w:type="page"/>
      </w:r>
    </w:p>
    <w:p w14:paraId="00000035">
      <w:pPr>
        <w:jc w:val="center"/>
        <w:rPr>
          <w:rFonts w:hint="default" w:ascii="Times New Roman" w:hAnsi="Times New Roman" w:cs="Times New Roman"/>
          <w:b/>
          <w:bCs/>
          <w:sz w:val="28"/>
          <w:szCs w:val="28"/>
        </w:rPr>
      </w:pPr>
      <w:r>
        <w:rPr>
          <w:rFonts w:hint="default" w:ascii="Times New Roman" w:hAnsi="Times New Roman" w:cs="Times New Roman"/>
          <w:b/>
          <w:bCs/>
          <w:sz w:val="28"/>
          <w:szCs w:val="28"/>
          <w:rtl w:val="0"/>
        </w:rPr>
        <w:t>Table of Content</w:t>
      </w:r>
    </w:p>
    <w:sdt>
      <w:sdtPr>
        <w:rPr>
          <w:rFonts w:hint="default" w:ascii="Times New Roman" w:hAnsi="Times New Roman" w:cs="Times New Roman"/>
        </w:rPr>
        <w:id w:val="-28271952"/>
        <w:docPartObj>
          <w:docPartGallery w:val="Table of Contents"/>
          <w:docPartUnique/>
        </w:docPartObj>
      </w:sdtPr>
      <w:sdtEndPr>
        <w:rPr>
          <w:rFonts w:hint="default" w:ascii="Times New Roman" w:hAnsi="Times New Roman" w:cs="Times New Roman"/>
        </w:rPr>
      </w:sdtEndPr>
      <w:sdtContent>
        <w:p w14:paraId="0000003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360" w:lineRule="auto"/>
            <w:ind w:left="0" w:right="0" w:firstLine="0"/>
            <w:jc w:val="both"/>
            <w:rPr>
              <w:rFonts w:hint="default" w:ascii="Times New Roman" w:hAnsi="Times New Roman" w:eastAsia="Cambria" w:cs="Times New Roman"/>
              <w:b w:val="0"/>
              <w:bCs w:val="0"/>
              <w:i w:val="0"/>
              <w:iCs w:val="0"/>
              <w:smallCaps w:val="0"/>
              <w:strike w:val="0"/>
              <w:color w:val="000000"/>
              <w:sz w:val="24"/>
              <w:szCs w:val="24"/>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TOC \h \u \z \t "Heading 1,1,Heading 2,2,Heading 3,3,"</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"_t8zzenmhp8ya" \h </w:instrText>
          </w:r>
          <w:r>
            <w:rPr>
              <w:rFonts w:hint="default" w:ascii="Times New Roman" w:hAnsi="Times New Roman" w:cs="Times New Roman"/>
            </w:rPr>
            <w:fldChar w:fldCharType="separate"/>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Introduction</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3</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fldChar w:fldCharType="end"/>
          </w:r>
        </w:p>
        <w:p w14:paraId="0000003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360" w:lineRule="auto"/>
            <w:ind w:left="0" w:right="0" w:firstLine="0"/>
            <w:jc w:val="both"/>
            <w:rPr>
              <w:rFonts w:hint="default" w:ascii="Times New Roman" w:hAnsi="Times New Roman" w:eastAsia="Cambria" w:cs="Times New Roman"/>
              <w:b w:val="0"/>
              <w:bCs w:val="0"/>
              <w:i w:val="0"/>
              <w:iCs w:val="0"/>
              <w:smallCaps w:val="0"/>
              <w:strike w:val="0"/>
              <w:color w:val="000000"/>
              <w:sz w:val="24"/>
              <w:szCs w:val="24"/>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"_ewz7rhjslxwe" \h </w:instrText>
          </w:r>
          <w:r>
            <w:rPr>
              <w:rFonts w:hint="default" w:ascii="Times New Roman" w:hAnsi="Times New Roman" w:cs="Times New Roman"/>
            </w:rPr>
            <w:fldChar w:fldCharType="separate"/>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Focusing on the long-term condition</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3</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fldChar w:fldCharType="end"/>
          </w:r>
        </w:p>
        <w:p w14:paraId="0000003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360" w:lineRule="auto"/>
            <w:ind w:left="0" w:right="0" w:firstLine="0"/>
            <w:jc w:val="both"/>
            <w:rPr>
              <w:rFonts w:hint="default" w:ascii="Times New Roman" w:hAnsi="Times New Roman" w:eastAsia="Cambria" w:cs="Times New Roman"/>
              <w:b w:val="0"/>
              <w:bCs w:val="0"/>
              <w:i w:val="0"/>
              <w:iCs w:val="0"/>
              <w:smallCaps w:val="0"/>
              <w:strike w:val="0"/>
              <w:color w:val="000000"/>
              <w:sz w:val="24"/>
              <w:szCs w:val="24"/>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"_10at5gbb2hfx" \h </w:instrText>
          </w:r>
          <w:r>
            <w:rPr>
              <w:rFonts w:hint="default" w:ascii="Times New Roman" w:hAnsi="Times New Roman" w:cs="Times New Roman"/>
            </w:rPr>
            <w:fldChar w:fldCharType="separate"/>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Impact of the long-term condition with focus on physical, psychological and social implications on individuals</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6</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fldChar w:fldCharType="end"/>
          </w:r>
        </w:p>
        <w:p w14:paraId="0000003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360" w:lineRule="auto"/>
            <w:ind w:left="0" w:right="0" w:firstLine="0"/>
            <w:jc w:val="both"/>
            <w:rPr>
              <w:rFonts w:hint="default" w:ascii="Times New Roman" w:hAnsi="Times New Roman" w:eastAsia="Cambria" w:cs="Times New Roman"/>
              <w:b w:val="0"/>
              <w:bCs w:val="0"/>
              <w:i w:val="0"/>
              <w:iCs w:val="0"/>
              <w:smallCaps w:val="0"/>
              <w:strike w:val="0"/>
              <w:color w:val="000000"/>
              <w:sz w:val="24"/>
              <w:szCs w:val="24"/>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"_ze7bwm7xqvmn" \h </w:instrText>
          </w:r>
          <w:r>
            <w:rPr>
              <w:rFonts w:hint="default" w:ascii="Times New Roman" w:hAnsi="Times New Roman" w:cs="Times New Roman"/>
            </w:rPr>
            <w:fldChar w:fldCharType="separate"/>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Current theoretical perspectives including models for improved outcomes for patients affected by long-term conditions.</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10</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fldChar w:fldCharType="end"/>
          </w:r>
        </w:p>
        <w:p w14:paraId="0000003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360" w:lineRule="auto"/>
            <w:ind w:left="0" w:right="0" w:firstLine="0"/>
            <w:jc w:val="both"/>
            <w:rPr>
              <w:rFonts w:hint="default" w:ascii="Times New Roman" w:hAnsi="Times New Roman" w:eastAsia="Cambria" w:cs="Times New Roman"/>
              <w:b w:val="0"/>
              <w:bCs w:val="0"/>
              <w:i w:val="0"/>
              <w:iCs w:val="0"/>
              <w:smallCaps w:val="0"/>
              <w:strike w:val="0"/>
              <w:color w:val="000000"/>
              <w:sz w:val="24"/>
              <w:szCs w:val="24"/>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"_686es3wvc6je" \h </w:instrText>
          </w:r>
          <w:r>
            <w:rPr>
              <w:rFonts w:hint="default" w:ascii="Times New Roman" w:hAnsi="Times New Roman" w:cs="Times New Roman"/>
            </w:rPr>
            <w:fldChar w:fldCharType="separate"/>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Implementation of local and national political health and social care agendas which can inform and promote developmental initiatives to the condition management</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12</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fldChar w:fldCharType="end"/>
          </w:r>
        </w:p>
        <w:p w14:paraId="0000003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360" w:lineRule="auto"/>
            <w:ind w:left="0" w:right="0" w:firstLine="0"/>
            <w:jc w:val="both"/>
            <w:rPr>
              <w:rFonts w:hint="default" w:ascii="Times New Roman" w:hAnsi="Times New Roman" w:eastAsia="Cambria" w:cs="Times New Roman"/>
              <w:b w:val="0"/>
              <w:bCs w:val="0"/>
              <w:i w:val="0"/>
              <w:iCs w:val="0"/>
              <w:smallCaps w:val="0"/>
              <w:strike w:val="0"/>
              <w:color w:val="000000"/>
              <w:sz w:val="24"/>
              <w:szCs w:val="24"/>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"_6ba1bzr1xwec" \h </w:instrText>
          </w:r>
          <w:r>
            <w:rPr>
              <w:rFonts w:hint="default" w:ascii="Times New Roman" w:hAnsi="Times New Roman" w:cs="Times New Roman"/>
            </w:rPr>
            <w:fldChar w:fldCharType="separate"/>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Recommendations for improvement into person-centred care approaches including self-management and end of life care for long term condition where appropriate</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13</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fldChar w:fldCharType="end"/>
          </w:r>
        </w:p>
        <w:p w14:paraId="0000003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360" w:lineRule="auto"/>
            <w:ind w:left="0" w:right="0" w:firstLine="0"/>
            <w:jc w:val="both"/>
            <w:rPr>
              <w:rFonts w:hint="default" w:ascii="Times New Roman" w:hAnsi="Times New Roman" w:eastAsia="Cambria" w:cs="Times New Roman"/>
              <w:b w:val="0"/>
              <w:bCs w:val="0"/>
              <w:i w:val="0"/>
              <w:iCs w:val="0"/>
              <w:smallCaps w:val="0"/>
              <w:strike w:val="0"/>
              <w:color w:val="000000"/>
              <w:sz w:val="24"/>
              <w:szCs w:val="24"/>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"_37rap4s27xc5" \h </w:instrText>
          </w:r>
          <w:r>
            <w:rPr>
              <w:rFonts w:hint="default" w:ascii="Times New Roman" w:hAnsi="Times New Roman" w:cs="Times New Roman"/>
            </w:rPr>
            <w:fldChar w:fldCharType="separate"/>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Conclusion</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14</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fldChar w:fldCharType="end"/>
          </w:r>
        </w:p>
        <w:p w14:paraId="0000003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9350"/>
            </w:tabs>
            <w:spacing w:before="0" w:after="100" w:line="360" w:lineRule="auto"/>
            <w:ind w:left="0" w:right="0" w:firstLine="0"/>
            <w:jc w:val="both"/>
            <w:rPr>
              <w:rFonts w:hint="default" w:ascii="Times New Roman" w:hAnsi="Times New Roman" w:eastAsia="Cambria" w:cs="Times New Roman"/>
              <w:b w:val="0"/>
              <w:bCs w:val="0"/>
              <w:i w:val="0"/>
              <w:iCs w:val="0"/>
              <w:smallCaps w:val="0"/>
              <w:strike w:val="0"/>
              <w:color w:val="000000"/>
              <w:sz w:val="24"/>
              <w:szCs w:val="24"/>
              <w:u w:val="none"/>
              <w:shd w:val="clear" w:fill="auto"/>
              <w:vertAlign w:val="baseline"/>
            </w:rPr>
          </w:pPr>
          <w:r>
            <w:rPr>
              <w:rFonts w:hint="default" w:ascii="Times New Roman" w:hAnsi="Times New Roman" w:cs="Times New Roman"/>
            </w:rPr>
            <w:fldChar w:fldCharType="begin"/>
          </w:r>
          <w:r>
            <w:rPr>
              <w:rFonts w:hint="default" w:ascii="Times New Roman" w:hAnsi="Times New Roman" w:cs="Times New Roman"/>
            </w:rPr>
            <w:instrText xml:space="preserve"> HYPERLINK \l "_18075ccy4ybq" \h </w:instrText>
          </w:r>
          <w:r>
            <w:rPr>
              <w:rFonts w:hint="default" w:ascii="Times New Roman" w:hAnsi="Times New Roman" w:cs="Times New Roman"/>
            </w:rPr>
            <w:fldChar w:fldCharType="separate"/>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References</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ab/>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t>15</w:t>
          </w:r>
          <w:r>
            <w:rPr>
              <w:rFonts w:hint="default" w:ascii="Times New Roman" w:hAnsi="Times New Roman" w:eastAsia="Times New Roman" w:cs="Times New Roman"/>
              <w:b w:val="0"/>
              <w:bCs w:val="0"/>
              <w:i w:val="0"/>
              <w:iCs w:val="0"/>
              <w:smallCaps w:val="0"/>
              <w:strike w:val="0"/>
              <w:color w:val="000000"/>
              <w:sz w:val="24"/>
              <w:szCs w:val="24"/>
              <w:u w:val="none"/>
              <w:shd w:val="clear" w:fill="auto"/>
              <w:vertAlign w:val="baseline"/>
              <w:rtl w:val="0"/>
            </w:rPr>
            <w:fldChar w:fldCharType="end"/>
          </w:r>
        </w:p>
        <w:p w14:paraId="0000003E">
          <w:pPr>
            <w:rPr>
              <w:rFonts w:hint="default" w:ascii="Times New Roman" w:hAnsi="Times New Roman" w:cs="Times New Roman"/>
            </w:rPr>
          </w:pPr>
          <w:r>
            <w:rPr>
              <w:rFonts w:hint="default" w:ascii="Times New Roman" w:hAnsi="Times New Roman" w:cs="Times New Roman"/>
            </w:rPr>
            <w:fldChar w:fldCharType="end"/>
          </w:r>
        </w:p>
      </w:sdtContent>
    </w:sdt>
    <w:p w14:paraId="0000003F">
      <w:pPr>
        <w:jc w:val="center"/>
        <w:rPr>
          <w:rFonts w:hint="default" w:ascii="Times New Roman" w:hAnsi="Times New Roman" w:cs="Times New Roman"/>
          <w:b/>
          <w:bCs/>
          <w:sz w:val="28"/>
          <w:szCs w:val="28"/>
        </w:rPr>
      </w:pPr>
      <w:r>
        <w:rPr>
          <w:rFonts w:hint="default" w:ascii="Times New Roman" w:hAnsi="Times New Roman" w:cs="Times New Roman"/>
        </w:rPr>
        <w:br w:type="page"/>
      </w:r>
    </w:p>
    <w:p w14:paraId="00000040">
      <w:pPr>
        <w:jc w:val="center"/>
        <w:rPr>
          <w:rFonts w:hint="default" w:ascii="Times New Roman" w:hAnsi="Times New Roman" w:cs="Times New Roman"/>
          <w:b/>
          <w:bCs/>
          <w:sz w:val="28"/>
          <w:szCs w:val="28"/>
        </w:rPr>
      </w:pPr>
      <w:r>
        <w:rPr>
          <w:rFonts w:hint="default" w:ascii="Times New Roman" w:hAnsi="Times New Roman" w:cs="Times New Roman"/>
          <w:b/>
          <w:bCs/>
          <w:sz w:val="28"/>
          <w:szCs w:val="28"/>
          <w:rtl w:val="0"/>
        </w:rPr>
        <w:t>Coronary Heart Disease</w:t>
      </w:r>
    </w:p>
    <w:p w14:paraId="00000041">
      <w:pPr>
        <w:pStyle w:val="2"/>
        <w:rPr>
          <w:rFonts w:hint="default" w:ascii="Times New Roman" w:hAnsi="Times New Roman" w:cs="Times New Roman"/>
        </w:rPr>
      </w:pPr>
      <w:bookmarkStart w:id="1" w:name="_t8zzenmhp8ya" w:colFirst="0" w:colLast="0"/>
      <w:bookmarkEnd w:id="1"/>
      <w:r>
        <w:rPr>
          <w:rFonts w:hint="default" w:ascii="Times New Roman" w:hAnsi="Times New Roman" w:cs="Times New Roman"/>
          <w:rtl w:val="0"/>
        </w:rPr>
        <w:t xml:space="preserve">Introduction </w:t>
      </w:r>
    </w:p>
    <w:p w14:paraId="00000042">
      <w:pPr>
        <w:spacing w:before="240" w:after="240"/>
        <w:rPr>
          <w:rFonts w:hint="default" w:ascii="Times New Roman" w:hAnsi="Times New Roman" w:cs="Times New Roman"/>
        </w:rPr>
      </w:pPr>
      <w:r>
        <w:rPr>
          <w:rFonts w:hint="default" w:ascii="Times New Roman" w:hAnsi="Times New Roman" w:cs="Times New Roman"/>
          <w:rtl w:val="0"/>
        </w:rPr>
        <w:t>The particular study aims to focus on a long-term health condition and the management of the particular condition to care and health service users or professionals in the United Kingdom. The particular long-term health condition is coronary heart disease. Coronary heart disease is basically a kind of heart issue that appears when the arteries of the heart are not capable enough to deliver the required amount of oxygen (</w:t>
      </w:r>
      <w:r>
        <w:rPr>
          <w:rFonts w:hint="default" w:ascii="Times New Roman" w:hAnsi="Times New Roman" w:cs="Times New Roman"/>
          <w:color w:val="222222"/>
          <w:rtl w:val="0"/>
        </w:rPr>
        <w:t>Sakraworldhospital, 2025</w:t>
      </w:r>
      <w:r>
        <w:rPr>
          <w:rFonts w:hint="default" w:ascii="Times New Roman" w:hAnsi="Times New Roman" w:cs="Times New Roman"/>
          <w:rtl w:val="0"/>
        </w:rPr>
        <w:t xml:space="preserve">). And rich blood to the heart muscle due to narrowing from the buildup of fatty deposits called plaque. The disease is also known as coronary artery disease as well as ischemic heart disease. </w:t>
      </w:r>
    </w:p>
    <w:p w14:paraId="00000043">
      <w:pPr>
        <w:spacing w:before="240" w:after="240"/>
        <w:rPr>
          <w:rFonts w:hint="default" w:ascii="Times New Roman" w:hAnsi="Times New Roman" w:cs="Times New Roman"/>
        </w:rPr>
      </w:pPr>
      <w:r>
        <w:rPr>
          <w:rFonts w:hint="default" w:ascii="Times New Roman" w:hAnsi="Times New Roman" w:cs="Times New Roman"/>
          <w:rtl w:val="0"/>
        </w:rPr>
        <w:t>Coronary heart disease or CHD is one of the most critical long-term conditions associated with heart conditions across the United Kingdom and beyond (</w:t>
      </w:r>
      <w:r>
        <w:rPr>
          <w:rFonts w:hint="default" w:ascii="Times New Roman" w:hAnsi="Times New Roman" w:cs="Times New Roman"/>
          <w:color w:val="222222"/>
          <w:rtl w:val="0"/>
        </w:rPr>
        <w:t>Mackenzie et al., 2022</w:t>
      </w:r>
      <w:r>
        <w:rPr>
          <w:rFonts w:hint="default" w:ascii="Times New Roman" w:hAnsi="Times New Roman" w:cs="Times New Roman"/>
          <w:rtl w:val="0"/>
        </w:rPr>
        <w:t>). In fact, coronary heart disease is one of the major reasons behind high mortality rate, morbidity, and other health care factors in the country. Therefore, this particular booklet has been designed to provide critical insights into the specific long-term condition. In addition to this, the booklet addresses causes behind CHD, its impact in different areas, and more factors. The study pattern sheds light on evidence-based treatments, theoretical models, and exploration of different recommendations for improving person-centered care.</w:t>
      </w:r>
    </w:p>
    <w:p w14:paraId="00000044">
      <w:pPr>
        <w:pStyle w:val="2"/>
        <w:rPr>
          <w:rFonts w:hint="default" w:ascii="Times New Roman" w:hAnsi="Times New Roman" w:cs="Times New Roman"/>
        </w:rPr>
      </w:pPr>
      <w:bookmarkStart w:id="2" w:name="_ewz7rhjslxwe" w:colFirst="0" w:colLast="0"/>
      <w:bookmarkEnd w:id="2"/>
      <w:r>
        <w:rPr>
          <w:rFonts w:hint="default" w:ascii="Times New Roman" w:hAnsi="Times New Roman" w:cs="Times New Roman"/>
          <w:rtl w:val="0"/>
        </w:rPr>
        <w:t>Focusing on the long-term condition</w:t>
      </w:r>
    </w:p>
    <w:p w14:paraId="00000045">
      <w:pPr>
        <w:rPr>
          <w:rFonts w:hint="default" w:ascii="Times New Roman" w:hAnsi="Times New Roman" w:cs="Times New Roman"/>
          <w:b/>
          <w:bCs/>
        </w:rPr>
      </w:pPr>
      <w:r>
        <w:rPr>
          <w:rFonts w:hint="default" w:ascii="Times New Roman" w:hAnsi="Times New Roman" w:cs="Times New Roman"/>
          <w:b/>
          <w:bCs/>
          <w:rtl w:val="0"/>
        </w:rPr>
        <w:t>Definition</w:t>
      </w:r>
    </w:p>
    <w:p w14:paraId="00000046">
      <w:pPr>
        <w:rPr>
          <w:rFonts w:hint="default" w:ascii="Times New Roman" w:hAnsi="Times New Roman" w:cs="Times New Roman"/>
        </w:rPr>
      </w:pPr>
      <w:r>
        <w:rPr>
          <w:rFonts w:hint="default" w:ascii="Times New Roman" w:hAnsi="Times New Roman" w:cs="Times New Roman"/>
          <w:rtl w:val="0"/>
        </w:rPr>
        <w:t>Coronary heart disease or coronary artery disease is a progressive chronic process. Coronary heart disease typically occurs when the coronary arteries become narrowed or get blocked just because of build-up of plaque (</w:t>
      </w:r>
      <w:r>
        <w:rPr>
          <w:rFonts w:hint="default" w:ascii="Times New Roman" w:hAnsi="Times New Roman" w:cs="Times New Roman"/>
          <w:color w:val="222222"/>
          <w:rtl w:val="0"/>
        </w:rPr>
        <w:t>Sakraworldhospital, 2025</w:t>
      </w:r>
      <w:r>
        <w:rPr>
          <w:rFonts w:hint="default" w:ascii="Times New Roman" w:hAnsi="Times New Roman" w:cs="Times New Roman"/>
          <w:rtl w:val="0"/>
        </w:rPr>
        <w:t>). This represents a combination of cholesterol, fat, and other elements. The particular process is acknowledged as atherosclerosis. It has been observed that restricted blood flow eliminates the supply of oxygen to the heart and this ultimately increases the risk of chest pain, heart failure, heart attacks, and relevant things (</w:t>
      </w:r>
      <w:r>
        <w:rPr>
          <w:rFonts w:hint="default" w:ascii="Times New Roman" w:hAnsi="Times New Roman" w:cs="Times New Roman"/>
          <w:color w:val="222222"/>
          <w:rtl w:val="0"/>
        </w:rPr>
        <w:t>Riveros-Mckay et al., 2021</w:t>
      </w:r>
      <w:r>
        <w:rPr>
          <w:rFonts w:hint="default" w:ascii="Times New Roman" w:hAnsi="Times New Roman" w:cs="Times New Roman"/>
          <w:rtl w:val="0"/>
        </w:rPr>
        <w:t>).</w:t>
      </w:r>
    </w:p>
    <w:p w14:paraId="00000047">
      <w:pPr>
        <w:rPr>
          <w:rFonts w:hint="default" w:ascii="Times New Roman" w:hAnsi="Times New Roman" w:cs="Times New Roman"/>
        </w:rPr>
      </w:pPr>
    </w:p>
    <w:p w14:paraId="00000048">
      <w:pPr>
        <w:jc w:val="center"/>
        <w:rPr>
          <w:rFonts w:hint="default" w:ascii="Times New Roman" w:hAnsi="Times New Roman" w:cs="Times New Roman"/>
          <w:b/>
          <w:bCs/>
        </w:rPr>
      </w:pPr>
      <w:r>
        <w:rPr>
          <w:rFonts w:hint="default" w:ascii="Times New Roman" w:hAnsi="Times New Roman" w:cs="Times New Roman"/>
          <w:b/>
          <w:bCs/>
        </w:rPr>
        <w:drawing>
          <wp:inline distT="114300" distB="114300" distL="114300" distR="114300">
            <wp:extent cx="2814320" cy="281432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8"/>
                    <a:srcRect/>
                    <a:stretch>
                      <a:fillRect/>
                    </a:stretch>
                  </pic:blipFill>
                  <pic:spPr>
                    <a:xfrm>
                      <a:off x="0" y="0"/>
                      <a:ext cx="2814638" cy="2814638"/>
                    </a:xfrm>
                    <a:prstGeom prst="rect">
                      <a:avLst/>
                    </a:prstGeom>
                  </pic:spPr>
                </pic:pic>
              </a:graphicData>
            </a:graphic>
          </wp:inline>
        </w:drawing>
      </w:r>
    </w:p>
    <w:p w14:paraId="00000049">
      <w:pPr>
        <w:jc w:val="center"/>
        <w:rPr>
          <w:rFonts w:hint="default" w:ascii="Times New Roman" w:hAnsi="Times New Roman" w:cs="Times New Roman"/>
          <w:b/>
          <w:bCs/>
        </w:rPr>
      </w:pPr>
      <w:r>
        <w:rPr>
          <w:rFonts w:hint="default" w:ascii="Times New Roman" w:hAnsi="Times New Roman" w:cs="Times New Roman"/>
          <w:b/>
          <w:bCs/>
          <w:rtl w:val="0"/>
        </w:rPr>
        <w:t xml:space="preserve">Figure 1: Coronary Heart Disease </w:t>
      </w:r>
    </w:p>
    <w:p w14:paraId="0000004A">
      <w:pPr>
        <w:jc w:val="center"/>
        <w:rPr>
          <w:rFonts w:hint="default" w:ascii="Times New Roman" w:hAnsi="Times New Roman" w:cs="Times New Roman"/>
        </w:rPr>
      </w:pPr>
      <w:r>
        <w:rPr>
          <w:rFonts w:hint="default" w:ascii="Times New Roman" w:hAnsi="Times New Roman" w:cs="Times New Roman"/>
          <w:rtl w:val="0"/>
        </w:rPr>
        <w:t xml:space="preserve">(Source: </w:t>
      </w:r>
      <w:r>
        <w:rPr>
          <w:rFonts w:hint="default" w:ascii="Times New Roman" w:hAnsi="Times New Roman" w:cs="Times New Roman"/>
          <w:color w:val="222222"/>
          <w:rtl w:val="0"/>
        </w:rPr>
        <w:t>Sakraworldhospital, 2025</w:t>
      </w:r>
      <w:r>
        <w:rPr>
          <w:rFonts w:hint="default" w:ascii="Times New Roman" w:hAnsi="Times New Roman" w:cs="Times New Roman"/>
          <w:rtl w:val="0"/>
        </w:rPr>
        <w:t>)</w:t>
      </w:r>
    </w:p>
    <w:p w14:paraId="0000004B">
      <w:pPr>
        <w:spacing w:before="240" w:after="240"/>
        <w:rPr>
          <w:rFonts w:hint="default" w:ascii="Times New Roman" w:hAnsi="Times New Roman" w:cs="Times New Roman"/>
        </w:rPr>
      </w:pPr>
      <w:r>
        <w:rPr>
          <w:rFonts w:hint="default" w:ascii="Times New Roman" w:hAnsi="Times New Roman" w:cs="Times New Roman"/>
          <w:rtl w:val="0"/>
        </w:rPr>
        <w:t>It has been observed that the World Health Organization or WHO clarifies coronary heart disease as the single biggest cause of deaths globally. In fact, within the UK, the disease is also considered to be a major cause of death every year (</w:t>
      </w:r>
      <w:r>
        <w:rPr>
          <w:rFonts w:hint="default" w:ascii="Times New Roman" w:hAnsi="Times New Roman" w:cs="Times New Roman"/>
          <w:color w:val="222222"/>
          <w:rtl w:val="0"/>
        </w:rPr>
        <w:t>Gov.UK, 2024</w:t>
      </w:r>
      <w:r>
        <w:rPr>
          <w:rFonts w:hint="default" w:ascii="Times New Roman" w:hAnsi="Times New Roman" w:cs="Times New Roman"/>
          <w:rtl w:val="0"/>
        </w:rPr>
        <w:t>). Data shows that coronary heart disease is a common heart disease among individuals. In 2022, the long-term condition called coronary heart disease led to deaths of almost 371,506 people in the United States. Compared to the world data, it has been observed that hospital admission rates to manage coronary heart disease have reduced by at least 46% since March 2004 compared to March 2024 in the UK (</w:t>
      </w:r>
      <w:r>
        <w:rPr>
          <w:rFonts w:hint="default" w:ascii="Times New Roman" w:hAnsi="Times New Roman" w:cs="Times New Roman"/>
          <w:color w:val="222222"/>
          <w:rtl w:val="0"/>
        </w:rPr>
        <w:t>Gov.UK, 2024</w:t>
      </w:r>
      <w:r>
        <w:rPr>
          <w:rFonts w:hint="default" w:ascii="Times New Roman" w:hAnsi="Times New Roman" w:cs="Times New Roman"/>
          <w:rtl w:val="0"/>
        </w:rPr>
        <w:t>).</w:t>
      </w:r>
    </w:p>
    <w:p w14:paraId="0000004C">
      <w:pPr>
        <w:rPr>
          <w:rFonts w:hint="default" w:ascii="Times New Roman" w:hAnsi="Times New Roman" w:cs="Times New Roman"/>
          <w:b/>
          <w:bCs/>
        </w:rPr>
      </w:pPr>
      <w:r>
        <w:rPr>
          <w:rFonts w:hint="default" w:ascii="Times New Roman" w:hAnsi="Times New Roman" w:cs="Times New Roman"/>
          <w:b/>
          <w:bCs/>
          <w:rtl w:val="0"/>
        </w:rPr>
        <w:t xml:space="preserve">Burden/prevalence of the long-term condition (both worldwide and UK statistics) </w:t>
      </w:r>
    </w:p>
    <w:p w14:paraId="0000004D">
      <w:pPr>
        <w:jc w:val="center"/>
        <w:rPr>
          <w:rFonts w:hint="default" w:ascii="Times New Roman" w:hAnsi="Times New Roman" w:cs="Times New Roman"/>
          <w:b/>
          <w:bCs/>
        </w:rPr>
      </w:pPr>
      <w:r>
        <w:rPr>
          <w:rFonts w:hint="default" w:ascii="Times New Roman" w:hAnsi="Times New Roman" w:cs="Times New Roman"/>
          <w:b/>
          <w:bCs/>
        </w:rPr>
        <w:drawing>
          <wp:inline distT="114300" distB="114300" distL="114300" distR="114300">
            <wp:extent cx="5750560" cy="3833495"/>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referRelativeResize="0"/>
                  </pic:nvPicPr>
                  <pic:blipFill>
                    <a:blip r:embed="rId9"/>
                    <a:srcRect/>
                    <a:stretch>
                      <a:fillRect/>
                    </a:stretch>
                  </pic:blipFill>
                  <pic:spPr>
                    <a:xfrm>
                      <a:off x="0" y="0"/>
                      <a:ext cx="5750719" cy="3833813"/>
                    </a:xfrm>
                    <a:prstGeom prst="rect">
                      <a:avLst/>
                    </a:prstGeom>
                    <a:ln w="25400">
                      <a:solidFill>
                        <a:srgbClr val="E06666"/>
                      </a:solidFill>
                      <a:prstDash val="solid"/>
                    </a:ln>
                  </pic:spPr>
                </pic:pic>
              </a:graphicData>
            </a:graphic>
          </wp:inline>
        </w:drawing>
      </w:r>
    </w:p>
    <w:p w14:paraId="0000004E">
      <w:pPr>
        <w:jc w:val="center"/>
        <w:rPr>
          <w:rFonts w:hint="default" w:ascii="Times New Roman" w:hAnsi="Times New Roman" w:cs="Times New Roman"/>
          <w:b/>
          <w:bCs/>
        </w:rPr>
      </w:pPr>
      <w:r>
        <w:rPr>
          <w:rFonts w:hint="default" w:ascii="Times New Roman" w:hAnsi="Times New Roman" w:cs="Times New Roman"/>
          <w:b/>
          <w:bCs/>
          <w:rtl w:val="0"/>
        </w:rPr>
        <w:t>Figure 2: CHD’s mortality rate in England</w:t>
      </w:r>
    </w:p>
    <w:p w14:paraId="0000004F">
      <w:pPr>
        <w:jc w:val="center"/>
        <w:rPr>
          <w:rFonts w:hint="default" w:ascii="Times New Roman" w:hAnsi="Times New Roman" w:cs="Times New Roman"/>
          <w:b/>
          <w:bCs/>
        </w:rPr>
      </w:pPr>
      <w:r>
        <w:rPr>
          <w:rFonts w:hint="default" w:ascii="Times New Roman" w:hAnsi="Times New Roman" w:cs="Times New Roman"/>
          <w:rtl w:val="0"/>
        </w:rPr>
        <w:t xml:space="preserve">(Source: </w:t>
      </w:r>
      <w:r>
        <w:rPr>
          <w:rFonts w:hint="default" w:ascii="Times New Roman" w:hAnsi="Times New Roman" w:cs="Times New Roman"/>
          <w:color w:val="222222"/>
          <w:rtl w:val="0"/>
        </w:rPr>
        <w:t>Gov.UK, 2024</w:t>
      </w:r>
      <w:r>
        <w:rPr>
          <w:rFonts w:hint="default" w:ascii="Times New Roman" w:hAnsi="Times New Roman" w:cs="Times New Roman"/>
          <w:rtl w:val="0"/>
        </w:rPr>
        <w:t>)</w:t>
      </w:r>
      <w:r>
        <w:rPr>
          <w:rFonts w:hint="default" w:ascii="Times New Roman" w:hAnsi="Times New Roman" w:cs="Times New Roman"/>
          <w:b/>
          <w:bCs/>
          <w:rtl w:val="0"/>
        </w:rPr>
        <w:t xml:space="preserve"> </w:t>
      </w:r>
    </w:p>
    <w:p w14:paraId="00000050">
      <w:pPr>
        <w:spacing w:before="240" w:after="240"/>
        <w:rPr>
          <w:rFonts w:hint="default" w:ascii="Times New Roman" w:hAnsi="Times New Roman" w:cs="Times New Roman"/>
        </w:rPr>
      </w:pPr>
      <w:r>
        <w:rPr>
          <w:rFonts w:hint="default" w:ascii="Times New Roman" w:hAnsi="Times New Roman" w:cs="Times New Roman"/>
          <w:rtl w:val="0"/>
        </w:rPr>
        <w:t>It has been observed that coronary heart disease demonstrates and comes as a leading cause behind life threats globally. More specifically, in the United Kingdom, coronary heart disease impacts almost 1 in 17 women and 1 in 13 men. No doubt, mortality rates get increased due to the specific long-term condition. Therefore, strong healthcare interventions and prevention strategies are required by the UK government to protect the health of its people. The rate of premature mortality related to coronary heart disease in England reduced annually between 2001 to 2019. In fact, coronary heart disease premature mortality rates remained stable between the period of 2022 to 2023. In addition to this, other reports reveal that since 1961, death numbers have been decreasing annually in the UK. Additionally, more than 7.6 million people around the UK live with heart diseases. Cardiovascular disease also remains one of the major causes behind the death of millions in Scotland as well. Compared to England, Scotland has higher death rates related to coronary heart disease in the entire Western Europe. More particularly, the Glasgow City area comprises the highest rate of premature mortality, almost 75% from cardiovascular disease in the UK. On the other hand, global reports and market data show that cardiovascular disease or CVDs are also one of the major reasons behind deaths around the world (</w:t>
      </w:r>
      <w:r>
        <w:rPr>
          <w:rFonts w:hint="default" w:ascii="Times New Roman" w:hAnsi="Times New Roman" w:cs="Times New Roman"/>
          <w:color w:val="222222"/>
          <w:rtl w:val="0"/>
        </w:rPr>
        <w:t>WHO, 2025</w:t>
      </w:r>
      <w:r>
        <w:rPr>
          <w:rFonts w:hint="default" w:ascii="Times New Roman" w:hAnsi="Times New Roman" w:cs="Times New Roman"/>
          <w:rtl w:val="0"/>
        </w:rPr>
        <w:t>). Approximately 19.8 million people previously died due to heart diseases in 2022 (</w:t>
      </w:r>
      <w:r>
        <w:rPr>
          <w:rFonts w:hint="default" w:ascii="Times New Roman" w:hAnsi="Times New Roman" w:cs="Times New Roman"/>
          <w:color w:val="222222"/>
          <w:rtl w:val="0"/>
        </w:rPr>
        <w:t>WHO, 2025</w:t>
      </w:r>
      <w:r>
        <w:rPr>
          <w:rFonts w:hint="default" w:ascii="Times New Roman" w:hAnsi="Times New Roman" w:cs="Times New Roman"/>
          <w:rtl w:val="0"/>
        </w:rPr>
        <w:t>). This represents almost 32% of entire global deaths of the specific year and among 32%, 85% of deaths happened due to stroke and heart attacks.</w:t>
      </w:r>
    </w:p>
    <w:p w14:paraId="00000051">
      <w:pPr>
        <w:rPr>
          <w:rFonts w:hint="default" w:ascii="Times New Roman" w:hAnsi="Times New Roman" w:cs="Times New Roman"/>
          <w:b/>
          <w:bCs/>
        </w:rPr>
      </w:pPr>
      <w:r>
        <w:rPr>
          <w:rFonts w:hint="default" w:ascii="Times New Roman" w:hAnsi="Times New Roman" w:cs="Times New Roman"/>
          <w:b/>
          <w:bCs/>
          <w:rtl w:val="0"/>
        </w:rPr>
        <w:t>Risk factors/aetiology of the health condition</w:t>
      </w:r>
    </w:p>
    <w:p w14:paraId="00000052">
      <w:pPr>
        <w:spacing w:before="240" w:after="240"/>
        <w:rPr>
          <w:rFonts w:hint="default" w:ascii="Times New Roman" w:hAnsi="Times New Roman" w:cs="Times New Roman"/>
        </w:rPr>
      </w:pPr>
      <w:r>
        <w:rPr>
          <w:rFonts w:hint="default" w:ascii="Times New Roman" w:hAnsi="Times New Roman" w:cs="Times New Roman"/>
          <w:rtl w:val="0"/>
        </w:rPr>
        <w:t>No doubt, there are different risk factors associated with the specific long-term condition both worldwide and the UK. It has been observed that the growth of coronary heart disease is typically multifactorial. Researchers included that the disease has modifiable and non-modifiable aspects associated with (</w:t>
      </w:r>
      <w:r>
        <w:rPr>
          <w:rFonts w:hint="default" w:ascii="Times New Roman" w:hAnsi="Times New Roman" w:cs="Times New Roman"/>
          <w:color w:val="222222"/>
          <w:rtl w:val="0"/>
        </w:rPr>
        <w:t>Savarese et al., 2021</w:t>
      </w:r>
      <w:r>
        <w:rPr>
          <w:rFonts w:hint="default" w:ascii="Times New Roman" w:hAnsi="Times New Roman" w:cs="Times New Roman"/>
          <w:rtl w:val="0"/>
        </w:rPr>
        <w:t>) it. More specifically, risk factors that can be measured or identified earlier include smoking, cholesterol levels, physical inactivity, high blood pressure, unhealthy diet, diabetes, obesity, and alcohol consumption (</w:t>
      </w:r>
      <w:r>
        <w:rPr>
          <w:rFonts w:hint="default" w:ascii="Times New Roman" w:hAnsi="Times New Roman" w:cs="Times New Roman"/>
          <w:color w:val="222222"/>
          <w:rtl w:val="0"/>
        </w:rPr>
        <w:t>Borland, 2025</w:t>
      </w:r>
      <w:r>
        <w:rPr>
          <w:rFonts w:hint="default" w:ascii="Times New Roman" w:hAnsi="Times New Roman" w:cs="Times New Roman"/>
          <w:rtl w:val="0"/>
        </w:rPr>
        <w:t>). On the other hand, there are also risk factors that may cause the specific long-term condition in the UK and worldwide include age, gender, family history, social background or ethnicity, and more.</w:t>
      </w:r>
    </w:p>
    <w:p w14:paraId="00000053">
      <w:pPr>
        <w:spacing w:before="240" w:after="240"/>
        <w:rPr>
          <w:rFonts w:hint="default" w:ascii="Times New Roman" w:hAnsi="Times New Roman" w:cs="Times New Roman"/>
        </w:rPr>
      </w:pPr>
      <w:r>
        <w:rPr>
          <w:rFonts w:hint="default" w:ascii="Times New Roman" w:hAnsi="Times New Roman" w:cs="Times New Roman"/>
          <w:rtl w:val="0"/>
        </w:rPr>
        <w:t>Aetiologically, coronary heart disease appears from injury that blocks the supply of oxygen to the heart muscle and leads to plaque development in the coronary arteries. As a result, this creates different challenges for proper heart functioning and results in severe coronary syndromes, which include myocardial infarction (</w:t>
      </w:r>
      <w:r>
        <w:rPr>
          <w:rFonts w:hint="default" w:ascii="Times New Roman" w:hAnsi="Times New Roman" w:cs="Times New Roman"/>
          <w:color w:val="222222"/>
          <w:rtl w:val="0"/>
        </w:rPr>
        <w:t>Sakraworldhospital, 2025</w:t>
      </w:r>
      <w:r>
        <w:rPr>
          <w:rFonts w:hint="default" w:ascii="Times New Roman" w:hAnsi="Times New Roman" w:cs="Times New Roman"/>
          <w:rtl w:val="0"/>
        </w:rPr>
        <w:t>).</w:t>
      </w:r>
    </w:p>
    <w:p w14:paraId="00000054">
      <w:pPr>
        <w:pStyle w:val="2"/>
        <w:rPr>
          <w:rFonts w:hint="default" w:ascii="Times New Roman" w:hAnsi="Times New Roman" w:cs="Times New Roman"/>
        </w:rPr>
      </w:pPr>
      <w:bookmarkStart w:id="3" w:name="_10at5gbb2hfx" w:colFirst="0" w:colLast="0"/>
      <w:bookmarkEnd w:id="3"/>
      <w:r>
        <w:rPr>
          <w:rFonts w:hint="default" w:ascii="Times New Roman" w:hAnsi="Times New Roman" w:cs="Times New Roman"/>
          <w:rtl w:val="0"/>
        </w:rPr>
        <w:t xml:space="preserve">Impact of the long-term condition with focus on physical, psychological and social implications on individuals </w:t>
      </w:r>
    </w:p>
    <w:p w14:paraId="00000055">
      <w:pPr>
        <w:spacing w:before="240" w:after="240"/>
        <w:rPr>
          <w:rFonts w:hint="default" w:ascii="Times New Roman" w:hAnsi="Times New Roman" w:cs="Times New Roman"/>
          <w:b/>
          <w:bCs/>
          <w:i/>
          <w:iCs/>
        </w:rPr>
      </w:pPr>
      <w:r>
        <w:rPr>
          <w:rFonts w:hint="default" w:ascii="Times New Roman" w:hAnsi="Times New Roman" w:cs="Times New Roman"/>
          <w:b/>
          <w:bCs/>
          <w:i/>
          <w:iCs/>
          <w:rtl w:val="0"/>
        </w:rPr>
        <w:t>Physical Implications</w:t>
      </w:r>
    </w:p>
    <w:p w14:paraId="00000056">
      <w:pPr>
        <w:spacing w:before="240" w:after="240"/>
        <w:rPr>
          <w:rFonts w:hint="default" w:ascii="Times New Roman" w:hAnsi="Times New Roman" w:cs="Times New Roman"/>
        </w:rPr>
      </w:pPr>
      <w:r>
        <w:rPr>
          <w:rFonts w:hint="default" w:ascii="Times New Roman" w:hAnsi="Times New Roman" w:cs="Times New Roman"/>
          <w:rtl w:val="0"/>
        </w:rPr>
        <w:t>Coronary heart disease generally leads to different physical implications, symptoms, as well as complex situations (</w:t>
      </w:r>
      <w:r>
        <w:rPr>
          <w:rFonts w:hint="default" w:ascii="Times New Roman" w:hAnsi="Times New Roman" w:cs="Times New Roman"/>
          <w:color w:val="222222"/>
          <w:rtl w:val="0"/>
        </w:rPr>
        <w:t>Regitz-Zagrosek and Gebhard, 2023</w:t>
      </w:r>
      <w:r>
        <w:rPr>
          <w:rFonts w:hint="default" w:ascii="Times New Roman" w:hAnsi="Times New Roman" w:cs="Times New Roman"/>
          <w:rtl w:val="0"/>
        </w:rPr>
        <w:t>). Data shows that coronary heart disease includes chest pain along with discomfort. The specific physical situation can be described as a chronic feeling of fullness, squeezing, or pressure that occurs in the left of the chest. However, it happens during physical activity or emotional distress.</w:t>
      </w:r>
    </w:p>
    <w:p w14:paraId="00000057">
      <w:pPr>
        <w:spacing w:before="240" w:after="240"/>
        <w:rPr>
          <w:rFonts w:hint="default" w:ascii="Times New Roman" w:hAnsi="Times New Roman" w:cs="Times New Roman"/>
        </w:rPr>
      </w:pPr>
      <w:r>
        <w:rPr>
          <w:rFonts w:hint="default" w:ascii="Times New Roman" w:hAnsi="Times New Roman" w:cs="Times New Roman"/>
          <w:rtl w:val="0"/>
        </w:rPr>
        <w:t>In addition to this, other issues such as fatigue, breathlessness, palpitations, and more are also common in terms of physical indications of coronary heart disease. At the same time, some people also observe extreme fatigue that is a warning that the heart is struggling to function efficiently. On the other hand, nausea or dizziness can be felt at different times, especially during a heart attack (</w:t>
      </w:r>
      <w:r>
        <w:rPr>
          <w:rFonts w:hint="default" w:ascii="Times New Roman" w:hAnsi="Times New Roman" w:cs="Times New Roman"/>
          <w:color w:val="222222"/>
          <w:rtl w:val="0"/>
        </w:rPr>
        <w:t>Smith et al., 2021)</w:t>
      </w:r>
      <w:r>
        <w:rPr>
          <w:rFonts w:hint="default" w:ascii="Times New Roman" w:hAnsi="Times New Roman" w:cs="Times New Roman"/>
          <w:rtl w:val="0"/>
        </w:rPr>
        <w:t>. However, women typically experience these physical symptoms and implications more than men.</w:t>
      </w:r>
    </w:p>
    <w:p w14:paraId="00000058">
      <w:pPr>
        <w:spacing w:before="240" w:after="240"/>
        <w:rPr>
          <w:rFonts w:hint="default" w:ascii="Times New Roman" w:hAnsi="Times New Roman" w:cs="Times New Roman"/>
          <w:b/>
          <w:bCs/>
          <w:i/>
          <w:iCs/>
        </w:rPr>
      </w:pPr>
      <w:r>
        <w:rPr>
          <w:rFonts w:hint="default" w:ascii="Times New Roman" w:hAnsi="Times New Roman" w:cs="Times New Roman"/>
          <w:b/>
          <w:bCs/>
          <w:i/>
          <w:iCs/>
          <w:rtl w:val="0"/>
        </w:rPr>
        <w:t>Psychological Implications</w:t>
      </w:r>
    </w:p>
    <w:p w14:paraId="00000059">
      <w:pPr>
        <w:spacing w:before="240" w:after="240"/>
        <w:jc w:val="center"/>
        <w:rPr>
          <w:rFonts w:hint="default" w:ascii="Times New Roman" w:hAnsi="Times New Roman" w:cs="Times New Roman"/>
          <w:b/>
          <w:bCs/>
          <w:i/>
          <w:iCs/>
        </w:rPr>
      </w:pPr>
      <w:r>
        <w:rPr>
          <w:rFonts w:hint="default" w:ascii="Times New Roman" w:hAnsi="Times New Roman" w:cs="Times New Roman"/>
          <w:b/>
          <w:bCs/>
          <w:i/>
          <w:iCs/>
        </w:rPr>
        <w:drawing>
          <wp:inline distT="114300" distB="114300" distL="114300" distR="114300">
            <wp:extent cx="3448050" cy="27051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referRelativeResize="0"/>
                  </pic:nvPicPr>
                  <pic:blipFill>
                    <a:blip r:embed="rId10"/>
                    <a:srcRect/>
                    <a:stretch>
                      <a:fillRect/>
                    </a:stretch>
                  </pic:blipFill>
                  <pic:spPr>
                    <a:xfrm>
                      <a:off x="0" y="0"/>
                      <a:ext cx="3448050" cy="2705100"/>
                    </a:xfrm>
                    <a:prstGeom prst="rect">
                      <a:avLst/>
                    </a:prstGeom>
                  </pic:spPr>
                </pic:pic>
              </a:graphicData>
            </a:graphic>
          </wp:inline>
        </w:drawing>
      </w:r>
    </w:p>
    <w:p w14:paraId="0000005A">
      <w:pPr>
        <w:spacing w:before="240" w:after="240"/>
        <w:jc w:val="center"/>
        <w:rPr>
          <w:rFonts w:hint="default" w:ascii="Times New Roman" w:hAnsi="Times New Roman" w:cs="Times New Roman"/>
          <w:b/>
          <w:bCs/>
        </w:rPr>
      </w:pPr>
      <w:r>
        <w:rPr>
          <w:rFonts w:hint="default" w:ascii="Times New Roman" w:hAnsi="Times New Roman" w:cs="Times New Roman"/>
          <w:b/>
          <w:bCs/>
          <w:rtl w:val="0"/>
        </w:rPr>
        <w:t>Figure 3: biopsychosocial model</w:t>
      </w:r>
    </w:p>
    <w:p w14:paraId="0000005B">
      <w:pPr>
        <w:spacing w:before="240" w:after="240"/>
        <w:jc w:val="center"/>
        <w:rPr>
          <w:rFonts w:hint="default" w:ascii="Times New Roman" w:hAnsi="Times New Roman" w:cs="Times New Roman"/>
        </w:rPr>
      </w:pPr>
      <w:r>
        <w:rPr>
          <w:rFonts w:hint="default" w:ascii="Times New Roman" w:hAnsi="Times New Roman" w:cs="Times New Roman"/>
          <w:rtl w:val="0"/>
        </w:rPr>
        <w:t>(Source: Course materials)</w:t>
      </w:r>
    </w:p>
    <w:p w14:paraId="0000005C">
      <w:pPr>
        <w:spacing w:before="240" w:after="240"/>
        <w:rPr>
          <w:rFonts w:hint="default" w:ascii="Times New Roman" w:hAnsi="Times New Roman" w:cs="Times New Roman"/>
        </w:rPr>
      </w:pPr>
      <w:r>
        <w:rPr>
          <w:rFonts w:hint="default" w:ascii="Times New Roman" w:hAnsi="Times New Roman" w:cs="Times New Roman"/>
          <w:rtl w:val="0"/>
        </w:rPr>
        <w:t xml:space="preserve">It has been observed that coronary heart disease also increases psychological burden among people. Studies show that patients can experience anxiety, depression, and psychological issues followed by a cardiac event. These include lifestyle issues, fear of recurrence, physical limitations that lead to frustration, low morale, low self-esteem, mood swings, and similar issues. Therefore, the </w:t>
      </w:r>
      <w:r>
        <w:rPr>
          <w:rFonts w:hint="default" w:ascii="Times New Roman" w:hAnsi="Times New Roman" w:cs="Times New Roman"/>
          <w:b/>
          <w:bCs/>
          <w:i/>
          <w:iCs/>
          <w:rtl w:val="0"/>
        </w:rPr>
        <w:t>biopsychosocial model</w:t>
      </w:r>
      <w:r>
        <w:rPr>
          <w:rFonts w:hint="default" w:ascii="Times New Roman" w:hAnsi="Times New Roman" w:cs="Times New Roman"/>
          <w:rtl w:val="0"/>
        </w:rPr>
        <w:t xml:space="preserve"> reveals that psychological weaving has a profound impact on recovering from cardiac events and chronic diseases. In fact, patients with clinical depression that is not effectively treated are likely to experience cardiovascular challenges in future. Therefore, in reference with the biopsychosocial model, it can be stated that mental health support and psychological well-being are important to mitigate cardiac events and issues (</w:t>
      </w:r>
      <w:r>
        <w:rPr>
          <w:rFonts w:hint="default" w:ascii="Times New Roman" w:hAnsi="Times New Roman" w:cs="Times New Roman"/>
          <w:color w:val="222222"/>
          <w:rtl w:val="0"/>
        </w:rPr>
        <w:t>Ai et al., 2021</w:t>
      </w:r>
      <w:r>
        <w:rPr>
          <w:rFonts w:hint="default" w:ascii="Times New Roman" w:hAnsi="Times New Roman" w:cs="Times New Roman"/>
          <w:rtl w:val="0"/>
        </w:rPr>
        <w:t>).</w:t>
      </w:r>
    </w:p>
    <w:p w14:paraId="0000005D">
      <w:pPr>
        <w:rPr>
          <w:rFonts w:hint="default" w:ascii="Times New Roman" w:hAnsi="Times New Roman" w:cs="Times New Roman"/>
          <w:b/>
          <w:bCs/>
          <w:i/>
          <w:iCs/>
        </w:rPr>
      </w:pPr>
      <w:r>
        <w:rPr>
          <w:rFonts w:hint="default" w:ascii="Times New Roman" w:hAnsi="Times New Roman" w:cs="Times New Roman"/>
          <w:b/>
          <w:bCs/>
          <w:i/>
          <w:iCs/>
          <w:rtl w:val="0"/>
        </w:rPr>
        <w:t>Social and the wider implications on families involved in care provision</w:t>
      </w:r>
    </w:p>
    <w:p w14:paraId="0000005E">
      <w:pPr>
        <w:spacing w:before="240" w:after="240"/>
        <w:rPr>
          <w:rFonts w:hint="default" w:ascii="Times New Roman" w:hAnsi="Times New Roman" w:cs="Times New Roman"/>
        </w:rPr>
      </w:pPr>
      <w:r>
        <w:rPr>
          <w:rFonts w:hint="default" w:ascii="Times New Roman" w:hAnsi="Times New Roman" w:cs="Times New Roman"/>
          <w:rtl w:val="0"/>
        </w:rPr>
        <w:t>It has been observed that coronary heart disease not only impacts individuals but also their families at the same time. CHT has profound impacts on families and social networks as well. It has been observed that family members tend to play the role of caregivers where they also engage financially and emotionally. Therefore, the stress and emotional burden people in the family carry creates health and emotional distress among them. From a social perspective, it can be stated that people who experience CHD might confront issues in maintaining a good and balanced social life (</w:t>
      </w:r>
      <w:r>
        <w:rPr>
          <w:rFonts w:hint="default" w:ascii="Times New Roman" w:hAnsi="Times New Roman" w:cs="Times New Roman"/>
          <w:color w:val="222222"/>
          <w:rtl w:val="0"/>
        </w:rPr>
        <w:t>Gov.UK, 2025</w:t>
      </w:r>
      <w:r>
        <w:rPr>
          <w:rFonts w:hint="default" w:ascii="Times New Roman" w:hAnsi="Times New Roman" w:cs="Times New Roman"/>
          <w:rtl w:val="0"/>
        </w:rPr>
        <w:t>). In fact, impactful psychological and health implications also restrict their capacity to perform in a social network in the workplace and other places. Henceforth, it can be stated that CHD management must focus on maintaining a balanced approach between patients and their families as a support network.</w:t>
      </w:r>
    </w:p>
    <w:p w14:paraId="0000005F">
      <w:pPr>
        <w:rPr>
          <w:rFonts w:hint="default" w:ascii="Times New Roman" w:hAnsi="Times New Roman" w:cs="Times New Roman"/>
          <w:b/>
          <w:bCs/>
        </w:rPr>
      </w:pPr>
      <w:r>
        <w:rPr>
          <w:rFonts w:hint="default" w:ascii="Times New Roman" w:hAnsi="Times New Roman" w:cs="Times New Roman"/>
          <w:b/>
          <w:bCs/>
          <w:rtl w:val="0"/>
        </w:rPr>
        <w:t>Suitable evidence-based treatments which are available in the UK through the NHS</w:t>
      </w:r>
    </w:p>
    <w:p w14:paraId="00000060">
      <w:pPr>
        <w:rPr>
          <w:rFonts w:hint="default" w:ascii="Times New Roman" w:hAnsi="Times New Roman" w:cs="Times New Roman"/>
        </w:rPr>
      </w:pPr>
      <w:r>
        <w:rPr>
          <w:rFonts w:hint="default" w:ascii="Times New Roman" w:hAnsi="Times New Roman" w:cs="Times New Roman"/>
          <w:rtl w:val="0"/>
        </w:rPr>
        <w:t>The NHS in the UK provides evidence-based treatments and preventive measures to eliminate coronary heart disease and its impacts among people. Effective coronary heart disease management is all about maintaining a good balance between lifestyle, therapy, interventions, and psychological support (</w:t>
      </w:r>
      <w:r>
        <w:rPr>
          <w:rFonts w:hint="default" w:ascii="Times New Roman" w:hAnsi="Times New Roman" w:cs="Times New Roman"/>
          <w:color w:val="222222"/>
          <w:rtl w:val="0"/>
        </w:rPr>
        <w:t>Raisi-Estabragh et al., 2025</w:t>
      </w:r>
      <w:r>
        <w:rPr>
          <w:rFonts w:hint="default" w:ascii="Times New Roman" w:hAnsi="Times New Roman" w:cs="Times New Roman"/>
          <w:rtl w:val="0"/>
        </w:rPr>
        <w:t>). The National Institute for Health and Care Excellence, or NICE, also offers several guidelines that encourage and educate people on the dreadful implications of coronary heart disease (</w:t>
      </w:r>
      <w:r>
        <w:rPr>
          <w:rFonts w:hint="default" w:ascii="Times New Roman" w:hAnsi="Times New Roman" w:cs="Times New Roman"/>
          <w:color w:val="222222"/>
          <w:rtl w:val="0"/>
        </w:rPr>
        <w:t>NHS, 2025</w:t>
      </w:r>
      <w:r>
        <w:rPr>
          <w:rFonts w:hint="default" w:ascii="Times New Roman" w:hAnsi="Times New Roman" w:cs="Times New Roman"/>
          <w:rtl w:val="0"/>
        </w:rPr>
        <w:t>). It has been observed that the NHS offers a systematic and a robust approach to ensure people who have had heart failure and living with different heart diseases will surely get preserved ejection fraction (HFpEF) in a timely manner (</w:t>
      </w:r>
      <w:r>
        <w:rPr>
          <w:rFonts w:hint="default" w:ascii="Times New Roman" w:hAnsi="Times New Roman" w:cs="Times New Roman"/>
          <w:color w:val="222222"/>
          <w:rtl w:val="0"/>
        </w:rPr>
        <w:t>NHS, 2025</w:t>
      </w:r>
      <w:r>
        <w:rPr>
          <w:rFonts w:hint="default" w:ascii="Times New Roman" w:hAnsi="Times New Roman" w:cs="Times New Roman"/>
          <w:rtl w:val="0"/>
        </w:rPr>
        <w:t>). In fact, in order to diagnose the disease earlier, the NHS also ensures accurate diagnosis with the help of guideline-based solutions and therapies to avoid health deterioration.</w:t>
      </w:r>
    </w:p>
    <w:p w14:paraId="00000061">
      <w:pPr>
        <w:jc w:val="center"/>
        <w:rPr>
          <w:rFonts w:hint="default" w:ascii="Times New Roman" w:hAnsi="Times New Roman" w:cs="Times New Roman"/>
        </w:rPr>
      </w:pPr>
      <w:r>
        <w:rPr>
          <w:rFonts w:hint="default" w:ascii="Times New Roman" w:hAnsi="Times New Roman" w:cs="Times New Roman"/>
        </w:rPr>
        <w:drawing>
          <wp:inline distT="114300" distB="114300" distL="114300" distR="114300">
            <wp:extent cx="5128895" cy="33782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11"/>
                    <a:srcRect/>
                    <a:stretch>
                      <a:fillRect/>
                    </a:stretch>
                  </pic:blipFill>
                  <pic:spPr>
                    <a:xfrm>
                      <a:off x="0" y="0"/>
                      <a:ext cx="5129213" cy="3378376"/>
                    </a:xfrm>
                    <a:prstGeom prst="rect">
                      <a:avLst/>
                    </a:prstGeom>
                    <a:ln w="25400">
                      <a:solidFill>
                        <a:srgbClr val="666666"/>
                      </a:solidFill>
                      <a:prstDash val="solid"/>
                    </a:ln>
                  </pic:spPr>
                </pic:pic>
              </a:graphicData>
            </a:graphic>
          </wp:inline>
        </w:drawing>
      </w:r>
    </w:p>
    <w:p w14:paraId="00000062">
      <w:pPr>
        <w:jc w:val="center"/>
        <w:rPr>
          <w:rFonts w:hint="default" w:ascii="Times New Roman" w:hAnsi="Times New Roman" w:cs="Times New Roman"/>
          <w:b/>
          <w:bCs/>
        </w:rPr>
      </w:pPr>
      <w:r>
        <w:rPr>
          <w:rFonts w:hint="default" w:ascii="Times New Roman" w:hAnsi="Times New Roman" w:cs="Times New Roman"/>
          <w:b/>
          <w:bCs/>
          <w:rtl w:val="0"/>
        </w:rPr>
        <w:t>Figure 4: NHS’s health check-up data</w:t>
      </w:r>
    </w:p>
    <w:p w14:paraId="00000063">
      <w:pPr>
        <w:jc w:val="center"/>
        <w:rPr>
          <w:rFonts w:hint="default" w:ascii="Times New Roman" w:hAnsi="Times New Roman" w:cs="Times New Roman"/>
        </w:rPr>
      </w:pPr>
      <w:r>
        <w:rPr>
          <w:rFonts w:hint="default" w:ascii="Times New Roman" w:hAnsi="Times New Roman" w:cs="Times New Roman"/>
          <w:rtl w:val="0"/>
        </w:rPr>
        <w:t xml:space="preserve">(Source: </w:t>
      </w:r>
      <w:r>
        <w:rPr>
          <w:rFonts w:hint="default" w:ascii="Times New Roman" w:hAnsi="Times New Roman" w:cs="Times New Roman"/>
          <w:color w:val="222222"/>
          <w:rtl w:val="0"/>
        </w:rPr>
        <w:t>Raisi-Estabragh et al., 2025</w:t>
      </w:r>
      <w:r>
        <w:rPr>
          <w:rFonts w:hint="default" w:ascii="Times New Roman" w:hAnsi="Times New Roman" w:cs="Times New Roman"/>
          <w:rtl w:val="0"/>
        </w:rPr>
        <w:t>)</w:t>
      </w:r>
    </w:p>
    <w:p w14:paraId="00000064">
      <w:pPr>
        <w:rPr>
          <w:rFonts w:hint="default" w:ascii="Times New Roman" w:hAnsi="Times New Roman" w:cs="Times New Roman"/>
        </w:rPr>
      </w:pPr>
      <w:r>
        <w:rPr>
          <w:rFonts w:hint="default" w:ascii="Times New Roman" w:hAnsi="Times New Roman" w:cs="Times New Roman"/>
          <w:rtl w:val="0"/>
        </w:rPr>
        <w:t>In addition to this, the NHS has established a pathway to integrate tools in order to support people with the help of Responsibility Stakeholders. The tool proposed by the NHS offers high-quality and standardized care, improves outcomes for all patients, and eliminates unwarranted variation (</w:t>
      </w:r>
      <w:r>
        <w:rPr>
          <w:rFonts w:hint="default" w:ascii="Times New Roman" w:hAnsi="Times New Roman" w:cs="Times New Roman"/>
          <w:color w:val="222222"/>
          <w:rtl w:val="0"/>
        </w:rPr>
        <w:t>Raisi-Estabragh et al., 2025</w:t>
      </w:r>
      <w:r>
        <w:rPr>
          <w:rFonts w:hint="default" w:ascii="Times New Roman" w:hAnsi="Times New Roman" w:cs="Times New Roman"/>
          <w:rtl w:val="0"/>
        </w:rPr>
        <w:t>). On the other hand, reports reveal that the NHS also runs campaigns on the awful impacts of smoking to educate people in a unique way. Dietitians, doctors, and nurses associated with the organization promote effective ideas for making significant changes in the dietary habits. On the contrary, it has been identified that the NHS Health Check Program is not properly aligned with National Screening Committee requirements that sheds light on high-quality randomized trials to demonstrate that benefits outweigh drawbacks (</w:t>
      </w:r>
      <w:r>
        <w:rPr>
          <w:rFonts w:hint="default" w:ascii="Times New Roman" w:hAnsi="Times New Roman" w:cs="Times New Roman"/>
          <w:color w:val="222222"/>
          <w:rtl w:val="0"/>
        </w:rPr>
        <w:t>Raisi-Estabragh et al., 2025</w:t>
      </w:r>
      <w:r>
        <w:rPr>
          <w:rFonts w:hint="default" w:ascii="Times New Roman" w:hAnsi="Times New Roman" w:cs="Times New Roman"/>
          <w:rtl w:val="0"/>
        </w:rPr>
        <w:t>).</w:t>
      </w:r>
    </w:p>
    <w:p w14:paraId="00000065">
      <w:pPr>
        <w:spacing w:before="240" w:after="240"/>
        <w:rPr>
          <w:rFonts w:hint="default" w:ascii="Times New Roman" w:hAnsi="Times New Roman" w:cs="Times New Roman"/>
        </w:rPr>
      </w:pPr>
      <w:r>
        <w:rPr>
          <w:rFonts w:hint="default" w:ascii="Times New Roman" w:hAnsi="Times New Roman" w:cs="Times New Roman"/>
          <w:rtl w:val="0"/>
        </w:rPr>
        <w:t>It has been observed that the NHS also provides structured elements and reports to educate people for self-management to mitigate heart failures. The marvellous guide provided by the NHS also represents stories of other patients who either recovered or effectively reduced the awful implications of coronary heart disease. The organisation believes that individualised considerations must be accessed across different groups to eliminate health inequalities (IPPR, 2025). On the other hand, it has been observed that the NHS provides social as well as psychological support with the help of counselling periods, support groups, rehabilitation programs, and other health check-up programs to prioritize the impact of COVID-19. In short, the NHS often incorporates different activities and campaigns in order to conduct proper counselling for ensuring speedy recovery among people. Evidence demonstrates that people who actively participate in these social support networks and psychological programs can achieve greater health outcomes and quality care in return.</w:t>
      </w:r>
    </w:p>
    <w:p w14:paraId="00000066">
      <w:pPr>
        <w:pStyle w:val="2"/>
        <w:rPr>
          <w:rFonts w:hint="default" w:ascii="Times New Roman" w:hAnsi="Times New Roman" w:cs="Times New Roman"/>
        </w:rPr>
      </w:pPr>
      <w:bookmarkStart w:id="4" w:name="_ze7bwm7xqvmn" w:colFirst="0" w:colLast="0"/>
      <w:bookmarkEnd w:id="4"/>
      <w:r>
        <w:rPr>
          <w:rFonts w:hint="default" w:ascii="Times New Roman" w:hAnsi="Times New Roman" w:cs="Times New Roman"/>
          <w:rtl w:val="0"/>
        </w:rPr>
        <w:t>Current theoretical perspectives including models for improved outcomes for patients affected by long-term conditions.</w:t>
      </w:r>
    </w:p>
    <w:p w14:paraId="00000067">
      <w:pPr>
        <w:spacing w:before="240" w:after="240"/>
        <w:rPr>
          <w:rFonts w:hint="default" w:ascii="Times New Roman" w:hAnsi="Times New Roman" w:cs="Times New Roman"/>
        </w:rPr>
      </w:pPr>
      <w:r>
        <w:rPr>
          <w:rFonts w:hint="default" w:ascii="Times New Roman" w:hAnsi="Times New Roman" w:cs="Times New Roman"/>
          <w:b/>
          <w:bCs/>
          <w:i/>
          <w:iCs/>
          <w:rtl w:val="0"/>
        </w:rPr>
        <w:t>The 10-year health plan for England by the NHS:</w:t>
      </w:r>
      <w:r>
        <w:rPr>
          <w:rFonts w:hint="default" w:ascii="Times New Roman" w:hAnsi="Times New Roman" w:cs="Times New Roman"/>
          <w:rtl w:val="0"/>
        </w:rPr>
        <w:t xml:space="preserve"> Currently, there are different perspectives associated with different models and theoretical frameworks to improve outcomes for patients suffering due to coronary heart disease. One of the major models proposed by the NHS for the UK is Fit for the Future, the 10-year health plan for England. The National Health Services, or the NHS, plays a pivotal role in the healthcare history of the UK. The 10-year health plan for England by the NHS can be considered as a major or most impactful model for the country to eliminate high death rates and implications of coronary heart disease (NHS, 2025). It has been observed that under the framework or the model, the NHS aims to develop a smoke-free generation to build a smoke-free UK. The report published by the organisation demonstrates that tobacco is legally sold across the country that kills almost half of its users. In fact, more than 70% of lung cancers are caused by smoking (NHS, 2025). Henceforth, smoking leads to a greater risk of coronary heart disease, heart failure, and dementia.</w:t>
      </w:r>
    </w:p>
    <w:p w14:paraId="00000068">
      <w:pPr>
        <w:spacing w:before="240" w:after="240"/>
        <w:jc w:val="center"/>
        <w:rPr>
          <w:rFonts w:hint="default" w:ascii="Times New Roman" w:hAnsi="Times New Roman" w:cs="Times New Roman"/>
        </w:rPr>
      </w:pPr>
      <w:r>
        <w:rPr>
          <w:rFonts w:hint="default" w:ascii="Times New Roman" w:hAnsi="Times New Roman" w:cs="Times New Roman"/>
        </w:rPr>
        <w:drawing>
          <wp:inline distT="114300" distB="114300" distL="114300" distR="114300">
            <wp:extent cx="3048000" cy="36385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12"/>
                    <a:srcRect/>
                    <a:stretch>
                      <a:fillRect/>
                    </a:stretch>
                  </pic:blipFill>
                  <pic:spPr>
                    <a:xfrm>
                      <a:off x="0" y="0"/>
                      <a:ext cx="3048000" cy="3638550"/>
                    </a:xfrm>
                    <a:prstGeom prst="rect">
                      <a:avLst/>
                    </a:prstGeom>
                  </pic:spPr>
                </pic:pic>
              </a:graphicData>
            </a:graphic>
          </wp:inline>
        </w:drawing>
      </w:r>
    </w:p>
    <w:p w14:paraId="00000069">
      <w:pPr>
        <w:jc w:val="center"/>
        <w:rPr>
          <w:rFonts w:hint="default" w:ascii="Times New Roman" w:hAnsi="Times New Roman" w:cs="Times New Roman"/>
          <w:b/>
          <w:bCs/>
        </w:rPr>
      </w:pPr>
      <w:r>
        <w:rPr>
          <w:rFonts w:hint="default" w:ascii="Times New Roman" w:hAnsi="Times New Roman" w:cs="Times New Roman"/>
          <w:b/>
          <w:bCs/>
          <w:rtl w:val="0"/>
        </w:rPr>
        <w:t>Figure 5: The NHS’s health check-ups for mitigating CHD</w:t>
      </w:r>
    </w:p>
    <w:p w14:paraId="0000006A">
      <w:pPr>
        <w:jc w:val="center"/>
        <w:rPr>
          <w:rFonts w:hint="default" w:ascii="Times New Roman" w:hAnsi="Times New Roman" w:cs="Times New Roman"/>
        </w:rPr>
      </w:pPr>
      <w:r>
        <w:rPr>
          <w:rFonts w:hint="default" w:ascii="Times New Roman" w:hAnsi="Times New Roman" w:cs="Times New Roman"/>
          <w:rtl w:val="0"/>
        </w:rPr>
        <w:t>(Source: NHS, 2025)</w:t>
      </w:r>
    </w:p>
    <w:p w14:paraId="0000006B">
      <w:pPr>
        <w:spacing w:before="240" w:after="240"/>
        <w:rPr>
          <w:rFonts w:hint="default" w:ascii="Times New Roman" w:hAnsi="Times New Roman" w:cs="Times New Roman"/>
        </w:rPr>
      </w:pPr>
      <w:r>
        <w:rPr>
          <w:rFonts w:hint="default" w:ascii="Times New Roman" w:hAnsi="Times New Roman" w:cs="Times New Roman"/>
          <w:rtl w:val="0"/>
        </w:rPr>
        <w:t>It has been observed that the UK government will also play a pivotal part in promoting the smoke-free campaign organized by the NHS (NHS, 2025). Henceforth, it can be stated that this is a big step adopted by the organization toward coronary heart disease. Another step under the framework to mitigate the particular issue is to end obesity-related issues and diseases. It has been observed that obesity is a major cause behind poor health outcomes. In fact, in the last 30 years of history, obesity created or led to cancer, cardiovascular disease, heart attacks, and diabetes. Therefore, the NHS England prepares itself to fight against coronary heart disease by taking these smaller steps.</w:t>
      </w:r>
    </w:p>
    <w:p w14:paraId="0000006C">
      <w:pPr>
        <w:spacing w:before="240" w:after="240"/>
        <w:rPr>
          <w:rFonts w:hint="default" w:ascii="Times New Roman" w:hAnsi="Times New Roman" w:cs="Times New Roman"/>
        </w:rPr>
      </w:pPr>
      <w:r>
        <w:rPr>
          <w:rFonts w:hint="default" w:ascii="Times New Roman" w:hAnsi="Times New Roman" w:cs="Times New Roman"/>
          <w:b/>
          <w:bCs/>
          <w:rtl w:val="0"/>
        </w:rPr>
        <w:t xml:space="preserve">International context: The Chronic Care Model (CCM): </w:t>
      </w:r>
      <w:r>
        <w:rPr>
          <w:rFonts w:hint="default" w:ascii="Times New Roman" w:hAnsi="Times New Roman" w:cs="Times New Roman"/>
          <w:rtl w:val="0"/>
        </w:rPr>
        <w:t>In terms of identifying the international context and theoretical perspectives, the implication of the chronic care model or CCM is a great choice (Timedochealth, 2025). The chronic care model is one of the most prominent frameworks used by healthcare providers in order to deliver and plan treatment for coronary diseases. Commonly, the framework outlines fundamental aspects of a robust healthcare system or technique that ultimately results in high-quality outcomes. In short, the model has been specifically designed for treating chronic illness and people who are suffering from chronic diseases including heart attack, failure, coronary heart disease (Timedochealth, 2025). It has been observed that the model helps to provide treatment in a primary setting with the help of a specific strategy that combines system provider as well as patient interventions. Overall, these factors are important to utilize and set a great purpose to treat chronic diseases.</w:t>
      </w:r>
    </w:p>
    <w:p w14:paraId="0000006D">
      <w:pPr>
        <w:spacing w:before="240" w:after="240"/>
        <w:rPr>
          <w:rFonts w:hint="default" w:ascii="Times New Roman" w:hAnsi="Times New Roman" w:cs="Times New Roman"/>
        </w:rPr>
      </w:pPr>
      <w:r>
        <w:rPr>
          <w:rFonts w:hint="default" w:ascii="Times New Roman" w:hAnsi="Times New Roman" w:cs="Times New Roman"/>
          <w:rtl w:val="0"/>
        </w:rPr>
        <w:t xml:space="preserve">With the help of the CCM, it becomes easier to develop self-management, reports design, strong delivery systems, generate effective decisions, build clinical information, protocols and systems, along with the design community (Timedochealth, 2025). No doubt the integration of the CCM can effectively advocate patient-centric, team-based and impactful care compared to reactive treatments for acute care. </w:t>
      </w:r>
    </w:p>
    <w:p w14:paraId="0000006E">
      <w:pPr>
        <w:pStyle w:val="2"/>
        <w:rPr>
          <w:rFonts w:hint="default" w:ascii="Times New Roman" w:hAnsi="Times New Roman" w:cs="Times New Roman"/>
        </w:rPr>
      </w:pPr>
      <w:bookmarkStart w:id="5" w:name="_686es3wvc6je" w:colFirst="0" w:colLast="0"/>
      <w:bookmarkEnd w:id="5"/>
      <w:r>
        <w:rPr>
          <w:rFonts w:hint="default" w:ascii="Times New Roman" w:hAnsi="Times New Roman" w:cs="Times New Roman"/>
          <w:rtl w:val="0"/>
        </w:rPr>
        <w:t>Implementation of local and national political health and social care agendas which can inform and promote developmental initiatives to the condition management</w:t>
      </w:r>
    </w:p>
    <w:p w14:paraId="0000006F">
      <w:pPr>
        <w:rPr>
          <w:rFonts w:hint="default" w:ascii="Times New Roman" w:hAnsi="Times New Roman" w:cs="Times New Roman"/>
          <w:b/>
          <w:bCs/>
          <w:i/>
          <w:iCs/>
        </w:rPr>
      </w:pPr>
      <w:r>
        <w:rPr>
          <w:rFonts w:hint="default" w:ascii="Times New Roman" w:hAnsi="Times New Roman" w:cs="Times New Roman"/>
          <w:b/>
          <w:bCs/>
          <w:i/>
          <w:iCs/>
          <w:rtl w:val="0"/>
        </w:rPr>
        <w:t>Local political health and social care agendas</w:t>
      </w:r>
    </w:p>
    <w:p w14:paraId="00000070">
      <w:pPr>
        <w:spacing w:before="240" w:after="240"/>
        <w:rPr>
          <w:rFonts w:hint="default" w:ascii="Times New Roman" w:hAnsi="Times New Roman" w:cs="Times New Roman"/>
        </w:rPr>
      </w:pPr>
      <w:r>
        <w:rPr>
          <w:rFonts w:hint="default" w:ascii="Times New Roman" w:hAnsi="Times New Roman" w:cs="Times New Roman"/>
          <w:rtl w:val="0"/>
        </w:rPr>
        <w:t>Local political health and social care agendas are determined by Integrated Care Systems or ICSs. In fact, these factors effectively influenced the opportunity to develop more local health partnerships. These mechanisms help to influence and execute national chronic heart diseases and similar agendas at local levels (</w:t>
      </w:r>
      <w:r>
        <w:rPr>
          <w:rFonts w:hint="default" w:ascii="Times New Roman" w:hAnsi="Times New Roman" w:cs="Times New Roman"/>
          <w:color w:val="222222"/>
          <w:rtl w:val="0"/>
        </w:rPr>
        <w:t>Wan et al., 2021</w:t>
      </w:r>
      <w:r>
        <w:rPr>
          <w:rFonts w:hint="default" w:ascii="Times New Roman" w:hAnsi="Times New Roman" w:cs="Times New Roman"/>
          <w:rtl w:val="0"/>
        </w:rPr>
        <w:t>). In fact, the NHS Trust established local councils and voluntary organizations that aim to strengthen patient-oriented care for removing cardiovascular diseases. On the other hand, local authorities related to public health play a critical role in promoting health and well-being among people. From a different perspective, it has been observed that different non-governmental organizations also run a range of campaigns to educate people for creating a strong awareness.</w:t>
      </w:r>
    </w:p>
    <w:p w14:paraId="00000071">
      <w:pPr>
        <w:rPr>
          <w:rFonts w:hint="default" w:ascii="Times New Roman" w:hAnsi="Times New Roman" w:cs="Times New Roman"/>
          <w:b/>
          <w:bCs/>
          <w:i/>
          <w:iCs/>
        </w:rPr>
      </w:pPr>
      <w:r>
        <w:rPr>
          <w:rFonts w:hint="default" w:ascii="Times New Roman" w:hAnsi="Times New Roman" w:cs="Times New Roman"/>
          <w:b/>
          <w:bCs/>
          <w:i/>
          <w:iCs/>
          <w:rtl w:val="0"/>
        </w:rPr>
        <w:t>National political health and social care agendas</w:t>
      </w:r>
    </w:p>
    <w:p w14:paraId="00000072">
      <w:pPr>
        <w:spacing w:before="240" w:after="240"/>
        <w:rPr>
          <w:rFonts w:hint="default" w:ascii="Times New Roman" w:hAnsi="Times New Roman" w:cs="Times New Roman"/>
        </w:rPr>
      </w:pPr>
      <w:r>
        <w:rPr>
          <w:rFonts w:hint="default" w:ascii="Times New Roman" w:hAnsi="Times New Roman" w:cs="Times New Roman"/>
          <w:rtl w:val="0"/>
        </w:rPr>
        <w:t>The NHS Long-Term Plan for the UK remains the cornerstone of healthcare interventions, preventive measures, and policymaking. No doubt, the plan is an effective piece of work that will help to prevent smoking, dementia, obesity, heart attacks, and mortality rates in the next 10 years in a unique way. Similarly, it has been observed that improved processes and screening programs by the NHS highlighted that there are different resource barriers along with staff shortage that might slow down the entire process. Despite a structured plan by the NHS, its impact might be limited due to the identified issues. On the other hand, this program developed by the NHS integrates different healthcare measures and activities at the same time. However, evidence highlighted that gaps will remain consistent due to cybersecurity threats and data sharing limitations in the healthcare context.</w:t>
      </w:r>
    </w:p>
    <w:p w14:paraId="00000073">
      <w:pPr>
        <w:spacing w:before="240" w:after="240"/>
        <w:rPr>
          <w:rFonts w:hint="default" w:ascii="Times New Roman" w:hAnsi="Times New Roman" w:cs="Times New Roman"/>
        </w:rPr>
      </w:pPr>
      <w:r>
        <w:rPr>
          <w:rFonts w:hint="default" w:ascii="Times New Roman" w:hAnsi="Times New Roman" w:cs="Times New Roman"/>
          <w:rtl w:val="0"/>
        </w:rPr>
        <w:t>At the same time, inequality agendas and public health factors will also inform and promote the development initiatives on behalf of the UK government (IPPR, 2025). These factors will strongly influence the existing health policies that stress on coronary heart diseases across the country. However, it can be stated that coronary heart disease in the UK is politically prioritized due to the strong involvement of the NHS and its entire workforce.</w:t>
      </w:r>
    </w:p>
    <w:p w14:paraId="00000074">
      <w:pPr>
        <w:pStyle w:val="2"/>
        <w:rPr>
          <w:rFonts w:hint="default" w:ascii="Times New Roman" w:hAnsi="Times New Roman" w:cs="Times New Roman"/>
        </w:rPr>
      </w:pPr>
      <w:bookmarkStart w:id="6" w:name="_6ba1bzr1xwec" w:colFirst="0" w:colLast="0"/>
      <w:bookmarkEnd w:id="6"/>
      <w:r>
        <w:rPr>
          <w:rFonts w:hint="default" w:ascii="Times New Roman" w:hAnsi="Times New Roman" w:cs="Times New Roman"/>
          <w:rtl w:val="0"/>
        </w:rPr>
        <w:t>Recommendations for improvement into person-centred care approaches including self-management and end of life care for long term condition where appropriate</w:t>
      </w:r>
    </w:p>
    <w:p w14:paraId="00000075">
      <w:pPr>
        <w:spacing w:before="240" w:after="240"/>
        <w:rPr>
          <w:rFonts w:hint="default" w:ascii="Times New Roman" w:hAnsi="Times New Roman" w:cs="Times New Roman"/>
        </w:rPr>
      </w:pPr>
      <w:r>
        <w:rPr>
          <w:rFonts w:hint="default" w:ascii="Times New Roman" w:hAnsi="Times New Roman" w:cs="Times New Roman"/>
          <w:rtl w:val="0"/>
        </w:rPr>
        <w:t>Based on the analysis, it can be stated that recommendations for improvement across patient or person-centered care is important (</w:t>
      </w:r>
      <w:r>
        <w:rPr>
          <w:rFonts w:hint="default" w:ascii="Times New Roman" w:hAnsi="Times New Roman" w:cs="Times New Roman"/>
          <w:color w:val="222222"/>
          <w:rtl w:val="0"/>
        </w:rPr>
        <w:t>Dalal et al., 2021</w:t>
      </w:r>
      <w:r>
        <w:rPr>
          <w:rFonts w:hint="default" w:ascii="Times New Roman" w:hAnsi="Times New Roman" w:cs="Times New Roman"/>
          <w:rtl w:val="0"/>
        </w:rPr>
        <w:t>). These factors include self-management, end-of-life care, and a lot of factors at the same time. However, it has been observed that improving person-oriented and self-management approaches is all about effectively guiding patients on what to do and what not. Empowerment and education both play a great role in ensuring accessible educational materials in the healthcare context. It has been observed that the NHS can simplify their medical languages and terms to help people of every age and educational background to understand the impact of coronary heart disease (</w:t>
      </w:r>
      <w:r>
        <w:rPr>
          <w:rFonts w:hint="default" w:ascii="Times New Roman" w:hAnsi="Times New Roman" w:cs="Times New Roman"/>
          <w:color w:val="222222"/>
          <w:rtl w:val="0"/>
        </w:rPr>
        <w:t>Huang et al., 2022</w:t>
      </w:r>
      <w:r>
        <w:rPr>
          <w:rFonts w:hint="default" w:ascii="Times New Roman" w:hAnsi="Times New Roman" w:cs="Times New Roman"/>
          <w:rtl w:val="0"/>
        </w:rPr>
        <w:t xml:space="preserve">). </w:t>
      </w:r>
    </w:p>
    <w:p w14:paraId="00000076">
      <w:pPr>
        <w:spacing w:before="240" w:after="240"/>
        <w:rPr>
          <w:rFonts w:hint="default" w:ascii="Times New Roman" w:hAnsi="Times New Roman" w:cs="Times New Roman"/>
        </w:rPr>
      </w:pPr>
      <w:r>
        <w:rPr>
          <w:rFonts w:hint="default" w:ascii="Times New Roman" w:hAnsi="Times New Roman" w:cs="Times New Roman"/>
          <w:rtl w:val="0"/>
        </w:rPr>
        <w:t>On the other hand, educating people to adopt digital self-management strategies will help organizations like the NHS to monitor heart rate and other health-related issues on a daily basis. In fact, the improvement of decision-making by developing shared values can help patients to remain engaged throughout the treatment process. In addition to this, improving multidisciplinary approaches with proper coordination and removing health inequalities should be the major goals of healthcare workers and organizations in this context. Alternatively, ensuring proper end-of-life care will also advance palliative care and coronary heart disease management in a unique way (</w:t>
      </w:r>
      <w:r>
        <w:rPr>
          <w:rFonts w:hint="default" w:ascii="Times New Roman" w:hAnsi="Times New Roman" w:cs="Times New Roman"/>
          <w:color w:val="222222"/>
          <w:rtl w:val="0"/>
        </w:rPr>
        <w:t>Papier et al., 2023</w:t>
      </w:r>
      <w:r>
        <w:rPr>
          <w:rFonts w:hint="default" w:ascii="Times New Roman" w:hAnsi="Times New Roman" w:cs="Times New Roman"/>
          <w:rtl w:val="0"/>
        </w:rPr>
        <w:t>).</w:t>
      </w:r>
    </w:p>
    <w:p w14:paraId="00000077">
      <w:pPr>
        <w:pStyle w:val="2"/>
        <w:rPr>
          <w:rFonts w:hint="default" w:ascii="Times New Roman" w:hAnsi="Times New Roman" w:cs="Times New Roman"/>
        </w:rPr>
      </w:pPr>
      <w:bookmarkStart w:id="7" w:name="_37rap4s27xc5" w:colFirst="0" w:colLast="0"/>
      <w:bookmarkEnd w:id="7"/>
      <w:r>
        <w:rPr>
          <w:rFonts w:hint="default" w:ascii="Times New Roman" w:hAnsi="Times New Roman" w:cs="Times New Roman"/>
          <w:rtl w:val="0"/>
        </w:rPr>
        <w:t>Conclusion</w:t>
      </w:r>
    </w:p>
    <w:p w14:paraId="00000078">
      <w:pPr>
        <w:spacing w:before="240" w:after="240"/>
        <w:rPr>
          <w:rFonts w:hint="default" w:ascii="Times New Roman" w:hAnsi="Times New Roman" w:cs="Times New Roman"/>
        </w:rPr>
      </w:pPr>
      <w:r>
        <w:rPr>
          <w:rFonts w:hint="default" w:ascii="Times New Roman" w:hAnsi="Times New Roman" w:cs="Times New Roman"/>
          <w:rtl w:val="0"/>
        </w:rPr>
        <w:t>Coronary heart disease eliminates the flow of blood to the heart muscle. Therefore, a lack of oxygen supply creates chronic conditions for the heart to properly function. As a result, this contributes to the increasing risk of heart attacks, breath shortness, chest pain, and more. In contrast, morality rates can be managed with the help of proper treatment and advanced methods. It has been observed that local and political agendas are motivated to support the integration of the NHS's 10-year long-term plan for the UK. These factors confirm that the UK is prepared to manage coronary heart disease in a way that is supported and uplifted by the government itself.</w:t>
      </w:r>
      <w:r>
        <w:rPr>
          <w:rFonts w:hint="default" w:ascii="Times New Roman" w:hAnsi="Times New Roman" w:cs="Times New Roman"/>
        </w:rPr>
        <w:br w:type="page"/>
      </w:r>
      <w:bookmarkStart w:id="9" w:name="_GoBack"/>
      <w:bookmarkEnd w:id="9"/>
    </w:p>
    <w:p w14:paraId="00000079">
      <w:pPr>
        <w:pStyle w:val="2"/>
        <w:spacing w:before="240" w:after="240"/>
        <w:rPr>
          <w:rFonts w:hint="default" w:ascii="Times New Roman" w:hAnsi="Times New Roman" w:cs="Times New Roman"/>
        </w:rPr>
      </w:pPr>
      <w:bookmarkStart w:id="8" w:name="_18075ccy4ybq" w:colFirst="0" w:colLast="0"/>
      <w:bookmarkEnd w:id="8"/>
      <w:r>
        <w:rPr>
          <w:rFonts w:hint="default" w:ascii="Times New Roman" w:hAnsi="Times New Roman" w:cs="Times New Roman"/>
          <w:rtl w:val="0"/>
        </w:rPr>
        <w:t>References</w:t>
      </w:r>
    </w:p>
    <w:p w14:paraId="0000007A">
      <w:pPr>
        <w:numPr>
          <w:ilvl w:val="0"/>
          <w:numId w:val="1"/>
        </w:numPr>
        <w:spacing w:before="240" w:after="240"/>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Ai, S., Zhang, J., Zhao, G., Wang, N., Li, G., So, H.C., Liu, Y., Chau, S.W.H., Chen, J., Tan, X. and Jia, F., 2021. Causal associations of short and long sleep durations with 12 cardiovascular diseases: linear and nonlinear Mendelian randomization analyses in UK Biobank. </w:t>
      </w:r>
      <w:r>
        <w:rPr>
          <w:rFonts w:hint="default" w:ascii="Times New Roman" w:hAnsi="Times New Roman" w:cs="Times New Roman"/>
          <w:i/>
          <w:iCs/>
          <w:color w:val="222222"/>
          <w:rtl w:val="0"/>
        </w:rPr>
        <w:t>European Heart Journal</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42</w:t>
      </w:r>
      <w:r>
        <w:rPr>
          <w:rFonts w:hint="default" w:ascii="Times New Roman" w:hAnsi="Times New Roman" w:cs="Times New Roman"/>
          <w:color w:val="222222"/>
          <w:rtl w:val="0"/>
        </w:rPr>
        <w:t>(34), pp.3349-3357.</w:t>
      </w:r>
      <w:r>
        <w:rPr>
          <w:rFonts w:hint="default" w:ascii="Times New Roman" w:hAnsi="Times New Roman" w:cs="Times New Roman"/>
        </w:rPr>
        <w:fldChar w:fldCharType="begin"/>
      </w:r>
      <w:r>
        <w:rPr>
          <w:rFonts w:hint="default" w:ascii="Times New Roman" w:hAnsi="Times New Roman" w:cs="Times New Roman"/>
        </w:rPr>
        <w:instrText xml:space="preserve"> HYPERLINK "https://www.thelancet.com/journals/lancet/article/PIIS0140-6736(22)01349-6/abstract"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https://www.thelancet.com/journals/lancet/article/PIIS0140-6736(22)01349-6/abstract</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7B">
      <w:pPr>
        <w:numPr>
          <w:ilvl w:val="0"/>
          <w:numId w:val="1"/>
        </w:numPr>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Borland, S., 2025. Why are UK cardiovascular deaths in under 65s rising again?. </w:t>
      </w:r>
      <w:r>
        <w:rPr>
          <w:rFonts w:hint="default" w:ascii="Times New Roman" w:hAnsi="Times New Roman" w:cs="Times New Roman"/>
        </w:rPr>
        <w:fldChar w:fldCharType="begin"/>
      </w:r>
      <w:r>
        <w:rPr>
          <w:rFonts w:hint="default" w:ascii="Times New Roman" w:hAnsi="Times New Roman" w:cs="Times New Roman"/>
        </w:rPr>
        <w:instrText xml:space="preserve"> HYPERLINK "https://www.bmj.com/content/389/bmj.r1015"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https://www.bmj.com/content/389/bmj.r1015</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7C">
      <w:pPr>
        <w:numPr>
          <w:ilvl w:val="0"/>
          <w:numId w:val="1"/>
        </w:numPr>
        <w:spacing w:before="240" w:after="240"/>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Dalal, H.M., Doherty, P., McDonagh, S.T., Paul, K. and Taylor, R.S., 2021. Virtual and in-person cardiac rehabilitation. </w:t>
      </w:r>
      <w:r>
        <w:rPr>
          <w:rFonts w:hint="default" w:ascii="Times New Roman" w:hAnsi="Times New Roman" w:cs="Times New Roman"/>
          <w:i/>
          <w:iCs/>
          <w:color w:val="222222"/>
          <w:rtl w:val="0"/>
        </w:rPr>
        <w:t>bmj</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373</w:t>
      </w:r>
      <w:r>
        <w:rPr>
          <w:rFonts w:hint="default" w:ascii="Times New Roman" w:hAnsi="Times New Roman" w:cs="Times New Roman"/>
          <w:color w:val="222222"/>
          <w:rtl w:val="0"/>
        </w:rPr>
        <w:t>.</w:t>
      </w:r>
      <w:r>
        <w:rPr>
          <w:rFonts w:hint="default" w:ascii="Times New Roman" w:hAnsi="Times New Roman" w:cs="Times New Roman"/>
        </w:rPr>
        <w:fldChar w:fldCharType="begin"/>
      </w:r>
      <w:r>
        <w:rPr>
          <w:rFonts w:hint="default" w:ascii="Times New Roman" w:hAnsi="Times New Roman" w:cs="Times New Roman"/>
        </w:rPr>
        <w:instrText xml:space="preserve"> HYPERLINK "https://www.bmj.com/content/373/bmj.n1270.abstract"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https://www.bmj.com/content/373/bmj.n1270.abstract</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7D">
      <w:pPr>
        <w:numPr>
          <w:ilvl w:val="0"/>
          <w:numId w:val="1"/>
        </w:numPr>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Gov.UK, 2024. </w:t>
      </w:r>
      <w:r>
        <w:rPr>
          <w:rFonts w:hint="default" w:ascii="Times New Roman" w:hAnsi="Times New Roman" w:cs="Times New Roman"/>
          <w:i/>
          <w:iCs/>
          <w:color w:val="222222"/>
          <w:rtl w:val="0"/>
        </w:rPr>
        <w:t xml:space="preserve">Cardiovascular-disease-profiles-december-2024-update. </w:t>
      </w:r>
      <w:r>
        <w:rPr>
          <w:rFonts w:hint="default" w:ascii="Times New Roman" w:hAnsi="Times New Roman" w:cs="Times New Roman"/>
          <w:color w:val="222222"/>
          <w:rtl w:val="0"/>
        </w:rPr>
        <w:t xml:space="preserve">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"https://www.gov.uk/government/statistics/cardiovascular-disease-profiles-december-2024-update/cardiovascular-disease-profiles-short-statistical-commentary"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https://www.gov.uk/government/statistics/cardiovascular-disease-profiles-december-2024-update/cardiovascular-disease-profiles-short-statistical-commentary</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[Accessed on 13th Nov 2025].</w:t>
      </w:r>
    </w:p>
    <w:p w14:paraId="0000007E">
      <w:pPr>
        <w:numPr>
          <w:ilvl w:val="0"/>
          <w:numId w:val="1"/>
        </w:numPr>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Gov.UK, 2025. </w:t>
      </w:r>
      <w:r>
        <w:rPr>
          <w:rFonts w:hint="default" w:ascii="Times New Roman" w:hAnsi="Times New Roman" w:cs="Times New Roman"/>
          <w:i/>
          <w:iCs/>
          <w:color w:val="222222"/>
          <w:rtl w:val="0"/>
        </w:rPr>
        <w:t xml:space="preserve">Coronary-heart-disease. </w:t>
      </w:r>
      <w:r>
        <w:rPr>
          <w:rFonts w:hint="default" w:ascii="Times New Roman" w:hAnsi="Times New Roman" w:cs="Times New Roman"/>
          <w:color w:val="222222"/>
          <w:rtl w:val="0"/>
        </w:rPr>
        <w:t xml:space="preserve">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"https://www.nhlbi.nih.gov/health/coronary-heart-disease#:~:text=Coronary%20heart%20disease%20is%20a,disease%20or%20ischemic%20heart%20disease"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https://www.nhlbi.nih.gov/health/coronary-heart-disease#:~:text=Coronary%20heart%20disease%20is%20a,disease%20or%20ischemic%20heart%20disease</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[Accessed on 13th Nov 2025].</w:t>
      </w:r>
    </w:p>
    <w:p w14:paraId="0000007F">
      <w:pPr>
        <w:numPr>
          <w:ilvl w:val="0"/>
          <w:numId w:val="1"/>
        </w:numPr>
        <w:spacing w:before="240" w:after="240"/>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Huang, B.H., Duncan, M.J., Cistulli, P.A., Nassar, N., Hamer, M. and Stamatakis, E., 2022. Sleep and physical activity in relation to all-cause, cardiovascular disease and cancer mortality risk. </w:t>
      </w:r>
      <w:r>
        <w:rPr>
          <w:rFonts w:hint="default" w:ascii="Times New Roman" w:hAnsi="Times New Roman" w:cs="Times New Roman"/>
          <w:i/>
          <w:iCs/>
          <w:color w:val="222222"/>
          <w:rtl w:val="0"/>
        </w:rPr>
        <w:t>British journal of sports medicine</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56</w:t>
      </w:r>
      <w:r>
        <w:rPr>
          <w:rFonts w:hint="default" w:ascii="Times New Roman" w:hAnsi="Times New Roman" w:cs="Times New Roman"/>
          <w:color w:val="222222"/>
          <w:rtl w:val="0"/>
        </w:rPr>
        <w:t>(13), pp.718-724.</w:t>
      </w:r>
      <w:r>
        <w:rPr>
          <w:rFonts w:hint="default" w:ascii="Times New Roman" w:hAnsi="Times New Roman" w:cs="Times New Roman"/>
        </w:rPr>
        <w:fldChar w:fldCharType="begin"/>
      </w:r>
      <w:r>
        <w:rPr>
          <w:rFonts w:hint="default" w:ascii="Times New Roman" w:hAnsi="Times New Roman" w:cs="Times New Roman"/>
        </w:rPr>
        <w:instrText xml:space="preserve"> HYPERLINK "https://bjsm.bmj.com/content/56/13/718.abstract"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https://bjsm.bmj.com/content/56/13/718.abstract</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80">
      <w:pPr>
        <w:numPr>
          <w:ilvl w:val="0"/>
          <w:numId w:val="1"/>
        </w:numPr>
        <w:ind w:left="420" w:leftChars="0" w:hanging="420" w:firstLineChars="0"/>
        <w:rPr>
          <w:rFonts w:hint="default" w:ascii="Times New Roman" w:hAnsi="Times New Roman" w:cs="Times New Roman"/>
        </w:rPr>
      </w:pPr>
      <w:r>
        <w:rPr>
          <w:rFonts w:hint="default" w:ascii="Times New Roman" w:hAnsi="Times New Roman" w:cs="Times New Roman"/>
          <w:rtl w:val="0"/>
        </w:rPr>
        <w:t xml:space="preserve">IPPR, 2025. </w:t>
      </w:r>
      <w:r>
        <w:rPr>
          <w:rFonts w:hint="default" w:ascii="Times New Roman" w:hAnsi="Times New Roman" w:cs="Times New Roman"/>
          <w:i/>
          <w:iCs/>
          <w:rtl w:val="0"/>
        </w:rPr>
        <w:t xml:space="preserve">Taken-to-heart. </w:t>
      </w:r>
      <w:r>
        <w:rPr>
          <w:rFonts w:hint="default" w:ascii="Times New Roman" w:hAnsi="Times New Roman" w:cs="Times New Roman"/>
          <w:color w:val="222222"/>
          <w:rtl w:val="0"/>
        </w:rPr>
        <w:t xml:space="preserve">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"https://www.ippr.org/articles/taken-to-heart"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https://www.ippr.org/articles/taken-to-heart</w:t>
      </w:r>
      <w:r>
        <w:rPr>
          <w:rFonts w:hint="default" w:ascii="Times New Roman" w:hAnsi="Times New Roman" w:cs="Times New Roman"/>
          <w:color w:val="1155CC"/>
          <w:u w:val="single"/>
          <w:rtl w:val="0"/>
        </w:rPr>
        <w:fldChar w:fldCharType="end"/>
      </w:r>
      <w:r>
        <w:rPr>
          <w:rFonts w:hint="default" w:ascii="Times New Roman" w:hAnsi="Times New Roman" w:cs="Times New Roman"/>
          <w:rtl w:val="0"/>
        </w:rPr>
        <w:t xml:space="preserve"> </w:t>
      </w:r>
      <w:r>
        <w:rPr>
          <w:rFonts w:hint="default" w:ascii="Times New Roman" w:hAnsi="Times New Roman" w:cs="Times New Roman"/>
          <w:color w:val="222222"/>
          <w:rtl w:val="0"/>
        </w:rPr>
        <w:t>[Accessed on 13th Nov 2025].</w:t>
      </w:r>
    </w:p>
    <w:p w14:paraId="00000081">
      <w:pPr>
        <w:numPr>
          <w:ilvl w:val="0"/>
          <w:numId w:val="1"/>
        </w:numPr>
        <w:spacing w:before="240" w:after="240"/>
        <w:ind w:left="420" w:leftChars="0" w:hanging="420" w:firstLineChars="0"/>
        <w:rPr>
          <w:rFonts w:hint="default" w:ascii="Times New Roman" w:hAnsi="Times New Roman" w:cs="Times New Roman"/>
        </w:rPr>
      </w:pPr>
      <w:r>
        <w:rPr>
          <w:rFonts w:hint="default" w:ascii="Times New Roman" w:hAnsi="Times New Roman" w:cs="Times New Roman"/>
          <w:color w:val="222222"/>
          <w:rtl w:val="0"/>
        </w:rPr>
        <w:t xml:space="preserve">Mackenzie, I.S., Hawkey, C.J., Ford, I., Greenlaw, N., Pigazzani, F., Rogers, A., Struthers, A.D., Begg, A.G., Wei, L., Avery, A.J. and Taggar, J.S., 2022. Allopurinol versus usual care in UK patients with ischaemic heart disease (ALL-HEART): a multicentre, prospective, randomised, open-label, blinded-endpoint trial. </w:t>
      </w:r>
      <w:r>
        <w:rPr>
          <w:rFonts w:hint="default" w:ascii="Times New Roman" w:hAnsi="Times New Roman" w:cs="Times New Roman"/>
          <w:i/>
          <w:iCs/>
          <w:color w:val="222222"/>
          <w:rtl w:val="0"/>
        </w:rPr>
        <w:t>The Lancet</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400</w:t>
      </w:r>
      <w:r>
        <w:rPr>
          <w:rFonts w:hint="default" w:ascii="Times New Roman" w:hAnsi="Times New Roman" w:cs="Times New Roman"/>
          <w:color w:val="222222"/>
          <w:rtl w:val="0"/>
        </w:rPr>
        <w:t>(10359), pp.1195-1205.</w:t>
      </w:r>
      <w:r>
        <w:rPr>
          <w:rFonts w:hint="default" w:ascii="Times New Roman" w:hAnsi="Times New Roman" w:cs="Times New Roman"/>
        </w:rPr>
        <w:fldChar w:fldCharType="begin"/>
      </w:r>
      <w:r>
        <w:rPr>
          <w:rFonts w:hint="default" w:ascii="Times New Roman" w:hAnsi="Times New Roman" w:cs="Times New Roman"/>
        </w:rPr>
        <w:instrText xml:space="preserve"> HYPERLINK "https://www.thelancet.com/journals/lancet/article/PIIS0140-6736(22)01657-9/fulltext"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https://www.thelancet.com/journals/lancet/article/PIIS0140-6736(22)01657-9/fulltext</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82">
      <w:pPr>
        <w:numPr>
          <w:ilvl w:val="0"/>
          <w:numId w:val="1"/>
        </w:numPr>
        <w:spacing w:before="240" w:after="240"/>
        <w:ind w:left="420" w:leftChars="0" w:hanging="420" w:firstLineChars="0"/>
        <w:rPr>
          <w:rFonts w:hint="default" w:ascii="Times New Roman" w:hAnsi="Times New Roman" w:cs="Times New Roman"/>
        </w:rPr>
      </w:pPr>
      <w:r>
        <w:rPr>
          <w:rFonts w:hint="default" w:ascii="Times New Roman" w:hAnsi="Times New Roman" w:cs="Times New Roman"/>
          <w:rtl w:val="0"/>
        </w:rPr>
        <w:t xml:space="preserve">NHS, 2025. </w:t>
      </w:r>
      <w:r>
        <w:rPr>
          <w:rFonts w:hint="default" w:ascii="Times New Roman" w:hAnsi="Times New Roman" w:cs="Times New Roman"/>
          <w:i/>
          <w:iCs/>
          <w:rtl w:val="0"/>
        </w:rPr>
        <w:t xml:space="preserve">Fit-for-the-future-10-year-health-plan-for-england. </w:t>
      </w:r>
      <w:r>
        <w:rPr>
          <w:rFonts w:hint="default" w:ascii="Times New Roman" w:hAnsi="Times New Roman" w:cs="Times New Roman"/>
          <w:color w:val="222222"/>
          <w:rtl w:val="0"/>
        </w:rPr>
        <w:t xml:space="preserve">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"https://assets.publishing.service.gov.uk/media/6888a0b1a11f859994409147/fit-for-the-future-10-year-health-plan-for-england.pdf"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https://assets.publishing.service.gov.uk/media/6888a0b1a11f859994409147/fit-for-the-future-10-year-health-plan-for-england.pdf</w:t>
      </w:r>
      <w:r>
        <w:rPr>
          <w:rFonts w:hint="default" w:ascii="Times New Roman" w:hAnsi="Times New Roman" w:cs="Times New Roman"/>
          <w:color w:val="1155CC"/>
          <w:u w:val="single"/>
          <w:rtl w:val="0"/>
        </w:rPr>
        <w:fldChar w:fldCharType="end"/>
      </w:r>
      <w:r>
        <w:rPr>
          <w:rFonts w:hint="default" w:ascii="Times New Roman" w:hAnsi="Times New Roman" w:cs="Times New Roman"/>
          <w:rtl w:val="0"/>
        </w:rPr>
        <w:t xml:space="preserve">  </w:t>
      </w:r>
      <w:r>
        <w:rPr>
          <w:rFonts w:hint="default" w:ascii="Times New Roman" w:hAnsi="Times New Roman" w:cs="Times New Roman"/>
          <w:color w:val="222222"/>
          <w:rtl w:val="0"/>
        </w:rPr>
        <w:t>[Accessed on 13th Nov 2025].</w:t>
      </w:r>
    </w:p>
    <w:p w14:paraId="00000083">
      <w:pPr>
        <w:numPr>
          <w:ilvl w:val="0"/>
          <w:numId w:val="1"/>
        </w:numPr>
        <w:spacing w:before="240" w:after="240"/>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NHS, 2025. </w:t>
      </w:r>
      <w:r>
        <w:rPr>
          <w:rFonts w:hint="default" w:ascii="Times New Roman" w:hAnsi="Times New Roman" w:cs="Times New Roman"/>
          <w:i/>
          <w:iCs/>
          <w:color w:val="222222"/>
          <w:rtl w:val="0"/>
        </w:rPr>
        <w:t xml:space="preserve">Heart-failure-with-preserved-ejection-fraction-pathway-support-tool. </w:t>
      </w:r>
      <w:r>
        <w:rPr>
          <w:rFonts w:hint="default" w:ascii="Times New Roman" w:hAnsi="Times New Roman" w:cs="Times New Roman"/>
          <w:color w:val="222222"/>
          <w:rtl w:val="0"/>
        </w:rPr>
        <w:t xml:space="preserve">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"https://www.england.nhs.uk/long-read/heart-failure-with-preserved-ejection-fraction-pathway-support-tool/"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https://www.england.nhs.uk/long-read/heart-failure-with-preserved-ejection-fraction-pathway-support-tool/</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[Accessed on 13th Nov 2025].</w:t>
      </w:r>
    </w:p>
    <w:p w14:paraId="00000084">
      <w:pPr>
        <w:numPr>
          <w:ilvl w:val="0"/>
          <w:numId w:val="1"/>
        </w:numPr>
        <w:spacing w:before="240" w:after="240"/>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Papier, K., Knuppel, A., Syam, N., Jebb, S.A. and Key, T.J., 2023. Meat consumption and risk of ischemic heart disease: A systematic review and meta-analysis. </w:t>
      </w:r>
      <w:r>
        <w:rPr>
          <w:rFonts w:hint="default" w:ascii="Times New Roman" w:hAnsi="Times New Roman" w:cs="Times New Roman"/>
          <w:i/>
          <w:iCs/>
          <w:color w:val="222222"/>
          <w:rtl w:val="0"/>
        </w:rPr>
        <w:t>Critical reviews in food science and nutrition</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63</w:t>
      </w:r>
      <w:r>
        <w:rPr>
          <w:rFonts w:hint="default" w:ascii="Times New Roman" w:hAnsi="Times New Roman" w:cs="Times New Roman"/>
          <w:color w:val="222222"/>
          <w:rtl w:val="0"/>
        </w:rPr>
        <w:t>(3), pp.426-437.</w:t>
      </w:r>
      <w:r>
        <w:rPr>
          <w:rFonts w:hint="default" w:ascii="Times New Roman" w:hAnsi="Times New Roman" w:cs="Times New Roman"/>
        </w:rPr>
        <w:fldChar w:fldCharType="begin"/>
      </w:r>
      <w:r>
        <w:rPr>
          <w:rFonts w:hint="default" w:ascii="Times New Roman" w:hAnsi="Times New Roman" w:cs="Times New Roman"/>
        </w:rPr>
        <w:instrText xml:space="preserve"> HYPERLINK "https://www.tandfonline.com/doi/abs/10.1080/10408398.2021.1949575"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https://www.tandfonline.com/doi/abs/10.1080/10408398.2021.1949575</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85">
      <w:pPr>
        <w:numPr>
          <w:ilvl w:val="0"/>
          <w:numId w:val="1"/>
        </w:numPr>
        <w:spacing w:before="240" w:after="240"/>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Raisi-Estabragh, Z., Neubauer, S., Nichols, T.E. and Robson, J., 2025. Reply to: What evidence is required to justify the NHS Health Check programme?. </w:t>
      </w:r>
      <w:r>
        <w:rPr>
          <w:rFonts w:hint="default" w:ascii="Times New Roman" w:hAnsi="Times New Roman" w:cs="Times New Roman"/>
          <w:i/>
          <w:iCs/>
          <w:color w:val="222222"/>
          <w:rtl w:val="0"/>
        </w:rPr>
        <w:t>BMC medicine</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23</w:t>
      </w:r>
      <w:r>
        <w:rPr>
          <w:rFonts w:hint="default" w:ascii="Times New Roman" w:hAnsi="Times New Roman" w:cs="Times New Roman"/>
          <w:color w:val="222222"/>
          <w:rtl w:val="0"/>
        </w:rPr>
        <w:t xml:space="preserve">(1), p.243. </w:t>
      </w:r>
      <w:r>
        <w:rPr>
          <w:rFonts w:hint="default" w:ascii="Times New Roman" w:hAnsi="Times New Roman" w:cs="Times New Roman"/>
        </w:rPr>
        <w:fldChar w:fldCharType="begin"/>
      </w:r>
      <w:r>
        <w:rPr>
          <w:rFonts w:hint="default" w:ascii="Times New Roman" w:hAnsi="Times New Roman" w:cs="Times New Roman"/>
        </w:rPr>
        <w:instrText xml:space="preserve"> HYPERLINK "https://link.springer.com/article/10.1186/s12916-025-04080-4"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https://link.springer.com/article/10.1186/s12916-025-04080-4</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86">
      <w:pPr>
        <w:numPr>
          <w:ilvl w:val="0"/>
          <w:numId w:val="1"/>
        </w:numPr>
        <w:spacing w:before="240" w:after="240"/>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Regitz-Zagrosek, V. and Gebhard, C., 2023. Gender medicine: effects of sex and gender on cardiovascular disease manifestation and outcomes. </w:t>
      </w:r>
      <w:r>
        <w:rPr>
          <w:rFonts w:hint="default" w:ascii="Times New Roman" w:hAnsi="Times New Roman" w:cs="Times New Roman"/>
          <w:i/>
          <w:iCs/>
          <w:color w:val="222222"/>
          <w:rtl w:val="0"/>
        </w:rPr>
        <w:t>Nature Reviews Cardiology</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20</w:t>
      </w:r>
      <w:r>
        <w:rPr>
          <w:rFonts w:hint="default" w:ascii="Times New Roman" w:hAnsi="Times New Roman" w:cs="Times New Roman"/>
          <w:color w:val="222222"/>
          <w:rtl w:val="0"/>
        </w:rPr>
        <w:t>(4), pp.236-247.</w:t>
      </w:r>
      <w:r>
        <w:rPr>
          <w:rFonts w:hint="default" w:ascii="Times New Roman" w:hAnsi="Times New Roman" w:cs="Times New Roman"/>
        </w:rPr>
        <w:fldChar w:fldCharType="begin"/>
      </w:r>
      <w:r>
        <w:rPr>
          <w:rFonts w:hint="default" w:ascii="Times New Roman" w:hAnsi="Times New Roman" w:cs="Times New Roman"/>
        </w:rPr>
        <w:instrText xml:space="preserve"> HYPERLINK "https://www.nature.com/articles/s41569-022-00797-4"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https://www.nature.com/articles/s41569-022-00797-4</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87">
      <w:pPr>
        <w:numPr>
          <w:ilvl w:val="0"/>
          <w:numId w:val="1"/>
        </w:numPr>
        <w:spacing w:before="240" w:after="240"/>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Riveros-Mckay, F., Weale, M.E., Moore, R., Selzam, S., Krapohl, E., Sivley, R.M., Tarran, W.A., Sørensen, P., Lachapelle, A.S., Griffiths, J.A. and Saffari, A., 2021. Integrated polygenic tool substantially enhances coronary artery disease prediction. </w:t>
      </w:r>
      <w:r>
        <w:rPr>
          <w:rFonts w:hint="default" w:ascii="Times New Roman" w:hAnsi="Times New Roman" w:cs="Times New Roman"/>
          <w:i/>
          <w:iCs/>
          <w:color w:val="222222"/>
          <w:rtl w:val="0"/>
        </w:rPr>
        <w:t>Circulation: Genomic and Precision Medicine</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14</w:t>
      </w:r>
      <w:r>
        <w:rPr>
          <w:rFonts w:hint="default" w:ascii="Times New Roman" w:hAnsi="Times New Roman" w:cs="Times New Roman"/>
          <w:color w:val="222222"/>
          <w:rtl w:val="0"/>
        </w:rPr>
        <w:t>(2), p.e003304.</w:t>
      </w:r>
      <w:r>
        <w:rPr>
          <w:rFonts w:hint="default" w:ascii="Times New Roman" w:hAnsi="Times New Roman" w:cs="Times New Roman"/>
        </w:rPr>
        <w:fldChar w:fldCharType="begin"/>
      </w:r>
      <w:r>
        <w:rPr>
          <w:rFonts w:hint="default" w:ascii="Times New Roman" w:hAnsi="Times New Roman" w:cs="Times New Roman"/>
        </w:rPr>
        <w:instrText xml:space="preserve"> HYPERLINK "https://www.ahajournals.org/doi/abs/10.1161/CIRCGEN.120.003304"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https://www.ahajournals.org/doi/abs/10.1161/CIRCGEN.120.003304</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88">
      <w:pPr>
        <w:numPr>
          <w:ilvl w:val="0"/>
          <w:numId w:val="1"/>
        </w:numPr>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Sakraworldhospital, 2025. </w:t>
      </w:r>
      <w:r>
        <w:rPr>
          <w:rFonts w:hint="default" w:ascii="Times New Roman" w:hAnsi="Times New Roman" w:cs="Times New Roman"/>
          <w:i/>
          <w:iCs/>
          <w:color w:val="222222"/>
          <w:rtl w:val="0"/>
        </w:rPr>
        <w:t xml:space="preserve">Coronary-artery-disease. </w:t>
      </w:r>
      <w:r>
        <w:rPr>
          <w:rFonts w:hint="default" w:ascii="Times New Roman" w:hAnsi="Times New Roman" w:cs="Times New Roman"/>
          <w:color w:val="222222"/>
          <w:rtl w:val="0"/>
        </w:rPr>
        <w:t xml:space="preserve">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"https://www.sakraworldhospital.com/blogs/coronary-artery-disease/460"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https://www.sakraworldhospital.com/blogs/coronary-artery-disease/460</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[Accessed on 13th Nov 2025].</w:t>
      </w:r>
    </w:p>
    <w:p w14:paraId="00000089">
      <w:pPr>
        <w:numPr>
          <w:ilvl w:val="0"/>
          <w:numId w:val="1"/>
        </w:numPr>
        <w:spacing w:before="240" w:after="240"/>
        <w:ind w:left="420" w:leftChars="0" w:hanging="420" w:firstLineChars="0"/>
        <w:rPr>
          <w:rFonts w:hint="default" w:ascii="Times New Roman" w:hAnsi="Times New Roman" w:eastAsia="Arial" w:cs="Times New Roman"/>
          <w:color w:val="222222"/>
          <w:sz w:val="20"/>
          <w:szCs w:val="20"/>
          <w:highlight w:val="white"/>
        </w:rPr>
      </w:pPr>
      <w:r>
        <w:rPr>
          <w:rFonts w:hint="default" w:ascii="Times New Roman" w:hAnsi="Times New Roman" w:cs="Times New Roman"/>
          <w:color w:val="222222"/>
          <w:rtl w:val="0"/>
        </w:rPr>
        <w:t xml:space="preserve">Savarese, G., Bodegard, J., Norhammar, A., Sartipy, P., Thuresson, M., Cowie, M.R., Fonarow, G.C., Vaduganathan, M. and Coats, A.J., 2021. Heart failure drug titration, discontinuation, mortality and heart failure hospitalization risk: a multinational observational study (US, UK and Sweden). </w:t>
      </w:r>
      <w:r>
        <w:rPr>
          <w:rFonts w:hint="default" w:ascii="Times New Roman" w:hAnsi="Times New Roman" w:cs="Times New Roman"/>
          <w:i/>
          <w:iCs/>
          <w:color w:val="222222"/>
          <w:rtl w:val="0"/>
        </w:rPr>
        <w:t>European journal of heart failure</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23</w:t>
      </w:r>
      <w:r>
        <w:rPr>
          <w:rFonts w:hint="default" w:ascii="Times New Roman" w:hAnsi="Times New Roman" w:cs="Times New Roman"/>
          <w:color w:val="222222"/>
          <w:rtl w:val="0"/>
        </w:rPr>
        <w:t>(9), pp.1499-1511.</w:t>
      </w:r>
      <w:r>
        <w:rPr>
          <w:rFonts w:hint="default" w:ascii="Times New Roman" w:hAnsi="Times New Roman" w:cs="Times New Roman"/>
        </w:rPr>
        <w:fldChar w:fldCharType="begin"/>
      </w:r>
      <w:r>
        <w:rPr>
          <w:rFonts w:hint="default" w:ascii="Times New Roman" w:hAnsi="Times New Roman" w:cs="Times New Roman"/>
        </w:rPr>
        <w:instrText xml:space="preserve"> HYPERLINK "https://onlinelibrary.wiley.com/doi/abs/10.1002/ejhf.2271"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https://onlinelibrary.wiley.com/doi/abs/10.1002/ejhf.2271</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8A">
      <w:pPr>
        <w:numPr>
          <w:ilvl w:val="0"/>
          <w:numId w:val="1"/>
        </w:numPr>
        <w:spacing w:before="240" w:after="240"/>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Smith, R.W., Barnes, I., Green, J., Reeves, G.K., Beral, V. and Floud, S., 2021. Social isolation and risk of heart disease and stroke: analysis of two large UK prospective studies. </w:t>
      </w:r>
      <w:r>
        <w:rPr>
          <w:rFonts w:hint="default" w:ascii="Times New Roman" w:hAnsi="Times New Roman" w:cs="Times New Roman"/>
          <w:i/>
          <w:iCs/>
          <w:color w:val="222222"/>
          <w:rtl w:val="0"/>
        </w:rPr>
        <w:t>The Lancet Public Health</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6</w:t>
      </w:r>
      <w:r>
        <w:rPr>
          <w:rFonts w:hint="default" w:ascii="Times New Roman" w:hAnsi="Times New Roman" w:cs="Times New Roman"/>
          <w:color w:val="222222"/>
          <w:rtl w:val="0"/>
        </w:rPr>
        <w:t>(4), pp.e232-e239.</w:t>
      </w:r>
      <w:r>
        <w:rPr>
          <w:rFonts w:hint="default" w:ascii="Times New Roman" w:hAnsi="Times New Roman" w:cs="Times New Roman"/>
        </w:rPr>
        <w:fldChar w:fldCharType="begin"/>
      </w:r>
      <w:r>
        <w:rPr>
          <w:rFonts w:hint="default" w:ascii="Times New Roman" w:hAnsi="Times New Roman" w:cs="Times New Roman"/>
        </w:rPr>
        <w:instrText xml:space="preserve"> HYPERLINK "https://www.thelancet.com/journals/lanpub/article/PIIS2468-2667(20)30291-7/fulltext"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https://www.thelancet.com/journals/lanpub/article/PIIS2468-2667(20)30291-7/fulltext</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8B">
      <w:pPr>
        <w:numPr>
          <w:ilvl w:val="0"/>
          <w:numId w:val="1"/>
        </w:numPr>
        <w:spacing w:before="240" w:after="240"/>
        <w:ind w:left="420" w:leftChars="0" w:hanging="420" w:firstLineChars="0"/>
        <w:rPr>
          <w:rFonts w:hint="default" w:ascii="Times New Roman" w:hAnsi="Times New Roman" w:cs="Times New Roman"/>
        </w:rPr>
      </w:pPr>
      <w:r>
        <w:rPr>
          <w:rFonts w:hint="default" w:ascii="Times New Roman" w:hAnsi="Times New Roman" w:cs="Times New Roman"/>
          <w:rtl w:val="0"/>
        </w:rPr>
        <w:t xml:space="preserve">Timedochealth, 2025. </w:t>
      </w:r>
      <w:r>
        <w:rPr>
          <w:rFonts w:hint="default" w:ascii="Times New Roman" w:hAnsi="Times New Roman" w:cs="Times New Roman"/>
          <w:i/>
          <w:iCs/>
          <w:rtl w:val="0"/>
        </w:rPr>
        <w:t xml:space="preserve">What-does-the-chronic-care-model-do. </w:t>
      </w:r>
      <w:r>
        <w:rPr>
          <w:rFonts w:hint="default" w:ascii="Times New Roman" w:hAnsi="Times New Roman" w:cs="Times New Roman"/>
          <w:color w:val="222222"/>
          <w:rtl w:val="0"/>
        </w:rPr>
        <w:t xml:space="preserve">Available at: </w:t>
      </w:r>
      <w:r>
        <w:rPr>
          <w:rFonts w:hint="default" w:ascii="Times New Roman" w:hAnsi="Times New Roman" w:cs="Times New Roman"/>
          <w:i/>
          <w:iCs/>
          <w:rtl w:val="0"/>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"https://timedochealth.com/what-does-the-chronic-care-model-do/#:~:text=As%20a%20part%20of%20this,your%20providers%20will%20organize%20it"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https://timedochealth.com/what-does-the-chronic-care-model-do/#:~:text=As%20a%20part%20of%20this,your%20providers%20will%20organize%20it</w:t>
      </w:r>
      <w:r>
        <w:rPr>
          <w:rFonts w:hint="default" w:ascii="Times New Roman" w:hAnsi="Times New Roman" w:cs="Times New Roman"/>
          <w:color w:val="1155CC"/>
          <w:u w:val="single"/>
          <w:rtl w:val="0"/>
        </w:rPr>
        <w:fldChar w:fldCharType="end"/>
      </w:r>
      <w:r>
        <w:rPr>
          <w:rFonts w:hint="default" w:ascii="Times New Roman" w:hAnsi="Times New Roman" w:cs="Times New Roman"/>
          <w:rtl w:val="0"/>
        </w:rPr>
        <w:t>. [Accessed on 13th Nov 2025].</w:t>
      </w:r>
    </w:p>
    <w:p w14:paraId="0000008C">
      <w:pPr>
        <w:numPr>
          <w:ilvl w:val="0"/>
          <w:numId w:val="1"/>
        </w:numPr>
        <w:spacing w:before="240" w:after="240"/>
        <w:ind w:left="420" w:leftChars="0" w:hanging="420" w:firstLineChars="0"/>
        <w:rPr>
          <w:rFonts w:hint="default" w:ascii="Times New Roman" w:hAnsi="Times New Roman" w:cs="Times New Roman"/>
          <w:color w:val="222222"/>
        </w:rPr>
      </w:pPr>
      <w:r>
        <w:rPr>
          <w:rFonts w:hint="default" w:ascii="Times New Roman" w:hAnsi="Times New Roman" w:cs="Times New Roman"/>
          <w:color w:val="222222"/>
          <w:rtl w:val="0"/>
        </w:rPr>
        <w:t xml:space="preserve">Wan, E.Y.F., Fung, W.T., Schooling, C.M., Au Yeung, S.L., Kwok, M.K., Yu, E.Y.T., Wang, Y., Chan, E.W.Y., Wong, I.C.K. and Lam, C.L.K., 2021. Blood pressure and risk of cardiovascular disease in UK biobank: a Mendelian randomization study. </w:t>
      </w:r>
      <w:r>
        <w:rPr>
          <w:rFonts w:hint="default" w:ascii="Times New Roman" w:hAnsi="Times New Roman" w:cs="Times New Roman"/>
          <w:i/>
          <w:iCs/>
          <w:color w:val="222222"/>
          <w:rtl w:val="0"/>
        </w:rPr>
        <w:t>Hypertension</w:t>
      </w:r>
      <w:r>
        <w:rPr>
          <w:rFonts w:hint="default" w:ascii="Times New Roman" w:hAnsi="Times New Roman" w:cs="Times New Roman"/>
          <w:color w:val="222222"/>
          <w:rtl w:val="0"/>
        </w:rPr>
        <w:t xml:space="preserve">, </w:t>
      </w:r>
      <w:r>
        <w:rPr>
          <w:rFonts w:hint="default" w:ascii="Times New Roman" w:hAnsi="Times New Roman" w:cs="Times New Roman"/>
          <w:i/>
          <w:iCs/>
          <w:color w:val="222222"/>
          <w:rtl w:val="0"/>
        </w:rPr>
        <w:t>77</w:t>
      </w:r>
      <w:r>
        <w:rPr>
          <w:rFonts w:hint="default" w:ascii="Times New Roman" w:hAnsi="Times New Roman" w:cs="Times New Roman"/>
          <w:color w:val="222222"/>
          <w:rtl w:val="0"/>
        </w:rPr>
        <w:t>(2), pp.367-375.</w:t>
      </w:r>
      <w:r>
        <w:rPr>
          <w:rFonts w:hint="default" w:ascii="Times New Roman" w:hAnsi="Times New Roman" w:cs="Times New Roman"/>
        </w:rPr>
        <w:fldChar w:fldCharType="begin"/>
      </w:r>
      <w:r>
        <w:rPr>
          <w:rFonts w:hint="default" w:ascii="Times New Roman" w:hAnsi="Times New Roman" w:cs="Times New Roman"/>
        </w:rPr>
        <w:instrText xml:space="preserve"> HYPERLINK "https://www.ahajournals.org/doi/abs/10.1161/HYPERTENSIONAHA.120.16138"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https://www.ahajournals.org/doi/abs/10.1161/HYPERTENSIONAHA.120.16138</w:t>
      </w:r>
      <w:r>
        <w:rPr>
          <w:rFonts w:hint="default" w:ascii="Times New Roman" w:hAnsi="Times New Roman" w:cs="Times New Roman"/>
          <w:color w:val="1155CC"/>
          <w:u w:val="single"/>
          <w:rtl w:val="0"/>
        </w:rPr>
        <w:fldChar w:fldCharType="end"/>
      </w:r>
      <w:r>
        <w:rPr>
          <w:rFonts w:hint="default" w:ascii="Times New Roman" w:hAnsi="Times New Roman" w:cs="Times New Roman"/>
          <w:color w:val="222222"/>
          <w:rtl w:val="0"/>
        </w:rPr>
        <w:t xml:space="preserve"> </w:t>
      </w:r>
    </w:p>
    <w:p w14:paraId="0000008D">
      <w:pPr>
        <w:numPr>
          <w:ilvl w:val="0"/>
          <w:numId w:val="1"/>
        </w:numPr>
        <w:ind w:left="420" w:leftChars="0" w:hanging="420" w:firstLineChars="0"/>
        <w:rPr>
          <w:rFonts w:hint="default" w:ascii="Times New Roman" w:hAnsi="Times New Roman" w:cs="Times New Roman"/>
        </w:rPr>
      </w:pPr>
      <w:r>
        <w:rPr>
          <w:rFonts w:hint="default" w:ascii="Times New Roman" w:hAnsi="Times New Roman" w:cs="Times New Roman"/>
          <w:color w:val="222222"/>
          <w:rtl w:val="0"/>
        </w:rPr>
        <w:t xml:space="preserve">WHO, 2025. </w:t>
      </w:r>
      <w:r>
        <w:rPr>
          <w:rFonts w:hint="default" w:ascii="Times New Roman" w:hAnsi="Times New Roman" w:cs="Times New Roman"/>
          <w:i/>
          <w:iCs/>
          <w:color w:val="222222"/>
          <w:rtl w:val="0"/>
        </w:rPr>
        <w:t xml:space="preserve">cardiovascular-diseases-(cvds). </w:t>
      </w:r>
      <w:r>
        <w:rPr>
          <w:rFonts w:hint="default" w:ascii="Times New Roman" w:hAnsi="Times New Roman" w:cs="Times New Roman"/>
          <w:color w:val="222222"/>
          <w:rtl w:val="0"/>
        </w:rPr>
        <w:t xml:space="preserve">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"https://www.who.int/news-room/fact-sheets/detail/cardiovascular-diseases-(cvds)" \h </w:instrText>
      </w:r>
      <w:r>
        <w:rPr>
          <w:rFonts w:hint="default" w:ascii="Times New Roman" w:hAnsi="Times New Roman" w:cs="Times New Roman"/>
        </w:rPr>
        <w:fldChar w:fldCharType="separate"/>
      </w:r>
      <w:r>
        <w:rPr>
          <w:rFonts w:hint="default" w:ascii="Times New Roman" w:hAnsi="Times New Roman" w:cs="Times New Roman"/>
          <w:color w:val="1155CC"/>
          <w:u w:val="single"/>
          <w:rtl w:val="0"/>
        </w:rPr>
        <w:t>https://www.who.int/news-room/fact-sheets/detail/cardiovascular-diseases-(cvds)</w:t>
      </w:r>
      <w:r>
        <w:rPr>
          <w:rFonts w:hint="default" w:ascii="Times New Roman" w:hAnsi="Times New Roman" w:cs="Times New Roman"/>
          <w:color w:val="1155CC"/>
          <w:u w:val="single"/>
          <w:rtl w:val="0"/>
        </w:rPr>
        <w:fldChar w:fldCharType="end"/>
      </w:r>
      <w:r>
        <w:rPr>
          <w:rFonts w:hint="default" w:ascii="Times New Roman" w:hAnsi="Times New Roman" w:cs="Times New Roman"/>
          <w:rtl w:val="0"/>
        </w:rPr>
        <w:t xml:space="preserve"> </w:t>
      </w:r>
      <w:r>
        <w:rPr>
          <w:rFonts w:hint="default" w:ascii="Times New Roman" w:hAnsi="Times New Roman" w:cs="Times New Roman"/>
          <w:color w:val="222222"/>
          <w:rtl w:val="0"/>
        </w:rPr>
        <w:t>[Accessed on 13th Nov 2025].</w:t>
      </w:r>
    </w:p>
    <w:sectPr>
      <w:footerReference r:id="rId5" w:type="default"/>
      <w:pgSz w:w="12240" w:h="15840"/>
      <w:pgMar w:top="1440" w:right="1440" w:bottom="1440" w:left="1440" w:header="720" w:footer="720" w:gutter="0"/>
      <w:pgBorders>
        <w:top w:val="single" w:color="auto" w:sz="4" w:space="1"/>
        <w:left w:val="single" w:color="auto" w:sz="4" w:space="4"/>
        <w:bottom w:val="single" w:color="auto" w:sz="4" w:space="1"/>
        <w:right w:val="single" w:color="auto" w:sz="4" w:space="4"/>
      </w:pgBorders>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707F900F-9949-4B3E-9213-7F71C640BF06}"/>
  </w:font>
  <w:font w:name="Arial">
    <w:panose1 w:val="020B0604020202020204"/>
    <w:charset w:val="00"/>
    <w:family w:val="swiss"/>
    <w:pitch w:val="default"/>
    <w:sig w:usb0="E0002EFF" w:usb1="C000785B" w:usb2="00000009" w:usb3="00000000" w:csb0="400001FF" w:csb1="FFFF0000"/>
    <w:embedRegular r:id="rId2" w:fontKey="{DCC9E780-9058-4086-AABE-80A7DB00851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FF975128-0F4D-421B-BD01-E5D40659288A}"/>
  </w:font>
  <w:font w:name="Wingdings">
    <w:panose1 w:val="05000000000000000000"/>
    <w:charset w:val="02"/>
    <w:family w:val="auto"/>
    <w:pitch w:val="default"/>
    <w:sig w:usb0="00000000" w:usb1="00000000" w:usb2="00000000" w:usb3="00000000" w:csb0="80000000" w:csb1="00000000"/>
    <w:embedRegular r:id="rId4" w:fontKey="{5263FC80-F202-4DF4-860A-3B8D6E04A098}"/>
  </w:font>
  <w:font w:name="Calibri">
    <w:panose1 w:val="020F0502020204030204"/>
    <w:charset w:val="00"/>
    <w:family w:val="swiss"/>
    <w:pitch w:val="default"/>
    <w:sig w:usb0="E4002EFF" w:usb1="C200247B" w:usb2="00000009" w:usb3="00000000" w:csb0="200001FF" w:csb1="00000000"/>
    <w:embedRegular r:id="rId5" w:fontKey="{F4733012-36A8-4614-B04A-B2538431A412}"/>
  </w:font>
  <w:font w:name="Georgia">
    <w:panose1 w:val="02040502050405020303"/>
    <w:charset w:val="00"/>
    <w:family w:val="auto"/>
    <w:pitch w:val="default"/>
    <w:sig w:usb0="00000287" w:usb1="00000000" w:usb2="00000000" w:usb3="00000000" w:csb0="2000009F" w:csb1="00000000"/>
    <w:embedRegular r:id="rId6" w:fontKey="{5DD49519-AF76-440F-BA1C-888618E1BFB3}"/>
  </w:font>
  <w:font w:name="Cambria">
    <w:panose1 w:val="02040503050406030204"/>
    <w:charset w:val="00"/>
    <w:family w:val="auto"/>
    <w:pitch w:val="default"/>
    <w:sig w:usb0="E00006FF" w:usb1="420024FF" w:usb2="02000000" w:usb3="00000000" w:csb0="2000019F" w:csb1="00000000"/>
    <w:embedRegular r:id="rId7" w:fontKey="{B9F5AD50-8A06-4AC9-9963-FDA705C3DA63}"/>
  </w:font>
  <w:font w:name="Wingdings">
    <w:panose1 w:val="05000000000000000000"/>
    <w:charset w:val="00"/>
    <w:family w:val="auto"/>
    <w:pitch w:val="default"/>
    <w:sig w:usb0="00000000" w:usb1="00000000" w:usb2="00000000" w:usb3="00000000" w:csb0="80000000" w:csb1="00000000"/>
    <w:embedRegular r:id="rId8" w:fontKey="{87F38E2E-3A59-4641-BC51-81183DDAA50A}"/>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8E">
    <w:pPr>
      <w:jc w:val="right"/>
    </w:pPr>
    <w:r>
      <w:fldChar w:fldCharType="begin"/>
    </w:r>
    <w:r>
      <w:instrText xml:space="preserve">PAGE</w:instrText>
    </w:r>
    <w:r>
      <w:fldChar w:fldCharType="separate"/>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4A6E72D"/>
    <w:multiLevelType w:val="singleLevel"/>
    <w:tmpl w:val="04A6E72D"/>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embedTrueTypeFonts/>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128C30FA"/>
    <w:rsid w:val="13540CE3"/>
    <w:rsid w:val="151A4AAA"/>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sz w:val="24"/>
      <w:szCs w:val="24"/>
      <w:lang w:val="zh-CN"/>
    </w:rPr>
  </w:style>
  <w:style w:type="paragraph" w:styleId="2">
    <w:name w:val="heading 1"/>
    <w:basedOn w:val="1"/>
    <w:next w:val="1"/>
    <w:qFormat/>
    <w:uiPriority w:val="0"/>
    <w:pPr>
      <w:spacing w:before="400" w:after="120"/>
    </w:pPr>
    <w:rPr>
      <w:b/>
      <w:bCs/>
    </w:rPr>
  </w:style>
  <w:style w:type="paragraph" w:styleId="3">
    <w:name w:val="heading 2"/>
    <w:basedOn w:val="1"/>
    <w:next w:val="1"/>
    <w:uiPriority w:val="0"/>
    <w:pPr>
      <w:spacing w:before="360" w:after="120"/>
    </w:pPr>
    <w:rPr>
      <w:b/>
      <w:bCs/>
    </w:rPr>
  </w:style>
  <w:style w:type="paragraph" w:styleId="4">
    <w:name w:val="heading 3"/>
    <w:basedOn w:val="1"/>
    <w:next w:val="1"/>
    <w:qFormat/>
    <w:uiPriority w:val="0"/>
    <w:pPr>
      <w:keepNext/>
      <w:keepLines/>
      <w:spacing w:before="280" w:after="80"/>
    </w:pPr>
    <w:rPr>
      <w:b/>
      <w:bCs/>
      <w:sz w:val="28"/>
      <w:szCs w:val="28"/>
    </w:rPr>
  </w:style>
  <w:style w:type="paragraph" w:styleId="5">
    <w:name w:val="heading 4"/>
    <w:basedOn w:val="1"/>
    <w:next w:val="1"/>
    <w:qFormat/>
    <w:uiPriority w:val="0"/>
    <w:pPr>
      <w:keepNext/>
      <w:keepLines/>
      <w:spacing w:before="240" w:after="40"/>
    </w:pPr>
    <w:rPr>
      <w:b/>
      <w:bCs/>
    </w:rPr>
  </w:style>
  <w:style w:type="paragraph" w:styleId="6">
    <w:name w:val="heading 5"/>
    <w:basedOn w:val="1"/>
    <w:next w:val="1"/>
    <w:qFormat/>
    <w:uiPriority w:val="0"/>
    <w:pPr>
      <w:keepNext/>
      <w:keepLines/>
      <w:spacing w:before="220" w:after="40"/>
    </w:pPr>
    <w:rPr>
      <w:b/>
      <w:bCs/>
      <w:sz w:val="22"/>
      <w:szCs w:val="22"/>
    </w:rPr>
  </w:style>
  <w:style w:type="paragraph" w:styleId="7">
    <w:name w:val="heading 6"/>
    <w:basedOn w:val="1"/>
    <w:next w:val="1"/>
    <w:qFormat/>
    <w:uiPriority w:val="0"/>
    <w:pPr>
      <w:keepNext/>
      <w:keepLines/>
      <w:spacing w:before="200" w:after="40"/>
    </w:pPr>
    <w:rPr>
      <w:b/>
      <w:bCs/>
      <w:sz w:val="20"/>
      <w:szCs w:val="20"/>
    </w:rPr>
  </w:style>
  <w:style w:type="character" w:default="1" w:styleId="8">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10">
    <w:name w:val="Subtitle"/>
    <w:basedOn w:val="1"/>
    <w:next w:val="1"/>
    <w:qFormat/>
    <w:uiPriority w:val="0"/>
    <w:pPr>
      <w:keepNext/>
      <w:keepLines/>
      <w:spacing w:before="360" w:after="80"/>
    </w:pPr>
    <w:rPr>
      <w:rFonts w:ascii="Georgia" w:hAnsi="Georgia" w:eastAsia="Georgia" w:cs="Georgia"/>
      <w:i/>
      <w:iCs/>
      <w:color w:val="666666"/>
      <w:sz w:val="48"/>
      <w:szCs w:val="48"/>
    </w:rPr>
  </w:style>
  <w:style w:type="paragraph" w:styleId="11">
    <w:name w:val="Title"/>
    <w:basedOn w:val="1"/>
    <w:next w:val="1"/>
    <w:uiPriority w:val="0"/>
    <w:pPr>
      <w:keepNext/>
      <w:keepLines/>
      <w:spacing w:before="480" w:after="120"/>
    </w:pPr>
    <w:rPr>
      <w:b/>
      <w:bCs/>
      <w:sz w:val="72"/>
      <w:szCs w:val="72"/>
    </w:rPr>
  </w:style>
  <w:style w:type="table" w:customStyle="1" w:styleId="12">
    <w:name w:val="TableNormal"/>
    <w:qFormat/>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Pages>18</Pages>
  <TotalTime>9</TotalTime>
  <ScaleCrop>false</ScaleCrop>
  <LinksUpToDate>false</LinksUpToDate>
  <Application>WPS Office_12.2.0.22549_F1E327BC-269C-435d-A152-05C5408002CA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2025-11-13T19:40:44Z</dcterms:created>
  <dc:creator>Owner</dc:creator>
  <cp:lastModifiedBy>Pratima Makwana</cp:lastModifiedBy>
  <dcterms:modified xsi:type="dcterms:W3CDTF">2025-11-13T19:51:13Z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16054979-a5d5-4dd7-9626-7477f5bbaf85</vt:lpwstr>
  </property>
  <property fmtid="{D5CDD505-2E9C-101B-9397-08002B2CF9AE}" pid="3" name="KSOProductBuildVer">
    <vt:lpwstr>2057-12.2.0.22549</vt:lpwstr>
  </property>
  <property fmtid="{D5CDD505-2E9C-101B-9397-08002B2CF9AE}" pid="4" name="ICV">
    <vt:lpwstr>937EF0C6E02A417486D142491EC532B1_13</vt:lpwstr>
  </property>
</Properties>
</file>