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3DF1FC0" w14:textId="56BF783F" w:rsidR="004B01B9" w:rsidRDefault="00365ABC">
      <w:pPr>
        <w:spacing w:line="360" w:lineRule="auto"/>
        <w:rPr>
          <w:b/>
          <w:bCs/>
          <w:sz w:val="28"/>
          <w:szCs w:val="28"/>
        </w:rPr>
      </w:pPr>
      <w:r>
        <w:rPr>
          <w:b/>
          <w:bCs/>
          <w:sz w:val="28"/>
          <w:szCs w:val="28"/>
        </w:rPr>
        <w:t>How Can the Process of Acculturation Affect the Lives of Migrants</w:t>
      </w:r>
      <w:r w:rsidR="00C51807">
        <w:rPr>
          <w:b/>
          <w:bCs/>
          <w:sz w:val="28"/>
          <w:szCs w:val="28"/>
        </w:rPr>
        <w:t xml:space="preserve"> Within </w:t>
      </w:r>
      <w:r w:rsidR="00916928">
        <w:rPr>
          <w:b/>
          <w:bCs/>
          <w:sz w:val="28"/>
          <w:szCs w:val="28"/>
        </w:rPr>
        <w:t>t</w:t>
      </w:r>
      <w:r w:rsidR="00C51807">
        <w:rPr>
          <w:b/>
          <w:bCs/>
          <w:sz w:val="28"/>
          <w:szCs w:val="28"/>
        </w:rPr>
        <w:t xml:space="preserve">he Host Culture? </w:t>
      </w:r>
    </w:p>
    <w:p w14:paraId="43DF1FC1" w14:textId="77777777" w:rsidR="004B01B9" w:rsidRDefault="004B01B9">
      <w:pPr>
        <w:spacing w:line="360" w:lineRule="auto"/>
        <w:rPr>
          <w:b/>
          <w:bCs/>
          <w:sz w:val="24"/>
          <w:szCs w:val="24"/>
        </w:rPr>
      </w:pPr>
    </w:p>
    <w:p w14:paraId="43DF1FC2" w14:textId="43901DB6" w:rsidR="004B01B9" w:rsidRDefault="000A4F4C">
      <w:pPr>
        <w:spacing w:line="360" w:lineRule="auto"/>
        <w:rPr>
          <w:rFonts w:cs="Calibri"/>
          <w:color w:val="0D0D0D"/>
          <w:sz w:val="24"/>
          <w:szCs w:val="24"/>
        </w:rPr>
      </w:pPr>
      <w:r>
        <w:rPr>
          <w:rFonts w:cs="Calibri"/>
          <w:color w:val="0D0D0D"/>
          <w:sz w:val="24"/>
          <w:szCs w:val="24"/>
        </w:rPr>
        <w:t xml:space="preserve">The acculturation of migrants is not a straightforward process, although migrants may often move in order to improve their life, they may </w:t>
      </w:r>
      <w:r w:rsidR="001B4FFD">
        <w:rPr>
          <w:rFonts w:cs="Calibri"/>
          <w:color w:val="0D0D0D"/>
          <w:sz w:val="24"/>
          <w:szCs w:val="24"/>
        </w:rPr>
        <w:t>face exposure to</w:t>
      </w:r>
      <w:r>
        <w:rPr>
          <w:rFonts w:cs="Calibri"/>
          <w:color w:val="0D0D0D"/>
          <w:sz w:val="24"/>
          <w:szCs w:val="24"/>
        </w:rPr>
        <w:t xml:space="preserve"> a number of negative</w:t>
      </w:r>
      <w:r w:rsidR="009859D7">
        <w:rPr>
          <w:rFonts w:cs="Calibri"/>
          <w:color w:val="0D0D0D"/>
          <w:sz w:val="24"/>
          <w:szCs w:val="24"/>
        </w:rPr>
        <w:t xml:space="preserve"> experiences</w:t>
      </w:r>
      <w:r>
        <w:rPr>
          <w:rFonts w:cs="Calibri"/>
          <w:color w:val="0D0D0D"/>
          <w:sz w:val="24"/>
          <w:szCs w:val="24"/>
        </w:rPr>
        <w:t xml:space="preserve"> during the process. Migrants are often exposed to racism, culture shock and stress which can lead to loss of identity, poorer quality of life or even mental health issues</w:t>
      </w:r>
      <w:r w:rsidR="00365ABC">
        <w:rPr>
          <w:rFonts w:cs="Calibri"/>
          <w:color w:val="0D0D0D"/>
          <w:sz w:val="24"/>
          <w:szCs w:val="24"/>
        </w:rPr>
        <w:t xml:space="preserve">. However, some migrants may also have positive experiences that improve their lives; exposing them to new cultures and ways of life that may benefit them greatly. This essay focuses on the experience that migrants may have with acculturation and how it may affect their lives, how negatively this might affect them, or on the contrary how positively. </w:t>
      </w:r>
    </w:p>
    <w:p w14:paraId="43DF1FC4" w14:textId="77777777" w:rsidR="004B01B9" w:rsidRDefault="004B01B9">
      <w:pPr>
        <w:spacing w:line="360" w:lineRule="auto"/>
        <w:rPr>
          <w:rFonts w:cs="Calibri"/>
          <w:b/>
          <w:bCs/>
          <w:sz w:val="24"/>
          <w:szCs w:val="24"/>
        </w:rPr>
      </w:pPr>
    </w:p>
    <w:p w14:paraId="43DF1FC5" w14:textId="712712F3" w:rsidR="004B01B9" w:rsidRDefault="00365ABC">
      <w:pPr>
        <w:spacing w:line="360" w:lineRule="auto"/>
      </w:pPr>
      <w:r>
        <w:rPr>
          <w:rFonts w:cs="Calibri"/>
          <w:color w:val="0D0D0D"/>
          <w:sz w:val="24"/>
          <w:szCs w:val="24"/>
        </w:rPr>
        <w:t xml:space="preserve">The term ‘migrant’ is defined by the </w:t>
      </w:r>
      <w:r>
        <w:rPr>
          <w:rFonts w:cs="Calibri"/>
          <w:i/>
          <w:iCs/>
          <w:color w:val="0D0D0D"/>
          <w:sz w:val="24"/>
          <w:szCs w:val="24"/>
        </w:rPr>
        <w:t xml:space="preserve">Oxford English Dictionary (OED) </w:t>
      </w:r>
      <w:r>
        <w:rPr>
          <w:rFonts w:cs="Calibri"/>
          <w:color w:val="0D0D0D"/>
          <w:sz w:val="24"/>
          <w:szCs w:val="24"/>
        </w:rPr>
        <w:t>as “</w:t>
      </w:r>
      <w:r>
        <w:rPr>
          <w:rFonts w:cs="Calibri"/>
          <w:color w:val="0D0D0D"/>
          <w:sz w:val="24"/>
          <w:szCs w:val="24"/>
          <w:shd w:val="clear" w:color="auto" w:fill="FFFFFF"/>
        </w:rPr>
        <w:t xml:space="preserve">a person who moves from one place to another, especially in order to find work or better living conditions.” (OED, </w:t>
      </w:r>
      <w:r w:rsidR="00D454B2">
        <w:rPr>
          <w:rFonts w:cs="Calibri"/>
          <w:color w:val="0D0D0D"/>
          <w:sz w:val="24"/>
          <w:szCs w:val="24"/>
          <w:shd w:val="clear" w:color="auto" w:fill="FFFFFF"/>
        </w:rPr>
        <w:t>1991</w:t>
      </w:r>
      <w:r>
        <w:rPr>
          <w:rFonts w:cs="Calibri"/>
          <w:color w:val="0D0D0D"/>
          <w:sz w:val="24"/>
          <w:szCs w:val="24"/>
          <w:shd w:val="clear" w:color="auto" w:fill="FFFFFF"/>
        </w:rPr>
        <w:t xml:space="preserve">). Migrants are often compiled together under the umbrella term rather than being considered as individuals; it is important to consider that each migrant has their own story, their own reason for migrating and will almost certainly all have completely different experiences to each other. The term ‘migrant’ also has predominantly negative labels attached to it which may be the reasoning behind why migrants may be left feeling alone in the new host culture. The number of migrants around the world is significantly large and seemingly ever growing, </w:t>
      </w:r>
      <w:r>
        <w:rPr>
          <w:rFonts w:cs="Calibri"/>
          <w:color w:val="454545"/>
          <w:sz w:val="24"/>
          <w:szCs w:val="24"/>
          <w:shd w:val="clear" w:color="auto" w:fill="FFFFFF"/>
        </w:rPr>
        <w:t> </w:t>
      </w:r>
      <w:r>
        <w:rPr>
          <w:rFonts w:cs="Calibri"/>
          <w:color w:val="000000"/>
          <w:sz w:val="24"/>
          <w:szCs w:val="24"/>
          <w:shd w:val="clear" w:color="auto" w:fill="FFFFFF"/>
        </w:rPr>
        <w:t>“In 2019, the number of migrants globally reached an estimated </w:t>
      </w:r>
      <w:hyperlink r:id="rId7" w:history="1">
        <w:r>
          <w:rPr>
            <w:rStyle w:val="Hyperlink"/>
            <w:rFonts w:cs="Calibri"/>
            <w:color w:val="000000"/>
            <w:sz w:val="24"/>
            <w:szCs w:val="24"/>
            <w:u w:val="none"/>
            <w:shd w:val="clear" w:color="auto" w:fill="FFFFFF"/>
          </w:rPr>
          <w:t>272 million</w:t>
        </w:r>
      </w:hyperlink>
      <w:r>
        <w:rPr>
          <w:rFonts w:cs="Calibri"/>
          <w:color w:val="000000"/>
          <w:sz w:val="24"/>
          <w:szCs w:val="24"/>
        </w:rPr>
        <w:t xml:space="preserve">” </w:t>
      </w:r>
      <w:r w:rsidRPr="00993015">
        <w:rPr>
          <w:rFonts w:cs="Calibri"/>
          <w:color w:val="0D0D0D" w:themeColor="text1" w:themeTint="F2"/>
          <w:sz w:val="24"/>
          <w:szCs w:val="24"/>
        </w:rPr>
        <w:t>(</w:t>
      </w:r>
      <w:hyperlink r:id="rId8" w:history="1">
        <w:r w:rsidR="001B24DC" w:rsidRPr="00993015">
          <w:rPr>
            <w:rStyle w:val="Hyperlink"/>
            <w:rFonts w:cs="Calibri"/>
            <w:color w:val="0D0D0D" w:themeColor="text1" w:themeTint="F2"/>
            <w:sz w:val="24"/>
            <w:szCs w:val="24"/>
            <w:u w:val="none"/>
          </w:rPr>
          <w:t>un.org</w:t>
        </w:r>
      </w:hyperlink>
      <w:r w:rsidRPr="00993015">
        <w:rPr>
          <w:rFonts w:cs="Calibri"/>
          <w:color w:val="0D0D0D" w:themeColor="text1" w:themeTint="F2"/>
          <w:sz w:val="24"/>
          <w:szCs w:val="24"/>
        </w:rPr>
        <w:t>, n</w:t>
      </w:r>
      <w:r>
        <w:rPr>
          <w:rFonts w:cs="Calibri"/>
          <w:sz w:val="24"/>
          <w:szCs w:val="24"/>
        </w:rPr>
        <w:t>.d.) which demonstrates just how often migration occurs.</w:t>
      </w:r>
    </w:p>
    <w:p w14:paraId="43DF1FC6" w14:textId="77777777" w:rsidR="004B01B9" w:rsidRDefault="004B01B9">
      <w:pPr>
        <w:spacing w:line="360" w:lineRule="auto"/>
        <w:rPr>
          <w:rFonts w:cs="Calibri"/>
          <w:sz w:val="24"/>
          <w:szCs w:val="24"/>
        </w:rPr>
      </w:pPr>
    </w:p>
    <w:p w14:paraId="43DF1FC7" w14:textId="6031ECF4" w:rsidR="004B01B9" w:rsidRDefault="00365ABC">
      <w:pPr>
        <w:spacing w:line="360" w:lineRule="auto"/>
      </w:pPr>
      <w:r>
        <w:rPr>
          <w:rFonts w:cs="Calibri"/>
          <w:sz w:val="24"/>
          <w:szCs w:val="24"/>
        </w:rPr>
        <w:t xml:space="preserve">Additionally, migration has contributed hugely to cultural diversity throughout the years and all over the world, it has introduced new foods, clothing and much more to </w:t>
      </w:r>
      <w:r w:rsidR="00B919EA">
        <w:rPr>
          <w:rFonts w:cs="Calibri"/>
          <w:sz w:val="24"/>
          <w:szCs w:val="24"/>
        </w:rPr>
        <w:t xml:space="preserve">create a more diverse world. </w:t>
      </w:r>
      <w:r>
        <w:rPr>
          <w:rFonts w:cs="Calibri"/>
          <w:sz w:val="24"/>
          <w:szCs w:val="24"/>
        </w:rPr>
        <w:t xml:space="preserve">Multiculturalism is </w:t>
      </w:r>
      <w:r w:rsidR="001621FE">
        <w:rPr>
          <w:rFonts w:cs="Calibri"/>
          <w:sz w:val="24"/>
          <w:szCs w:val="24"/>
        </w:rPr>
        <w:t>expanding</w:t>
      </w:r>
      <w:r>
        <w:rPr>
          <w:rFonts w:cs="Calibri"/>
          <w:sz w:val="24"/>
          <w:szCs w:val="24"/>
        </w:rPr>
        <w:t xml:space="preserve"> and we are now exposed to diverse social norms and ethics, but migration and multiculturalism can also bring about </w:t>
      </w:r>
      <w:r>
        <w:rPr>
          <w:rFonts w:cs="Calibri"/>
          <w:color w:val="000000"/>
          <w:sz w:val="24"/>
          <w:szCs w:val="24"/>
        </w:rPr>
        <w:t>the production of a “greater variety of goods and services” (</w:t>
      </w:r>
      <w:r w:rsidR="00244AA8">
        <w:rPr>
          <w:rFonts w:cs="Calibri"/>
          <w:color w:val="000000"/>
          <w:sz w:val="24"/>
          <w:szCs w:val="24"/>
        </w:rPr>
        <w:t>Bove and Elia</w:t>
      </w:r>
      <w:r>
        <w:rPr>
          <w:rFonts w:cs="Calibri"/>
          <w:color w:val="000000"/>
          <w:sz w:val="24"/>
          <w:szCs w:val="24"/>
        </w:rPr>
        <w:t>, 2016) which make the world a more complex, diverse and interesting place.</w:t>
      </w:r>
    </w:p>
    <w:p w14:paraId="43DF1FC8" w14:textId="77777777" w:rsidR="004B01B9" w:rsidRDefault="004B01B9">
      <w:pPr>
        <w:spacing w:line="360" w:lineRule="auto"/>
        <w:rPr>
          <w:rFonts w:cs="Calibri"/>
          <w:sz w:val="24"/>
          <w:szCs w:val="24"/>
        </w:rPr>
      </w:pPr>
    </w:p>
    <w:p w14:paraId="43DF1FCF" w14:textId="5BFA4156" w:rsidR="004B01B9" w:rsidRDefault="00365ABC">
      <w:pPr>
        <w:spacing w:line="360" w:lineRule="auto"/>
        <w:rPr>
          <w:rFonts w:cs="Calibri"/>
          <w:sz w:val="24"/>
          <w:szCs w:val="24"/>
        </w:rPr>
      </w:pPr>
      <w:r>
        <w:rPr>
          <w:rFonts w:cs="Calibri"/>
          <w:sz w:val="24"/>
          <w:szCs w:val="24"/>
        </w:rPr>
        <w:t xml:space="preserve">Migrants are at higher risk of experiencing ‘culture shock’, coming into contact with ‘rich points’ (Agar, </w:t>
      </w:r>
      <w:r w:rsidR="00714631">
        <w:rPr>
          <w:rFonts w:cs="Calibri"/>
          <w:sz w:val="24"/>
          <w:szCs w:val="24"/>
        </w:rPr>
        <w:t>200</w:t>
      </w:r>
      <w:r w:rsidR="00AC7503">
        <w:rPr>
          <w:rFonts w:cs="Calibri"/>
          <w:sz w:val="24"/>
          <w:szCs w:val="24"/>
        </w:rPr>
        <w:t>8</w:t>
      </w:r>
      <w:r>
        <w:rPr>
          <w:rFonts w:cs="Calibri"/>
          <w:sz w:val="24"/>
          <w:szCs w:val="24"/>
        </w:rPr>
        <w:t>) that can be particularly overwhelming and disorientating, especially upon moving for the first time, this can have a number of effects on the individual</w:t>
      </w:r>
      <w:r w:rsidR="009E3EE8">
        <w:rPr>
          <w:rFonts w:cs="Calibri"/>
          <w:sz w:val="24"/>
          <w:szCs w:val="24"/>
        </w:rPr>
        <w:t>;</w:t>
      </w:r>
      <w:r>
        <w:rPr>
          <w:rFonts w:cs="Calibri"/>
          <w:sz w:val="24"/>
          <w:szCs w:val="24"/>
        </w:rPr>
        <w:t xml:space="preserve"> potentially making them confused or causing a feeling of isolation. One major thing that can be a result of this is identity loss.</w:t>
      </w:r>
      <w:r w:rsidR="00B919EA">
        <w:rPr>
          <w:rFonts w:cs="Calibri"/>
          <w:sz w:val="24"/>
          <w:szCs w:val="24"/>
        </w:rPr>
        <w:t xml:space="preserve"> </w:t>
      </w:r>
      <w:r>
        <w:rPr>
          <w:rFonts w:cs="Calibri"/>
          <w:sz w:val="24"/>
          <w:szCs w:val="24"/>
        </w:rPr>
        <w:t>Culture can often be perceived as a vital part of a person’s identity, certain pieces of culture such as beliefs and behaviours may feel important to somebody in constructing their own identity and may even feel protective over it.</w:t>
      </w:r>
      <w:r w:rsidR="00B919EA">
        <w:rPr>
          <w:rFonts w:cs="Calibri"/>
          <w:sz w:val="24"/>
          <w:szCs w:val="24"/>
        </w:rPr>
        <w:t xml:space="preserve"> </w:t>
      </w:r>
      <w:r w:rsidR="00EA2DCE">
        <w:rPr>
          <w:rFonts w:cs="Calibri"/>
          <w:sz w:val="24"/>
          <w:szCs w:val="24"/>
        </w:rPr>
        <w:t xml:space="preserve">However, </w:t>
      </w:r>
      <w:r w:rsidR="00D52B41">
        <w:rPr>
          <w:rFonts w:cs="Calibri"/>
          <w:sz w:val="24"/>
          <w:szCs w:val="24"/>
        </w:rPr>
        <w:t xml:space="preserve">it is possible to adopt more than one culture at one time. </w:t>
      </w:r>
      <w:r>
        <w:rPr>
          <w:rFonts w:cs="Calibri"/>
          <w:sz w:val="24"/>
          <w:szCs w:val="24"/>
        </w:rPr>
        <w:t>Developing bi-culture</w:t>
      </w:r>
      <w:r w:rsidR="00B919EA">
        <w:rPr>
          <w:rFonts w:cs="Calibri"/>
          <w:sz w:val="24"/>
          <w:szCs w:val="24"/>
        </w:rPr>
        <w:t xml:space="preserve"> during migration</w:t>
      </w:r>
      <w:r>
        <w:rPr>
          <w:rFonts w:cs="Calibri"/>
          <w:sz w:val="24"/>
          <w:szCs w:val="24"/>
        </w:rPr>
        <w:t xml:space="preserve"> may create interpersonal conflict about identity</w:t>
      </w:r>
      <w:r w:rsidR="00B919EA">
        <w:rPr>
          <w:rFonts w:cs="Calibri"/>
          <w:sz w:val="24"/>
          <w:szCs w:val="24"/>
        </w:rPr>
        <w:t xml:space="preserve">, leaving migrants confused and unable to effectively thrive in their new environment. </w:t>
      </w:r>
      <w:r>
        <w:rPr>
          <w:rFonts w:cs="Calibri"/>
          <w:sz w:val="24"/>
          <w:szCs w:val="24"/>
        </w:rPr>
        <w:t>On speaking about culture shock, Michael Winkelman claims that it can be the cause of “loss of accustomed cultural cues and social rules” (Winkelman, 1994) and can cause anxiety for the person experiencing this. This could easily lead to confusion about self-identity as the hos</w:t>
      </w:r>
      <w:r w:rsidR="00B919EA">
        <w:rPr>
          <w:rFonts w:cs="Calibri"/>
          <w:sz w:val="24"/>
          <w:szCs w:val="24"/>
        </w:rPr>
        <w:t>t</w:t>
      </w:r>
      <w:r>
        <w:rPr>
          <w:rFonts w:cs="Calibri"/>
          <w:sz w:val="24"/>
          <w:szCs w:val="24"/>
        </w:rPr>
        <w:t xml:space="preserve"> culture becomes more and more prominent</w:t>
      </w:r>
      <w:r w:rsidR="00B919EA">
        <w:rPr>
          <w:rFonts w:cs="Calibri"/>
          <w:sz w:val="24"/>
          <w:szCs w:val="24"/>
        </w:rPr>
        <w:t xml:space="preserve"> and the heritage culture is rejected or hidden.</w:t>
      </w:r>
    </w:p>
    <w:p w14:paraId="43DF1FD0" w14:textId="77777777" w:rsidR="004B01B9" w:rsidRDefault="004B01B9">
      <w:pPr>
        <w:spacing w:line="360" w:lineRule="auto"/>
        <w:rPr>
          <w:rFonts w:cs="Calibri"/>
          <w:b/>
          <w:bCs/>
          <w:sz w:val="24"/>
          <w:szCs w:val="24"/>
        </w:rPr>
      </w:pPr>
    </w:p>
    <w:p w14:paraId="43DF1FD1" w14:textId="37ADC59D" w:rsidR="004B01B9" w:rsidRDefault="00365ABC">
      <w:pPr>
        <w:spacing w:line="360" w:lineRule="auto"/>
        <w:rPr>
          <w:rFonts w:cs="Calibri"/>
          <w:sz w:val="24"/>
          <w:szCs w:val="24"/>
        </w:rPr>
      </w:pPr>
      <w:r>
        <w:rPr>
          <w:rFonts w:cs="Calibri"/>
          <w:sz w:val="24"/>
          <w:szCs w:val="24"/>
        </w:rPr>
        <w:t>Winkelman also says that if a person desires to be an effectively functioning member of a particular culture, “it is necessary to adjust and adapt” (Winkelman, 1994) which suggests that it is not acceptable to retain only the home culture</w:t>
      </w:r>
      <w:r w:rsidR="00F113EC">
        <w:rPr>
          <w:rFonts w:cs="Calibri"/>
          <w:sz w:val="24"/>
          <w:szCs w:val="24"/>
        </w:rPr>
        <w:t xml:space="preserve">, adapting may also be particularly difficult as migrants may “realise they do not have a rich enough understanding </w:t>
      </w:r>
      <w:r w:rsidR="00B919EA">
        <w:rPr>
          <w:rFonts w:cs="Calibri"/>
          <w:sz w:val="24"/>
          <w:szCs w:val="24"/>
        </w:rPr>
        <w:t>of how the system works to thrive” (Heine, 2016), resulting in further stress and anxiety, perhaps feeling pushed into adopting the host culture in order to be successful or simply to live an easy life.</w:t>
      </w:r>
    </w:p>
    <w:p w14:paraId="43DF1FD3" w14:textId="77777777" w:rsidR="004B01B9" w:rsidRDefault="004B01B9">
      <w:pPr>
        <w:spacing w:line="360" w:lineRule="auto"/>
        <w:rPr>
          <w:rFonts w:cs="Calibri"/>
          <w:b/>
          <w:bCs/>
          <w:sz w:val="24"/>
          <w:szCs w:val="24"/>
        </w:rPr>
      </w:pPr>
    </w:p>
    <w:p w14:paraId="43DF1FD4" w14:textId="701F1CAD" w:rsidR="004B01B9" w:rsidRDefault="00365ABC">
      <w:pPr>
        <w:spacing w:line="360" w:lineRule="auto"/>
      </w:pPr>
      <w:r>
        <w:rPr>
          <w:rFonts w:cs="Calibri"/>
          <w:sz w:val="24"/>
          <w:szCs w:val="24"/>
        </w:rPr>
        <w:t>Henri Taj</w:t>
      </w:r>
      <w:r w:rsidR="007B5985">
        <w:rPr>
          <w:rFonts w:cs="Calibri"/>
          <w:sz w:val="24"/>
          <w:szCs w:val="24"/>
        </w:rPr>
        <w:t>f</w:t>
      </w:r>
      <w:r>
        <w:rPr>
          <w:rFonts w:cs="Calibri"/>
          <w:sz w:val="24"/>
          <w:szCs w:val="24"/>
        </w:rPr>
        <w:t>el’s ‘</w:t>
      </w:r>
      <w:r w:rsidR="00B919EA">
        <w:rPr>
          <w:rFonts w:cs="Calibri"/>
          <w:sz w:val="24"/>
          <w:szCs w:val="24"/>
        </w:rPr>
        <w:t>S</w:t>
      </w:r>
      <w:r>
        <w:rPr>
          <w:rFonts w:cs="Calibri"/>
          <w:sz w:val="24"/>
          <w:szCs w:val="24"/>
        </w:rPr>
        <w:t xml:space="preserve">ocial </w:t>
      </w:r>
      <w:r w:rsidR="00B919EA">
        <w:rPr>
          <w:rFonts w:cs="Calibri"/>
          <w:sz w:val="24"/>
          <w:szCs w:val="24"/>
        </w:rPr>
        <w:t>I</w:t>
      </w:r>
      <w:r>
        <w:rPr>
          <w:rFonts w:cs="Calibri"/>
          <w:sz w:val="24"/>
          <w:szCs w:val="24"/>
        </w:rPr>
        <w:t xml:space="preserve">dentity </w:t>
      </w:r>
      <w:r w:rsidR="00B919EA">
        <w:rPr>
          <w:rFonts w:cs="Calibri"/>
          <w:sz w:val="24"/>
          <w:szCs w:val="24"/>
        </w:rPr>
        <w:t>T</w:t>
      </w:r>
      <w:r>
        <w:rPr>
          <w:rFonts w:cs="Calibri"/>
          <w:sz w:val="24"/>
          <w:szCs w:val="24"/>
        </w:rPr>
        <w:t>heory’</w:t>
      </w:r>
      <w:r w:rsidR="00B919EA">
        <w:rPr>
          <w:rFonts w:cs="Calibri"/>
          <w:sz w:val="24"/>
          <w:szCs w:val="24"/>
        </w:rPr>
        <w:t xml:space="preserve"> (SIT)</w:t>
      </w:r>
      <w:r>
        <w:rPr>
          <w:rFonts w:cs="Calibri"/>
          <w:sz w:val="24"/>
          <w:szCs w:val="24"/>
        </w:rPr>
        <w:t xml:space="preserve"> is useful for evaluating the concept of identity in this context. In summary, his theory is that a person’s sense of who they are is based on their membership of a group or groups; this could be anything from football clubs to social class. Tajfel suggested that belonging to these groups is “an important source of pride and self-esteem” </w:t>
      </w:r>
      <w:r w:rsidR="00A16A29">
        <w:rPr>
          <w:rFonts w:cs="Calibri"/>
          <w:sz w:val="24"/>
          <w:szCs w:val="24"/>
        </w:rPr>
        <w:t>(</w:t>
      </w:r>
      <w:proofErr w:type="spellStart"/>
      <w:r w:rsidR="00A16A29">
        <w:rPr>
          <w:rFonts w:cs="Calibri"/>
          <w:sz w:val="24"/>
          <w:szCs w:val="24"/>
        </w:rPr>
        <w:t>Mcleod</w:t>
      </w:r>
      <w:proofErr w:type="spellEnd"/>
      <w:r>
        <w:rPr>
          <w:rFonts w:cs="Calibri"/>
          <w:sz w:val="24"/>
          <w:szCs w:val="24"/>
        </w:rPr>
        <w:t>,</w:t>
      </w:r>
      <w:r w:rsidR="00A16A29">
        <w:rPr>
          <w:rFonts w:cs="Calibri"/>
          <w:sz w:val="24"/>
          <w:szCs w:val="24"/>
        </w:rPr>
        <w:t xml:space="preserve"> 2019</w:t>
      </w:r>
      <w:r>
        <w:rPr>
          <w:rFonts w:cs="Calibri"/>
          <w:sz w:val="24"/>
          <w:szCs w:val="24"/>
        </w:rPr>
        <w:t xml:space="preserve">) and that they also provide us with a sense of belonging. There is a lot of emphasis on identity being closely related to belonging and so if a migrant were to </w:t>
      </w:r>
      <w:r>
        <w:rPr>
          <w:rFonts w:cs="Calibri"/>
          <w:sz w:val="24"/>
          <w:szCs w:val="24"/>
        </w:rPr>
        <w:lastRenderedPageBreak/>
        <w:t>feel out of place in the host culture, they may therefore experience a loss of identity to a higher degree. Taj</w:t>
      </w:r>
      <w:r w:rsidR="007B5985">
        <w:rPr>
          <w:rFonts w:cs="Calibri"/>
          <w:sz w:val="24"/>
          <w:szCs w:val="24"/>
        </w:rPr>
        <w:t>f</w:t>
      </w:r>
      <w:r>
        <w:rPr>
          <w:rFonts w:cs="Calibri"/>
          <w:sz w:val="24"/>
          <w:szCs w:val="24"/>
        </w:rPr>
        <w:t>el also discussed social categorisation and how “we [have] divided the world into ‘them’ and ‘us’” (</w:t>
      </w:r>
      <w:proofErr w:type="spellStart"/>
      <w:r w:rsidR="003A5A73">
        <w:t>Mcleod</w:t>
      </w:r>
      <w:proofErr w:type="spellEnd"/>
      <w:r w:rsidR="003A5A73">
        <w:t>, 2019</w:t>
      </w:r>
      <w:r>
        <w:t xml:space="preserve">) </w:t>
      </w:r>
      <w:r>
        <w:rPr>
          <w:rFonts w:cs="Calibri"/>
          <w:sz w:val="24"/>
          <w:szCs w:val="24"/>
        </w:rPr>
        <w:t>which only adds to the alienation of ‘outsiders’ such as migrants. They are generalised and stereotyped, a process which tends to exaggerate the differences between one group or culture and another and therefore greater creates alienation and isolation. There is, of course, also awareness of similarities between two or more groups, however, we tend to focus much more specifically on the differences- which are quite often considered bad.</w:t>
      </w:r>
    </w:p>
    <w:p w14:paraId="43DF1FD5" w14:textId="32952F45" w:rsidR="004B01B9" w:rsidRDefault="004B01B9">
      <w:pPr>
        <w:spacing w:line="360" w:lineRule="auto"/>
        <w:rPr>
          <w:rFonts w:cs="Calibri"/>
          <w:b/>
          <w:bCs/>
          <w:sz w:val="24"/>
          <w:szCs w:val="24"/>
        </w:rPr>
      </w:pPr>
    </w:p>
    <w:p w14:paraId="570764AA" w14:textId="2E00B93A" w:rsidR="007B5985" w:rsidRPr="007B5985" w:rsidRDefault="007B5985">
      <w:pPr>
        <w:spacing w:line="360" w:lineRule="auto"/>
        <w:rPr>
          <w:rFonts w:cs="Calibri"/>
          <w:sz w:val="24"/>
          <w:szCs w:val="24"/>
        </w:rPr>
      </w:pPr>
      <w:r>
        <w:rPr>
          <w:rFonts w:cs="Calibri"/>
          <w:sz w:val="24"/>
          <w:szCs w:val="24"/>
        </w:rPr>
        <w:t>However, Tajfel’s theory assumes that a person’s identity comes solely from the feeling of belonging, specifically to a social group. This is not necessarily true, there are a number of factors that combine to make up a person’s identity such as the way a person chooses to dress or their individual personality, expressions and so on.</w:t>
      </w:r>
      <w:r w:rsidR="00E87DD9">
        <w:rPr>
          <w:rFonts w:cs="Calibri"/>
          <w:sz w:val="24"/>
          <w:szCs w:val="24"/>
        </w:rPr>
        <w:t xml:space="preserve"> </w:t>
      </w:r>
      <w:r>
        <w:rPr>
          <w:rFonts w:cs="Calibri"/>
          <w:sz w:val="24"/>
          <w:szCs w:val="24"/>
        </w:rPr>
        <w:t xml:space="preserve">Additionally, </w:t>
      </w:r>
      <w:r w:rsidR="00B919EA">
        <w:rPr>
          <w:rFonts w:cs="Calibri"/>
          <w:sz w:val="24"/>
          <w:szCs w:val="24"/>
        </w:rPr>
        <w:t>SIT</w:t>
      </w:r>
      <w:r>
        <w:rPr>
          <w:rFonts w:cs="Calibri"/>
          <w:sz w:val="24"/>
          <w:szCs w:val="24"/>
        </w:rPr>
        <w:t xml:space="preserve"> generally categorises people which could in fact cause a </w:t>
      </w:r>
      <w:r>
        <w:rPr>
          <w:rFonts w:cs="Calibri"/>
          <w:i/>
          <w:iCs/>
          <w:sz w:val="24"/>
          <w:szCs w:val="24"/>
        </w:rPr>
        <w:t xml:space="preserve">loss </w:t>
      </w:r>
      <w:r>
        <w:rPr>
          <w:rFonts w:cs="Calibri"/>
          <w:sz w:val="24"/>
          <w:szCs w:val="24"/>
        </w:rPr>
        <w:t xml:space="preserve">of identity as it creates boundaries such as the previously mentioned ‘them’ and ‘us’, implying that in order to have an identity, a person </w:t>
      </w:r>
      <w:r>
        <w:rPr>
          <w:rFonts w:cs="Calibri"/>
          <w:i/>
          <w:iCs/>
          <w:sz w:val="24"/>
          <w:szCs w:val="24"/>
        </w:rPr>
        <w:t xml:space="preserve">must </w:t>
      </w:r>
      <w:r>
        <w:rPr>
          <w:rFonts w:cs="Calibri"/>
          <w:sz w:val="24"/>
          <w:szCs w:val="24"/>
        </w:rPr>
        <w:t>belong to a social group of some degree, this would mean that without belonging to a group, it is not possible to have an self</w:t>
      </w:r>
      <w:r w:rsidR="00E87DD9">
        <w:rPr>
          <w:rFonts w:cs="Calibri"/>
          <w:sz w:val="24"/>
          <w:szCs w:val="24"/>
        </w:rPr>
        <w:t>-</w:t>
      </w:r>
      <w:r>
        <w:rPr>
          <w:rFonts w:cs="Calibri"/>
          <w:sz w:val="24"/>
          <w:szCs w:val="24"/>
        </w:rPr>
        <w:t>identity.</w:t>
      </w:r>
      <w:r w:rsidR="00E87DD9">
        <w:rPr>
          <w:rFonts w:cs="Calibri"/>
          <w:sz w:val="24"/>
          <w:szCs w:val="24"/>
        </w:rPr>
        <w:t xml:space="preserve"> Consequently, in the context of migrants, this could cause confusion about the self and lead to a feeling of isolation and in turn, reduc</w:t>
      </w:r>
      <w:r w:rsidR="00B919EA">
        <w:rPr>
          <w:rFonts w:cs="Calibri"/>
          <w:sz w:val="24"/>
          <w:szCs w:val="24"/>
        </w:rPr>
        <w:t>ing</w:t>
      </w:r>
      <w:r w:rsidR="00E87DD9">
        <w:rPr>
          <w:rFonts w:cs="Calibri"/>
          <w:sz w:val="24"/>
          <w:szCs w:val="24"/>
        </w:rPr>
        <w:t xml:space="preserve"> the quality of life.</w:t>
      </w:r>
    </w:p>
    <w:p w14:paraId="3B2B0577" w14:textId="77777777" w:rsidR="007B5985" w:rsidRDefault="007B5985">
      <w:pPr>
        <w:spacing w:line="360" w:lineRule="auto"/>
        <w:rPr>
          <w:rFonts w:cs="Calibri"/>
          <w:b/>
          <w:bCs/>
          <w:sz w:val="24"/>
          <w:szCs w:val="24"/>
        </w:rPr>
      </w:pPr>
    </w:p>
    <w:p w14:paraId="43DF1FD8" w14:textId="513DCF7B" w:rsidR="004B01B9" w:rsidRDefault="00365ABC">
      <w:pPr>
        <w:spacing w:line="360" w:lineRule="auto"/>
        <w:rPr>
          <w:rFonts w:cs="Calibri"/>
          <w:sz w:val="24"/>
          <w:szCs w:val="24"/>
        </w:rPr>
      </w:pPr>
      <w:r>
        <w:rPr>
          <w:rFonts w:cs="Calibri"/>
          <w:sz w:val="24"/>
          <w:szCs w:val="24"/>
        </w:rPr>
        <w:t>Quite often, migrants are subjected to discrimination from people belonging to the host culture, often in the form of racism. They may therefore choose to adopt elements of the host culture alongside their own in order to avoid standing out and therefore opening themselves up to discrimination. This can be applied to John Berry’s ‘Acculturation Model’; the developing of bi-culture would fall under ‘integration’ in which the person accepts both host culture whilst still retaining their home culture</w:t>
      </w:r>
      <w:r w:rsidR="00F971AB">
        <w:rPr>
          <w:rFonts w:cs="Calibri"/>
          <w:sz w:val="24"/>
          <w:szCs w:val="24"/>
        </w:rPr>
        <w:t xml:space="preserve">, this may result in the host culture being more accepting of the migrant. The level at which the migrant chooses to assimilate themselves into society will likely </w:t>
      </w:r>
      <w:r w:rsidR="00B919EA">
        <w:rPr>
          <w:rFonts w:cs="Calibri"/>
          <w:sz w:val="24"/>
          <w:szCs w:val="24"/>
        </w:rPr>
        <w:t>a</w:t>
      </w:r>
      <w:r w:rsidR="00F971AB">
        <w:rPr>
          <w:rFonts w:cs="Calibri"/>
          <w:sz w:val="24"/>
          <w:szCs w:val="24"/>
        </w:rPr>
        <w:t xml:space="preserve">ffect their life in varying ways; if they choose to retain </w:t>
      </w:r>
      <w:r w:rsidR="00F971AB">
        <w:rPr>
          <w:rFonts w:cs="Calibri"/>
          <w:i/>
          <w:iCs/>
          <w:sz w:val="24"/>
          <w:szCs w:val="24"/>
        </w:rPr>
        <w:t xml:space="preserve">only </w:t>
      </w:r>
      <w:r w:rsidR="00F971AB">
        <w:rPr>
          <w:rFonts w:cs="Calibri"/>
          <w:sz w:val="24"/>
          <w:szCs w:val="24"/>
        </w:rPr>
        <w:t xml:space="preserve">their home culture and reject the host, problems may arise. Realistically, this is likely to cause the migrant to face prejudice and discrimination </w:t>
      </w:r>
      <w:r w:rsidR="00F113EC">
        <w:rPr>
          <w:rFonts w:cs="Calibri"/>
          <w:sz w:val="24"/>
          <w:szCs w:val="24"/>
        </w:rPr>
        <w:t xml:space="preserve">which would strongly affect the </w:t>
      </w:r>
      <w:r w:rsidR="00F113EC">
        <w:rPr>
          <w:rFonts w:cs="Calibri"/>
          <w:sz w:val="24"/>
          <w:szCs w:val="24"/>
        </w:rPr>
        <w:lastRenderedPageBreak/>
        <w:t xml:space="preserve">experience. </w:t>
      </w:r>
      <w:r>
        <w:rPr>
          <w:rFonts w:cs="Calibri"/>
          <w:sz w:val="24"/>
          <w:szCs w:val="24"/>
        </w:rPr>
        <w:t>Berry himself states that acculturation is “the dual process of cultural and psychological change” (Berry, 2005), demonstrating that there is also a psychological change in the process of migration</w:t>
      </w:r>
      <w:r w:rsidR="00F113EC">
        <w:rPr>
          <w:rFonts w:cs="Calibri"/>
          <w:sz w:val="24"/>
          <w:szCs w:val="24"/>
        </w:rPr>
        <w:t xml:space="preserve"> which may likely result from the extent to which a person assimilates to the host culture.</w:t>
      </w:r>
    </w:p>
    <w:p w14:paraId="43DF1FDB" w14:textId="77777777" w:rsidR="004B01B9" w:rsidRDefault="004B01B9">
      <w:pPr>
        <w:spacing w:line="360" w:lineRule="auto"/>
        <w:rPr>
          <w:rFonts w:cs="Calibri"/>
          <w:b/>
          <w:bCs/>
          <w:sz w:val="24"/>
          <w:szCs w:val="24"/>
        </w:rPr>
      </w:pPr>
    </w:p>
    <w:p w14:paraId="43DF1FDC" w14:textId="46EBDB0C" w:rsidR="004B01B9" w:rsidRDefault="00B919EA">
      <w:pPr>
        <w:spacing w:line="360" w:lineRule="auto"/>
        <w:rPr>
          <w:rFonts w:cs="Calibri"/>
          <w:sz w:val="24"/>
          <w:szCs w:val="24"/>
        </w:rPr>
      </w:pPr>
      <w:r>
        <w:rPr>
          <w:rFonts w:cs="Calibri"/>
          <w:sz w:val="24"/>
          <w:szCs w:val="24"/>
        </w:rPr>
        <w:t>An</w:t>
      </w:r>
      <w:r w:rsidR="00365ABC">
        <w:rPr>
          <w:rFonts w:cs="Calibri"/>
          <w:sz w:val="24"/>
          <w:szCs w:val="24"/>
        </w:rPr>
        <w:t xml:space="preserve"> </w:t>
      </w:r>
      <w:r w:rsidR="00F113EC">
        <w:rPr>
          <w:rFonts w:cs="Calibri"/>
          <w:sz w:val="24"/>
          <w:szCs w:val="24"/>
        </w:rPr>
        <w:t>important consideration</w:t>
      </w:r>
      <w:r w:rsidR="00365ABC">
        <w:rPr>
          <w:rFonts w:cs="Calibri"/>
          <w:sz w:val="24"/>
          <w:szCs w:val="24"/>
        </w:rPr>
        <w:t xml:space="preserve"> is that Berry’s model does not consider rejection by the host culture</w:t>
      </w:r>
      <w:r w:rsidR="00F113EC">
        <w:rPr>
          <w:rFonts w:cs="Calibri"/>
          <w:sz w:val="24"/>
          <w:szCs w:val="24"/>
        </w:rPr>
        <w:t>. The model suggests that there are four options in acculturation</w:t>
      </w:r>
      <w:r w:rsidR="00473D85">
        <w:rPr>
          <w:rFonts w:cs="Calibri"/>
          <w:sz w:val="24"/>
          <w:szCs w:val="24"/>
        </w:rPr>
        <w:t xml:space="preserve"> (assimilation, integration, marginalisation and sep</w:t>
      </w:r>
      <w:r w:rsidR="00D712C6">
        <w:rPr>
          <w:rFonts w:cs="Calibri"/>
          <w:sz w:val="24"/>
          <w:szCs w:val="24"/>
        </w:rPr>
        <w:t>a</w:t>
      </w:r>
      <w:r w:rsidR="00473D85">
        <w:rPr>
          <w:rFonts w:cs="Calibri"/>
          <w:sz w:val="24"/>
          <w:szCs w:val="24"/>
        </w:rPr>
        <w:t>rati</w:t>
      </w:r>
      <w:r w:rsidR="00D712C6">
        <w:rPr>
          <w:rFonts w:cs="Calibri"/>
          <w:sz w:val="24"/>
          <w:szCs w:val="24"/>
        </w:rPr>
        <w:t>o</w:t>
      </w:r>
      <w:r w:rsidR="00473D85">
        <w:rPr>
          <w:rFonts w:cs="Calibri"/>
          <w:sz w:val="24"/>
          <w:szCs w:val="24"/>
        </w:rPr>
        <w:t>n)</w:t>
      </w:r>
      <w:r w:rsidR="00F113EC">
        <w:rPr>
          <w:rFonts w:cs="Calibri"/>
          <w:sz w:val="24"/>
          <w:szCs w:val="24"/>
        </w:rPr>
        <w:t xml:space="preserve"> and does not consider that the migrant may be forced into separation due to the host culture refusing to allow them to fully integrate into their culture; they may wish to integrate but receive pushbacks from the host culture, ultimately stopping them from integrating effectively.</w:t>
      </w:r>
      <w:r w:rsidR="0070576B">
        <w:rPr>
          <w:rFonts w:cs="Calibri"/>
          <w:sz w:val="24"/>
          <w:szCs w:val="24"/>
        </w:rPr>
        <w:t xml:space="preserve"> Additionally, Berry does not consider that a migrant may move to a country with similar culture to the home culture. In this case, there would be “less learning to do and fewer difficulties” (Heine, 2016) which would greatly reduce stress </w:t>
      </w:r>
      <w:r w:rsidR="00166E08">
        <w:rPr>
          <w:rFonts w:cs="Calibri"/>
          <w:sz w:val="24"/>
          <w:szCs w:val="24"/>
        </w:rPr>
        <w:t>and make assimilation much easier, it is also more likely the host culture would then accept the migrant as they are less likely to be portrayed as the ‘outsider’ due to the similarities. The migrant may also find it easier to adapt to the host culture as it is not dissimilar to their heritage, meaning they make less changes</w:t>
      </w:r>
      <w:r w:rsidR="00473D85">
        <w:rPr>
          <w:rFonts w:cs="Calibri"/>
          <w:sz w:val="24"/>
          <w:szCs w:val="24"/>
        </w:rPr>
        <w:t xml:space="preserve"> and ultimately lead a happier life.</w:t>
      </w:r>
    </w:p>
    <w:p w14:paraId="43DF1FDD" w14:textId="77777777" w:rsidR="004B01B9" w:rsidRDefault="004B01B9">
      <w:pPr>
        <w:spacing w:line="360" w:lineRule="auto"/>
        <w:rPr>
          <w:rFonts w:cs="Calibri"/>
          <w:b/>
          <w:bCs/>
          <w:sz w:val="24"/>
          <w:szCs w:val="24"/>
        </w:rPr>
      </w:pPr>
    </w:p>
    <w:p w14:paraId="43DF1FDE" w14:textId="68C3DC08" w:rsidR="004B01B9" w:rsidRDefault="00365ABC">
      <w:pPr>
        <w:spacing w:line="360" w:lineRule="auto"/>
      </w:pPr>
      <w:r>
        <w:rPr>
          <w:rFonts w:cs="Calibri"/>
          <w:sz w:val="24"/>
          <w:szCs w:val="24"/>
        </w:rPr>
        <w:t>Although acculturation can have a negative effect on the life of a migrant, the element of bi-culture can also be particularly positive, as is demonstrated by Sandhya Fuchs’ article ‘</w:t>
      </w:r>
      <w:r>
        <w:rPr>
          <w:rFonts w:cs="Calibri"/>
          <w:i/>
          <w:iCs/>
          <w:sz w:val="24"/>
          <w:szCs w:val="24"/>
        </w:rPr>
        <w:t>The Gift of a bi-cultural Upbringing’</w:t>
      </w:r>
      <w:r>
        <w:rPr>
          <w:rFonts w:cs="Calibri"/>
          <w:sz w:val="24"/>
          <w:szCs w:val="24"/>
        </w:rPr>
        <w:t xml:space="preserve">. Fuchs, a daughter of two anthropologists, spent much of her young life in India but also lived in Germany and so experienced a bi-cultural upbringing. Although she describes it as a ‘gift’, Fuchs also discusses the negative behaviour </w:t>
      </w:r>
      <w:r w:rsidR="0070576B">
        <w:rPr>
          <w:rFonts w:cs="Calibri"/>
          <w:sz w:val="24"/>
          <w:szCs w:val="24"/>
        </w:rPr>
        <w:t xml:space="preserve">directed </w:t>
      </w:r>
      <w:r>
        <w:rPr>
          <w:rFonts w:cs="Calibri"/>
          <w:sz w:val="24"/>
          <w:szCs w:val="24"/>
        </w:rPr>
        <w:t xml:space="preserve">towards her as a young child in Germany during a school outbreak of lice when a friend’s mother isolated her and claimed Indian people “are very unhygienic [and] don’t have the same standards” (Fuchs, 2010). This is a clear example of the negative treatment that migrants may experience, racism and prejudice sadly being relatively common. Fuchs goes on to say she felt “slightly ashamed, and out of place” (Fuchs, 2010) which may represent the way migrants may be made to feel, whether it be due to culture shock or just the way </w:t>
      </w:r>
      <w:r>
        <w:rPr>
          <w:rFonts w:cs="Calibri"/>
          <w:sz w:val="24"/>
          <w:szCs w:val="24"/>
        </w:rPr>
        <w:lastRenderedPageBreak/>
        <w:t xml:space="preserve">they are treated. This can cause a decrease in quality of life and or a feeling of being ashamed of their own identity, possibly resulting in them embracing the host culture more in order to avoid this treatment and ultimately losing their own identity. </w:t>
      </w:r>
    </w:p>
    <w:p w14:paraId="43DF1FDF" w14:textId="77777777" w:rsidR="004B01B9" w:rsidRDefault="004B01B9">
      <w:pPr>
        <w:spacing w:line="360" w:lineRule="auto"/>
        <w:rPr>
          <w:rFonts w:cs="Calibri"/>
          <w:sz w:val="24"/>
          <w:szCs w:val="24"/>
        </w:rPr>
      </w:pPr>
    </w:p>
    <w:p w14:paraId="43DF1FE1" w14:textId="02C3ECFC" w:rsidR="004B01B9" w:rsidRPr="0070576B" w:rsidRDefault="00365ABC">
      <w:pPr>
        <w:spacing w:line="360" w:lineRule="auto"/>
        <w:rPr>
          <w:rFonts w:cs="Calibri"/>
          <w:sz w:val="24"/>
          <w:szCs w:val="24"/>
        </w:rPr>
      </w:pPr>
      <w:r>
        <w:rPr>
          <w:rFonts w:cs="Calibri"/>
          <w:sz w:val="24"/>
          <w:szCs w:val="24"/>
        </w:rPr>
        <w:t>Despite her negative experiences, ultimately Fuchs portrays bi-culture as a gift, claiming that she felt a sense of belonging both in Germany and in India because to her, belonging means family- wherever her family are, she belongs. Therefore, by experiencing bi-culture, she is able to feel as if she belongs to more than one culture and can experience two almost separate worlds without feeling like an ‘outsider’ in either of them. Furthermore, she claims that a bi-cultural upbringing “can teach you countless valuable lessons” (Fuchs, 2010) and that by embracing a multifaceted concept of identity, a person is able to refrain from drawing a line between cultures and is able to embrace both without necessarily being concerned about hav</w:t>
      </w:r>
      <w:r w:rsidR="0070576B">
        <w:rPr>
          <w:rFonts w:cs="Calibri"/>
          <w:sz w:val="24"/>
          <w:szCs w:val="24"/>
        </w:rPr>
        <w:t>ing</w:t>
      </w:r>
      <w:r>
        <w:rPr>
          <w:rFonts w:cs="Calibri"/>
          <w:sz w:val="24"/>
          <w:szCs w:val="24"/>
        </w:rPr>
        <w:t xml:space="preserve"> to belong to just the one. </w:t>
      </w:r>
      <w:r w:rsidR="00F971AB">
        <w:rPr>
          <w:rFonts w:cs="Calibri"/>
          <w:sz w:val="24"/>
          <w:szCs w:val="24"/>
        </w:rPr>
        <w:t>Additionally, migrating to another country may give migrants access to better health care, more job opportunities and generally a better life. This demonstrates the difficulties in assessing the effects of acculturation as each person has their own individual reasons for migration and in turn has their own individual experiences, negative or positive</w:t>
      </w:r>
      <w:r w:rsidR="0070576B">
        <w:rPr>
          <w:rFonts w:cs="Calibri"/>
          <w:sz w:val="24"/>
          <w:szCs w:val="24"/>
        </w:rPr>
        <w:t xml:space="preserve"> but also shows that migration does not always have to be a negative experience; it can be extremely beneficial and can easily improve lives.</w:t>
      </w:r>
    </w:p>
    <w:p w14:paraId="43DF1FE4" w14:textId="77777777" w:rsidR="004B01B9" w:rsidRDefault="004B01B9">
      <w:pPr>
        <w:spacing w:line="360" w:lineRule="auto"/>
        <w:rPr>
          <w:rFonts w:cs="Calibri"/>
          <w:b/>
          <w:bCs/>
          <w:sz w:val="24"/>
          <w:szCs w:val="24"/>
        </w:rPr>
      </w:pPr>
    </w:p>
    <w:p w14:paraId="32B2DC42" w14:textId="2197F965" w:rsidR="0070576B" w:rsidRPr="0070576B" w:rsidRDefault="00365ABC">
      <w:pPr>
        <w:spacing w:line="360" w:lineRule="auto"/>
        <w:rPr>
          <w:rFonts w:cs="Calibri"/>
          <w:sz w:val="24"/>
          <w:szCs w:val="24"/>
        </w:rPr>
      </w:pPr>
      <w:r>
        <w:rPr>
          <w:rFonts w:cs="Calibri"/>
          <w:sz w:val="24"/>
          <w:szCs w:val="24"/>
        </w:rPr>
        <w:t>Xenophobia is something that migrants may face during their relocating, the term is entangled with racism and “denotes a hostility towards the stranger perceived as a threat” (Sanchez-</w:t>
      </w:r>
      <w:proofErr w:type="spellStart"/>
      <w:r>
        <w:rPr>
          <w:rFonts w:cs="Calibri"/>
          <w:sz w:val="24"/>
          <w:szCs w:val="24"/>
        </w:rPr>
        <w:t>Mazas</w:t>
      </w:r>
      <w:proofErr w:type="spellEnd"/>
      <w:r>
        <w:rPr>
          <w:rFonts w:cs="Calibri"/>
          <w:sz w:val="24"/>
          <w:szCs w:val="24"/>
        </w:rPr>
        <w:t xml:space="preserve"> and Licata, 2015). Members of the host culture may perceive migrants as a threat to themselves or to the host culture which in turn creates an aggression towards the ‘outsider’ and creates tension, ultimately creating a divide between migrant and non-migrant</w:t>
      </w:r>
      <w:r w:rsidR="00F113EC">
        <w:rPr>
          <w:rFonts w:cs="Calibri"/>
          <w:sz w:val="24"/>
          <w:szCs w:val="24"/>
        </w:rPr>
        <w:t xml:space="preserve">. </w:t>
      </w:r>
      <w:r>
        <w:rPr>
          <w:rFonts w:cs="Calibri"/>
          <w:sz w:val="24"/>
          <w:szCs w:val="24"/>
        </w:rPr>
        <w:t>The protectiveness of culture and identity may also be a contributing factor to the poor treatment of migrants as the host culture may feel protective of their culture, leading to xenophobia or generally poor treatment, “classical xenophobic themes [involve] notions of foreign invasion” (Sanchez-</w:t>
      </w:r>
      <w:proofErr w:type="spellStart"/>
      <w:r>
        <w:rPr>
          <w:rFonts w:cs="Calibri"/>
          <w:sz w:val="24"/>
          <w:szCs w:val="24"/>
        </w:rPr>
        <w:t>Mazas</w:t>
      </w:r>
      <w:proofErr w:type="spellEnd"/>
      <w:r>
        <w:rPr>
          <w:rFonts w:cs="Calibri"/>
          <w:sz w:val="24"/>
          <w:szCs w:val="24"/>
        </w:rPr>
        <w:t xml:space="preserve"> and Licata, 2015)</w:t>
      </w:r>
      <w:r w:rsidR="00F113EC">
        <w:rPr>
          <w:rFonts w:cs="Calibri"/>
          <w:sz w:val="24"/>
          <w:szCs w:val="24"/>
        </w:rPr>
        <w:t xml:space="preserve">, creating tension and often discrimination. </w:t>
      </w:r>
      <w:r>
        <w:rPr>
          <w:rFonts w:cs="Calibri"/>
          <w:sz w:val="24"/>
          <w:szCs w:val="24"/>
        </w:rPr>
        <w:t xml:space="preserve">This tension can also have a domino effect in which the first generation </w:t>
      </w:r>
      <w:r>
        <w:rPr>
          <w:rFonts w:cs="Calibri"/>
          <w:sz w:val="24"/>
          <w:szCs w:val="24"/>
        </w:rPr>
        <w:lastRenderedPageBreak/>
        <w:t>migrant struggles to settle, having the same effect on future generations</w:t>
      </w:r>
      <w:r w:rsidR="00F113EC">
        <w:rPr>
          <w:rFonts w:cs="Calibri"/>
          <w:sz w:val="24"/>
          <w:szCs w:val="24"/>
        </w:rPr>
        <w:t>,</w:t>
      </w:r>
      <w:r>
        <w:rPr>
          <w:rFonts w:cs="Calibri"/>
          <w:sz w:val="24"/>
          <w:szCs w:val="24"/>
        </w:rPr>
        <w:t xml:space="preserve"> leading to further loss of culture as cultural heritage may not be passed down</w:t>
      </w:r>
      <w:r w:rsidR="00F113EC">
        <w:rPr>
          <w:rFonts w:cs="Calibri"/>
          <w:sz w:val="24"/>
          <w:szCs w:val="24"/>
        </w:rPr>
        <w:t>.</w:t>
      </w:r>
      <w:r w:rsidR="0070576B">
        <w:rPr>
          <w:rFonts w:cs="Calibri"/>
          <w:sz w:val="24"/>
          <w:szCs w:val="24"/>
        </w:rPr>
        <w:t xml:space="preserve"> Of course, this would negatively affect a migrant’s life- making them an ‘outsider’ and likely very uncomfortable. This may affect them more greatly if they migrated due to a traumatic or negative environment back home. Whereas migrating should improve their life, acculturation may mean their life is also negative and or traumatic in the host culture depending on the extent of the damaging treatment.</w:t>
      </w:r>
    </w:p>
    <w:p w14:paraId="4E5DCADE" w14:textId="77777777" w:rsidR="0070576B" w:rsidRDefault="0070576B">
      <w:pPr>
        <w:spacing w:line="360" w:lineRule="auto"/>
        <w:rPr>
          <w:rFonts w:cs="Calibri"/>
          <w:b/>
          <w:bCs/>
          <w:sz w:val="24"/>
          <w:szCs w:val="24"/>
        </w:rPr>
      </w:pPr>
    </w:p>
    <w:p w14:paraId="43DF1FEC" w14:textId="45260D04" w:rsidR="004B01B9" w:rsidRPr="00473D85" w:rsidRDefault="00365ABC" w:rsidP="00473D85">
      <w:pPr>
        <w:spacing w:line="360" w:lineRule="auto"/>
        <w:rPr>
          <w:rFonts w:cs="Calibri"/>
          <w:sz w:val="24"/>
          <w:szCs w:val="24"/>
        </w:rPr>
      </w:pPr>
      <w:r>
        <w:rPr>
          <w:rFonts w:cs="Calibri"/>
          <w:sz w:val="24"/>
          <w:szCs w:val="24"/>
        </w:rPr>
        <w:t xml:space="preserve">The process of acculturation for migrants may also have a significant effect </w:t>
      </w:r>
      <w:r w:rsidR="0070576B">
        <w:rPr>
          <w:rFonts w:cs="Calibri"/>
          <w:sz w:val="24"/>
          <w:szCs w:val="24"/>
        </w:rPr>
        <w:t>on mental health.</w:t>
      </w:r>
      <w:r w:rsidR="00F971AB">
        <w:rPr>
          <w:rFonts w:cs="Calibri"/>
          <w:sz w:val="24"/>
          <w:szCs w:val="24"/>
        </w:rPr>
        <w:t xml:space="preserve"> </w:t>
      </w:r>
      <w:r>
        <w:rPr>
          <w:rFonts w:cs="Calibri"/>
          <w:sz w:val="24"/>
          <w:szCs w:val="24"/>
        </w:rPr>
        <w:t xml:space="preserve">Research shows that refugees and asylum seekers are “more likely to experience poor mental health than the local population” </w:t>
      </w:r>
      <w:r w:rsidRPr="009060F0">
        <w:rPr>
          <w:rFonts w:cs="Calibri"/>
          <w:color w:val="0D0D0D" w:themeColor="text1" w:themeTint="F2"/>
          <w:sz w:val="24"/>
          <w:szCs w:val="24"/>
        </w:rPr>
        <w:t>(</w:t>
      </w:r>
      <w:hyperlink r:id="rId9" w:history="1">
        <w:r w:rsidR="00CF2612" w:rsidRPr="009060F0">
          <w:rPr>
            <w:rStyle w:val="Hyperlink"/>
            <w:rFonts w:cs="Calibri"/>
            <w:color w:val="0D0D0D" w:themeColor="text1" w:themeTint="F2"/>
            <w:sz w:val="24"/>
            <w:szCs w:val="24"/>
            <w:u w:val="none"/>
          </w:rPr>
          <w:t>Mental</w:t>
        </w:r>
      </w:hyperlink>
      <w:r w:rsidR="00CF2612" w:rsidRPr="009060F0">
        <w:rPr>
          <w:rStyle w:val="Hyperlink"/>
          <w:rFonts w:cs="Calibri"/>
          <w:color w:val="0D0D0D" w:themeColor="text1" w:themeTint="F2"/>
          <w:sz w:val="24"/>
          <w:szCs w:val="24"/>
          <w:u w:val="none"/>
        </w:rPr>
        <w:t xml:space="preserve"> Health Foundation</w:t>
      </w:r>
      <w:r>
        <w:rPr>
          <w:rFonts w:cs="Calibri"/>
          <w:sz w:val="24"/>
          <w:szCs w:val="24"/>
        </w:rPr>
        <w:t xml:space="preserve">, 2016), this is also applicable to migrants who may have simply chosen to move. It is also worth </w:t>
      </w:r>
      <w:r w:rsidR="0070576B">
        <w:rPr>
          <w:rFonts w:cs="Calibri"/>
          <w:sz w:val="24"/>
          <w:szCs w:val="24"/>
        </w:rPr>
        <w:t>reminding ourselves that</w:t>
      </w:r>
      <w:r>
        <w:rPr>
          <w:rFonts w:cs="Calibri"/>
          <w:sz w:val="24"/>
          <w:szCs w:val="24"/>
        </w:rPr>
        <w:t xml:space="preserve"> many migrants move to another country in order to escape from an already tense or potentially dangerous environment- they move in order to have better lives for themselves and or their families, potentially from “war-torn countries such as Syria [or] </w:t>
      </w:r>
      <w:r w:rsidRPr="00683C9D">
        <w:rPr>
          <w:rFonts w:cs="Calibri"/>
          <w:color w:val="0D0D0D" w:themeColor="text1" w:themeTint="F2"/>
          <w:sz w:val="24"/>
          <w:szCs w:val="24"/>
        </w:rPr>
        <w:t>Afghanistan” (</w:t>
      </w:r>
      <w:hyperlink r:id="rId10" w:history="1">
        <w:r w:rsidR="00683C9D" w:rsidRPr="00683C9D">
          <w:rPr>
            <w:rStyle w:val="Hyperlink"/>
            <w:rFonts w:cs="Calibri"/>
            <w:color w:val="0D0D0D" w:themeColor="text1" w:themeTint="F2"/>
            <w:sz w:val="24"/>
            <w:szCs w:val="24"/>
            <w:u w:val="none"/>
          </w:rPr>
          <w:t>Bove</w:t>
        </w:r>
      </w:hyperlink>
      <w:r w:rsidR="00683C9D" w:rsidRPr="00683C9D">
        <w:rPr>
          <w:rStyle w:val="Hyperlink"/>
          <w:rFonts w:cs="Calibri"/>
          <w:color w:val="0D0D0D" w:themeColor="text1" w:themeTint="F2"/>
          <w:sz w:val="24"/>
          <w:szCs w:val="24"/>
          <w:u w:val="none"/>
        </w:rPr>
        <w:t xml:space="preserve"> and Elia</w:t>
      </w:r>
      <w:r w:rsidRPr="00683C9D">
        <w:rPr>
          <w:rFonts w:cs="Calibri"/>
          <w:color w:val="0D0D0D" w:themeColor="text1" w:themeTint="F2"/>
          <w:sz w:val="24"/>
          <w:szCs w:val="24"/>
        </w:rPr>
        <w:t xml:space="preserve">, 2016). </w:t>
      </w:r>
      <w:r>
        <w:rPr>
          <w:rFonts w:cs="Calibri"/>
          <w:sz w:val="24"/>
          <w:szCs w:val="24"/>
        </w:rPr>
        <w:t>Moving from this type of environment is a process that is likely already very stressful and so to then enter a foreign environment and experience culture shock and or face discriminatory behaviour adds to this stress, in turn causing a depletion in mental health.</w:t>
      </w:r>
    </w:p>
    <w:p w14:paraId="43DF1FED" w14:textId="77777777" w:rsidR="004B01B9" w:rsidRDefault="004B01B9">
      <w:pPr>
        <w:spacing w:before="240" w:line="360" w:lineRule="auto"/>
        <w:rPr>
          <w:rFonts w:cs="Calibri"/>
          <w:sz w:val="24"/>
          <w:szCs w:val="24"/>
        </w:rPr>
      </w:pPr>
    </w:p>
    <w:p w14:paraId="43DF1FEE" w14:textId="5934B4F4" w:rsidR="004B01B9" w:rsidRDefault="00365ABC">
      <w:pPr>
        <w:spacing w:before="240" w:line="360" w:lineRule="auto"/>
        <w:rPr>
          <w:rFonts w:cs="Calibri"/>
          <w:sz w:val="24"/>
          <w:szCs w:val="24"/>
        </w:rPr>
      </w:pPr>
      <w:r>
        <w:rPr>
          <w:rFonts w:cs="Calibri"/>
          <w:sz w:val="24"/>
          <w:szCs w:val="24"/>
        </w:rPr>
        <w:t xml:space="preserve">Another reason that may cause mental health issues with migrants is “low social economic support and lack of language skills in the host country” (Rousseau and </w:t>
      </w:r>
      <w:proofErr w:type="spellStart"/>
      <w:r>
        <w:rPr>
          <w:rFonts w:cs="Calibri"/>
          <w:sz w:val="24"/>
          <w:szCs w:val="24"/>
        </w:rPr>
        <w:t>Frounfelker</w:t>
      </w:r>
      <w:proofErr w:type="spellEnd"/>
      <w:r>
        <w:rPr>
          <w:rFonts w:cs="Calibri"/>
          <w:sz w:val="24"/>
          <w:szCs w:val="24"/>
        </w:rPr>
        <w:t>, 2019). Having a lack of understanding of the host culture’s language may be particularly stressful as it impedes on day to day life</w:t>
      </w:r>
      <w:r w:rsidR="00F4361A">
        <w:rPr>
          <w:rFonts w:cs="Calibri"/>
          <w:sz w:val="24"/>
          <w:szCs w:val="24"/>
        </w:rPr>
        <w:t>, a migrant may not be able to conduct simple tasks such as buying food or asking for directions. Of course, learning a new language is difficult and not being able to effectively communicate could easily cause huge amounts of stress. In reference to quality of life, this could also have an effect. Due to the deep-rooted societal stereotypes of migrants, somebody may face discrimination for not knowing the dominant host language, this can take place in the form of racism and create isolation in which the migrant may feel uncomfortable in their new home</w:t>
      </w:r>
      <w:r w:rsidR="00F971AB">
        <w:rPr>
          <w:rFonts w:cs="Calibri"/>
          <w:sz w:val="24"/>
          <w:szCs w:val="24"/>
        </w:rPr>
        <w:t>. They may even feel unsafe.</w:t>
      </w:r>
    </w:p>
    <w:p w14:paraId="43DF1FEF" w14:textId="77777777" w:rsidR="004B01B9" w:rsidRDefault="004B01B9">
      <w:pPr>
        <w:spacing w:line="360" w:lineRule="auto"/>
        <w:rPr>
          <w:rFonts w:cs="Calibri"/>
          <w:sz w:val="24"/>
          <w:szCs w:val="24"/>
        </w:rPr>
      </w:pPr>
    </w:p>
    <w:p w14:paraId="43DF1FF3" w14:textId="48B54A20" w:rsidR="004B01B9" w:rsidRDefault="00365ABC" w:rsidP="00473D85">
      <w:pPr>
        <w:spacing w:line="360" w:lineRule="auto"/>
        <w:rPr>
          <w:rFonts w:cs="Calibri"/>
          <w:sz w:val="24"/>
          <w:szCs w:val="24"/>
        </w:rPr>
      </w:pPr>
      <w:r>
        <w:rPr>
          <w:rFonts w:cs="Calibri"/>
          <w:sz w:val="24"/>
          <w:szCs w:val="24"/>
        </w:rPr>
        <w:t>There are other studies which evaluate the mental health status of asylum seekers and migrants, showing that they tend to have a higher percentage of people with me</w:t>
      </w:r>
      <w:r w:rsidR="008F3ECE">
        <w:rPr>
          <w:rFonts w:cs="Calibri"/>
          <w:sz w:val="24"/>
          <w:szCs w:val="24"/>
        </w:rPr>
        <w:t>n</w:t>
      </w:r>
      <w:r>
        <w:rPr>
          <w:rFonts w:cs="Calibri"/>
          <w:sz w:val="24"/>
          <w:szCs w:val="24"/>
        </w:rPr>
        <w:t>tal health issues.</w:t>
      </w:r>
      <w:r w:rsidR="00760997">
        <w:rPr>
          <w:rFonts w:cs="Calibri"/>
          <w:sz w:val="24"/>
          <w:szCs w:val="24"/>
        </w:rPr>
        <w:t xml:space="preserve"> One study </w:t>
      </w:r>
      <w:r>
        <w:rPr>
          <w:rFonts w:cs="Calibri"/>
          <w:sz w:val="24"/>
          <w:szCs w:val="24"/>
        </w:rPr>
        <w:t>impl</w:t>
      </w:r>
      <w:r w:rsidR="00760997">
        <w:rPr>
          <w:rFonts w:cs="Calibri"/>
          <w:sz w:val="24"/>
          <w:szCs w:val="24"/>
        </w:rPr>
        <w:t>ies</w:t>
      </w:r>
      <w:r>
        <w:rPr>
          <w:rFonts w:cs="Calibri"/>
          <w:sz w:val="24"/>
          <w:szCs w:val="24"/>
        </w:rPr>
        <w:t xml:space="preserve"> that “the stress associated with migration may lead to increased suicide” (Rousseau and </w:t>
      </w:r>
      <w:proofErr w:type="spellStart"/>
      <w:r>
        <w:rPr>
          <w:rFonts w:cs="Calibri"/>
          <w:sz w:val="24"/>
          <w:szCs w:val="24"/>
        </w:rPr>
        <w:t>Frounfelker</w:t>
      </w:r>
      <w:proofErr w:type="spellEnd"/>
      <w:r>
        <w:rPr>
          <w:rFonts w:cs="Calibri"/>
          <w:sz w:val="24"/>
          <w:szCs w:val="24"/>
        </w:rPr>
        <w:t>, 2019)</w:t>
      </w:r>
      <w:r w:rsidR="00760997">
        <w:rPr>
          <w:rFonts w:cs="Calibri"/>
          <w:sz w:val="24"/>
          <w:szCs w:val="24"/>
        </w:rPr>
        <w:t>,</w:t>
      </w:r>
      <w:r>
        <w:rPr>
          <w:rFonts w:cs="Calibri"/>
          <w:sz w:val="24"/>
          <w:szCs w:val="24"/>
        </w:rPr>
        <w:t xml:space="preserve"> </w:t>
      </w:r>
      <w:r w:rsidR="00760997">
        <w:rPr>
          <w:rFonts w:cs="Calibri"/>
          <w:sz w:val="24"/>
          <w:szCs w:val="24"/>
        </w:rPr>
        <w:t>t</w:t>
      </w:r>
      <w:r>
        <w:rPr>
          <w:rFonts w:cs="Calibri"/>
          <w:sz w:val="24"/>
          <w:szCs w:val="24"/>
        </w:rPr>
        <w:t>his is demonstrative of the strength of the effects of migration</w:t>
      </w:r>
      <w:r w:rsidR="008F3ECE">
        <w:rPr>
          <w:rFonts w:cs="Calibri"/>
          <w:sz w:val="24"/>
          <w:szCs w:val="24"/>
        </w:rPr>
        <w:t xml:space="preserve">, that the stress can lead to real mental health problems. </w:t>
      </w:r>
      <w:r w:rsidR="00F4361A">
        <w:rPr>
          <w:rFonts w:cs="Calibri"/>
          <w:sz w:val="24"/>
          <w:szCs w:val="24"/>
        </w:rPr>
        <w:t>One of the most commonly identified psychological issues is depression; it is possible that the mental health statistics are so high in migrants because the home country may be less frequent in diagnosing said illness. In the West, depression is fairly commonly diagnosed whereas Steven Heine states that “depression is less commonly diagnosed … in China” (Heine, 2016). Using this as an example, if a Chinese person were to express symptoms of depression to their doctor in China, they may not receive a diagnosis- they may then migrate to another country such as the UK, present the same symptoms and be diagnosed with depression. This data could then be used to imply that migrants are more likely to be depressed, where this is not necessarily the case. Especially if they have a particularly positive migration experience.</w:t>
      </w:r>
      <w:r>
        <w:rPr>
          <w:rFonts w:cs="Calibri"/>
          <w:sz w:val="24"/>
          <w:szCs w:val="24"/>
        </w:rPr>
        <w:t xml:space="preserve"> Additionally, migrants may even experience greater mental health due to escaping from a traumatic environment and moving to somewhere that they feel safe.</w:t>
      </w:r>
    </w:p>
    <w:p w14:paraId="50D2B24B" w14:textId="77777777" w:rsidR="00473D85" w:rsidRDefault="00473D85" w:rsidP="00473D85">
      <w:pPr>
        <w:spacing w:line="360" w:lineRule="auto"/>
        <w:rPr>
          <w:rFonts w:cs="Calibri"/>
          <w:sz w:val="24"/>
          <w:szCs w:val="24"/>
        </w:rPr>
      </w:pPr>
    </w:p>
    <w:p w14:paraId="28C2ADDD" w14:textId="51B5DAC7" w:rsidR="009A6E7E" w:rsidRDefault="00473D85" w:rsidP="004B3A97">
      <w:pPr>
        <w:spacing w:line="360" w:lineRule="auto"/>
        <w:rPr>
          <w:rFonts w:cs="Calibri"/>
          <w:sz w:val="24"/>
          <w:szCs w:val="24"/>
        </w:rPr>
      </w:pPr>
      <w:r>
        <w:rPr>
          <w:rFonts w:cs="Calibri"/>
          <w:sz w:val="24"/>
          <w:szCs w:val="24"/>
        </w:rPr>
        <w:t xml:space="preserve">Overall, it is evident that the process of acculturation can have a significant effect on the life of a migrant. They may experience a loss of identity, lower quality of life and experience negative mental health issues. It is easy to assume that migrants have </w:t>
      </w:r>
      <w:r w:rsidR="000A4F4C">
        <w:rPr>
          <w:rFonts w:cs="Calibri"/>
          <w:sz w:val="24"/>
          <w:szCs w:val="24"/>
        </w:rPr>
        <w:t>an overwhelmingly</w:t>
      </w:r>
      <w:r>
        <w:rPr>
          <w:rFonts w:cs="Calibri"/>
          <w:sz w:val="24"/>
          <w:szCs w:val="24"/>
        </w:rPr>
        <w:t xml:space="preserve"> negative experiences</w:t>
      </w:r>
      <w:r w:rsidR="000A4F4C">
        <w:rPr>
          <w:rFonts w:cs="Calibri"/>
          <w:sz w:val="24"/>
          <w:szCs w:val="24"/>
        </w:rPr>
        <w:t xml:space="preserve"> due to society’s often portraying of them as a collectively bad group of people- which, of course, does happen as they are often exposed to racism, culture shock and the general stress of entering a culture that works differently to their heritage culture. However, it is important to consider each migrant individually, they are all their own people who have their own stories and reasons for migrating and so all have different experiences. As evidenced, migrating and or developing bi-culture can be particularly positive, opening the mind and preventing creating a barrier between different cultures- a person is able to experience more than one culture whilst maintaining their own identity and experiencing multiculturalism. Something that is likely to improve their quality of life.</w:t>
      </w:r>
    </w:p>
    <w:p w14:paraId="661BF5EB" w14:textId="41005A08" w:rsidR="000A03C8" w:rsidRDefault="000A03C8" w:rsidP="004B3A97">
      <w:pPr>
        <w:spacing w:line="360" w:lineRule="auto"/>
        <w:rPr>
          <w:rFonts w:cs="Calibri"/>
          <w:sz w:val="24"/>
          <w:szCs w:val="24"/>
        </w:rPr>
      </w:pPr>
      <w:r>
        <w:rPr>
          <w:rFonts w:cs="Calibri"/>
          <w:b/>
          <w:bCs/>
          <w:sz w:val="24"/>
          <w:szCs w:val="24"/>
        </w:rPr>
        <w:lastRenderedPageBreak/>
        <w:t xml:space="preserve">WORD COUNT: </w:t>
      </w:r>
      <w:r>
        <w:rPr>
          <w:rFonts w:cs="Calibri"/>
          <w:sz w:val="24"/>
          <w:szCs w:val="24"/>
        </w:rPr>
        <w:t>26</w:t>
      </w:r>
      <w:r w:rsidR="00760997">
        <w:rPr>
          <w:rFonts w:cs="Calibri"/>
          <w:sz w:val="24"/>
          <w:szCs w:val="24"/>
        </w:rPr>
        <w:t>76</w:t>
      </w:r>
    </w:p>
    <w:p w14:paraId="4CC87ED1" w14:textId="42B5E4BA" w:rsidR="000A03C8" w:rsidRDefault="000A03C8" w:rsidP="004B3A97">
      <w:pPr>
        <w:spacing w:line="360" w:lineRule="auto"/>
        <w:rPr>
          <w:rFonts w:cs="Calibri"/>
          <w:sz w:val="24"/>
          <w:szCs w:val="24"/>
        </w:rPr>
      </w:pPr>
    </w:p>
    <w:p w14:paraId="57149460" w14:textId="4B8D1ACA" w:rsidR="000A03C8" w:rsidRDefault="000A03C8" w:rsidP="004B3A97">
      <w:pPr>
        <w:spacing w:line="360" w:lineRule="auto"/>
        <w:rPr>
          <w:rFonts w:cs="Calibri"/>
          <w:sz w:val="24"/>
          <w:szCs w:val="24"/>
        </w:rPr>
      </w:pPr>
    </w:p>
    <w:p w14:paraId="7F499125" w14:textId="44522982" w:rsidR="000A03C8" w:rsidRDefault="000A03C8" w:rsidP="004B3A97">
      <w:pPr>
        <w:spacing w:line="360" w:lineRule="auto"/>
        <w:rPr>
          <w:rFonts w:cs="Calibri"/>
          <w:sz w:val="24"/>
          <w:szCs w:val="24"/>
        </w:rPr>
      </w:pPr>
    </w:p>
    <w:p w14:paraId="1F0F3DD0" w14:textId="26C32962" w:rsidR="000A03C8" w:rsidRDefault="000A03C8" w:rsidP="004B3A97">
      <w:pPr>
        <w:spacing w:line="360" w:lineRule="auto"/>
        <w:rPr>
          <w:rFonts w:cs="Calibri"/>
          <w:sz w:val="24"/>
          <w:szCs w:val="24"/>
        </w:rPr>
      </w:pPr>
    </w:p>
    <w:p w14:paraId="28175FC2" w14:textId="23C15013" w:rsidR="000A03C8" w:rsidRDefault="000A03C8" w:rsidP="004B3A97">
      <w:pPr>
        <w:spacing w:line="360" w:lineRule="auto"/>
        <w:rPr>
          <w:rFonts w:cs="Calibri"/>
          <w:sz w:val="24"/>
          <w:szCs w:val="24"/>
        </w:rPr>
      </w:pPr>
    </w:p>
    <w:p w14:paraId="4A299E07" w14:textId="39A04411" w:rsidR="000A03C8" w:rsidRDefault="000A03C8" w:rsidP="004B3A97">
      <w:pPr>
        <w:spacing w:line="360" w:lineRule="auto"/>
        <w:rPr>
          <w:rFonts w:cs="Calibri"/>
          <w:sz w:val="24"/>
          <w:szCs w:val="24"/>
        </w:rPr>
      </w:pPr>
    </w:p>
    <w:p w14:paraId="54600BA1" w14:textId="03AAF5F6" w:rsidR="000A03C8" w:rsidRDefault="000A03C8" w:rsidP="004B3A97">
      <w:pPr>
        <w:spacing w:line="360" w:lineRule="auto"/>
        <w:rPr>
          <w:rFonts w:cs="Calibri"/>
          <w:sz w:val="24"/>
          <w:szCs w:val="24"/>
        </w:rPr>
      </w:pPr>
    </w:p>
    <w:p w14:paraId="50AA8302" w14:textId="3870B6BF" w:rsidR="000A03C8" w:rsidRDefault="000A03C8" w:rsidP="004B3A97">
      <w:pPr>
        <w:spacing w:line="360" w:lineRule="auto"/>
        <w:rPr>
          <w:rFonts w:cs="Calibri"/>
          <w:sz w:val="24"/>
          <w:szCs w:val="24"/>
        </w:rPr>
      </w:pPr>
    </w:p>
    <w:p w14:paraId="571FA11D" w14:textId="7374CCAB" w:rsidR="000A03C8" w:rsidRDefault="000A03C8" w:rsidP="004B3A97">
      <w:pPr>
        <w:spacing w:line="360" w:lineRule="auto"/>
        <w:rPr>
          <w:rFonts w:cs="Calibri"/>
          <w:sz w:val="24"/>
          <w:szCs w:val="24"/>
        </w:rPr>
      </w:pPr>
    </w:p>
    <w:p w14:paraId="62DCB4FB" w14:textId="4817DA93" w:rsidR="000A03C8" w:rsidRDefault="000A03C8" w:rsidP="004B3A97">
      <w:pPr>
        <w:spacing w:line="360" w:lineRule="auto"/>
        <w:rPr>
          <w:rFonts w:cs="Calibri"/>
          <w:sz w:val="24"/>
          <w:szCs w:val="24"/>
        </w:rPr>
      </w:pPr>
    </w:p>
    <w:p w14:paraId="562907A0" w14:textId="7F16773D" w:rsidR="000A03C8" w:rsidRDefault="000A03C8" w:rsidP="004B3A97">
      <w:pPr>
        <w:spacing w:line="360" w:lineRule="auto"/>
        <w:rPr>
          <w:rFonts w:cs="Calibri"/>
          <w:sz w:val="24"/>
          <w:szCs w:val="24"/>
        </w:rPr>
      </w:pPr>
    </w:p>
    <w:p w14:paraId="1BE95181" w14:textId="60E87C88" w:rsidR="000A03C8" w:rsidRDefault="000A03C8" w:rsidP="004B3A97">
      <w:pPr>
        <w:spacing w:line="360" w:lineRule="auto"/>
        <w:rPr>
          <w:rFonts w:cs="Calibri"/>
          <w:sz w:val="24"/>
          <w:szCs w:val="24"/>
        </w:rPr>
      </w:pPr>
    </w:p>
    <w:p w14:paraId="51FE4FDC" w14:textId="244A9EB0" w:rsidR="000A03C8" w:rsidRDefault="000A03C8" w:rsidP="004B3A97">
      <w:pPr>
        <w:spacing w:line="360" w:lineRule="auto"/>
        <w:rPr>
          <w:rFonts w:cs="Calibri"/>
          <w:sz w:val="24"/>
          <w:szCs w:val="24"/>
        </w:rPr>
      </w:pPr>
    </w:p>
    <w:p w14:paraId="5DB691C3" w14:textId="4002DF26" w:rsidR="000A03C8" w:rsidRDefault="000A03C8" w:rsidP="004B3A97">
      <w:pPr>
        <w:spacing w:line="360" w:lineRule="auto"/>
        <w:rPr>
          <w:rFonts w:cs="Calibri"/>
          <w:sz w:val="24"/>
          <w:szCs w:val="24"/>
        </w:rPr>
      </w:pPr>
    </w:p>
    <w:p w14:paraId="49379191" w14:textId="73D83C91" w:rsidR="000A03C8" w:rsidRDefault="000A03C8" w:rsidP="004B3A97">
      <w:pPr>
        <w:spacing w:line="360" w:lineRule="auto"/>
        <w:rPr>
          <w:rFonts w:cs="Calibri"/>
          <w:sz w:val="24"/>
          <w:szCs w:val="24"/>
        </w:rPr>
      </w:pPr>
    </w:p>
    <w:p w14:paraId="49987F29" w14:textId="7A5324BA" w:rsidR="000A03C8" w:rsidRDefault="000A03C8" w:rsidP="004B3A97">
      <w:pPr>
        <w:spacing w:line="360" w:lineRule="auto"/>
        <w:rPr>
          <w:rFonts w:cs="Calibri"/>
          <w:sz w:val="24"/>
          <w:szCs w:val="24"/>
        </w:rPr>
      </w:pPr>
    </w:p>
    <w:p w14:paraId="62B4F5CB" w14:textId="53466142" w:rsidR="000A03C8" w:rsidRDefault="000A03C8" w:rsidP="004B3A97">
      <w:pPr>
        <w:spacing w:line="360" w:lineRule="auto"/>
        <w:rPr>
          <w:rFonts w:cs="Calibri"/>
          <w:sz w:val="24"/>
          <w:szCs w:val="24"/>
        </w:rPr>
      </w:pPr>
    </w:p>
    <w:p w14:paraId="4E0E0C20" w14:textId="0BF3F7BA" w:rsidR="000A03C8" w:rsidRDefault="000A03C8" w:rsidP="004B3A97">
      <w:pPr>
        <w:spacing w:line="360" w:lineRule="auto"/>
        <w:rPr>
          <w:rFonts w:cs="Calibri"/>
          <w:sz w:val="24"/>
          <w:szCs w:val="24"/>
        </w:rPr>
      </w:pPr>
    </w:p>
    <w:p w14:paraId="297354B7" w14:textId="4885C885" w:rsidR="000A03C8" w:rsidRDefault="000A03C8" w:rsidP="004B3A97">
      <w:pPr>
        <w:spacing w:line="360" w:lineRule="auto"/>
        <w:rPr>
          <w:rFonts w:cs="Calibri"/>
          <w:sz w:val="24"/>
          <w:szCs w:val="24"/>
        </w:rPr>
      </w:pPr>
    </w:p>
    <w:p w14:paraId="4F6A8090" w14:textId="43D303E1" w:rsidR="000A03C8" w:rsidRDefault="000A03C8" w:rsidP="004B3A97">
      <w:pPr>
        <w:spacing w:line="360" w:lineRule="auto"/>
        <w:rPr>
          <w:rFonts w:cs="Calibri"/>
          <w:sz w:val="24"/>
          <w:szCs w:val="24"/>
        </w:rPr>
      </w:pPr>
    </w:p>
    <w:p w14:paraId="1148BA57" w14:textId="2E2148CA" w:rsidR="000A03C8" w:rsidRDefault="000A03C8" w:rsidP="004B3A97">
      <w:pPr>
        <w:spacing w:line="360" w:lineRule="auto"/>
        <w:rPr>
          <w:rFonts w:cs="Calibri"/>
          <w:sz w:val="24"/>
          <w:szCs w:val="24"/>
        </w:rPr>
      </w:pPr>
    </w:p>
    <w:p w14:paraId="4DF2352A" w14:textId="77777777" w:rsidR="000A03C8" w:rsidRPr="000A03C8" w:rsidRDefault="000A03C8" w:rsidP="004B3A97">
      <w:pPr>
        <w:spacing w:line="360" w:lineRule="auto"/>
        <w:rPr>
          <w:rFonts w:cs="Calibri"/>
          <w:sz w:val="24"/>
          <w:szCs w:val="24"/>
        </w:rPr>
      </w:pPr>
    </w:p>
    <w:p w14:paraId="7F9C44B2" w14:textId="7BB8DC2E" w:rsidR="004B01B9" w:rsidRDefault="0023353C" w:rsidP="0023353C">
      <w:pPr>
        <w:spacing w:line="360" w:lineRule="auto"/>
        <w:jc w:val="center"/>
        <w:rPr>
          <w:b/>
          <w:bCs/>
          <w:sz w:val="36"/>
          <w:szCs w:val="36"/>
        </w:rPr>
      </w:pPr>
      <w:r>
        <w:rPr>
          <w:b/>
          <w:bCs/>
          <w:sz w:val="36"/>
          <w:szCs w:val="36"/>
        </w:rPr>
        <w:lastRenderedPageBreak/>
        <w:t>Bibliography</w:t>
      </w:r>
    </w:p>
    <w:p w14:paraId="7DE3BE07" w14:textId="24FE1359" w:rsidR="0023353C" w:rsidRDefault="0023353C" w:rsidP="0023353C">
      <w:pPr>
        <w:spacing w:line="360" w:lineRule="auto"/>
        <w:jc w:val="center"/>
        <w:rPr>
          <w:b/>
          <w:bCs/>
          <w:sz w:val="36"/>
          <w:szCs w:val="36"/>
        </w:rPr>
      </w:pPr>
    </w:p>
    <w:p w14:paraId="4238FA19" w14:textId="0D04812E" w:rsidR="0023353C" w:rsidRPr="000A03C8" w:rsidRDefault="007129F7" w:rsidP="007129F7">
      <w:pPr>
        <w:pStyle w:val="ListParagraph"/>
        <w:numPr>
          <w:ilvl w:val="0"/>
          <w:numId w:val="3"/>
        </w:numPr>
        <w:spacing w:line="360" w:lineRule="auto"/>
        <w:rPr>
          <w:rFonts w:cs="Calibri"/>
          <w:sz w:val="24"/>
          <w:szCs w:val="24"/>
        </w:rPr>
      </w:pPr>
      <w:r w:rsidRPr="000A03C8">
        <w:rPr>
          <w:rFonts w:cs="Calibri"/>
          <w:color w:val="000000"/>
          <w:sz w:val="24"/>
          <w:szCs w:val="24"/>
          <w:shd w:val="clear" w:color="auto" w:fill="FFFFFF"/>
        </w:rPr>
        <w:t>Agar, M. (2008). </w:t>
      </w:r>
      <w:r w:rsidRPr="000A03C8">
        <w:rPr>
          <w:rFonts w:cs="Calibri"/>
          <w:i/>
          <w:iCs/>
          <w:color w:val="000000"/>
          <w:sz w:val="24"/>
          <w:szCs w:val="24"/>
          <w:shd w:val="clear" w:color="auto" w:fill="FFFFFF"/>
        </w:rPr>
        <w:t>Language shock</w:t>
      </w:r>
      <w:r w:rsidRPr="000A03C8">
        <w:rPr>
          <w:rFonts w:cs="Calibri"/>
          <w:color w:val="000000"/>
          <w:sz w:val="24"/>
          <w:szCs w:val="24"/>
          <w:shd w:val="clear" w:color="auto" w:fill="FFFFFF"/>
        </w:rPr>
        <w:t>. New York, NY: Perennial.</w:t>
      </w:r>
    </w:p>
    <w:p w14:paraId="00DC89DF" w14:textId="57484CA5" w:rsidR="00866DCC" w:rsidRPr="000A03C8" w:rsidRDefault="00866DCC" w:rsidP="007129F7">
      <w:pPr>
        <w:pStyle w:val="ListParagraph"/>
        <w:numPr>
          <w:ilvl w:val="0"/>
          <w:numId w:val="3"/>
        </w:numPr>
        <w:spacing w:line="360" w:lineRule="auto"/>
        <w:rPr>
          <w:rFonts w:cs="Calibri"/>
          <w:sz w:val="24"/>
          <w:szCs w:val="24"/>
        </w:rPr>
      </w:pPr>
      <w:r w:rsidRPr="000A03C8">
        <w:rPr>
          <w:rFonts w:cs="Calibri"/>
          <w:color w:val="000000"/>
          <w:sz w:val="24"/>
          <w:szCs w:val="24"/>
          <w:shd w:val="clear" w:color="auto" w:fill="FFFFFF"/>
        </w:rPr>
        <w:t>Berry, J. (2005). Acculturation: Living successfully in two cultures. </w:t>
      </w:r>
      <w:r w:rsidRPr="000A03C8">
        <w:rPr>
          <w:rFonts w:cs="Calibri"/>
          <w:i/>
          <w:iCs/>
          <w:color w:val="000000"/>
          <w:sz w:val="24"/>
          <w:szCs w:val="24"/>
          <w:shd w:val="clear" w:color="auto" w:fill="FFFFFF"/>
        </w:rPr>
        <w:t>International Journal of Intercultural Relations</w:t>
      </w:r>
      <w:r w:rsidRPr="000A03C8">
        <w:rPr>
          <w:rFonts w:cs="Calibri"/>
          <w:color w:val="000000"/>
          <w:sz w:val="24"/>
          <w:szCs w:val="24"/>
          <w:shd w:val="clear" w:color="auto" w:fill="FFFFFF"/>
        </w:rPr>
        <w:t>, [online] 29(6), pp.697-712. Available at: http://www.sciencedirect.com [Accessed 26 Feb. 2020].</w:t>
      </w:r>
    </w:p>
    <w:p w14:paraId="0BB12BF6" w14:textId="1A09D5CC" w:rsidR="00866DCC" w:rsidRPr="000A03C8" w:rsidRDefault="00387C6B" w:rsidP="007129F7">
      <w:pPr>
        <w:pStyle w:val="ListParagraph"/>
        <w:numPr>
          <w:ilvl w:val="0"/>
          <w:numId w:val="3"/>
        </w:numPr>
        <w:spacing w:line="360" w:lineRule="auto"/>
        <w:rPr>
          <w:rFonts w:cs="Calibri"/>
          <w:sz w:val="24"/>
          <w:szCs w:val="24"/>
        </w:rPr>
      </w:pPr>
      <w:r w:rsidRPr="000A03C8">
        <w:rPr>
          <w:rFonts w:cs="Calibri"/>
          <w:color w:val="000000"/>
          <w:sz w:val="24"/>
          <w:szCs w:val="24"/>
          <w:shd w:val="clear" w:color="auto" w:fill="FFFFFF"/>
        </w:rPr>
        <w:t>Bove, V. and Elia, L. (2016). </w:t>
      </w:r>
      <w:r w:rsidRPr="000A03C8">
        <w:rPr>
          <w:rFonts w:cs="Calibri"/>
          <w:i/>
          <w:iCs/>
          <w:color w:val="000000"/>
          <w:sz w:val="24"/>
          <w:szCs w:val="24"/>
          <w:shd w:val="clear" w:color="auto" w:fill="FFFFFF"/>
        </w:rPr>
        <w:t>The biggest issues facing migrants today - and what we can do to solve them</w:t>
      </w:r>
      <w:r w:rsidRPr="000A03C8">
        <w:rPr>
          <w:rFonts w:cs="Calibri"/>
          <w:color w:val="000000"/>
          <w:sz w:val="24"/>
          <w:szCs w:val="24"/>
          <w:shd w:val="clear" w:color="auto" w:fill="FFFFFF"/>
        </w:rPr>
        <w:t>. [online] World Economic Forum. Available at: https://www.weforum.org/agenda/2016/11/the-biggest-issues-facing-migrants-today/ [Accessed 26 Feb. 2020].</w:t>
      </w:r>
    </w:p>
    <w:p w14:paraId="065BB37A" w14:textId="73A6215E" w:rsidR="00387C6B" w:rsidRPr="000A03C8" w:rsidRDefault="00BE22F2" w:rsidP="007129F7">
      <w:pPr>
        <w:pStyle w:val="ListParagraph"/>
        <w:numPr>
          <w:ilvl w:val="0"/>
          <w:numId w:val="3"/>
        </w:numPr>
        <w:spacing w:line="360" w:lineRule="auto"/>
        <w:rPr>
          <w:rFonts w:cs="Calibri"/>
          <w:sz w:val="24"/>
          <w:szCs w:val="24"/>
        </w:rPr>
      </w:pPr>
      <w:r w:rsidRPr="000A03C8">
        <w:rPr>
          <w:rFonts w:cs="Calibri"/>
          <w:color w:val="000000"/>
          <w:sz w:val="24"/>
          <w:szCs w:val="24"/>
          <w:shd w:val="clear" w:color="auto" w:fill="FFFFFF"/>
        </w:rPr>
        <w:t>Fuchs, S. (2020). </w:t>
      </w:r>
      <w:r w:rsidRPr="000A03C8">
        <w:rPr>
          <w:rFonts w:cs="Calibri"/>
          <w:i/>
          <w:iCs/>
          <w:color w:val="000000"/>
          <w:sz w:val="24"/>
          <w:szCs w:val="24"/>
          <w:shd w:val="clear" w:color="auto" w:fill="FFFFFF"/>
        </w:rPr>
        <w:t>The Gift of a Bicultural Upbringing</w:t>
      </w:r>
      <w:r w:rsidRPr="000A03C8">
        <w:rPr>
          <w:rFonts w:cs="Calibri"/>
          <w:color w:val="000000"/>
          <w:sz w:val="24"/>
          <w:szCs w:val="24"/>
          <w:shd w:val="clear" w:color="auto" w:fill="FFFFFF"/>
        </w:rPr>
        <w:t>. [online] SAPIENS. Available at: https://www.sapiens.org/culture/anthropologist-parents/ [Accessed 28 Feb. 2020].</w:t>
      </w:r>
    </w:p>
    <w:p w14:paraId="475B09C3" w14:textId="50EC6506" w:rsidR="00BE22F2" w:rsidRPr="000A03C8" w:rsidRDefault="009C4F88" w:rsidP="007129F7">
      <w:pPr>
        <w:pStyle w:val="ListParagraph"/>
        <w:numPr>
          <w:ilvl w:val="0"/>
          <w:numId w:val="3"/>
        </w:numPr>
        <w:spacing w:line="360" w:lineRule="auto"/>
        <w:rPr>
          <w:rFonts w:cs="Calibri"/>
          <w:sz w:val="24"/>
          <w:szCs w:val="24"/>
        </w:rPr>
      </w:pPr>
      <w:r w:rsidRPr="000A03C8">
        <w:rPr>
          <w:rFonts w:cs="Calibri"/>
          <w:color w:val="000000"/>
          <w:sz w:val="24"/>
          <w:szCs w:val="24"/>
          <w:shd w:val="clear" w:color="auto" w:fill="FFFFFF"/>
        </w:rPr>
        <w:t>Heine, S. (2016). </w:t>
      </w:r>
      <w:r w:rsidRPr="000A03C8">
        <w:rPr>
          <w:rFonts w:cs="Calibri"/>
          <w:i/>
          <w:iCs/>
          <w:color w:val="000000"/>
          <w:sz w:val="24"/>
          <w:szCs w:val="24"/>
          <w:shd w:val="clear" w:color="auto" w:fill="FFFFFF"/>
        </w:rPr>
        <w:t>Cultural Psychology</w:t>
      </w:r>
      <w:r w:rsidRPr="000A03C8">
        <w:rPr>
          <w:rFonts w:cs="Calibri"/>
          <w:color w:val="000000"/>
          <w:sz w:val="24"/>
          <w:szCs w:val="24"/>
          <w:shd w:val="clear" w:color="auto" w:fill="FFFFFF"/>
        </w:rPr>
        <w:t xml:space="preserve">. 3rd ed. London: W </w:t>
      </w:r>
      <w:proofErr w:type="spellStart"/>
      <w:r w:rsidRPr="000A03C8">
        <w:rPr>
          <w:rFonts w:cs="Calibri"/>
          <w:color w:val="000000"/>
          <w:sz w:val="24"/>
          <w:szCs w:val="24"/>
          <w:shd w:val="clear" w:color="auto" w:fill="FFFFFF"/>
        </w:rPr>
        <w:t>W</w:t>
      </w:r>
      <w:proofErr w:type="spellEnd"/>
      <w:r w:rsidRPr="000A03C8">
        <w:rPr>
          <w:rFonts w:cs="Calibri"/>
          <w:color w:val="000000"/>
          <w:sz w:val="24"/>
          <w:szCs w:val="24"/>
          <w:shd w:val="clear" w:color="auto" w:fill="FFFFFF"/>
        </w:rPr>
        <w:t xml:space="preserve"> Norton &amp; Company Inc., pp.258-272.</w:t>
      </w:r>
    </w:p>
    <w:p w14:paraId="17EC84CD" w14:textId="251B4C10" w:rsidR="009C4F88" w:rsidRPr="000A03C8" w:rsidRDefault="009B094B" w:rsidP="007129F7">
      <w:pPr>
        <w:pStyle w:val="ListParagraph"/>
        <w:numPr>
          <w:ilvl w:val="0"/>
          <w:numId w:val="3"/>
        </w:numPr>
        <w:spacing w:line="360" w:lineRule="auto"/>
        <w:rPr>
          <w:rFonts w:cs="Calibri"/>
          <w:sz w:val="24"/>
          <w:szCs w:val="24"/>
        </w:rPr>
      </w:pPr>
      <w:proofErr w:type="spellStart"/>
      <w:r w:rsidRPr="000A03C8">
        <w:rPr>
          <w:rFonts w:cs="Calibri"/>
          <w:color w:val="000000"/>
          <w:sz w:val="24"/>
          <w:szCs w:val="24"/>
          <w:shd w:val="clear" w:color="auto" w:fill="FFFFFF"/>
        </w:rPr>
        <w:t>Mcleod</w:t>
      </w:r>
      <w:proofErr w:type="spellEnd"/>
      <w:r w:rsidRPr="000A03C8">
        <w:rPr>
          <w:rFonts w:cs="Calibri"/>
          <w:color w:val="000000"/>
          <w:sz w:val="24"/>
          <w:szCs w:val="24"/>
          <w:shd w:val="clear" w:color="auto" w:fill="FFFFFF"/>
        </w:rPr>
        <w:t>, S. (2019). </w:t>
      </w:r>
      <w:r w:rsidRPr="000A03C8">
        <w:rPr>
          <w:rFonts w:cs="Calibri"/>
          <w:i/>
          <w:iCs/>
          <w:color w:val="000000"/>
          <w:sz w:val="24"/>
          <w:szCs w:val="24"/>
          <w:shd w:val="clear" w:color="auto" w:fill="FFFFFF"/>
        </w:rPr>
        <w:t>Social Identity Theory | Simply Psychology</w:t>
      </w:r>
      <w:r w:rsidRPr="000A03C8">
        <w:rPr>
          <w:rFonts w:cs="Calibri"/>
          <w:color w:val="000000"/>
          <w:sz w:val="24"/>
          <w:szCs w:val="24"/>
          <w:shd w:val="clear" w:color="auto" w:fill="FFFFFF"/>
        </w:rPr>
        <w:t>. [online] Simplypsychology.org. Available at: https://www.simplypsychology.org/social-identity-theory.html [Accessed 28 Feb. 2020].</w:t>
      </w:r>
    </w:p>
    <w:p w14:paraId="2341CBFE" w14:textId="2B4F649F" w:rsidR="009B094B" w:rsidRPr="000A03C8" w:rsidRDefault="009B094B" w:rsidP="007129F7">
      <w:pPr>
        <w:pStyle w:val="ListParagraph"/>
        <w:numPr>
          <w:ilvl w:val="0"/>
          <w:numId w:val="3"/>
        </w:numPr>
        <w:spacing w:line="360" w:lineRule="auto"/>
        <w:rPr>
          <w:rFonts w:cs="Calibri"/>
          <w:sz w:val="24"/>
          <w:szCs w:val="24"/>
        </w:rPr>
      </w:pPr>
      <w:r w:rsidRPr="000A03C8">
        <w:rPr>
          <w:rFonts w:cs="Calibri"/>
          <w:color w:val="000000"/>
          <w:sz w:val="24"/>
          <w:szCs w:val="24"/>
          <w:shd w:val="clear" w:color="auto" w:fill="FFFFFF"/>
        </w:rPr>
        <w:t>Mental Health Foundation. (2020). </w:t>
      </w:r>
      <w:r w:rsidRPr="000A03C8">
        <w:rPr>
          <w:rFonts w:cs="Calibri"/>
          <w:i/>
          <w:iCs/>
          <w:color w:val="000000"/>
          <w:sz w:val="24"/>
          <w:szCs w:val="24"/>
          <w:shd w:val="clear" w:color="auto" w:fill="FFFFFF"/>
        </w:rPr>
        <w:t>Mental health statistics: refugees and asylum seekers</w:t>
      </w:r>
      <w:r w:rsidRPr="000A03C8">
        <w:rPr>
          <w:rFonts w:cs="Calibri"/>
          <w:color w:val="000000"/>
          <w:sz w:val="24"/>
          <w:szCs w:val="24"/>
          <w:shd w:val="clear" w:color="auto" w:fill="FFFFFF"/>
        </w:rPr>
        <w:t>. [online] Available at: https://www.mentalhealth.org.uk/statistics/mental-health-statistics-refugees-and-asylum-seekers [Accessed 1 Mar. 2020].</w:t>
      </w:r>
    </w:p>
    <w:p w14:paraId="1FD3FE75" w14:textId="24FDC934" w:rsidR="009B094B" w:rsidRPr="000A03C8" w:rsidRDefault="00F06A23" w:rsidP="007129F7">
      <w:pPr>
        <w:pStyle w:val="ListParagraph"/>
        <w:numPr>
          <w:ilvl w:val="0"/>
          <w:numId w:val="3"/>
        </w:numPr>
        <w:spacing w:line="360" w:lineRule="auto"/>
        <w:rPr>
          <w:rFonts w:cs="Calibri"/>
          <w:sz w:val="24"/>
          <w:szCs w:val="24"/>
        </w:rPr>
      </w:pPr>
      <w:r w:rsidRPr="000A03C8">
        <w:rPr>
          <w:rFonts w:cs="Calibri"/>
          <w:color w:val="000000"/>
          <w:sz w:val="24"/>
          <w:szCs w:val="24"/>
          <w:shd w:val="clear" w:color="auto" w:fill="FFFFFF"/>
        </w:rPr>
        <w:t xml:space="preserve">Rousseau, C. and </w:t>
      </w:r>
      <w:proofErr w:type="spellStart"/>
      <w:r w:rsidRPr="000A03C8">
        <w:rPr>
          <w:rFonts w:cs="Calibri"/>
          <w:color w:val="000000"/>
          <w:sz w:val="24"/>
          <w:szCs w:val="24"/>
          <w:shd w:val="clear" w:color="auto" w:fill="FFFFFF"/>
        </w:rPr>
        <w:t>Frounfelker</w:t>
      </w:r>
      <w:proofErr w:type="spellEnd"/>
      <w:r w:rsidRPr="000A03C8">
        <w:rPr>
          <w:rFonts w:cs="Calibri"/>
          <w:color w:val="000000"/>
          <w:sz w:val="24"/>
          <w:szCs w:val="24"/>
          <w:shd w:val="clear" w:color="auto" w:fill="FFFFFF"/>
        </w:rPr>
        <w:t>, R. (2018). Mental health needs and services for migrants: an overview for primary care providers. </w:t>
      </w:r>
      <w:r w:rsidRPr="000A03C8">
        <w:rPr>
          <w:rFonts w:cs="Calibri"/>
          <w:i/>
          <w:iCs/>
          <w:color w:val="000000"/>
          <w:sz w:val="24"/>
          <w:szCs w:val="24"/>
          <w:shd w:val="clear" w:color="auto" w:fill="FFFFFF"/>
        </w:rPr>
        <w:t>Journal of Travel Medicine</w:t>
      </w:r>
      <w:r w:rsidRPr="000A03C8">
        <w:rPr>
          <w:rFonts w:cs="Calibri"/>
          <w:color w:val="000000"/>
          <w:sz w:val="24"/>
          <w:szCs w:val="24"/>
          <w:shd w:val="clear" w:color="auto" w:fill="FFFFFF"/>
        </w:rPr>
        <w:t>, 26(2).</w:t>
      </w:r>
    </w:p>
    <w:p w14:paraId="371C9DAB" w14:textId="4E10321B" w:rsidR="00F06A23" w:rsidRPr="000A03C8" w:rsidRDefault="00D84C50" w:rsidP="007129F7">
      <w:pPr>
        <w:pStyle w:val="ListParagraph"/>
        <w:numPr>
          <w:ilvl w:val="0"/>
          <w:numId w:val="3"/>
        </w:numPr>
        <w:spacing w:line="360" w:lineRule="auto"/>
        <w:rPr>
          <w:rFonts w:cs="Calibri"/>
          <w:sz w:val="24"/>
          <w:szCs w:val="24"/>
        </w:rPr>
      </w:pPr>
      <w:r w:rsidRPr="000A03C8">
        <w:rPr>
          <w:rFonts w:cs="Calibri"/>
          <w:color w:val="000000"/>
          <w:sz w:val="24"/>
          <w:szCs w:val="24"/>
          <w:shd w:val="clear" w:color="auto" w:fill="FFFFFF"/>
        </w:rPr>
        <w:t>Sanchez-</w:t>
      </w:r>
      <w:proofErr w:type="spellStart"/>
      <w:r w:rsidRPr="000A03C8">
        <w:rPr>
          <w:rFonts w:cs="Calibri"/>
          <w:color w:val="000000"/>
          <w:sz w:val="24"/>
          <w:szCs w:val="24"/>
          <w:shd w:val="clear" w:color="auto" w:fill="FFFFFF"/>
        </w:rPr>
        <w:t>Mazas</w:t>
      </w:r>
      <w:proofErr w:type="spellEnd"/>
      <w:r w:rsidRPr="000A03C8">
        <w:rPr>
          <w:rFonts w:cs="Calibri"/>
          <w:color w:val="000000"/>
          <w:sz w:val="24"/>
          <w:szCs w:val="24"/>
          <w:shd w:val="clear" w:color="auto" w:fill="FFFFFF"/>
        </w:rPr>
        <w:t xml:space="preserve">, M. and Licata, L. (2015). International </w:t>
      </w:r>
      <w:proofErr w:type="spellStart"/>
      <w:r w:rsidRPr="000A03C8">
        <w:rPr>
          <w:rFonts w:cs="Calibri"/>
          <w:color w:val="000000"/>
          <w:sz w:val="24"/>
          <w:szCs w:val="24"/>
          <w:shd w:val="clear" w:color="auto" w:fill="FFFFFF"/>
        </w:rPr>
        <w:t>Encyclopedia</w:t>
      </w:r>
      <w:proofErr w:type="spellEnd"/>
      <w:r w:rsidRPr="000A03C8">
        <w:rPr>
          <w:rFonts w:cs="Calibri"/>
          <w:color w:val="000000"/>
          <w:sz w:val="24"/>
          <w:szCs w:val="24"/>
          <w:shd w:val="clear" w:color="auto" w:fill="FFFFFF"/>
        </w:rPr>
        <w:t xml:space="preserve"> of the Social &amp; </w:t>
      </w:r>
      <w:proofErr w:type="spellStart"/>
      <w:r w:rsidRPr="000A03C8">
        <w:rPr>
          <w:rFonts w:cs="Calibri"/>
          <w:color w:val="000000"/>
          <w:sz w:val="24"/>
          <w:szCs w:val="24"/>
          <w:shd w:val="clear" w:color="auto" w:fill="FFFFFF"/>
        </w:rPr>
        <w:t>Behavioral</w:t>
      </w:r>
      <w:proofErr w:type="spellEnd"/>
      <w:r w:rsidRPr="000A03C8">
        <w:rPr>
          <w:rFonts w:cs="Calibri"/>
          <w:color w:val="000000"/>
          <w:sz w:val="24"/>
          <w:szCs w:val="24"/>
          <w:shd w:val="clear" w:color="auto" w:fill="FFFFFF"/>
        </w:rPr>
        <w:t xml:space="preserve"> Sciences. </w:t>
      </w:r>
      <w:proofErr w:type="spellStart"/>
      <w:r w:rsidRPr="000A03C8">
        <w:rPr>
          <w:rFonts w:cs="Calibri"/>
          <w:i/>
          <w:iCs/>
          <w:color w:val="000000"/>
          <w:sz w:val="24"/>
          <w:szCs w:val="24"/>
          <w:shd w:val="clear" w:color="auto" w:fill="FFFFFF"/>
        </w:rPr>
        <w:t>Behavioral</w:t>
      </w:r>
      <w:proofErr w:type="spellEnd"/>
      <w:r w:rsidRPr="000A03C8">
        <w:rPr>
          <w:rFonts w:cs="Calibri"/>
          <w:i/>
          <w:iCs/>
          <w:color w:val="000000"/>
          <w:sz w:val="24"/>
          <w:szCs w:val="24"/>
          <w:shd w:val="clear" w:color="auto" w:fill="FFFFFF"/>
        </w:rPr>
        <w:t xml:space="preserve"> &amp; Social Sciences Librarian</w:t>
      </w:r>
      <w:r w:rsidRPr="000A03C8">
        <w:rPr>
          <w:rFonts w:cs="Calibri"/>
          <w:color w:val="000000"/>
          <w:sz w:val="24"/>
          <w:szCs w:val="24"/>
          <w:shd w:val="clear" w:color="auto" w:fill="FFFFFF"/>
        </w:rPr>
        <w:t>, 25, pp.802-807.</w:t>
      </w:r>
    </w:p>
    <w:p w14:paraId="5E5F054E" w14:textId="50CA21A5" w:rsidR="00D84C50" w:rsidRPr="000A03C8" w:rsidRDefault="005D1401" w:rsidP="007129F7">
      <w:pPr>
        <w:pStyle w:val="ListParagraph"/>
        <w:numPr>
          <w:ilvl w:val="0"/>
          <w:numId w:val="3"/>
        </w:numPr>
        <w:spacing w:line="360" w:lineRule="auto"/>
        <w:rPr>
          <w:rFonts w:cs="Calibri"/>
          <w:sz w:val="24"/>
          <w:szCs w:val="24"/>
        </w:rPr>
      </w:pPr>
      <w:r w:rsidRPr="000A03C8">
        <w:rPr>
          <w:rFonts w:cs="Calibri"/>
          <w:color w:val="000000"/>
          <w:sz w:val="24"/>
          <w:szCs w:val="24"/>
          <w:shd w:val="clear" w:color="auto" w:fill="FFFFFF"/>
        </w:rPr>
        <w:t>Simpson, J. (1991). </w:t>
      </w:r>
      <w:r w:rsidRPr="000A03C8">
        <w:rPr>
          <w:rFonts w:cs="Calibri"/>
          <w:i/>
          <w:iCs/>
          <w:color w:val="000000"/>
          <w:sz w:val="24"/>
          <w:szCs w:val="24"/>
          <w:shd w:val="clear" w:color="auto" w:fill="FFFFFF"/>
        </w:rPr>
        <w:t>The Oxford English dictionary</w:t>
      </w:r>
      <w:r w:rsidRPr="000A03C8">
        <w:rPr>
          <w:rFonts w:cs="Calibri"/>
          <w:color w:val="000000"/>
          <w:sz w:val="24"/>
          <w:szCs w:val="24"/>
          <w:shd w:val="clear" w:color="auto" w:fill="FFFFFF"/>
        </w:rPr>
        <w:t>. Oxford: Clarendon Press.</w:t>
      </w:r>
    </w:p>
    <w:p w14:paraId="75799114" w14:textId="3A31F357" w:rsidR="005D1401" w:rsidRPr="000A03C8" w:rsidRDefault="00B10B0D" w:rsidP="007129F7">
      <w:pPr>
        <w:pStyle w:val="ListParagraph"/>
        <w:numPr>
          <w:ilvl w:val="0"/>
          <w:numId w:val="3"/>
        </w:numPr>
        <w:spacing w:line="360" w:lineRule="auto"/>
        <w:rPr>
          <w:rFonts w:cs="Calibri"/>
          <w:sz w:val="24"/>
          <w:szCs w:val="24"/>
        </w:rPr>
      </w:pPr>
      <w:r w:rsidRPr="000A03C8">
        <w:rPr>
          <w:rFonts w:cs="Calibri"/>
          <w:color w:val="000000"/>
          <w:sz w:val="24"/>
          <w:szCs w:val="24"/>
          <w:shd w:val="clear" w:color="auto" w:fill="FFFFFF"/>
        </w:rPr>
        <w:lastRenderedPageBreak/>
        <w:t>Winkelman, M. (1994). Cultural Shock and Adaptation. </w:t>
      </w:r>
      <w:r w:rsidRPr="000A03C8">
        <w:rPr>
          <w:rFonts w:cs="Calibri"/>
          <w:i/>
          <w:iCs/>
          <w:color w:val="000000"/>
          <w:sz w:val="24"/>
          <w:szCs w:val="24"/>
          <w:shd w:val="clear" w:color="auto" w:fill="FFFFFF"/>
        </w:rPr>
        <w:t xml:space="preserve">Journal of </w:t>
      </w:r>
      <w:proofErr w:type="spellStart"/>
      <w:r w:rsidRPr="000A03C8">
        <w:rPr>
          <w:rFonts w:cs="Calibri"/>
          <w:i/>
          <w:iCs/>
          <w:color w:val="000000"/>
          <w:sz w:val="24"/>
          <w:szCs w:val="24"/>
          <w:shd w:val="clear" w:color="auto" w:fill="FFFFFF"/>
        </w:rPr>
        <w:t>Counseling</w:t>
      </w:r>
      <w:proofErr w:type="spellEnd"/>
      <w:r w:rsidRPr="000A03C8">
        <w:rPr>
          <w:rFonts w:cs="Calibri"/>
          <w:i/>
          <w:iCs/>
          <w:color w:val="000000"/>
          <w:sz w:val="24"/>
          <w:szCs w:val="24"/>
          <w:shd w:val="clear" w:color="auto" w:fill="FFFFFF"/>
        </w:rPr>
        <w:t xml:space="preserve"> &amp; Development</w:t>
      </w:r>
      <w:r w:rsidRPr="000A03C8">
        <w:rPr>
          <w:rFonts w:cs="Calibri"/>
          <w:color w:val="000000"/>
          <w:sz w:val="24"/>
          <w:szCs w:val="24"/>
          <w:shd w:val="clear" w:color="auto" w:fill="FFFFFF"/>
        </w:rPr>
        <w:t xml:space="preserve">, [online] 73(2), pp.121-126. </w:t>
      </w:r>
      <w:bookmarkStart w:id="0" w:name="_GoBack"/>
      <w:bookmarkEnd w:id="0"/>
      <w:r w:rsidRPr="000A03C8">
        <w:rPr>
          <w:rFonts w:cs="Calibri"/>
          <w:color w:val="000000"/>
          <w:sz w:val="24"/>
          <w:szCs w:val="24"/>
          <w:shd w:val="clear" w:color="auto" w:fill="FFFFFF"/>
        </w:rPr>
        <w:t>[Accessed 25 Feb. 2020].</w:t>
      </w:r>
    </w:p>
    <w:sectPr w:rsidR="005D1401" w:rsidRPr="000A03C8">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7FD5F21" w14:textId="77777777" w:rsidR="00B840FB" w:rsidRDefault="00B840FB">
      <w:pPr>
        <w:spacing w:after="0" w:line="240" w:lineRule="auto"/>
      </w:pPr>
      <w:r>
        <w:separator/>
      </w:r>
    </w:p>
  </w:endnote>
  <w:endnote w:type="continuationSeparator" w:id="0">
    <w:p w14:paraId="2B9B63E5" w14:textId="77777777" w:rsidR="00B840FB" w:rsidRDefault="00B840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FD916AD" w14:textId="77777777" w:rsidR="00B840FB" w:rsidRDefault="00B840FB">
      <w:pPr>
        <w:spacing w:after="0" w:line="240" w:lineRule="auto"/>
      </w:pPr>
      <w:r>
        <w:rPr>
          <w:color w:val="000000"/>
        </w:rPr>
        <w:separator/>
      </w:r>
    </w:p>
  </w:footnote>
  <w:footnote w:type="continuationSeparator" w:id="0">
    <w:p w14:paraId="577186B7" w14:textId="77777777" w:rsidR="00B840FB" w:rsidRDefault="00B840F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DF7DDD"/>
    <w:multiLevelType w:val="hybridMultilevel"/>
    <w:tmpl w:val="C9FC71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805AF7"/>
    <w:multiLevelType w:val="hybridMultilevel"/>
    <w:tmpl w:val="21E0E8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C1334E4"/>
    <w:multiLevelType w:val="multilevel"/>
    <w:tmpl w:val="951842A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B01B9"/>
    <w:rsid w:val="000372C8"/>
    <w:rsid w:val="000A03C8"/>
    <w:rsid w:val="000A4F4C"/>
    <w:rsid w:val="001621FE"/>
    <w:rsid w:val="00166E08"/>
    <w:rsid w:val="001B24DC"/>
    <w:rsid w:val="001B4FFD"/>
    <w:rsid w:val="0023353C"/>
    <w:rsid w:val="00244AA8"/>
    <w:rsid w:val="00365ABC"/>
    <w:rsid w:val="00387C6B"/>
    <w:rsid w:val="003A5A73"/>
    <w:rsid w:val="004502C7"/>
    <w:rsid w:val="00473D85"/>
    <w:rsid w:val="004B01B9"/>
    <w:rsid w:val="004B3A97"/>
    <w:rsid w:val="005D1401"/>
    <w:rsid w:val="0063450A"/>
    <w:rsid w:val="00683C9D"/>
    <w:rsid w:val="0070576B"/>
    <w:rsid w:val="007129F7"/>
    <w:rsid w:val="00714631"/>
    <w:rsid w:val="00760997"/>
    <w:rsid w:val="007B5985"/>
    <w:rsid w:val="00866DCC"/>
    <w:rsid w:val="008F3ECE"/>
    <w:rsid w:val="009060F0"/>
    <w:rsid w:val="00916928"/>
    <w:rsid w:val="009859D7"/>
    <w:rsid w:val="00993015"/>
    <w:rsid w:val="009A6E7E"/>
    <w:rsid w:val="009B094B"/>
    <w:rsid w:val="009C4F88"/>
    <w:rsid w:val="009E3EE8"/>
    <w:rsid w:val="00A16A29"/>
    <w:rsid w:val="00AC7503"/>
    <w:rsid w:val="00B10B0D"/>
    <w:rsid w:val="00B840FB"/>
    <w:rsid w:val="00B919EA"/>
    <w:rsid w:val="00BE22F2"/>
    <w:rsid w:val="00C51807"/>
    <w:rsid w:val="00CF2612"/>
    <w:rsid w:val="00D11955"/>
    <w:rsid w:val="00D454B2"/>
    <w:rsid w:val="00D52B41"/>
    <w:rsid w:val="00D712C6"/>
    <w:rsid w:val="00D84C50"/>
    <w:rsid w:val="00E87DD9"/>
    <w:rsid w:val="00EA2DCE"/>
    <w:rsid w:val="00F06A23"/>
    <w:rsid w:val="00F113EC"/>
    <w:rsid w:val="00F4361A"/>
    <w:rsid w:val="00F971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DF1FC0"/>
  <w15:docId w15:val="{683161EC-1E48-40CF-A297-6483BE66E3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160" w:line="25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paragraph" w:styleId="ListParagraph">
    <w:name w:val="List Paragraph"/>
    <w:basedOn w:val="Normal"/>
    <w:pPr>
      <w:ind w:left="720"/>
    </w:pPr>
  </w:style>
  <w:style w:type="character" w:styleId="Hyperlink">
    <w:name w:val="Hyperlink"/>
    <w:basedOn w:val="DefaultParagraphFont"/>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yperlink" Target="https://www.un.org/en/sections/issues-depth/migration/index.html" TargetMode="External"/><Relationship Id="rId3" Type="http://schemas.openxmlformats.org/officeDocument/2006/relationships/settings" Target="settings.xml"/><Relationship Id="rId7" Type="http://schemas.openxmlformats.org/officeDocument/2006/relationships/hyperlink" Target="https://www.un.org/en/development/desa/population/migration/data/estimates2/estimates19.asp"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www.weforum.org/agenda/2016/11/immigration-beneficial-or-detrimental-to-the-host-country" TargetMode="External"/><Relationship Id="rId4" Type="http://schemas.openxmlformats.org/officeDocument/2006/relationships/webSettings" Target="webSettings.xml"/><Relationship Id="rId9" Type="http://schemas.openxmlformats.org/officeDocument/2006/relationships/hyperlink" Target="https://www.mentalhealth.org.uk/statistics/mental-health-statistics-refugees-and-asylum-seek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2822</Words>
  <Characters>16090</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Hamby</dc:creator>
  <dc:description/>
  <cp:lastModifiedBy>Rebecca Hamby</cp:lastModifiedBy>
  <cp:revision>3</cp:revision>
  <dcterms:created xsi:type="dcterms:W3CDTF">2020-03-02T20:03:00Z</dcterms:created>
  <dcterms:modified xsi:type="dcterms:W3CDTF">2020-03-02T20:24:00Z</dcterms:modified>
</cp:coreProperties>
</file>