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12ED4" w14:textId="77777777" w:rsidR="00DA71A0" w:rsidRDefault="00DA71A0" w:rsidP="00297BEB">
      <w:pPr>
        <w:spacing w:before="240" w:line="360" w:lineRule="auto"/>
        <w:jc w:val="center"/>
        <w:rPr>
          <w:rFonts w:ascii="Arial" w:hAnsi="Arial" w:cs="Arial"/>
          <w:sz w:val="24"/>
          <w:szCs w:val="24"/>
        </w:rPr>
      </w:pPr>
    </w:p>
    <w:p w14:paraId="7CEE4C76" w14:textId="77777777" w:rsidR="00262720" w:rsidRDefault="00262720" w:rsidP="00297BEB">
      <w:pPr>
        <w:spacing w:before="240" w:line="360" w:lineRule="auto"/>
        <w:jc w:val="center"/>
        <w:rPr>
          <w:rFonts w:ascii="Arial" w:hAnsi="Arial" w:cs="Arial"/>
          <w:b/>
          <w:bCs/>
          <w:sz w:val="32"/>
          <w:szCs w:val="32"/>
        </w:rPr>
      </w:pPr>
      <w:r>
        <w:rPr>
          <w:rFonts w:ascii="Arial" w:hAnsi="Arial" w:cs="Arial"/>
          <w:sz w:val="24"/>
          <w:szCs w:val="24"/>
        </w:rPr>
        <w:drawing>
          <wp:anchor distT="0" distB="0" distL="114300" distR="114300" simplePos="0" relativeHeight="251658240" behindDoc="0" locked="0" layoutInCell="1" allowOverlap="1" wp14:anchorId="2E31AE9C" wp14:editId="4304669F">
            <wp:simplePos x="0" y="0"/>
            <wp:positionH relativeFrom="column">
              <wp:posOffset>1318260</wp:posOffset>
            </wp:positionH>
            <wp:positionV relativeFrom="page">
              <wp:posOffset>1670539</wp:posOffset>
            </wp:positionV>
            <wp:extent cx="3314700" cy="1310640"/>
            <wp:effectExtent l="0" t="0" r="0" b="3810"/>
            <wp:wrapNone/>
            <wp:docPr id="191363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63066" name="Picture 191363066"/>
                    <pic:cNvPicPr/>
                  </pic:nvPicPr>
                  <pic:blipFill>
                    <a:blip r:embed="rId7">
                      <a:extLst>
                        <a:ext uri="{28A0092B-C50C-407E-A947-70E740481C1C}">
                          <a14:useLocalDpi xmlns:a14="http://schemas.microsoft.com/office/drawing/2010/main" val="0"/>
                        </a:ext>
                      </a:extLst>
                    </a:blip>
                    <a:stretch>
                      <a:fillRect/>
                    </a:stretch>
                  </pic:blipFill>
                  <pic:spPr>
                    <a:xfrm>
                      <a:off x="0" y="0"/>
                      <a:ext cx="3314700" cy="1310640"/>
                    </a:xfrm>
                    <a:prstGeom prst="rect">
                      <a:avLst/>
                    </a:prstGeom>
                  </pic:spPr>
                </pic:pic>
              </a:graphicData>
            </a:graphic>
          </wp:anchor>
        </w:drawing>
      </w:r>
    </w:p>
    <w:p w14:paraId="5CF835B7" w14:textId="77777777" w:rsidR="00262720" w:rsidRDefault="00262720" w:rsidP="00297BEB">
      <w:pPr>
        <w:spacing w:before="240" w:line="360" w:lineRule="auto"/>
        <w:jc w:val="center"/>
        <w:rPr>
          <w:rFonts w:ascii="Arial" w:hAnsi="Arial" w:cs="Arial"/>
          <w:b/>
          <w:bCs/>
          <w:sz w:val="32"/>
          <w:szCs w:val="32"/>
        </w:rPr>
      </w:pPr>
    </w:p>
    <w:p w14:paraId="39318838" w14:textId="77777777" w:rsidR="00262720" w:rsidRDefault="00262720" w:rsidP="00297BEB">
      <w:pPr>
        <w:spacing w:before="240" w:line="360" w:lineRule="auto"/>
        <w:jc w:val="center"/>
        <w:rPr>
          <w:rFonts w:ascii="Arial" w:hAnsi="Arial" w:cs="Arial"/>
          <w:b/>
          <w:bCs/>
          <w:sz w:val="32"/>
          <w:szCs w:val="32"/>
        </w:rPr>
      </w:pPr>
    </w:p>
    <w:p w14:paraId="3C43A4E9" w14:textId="77777777" w:rsidR="00262720" w:rsidRDefault="00262720" w:rsidP="00297BEB">
      <w:pPr>
        <w:spacing w:before="240" w:line="360" w:lineRule="auto"/>
        <w:jc w:val="center"/>
        <w:rPr>
          <w:rFonts w:ascii="Arial" w:hAnsi="Arial" w:cs="Arial"/>
          <w:b/>
          <w:bCs/>
          <w:sz w:val="32"/>
          <w:szCs w:val="32"/>
        </w:rPr>
      </w:pPr>
    </w:p>
    <w:p w14:paraId="0A1A4CF3" w14:textId="77777777" w:rsidR="00262720" w:rsidRDefault="00262720" w:rsidP="00297BEB">
      <w:pPr>
        <w:spacing w:before="240" w:line="360" w:lineRule="auto"/>
        <w:jc w:val="center"/>
        <w:rPr>
          <w:rFonts w:ascii="Arial" w:hAnsi="Arial" w:cs="Arial"/>
          <w:b/>
          <w:bCs/>
          <w:sz w:val="32"/>
          <w:szCs w:val="32"/>
        </w:rPr>
      </w:pPr>
    </w:p>
    <w:p w14:paraId="2E06B2A3" w14:textId="77777777" w:rsidR="00262720" w:rsidRDefault="00262720" w:rsidP="00297BEB">
      <w:pPr>
        <w:spacing w:before="240" w:line="360" w:lineRule="auto"/>
        <w:jc w:val="center"/>
        <w:rPr>
          <w:rFonts w:ascii="Arial" w:hAnsi="Arial" w:cs="Arial"/>
          <w:b/>
          <w:bCs/>
          <w:sz w:val="32"/>
          <w:szCs w:val="32"/>
        </w:rPr>
      </w:pPr>
    </w:p>
    <w:p w14:paraId="51FFDF12" w14:textId="77777777" w:rsidR="00EC5C09" w:rsidRDefault="00EC5C09" w:rsidP="00297BEB">
      <w:pPr>
        <w:spacing w:before="240" w:line="360" w:lineRule="auto"/>
        <w:jc w:val="center"/>
        <w:rPr>
          <w:rFonts w:ascii="Arial" w:hAnsi="Arial" w:cs="Arial"/>
          <w:b/>
          <w:bCs/>
          <w:sz w:val="32"/>
          <w:szCs w:val="32"/>
        </w:rPr>
      </w:pPr>
      <w:r w:rsidRPr="00EC5C09">
        <w:rPr>
          <w:rFonts w:ascii="Arial" w:hAnsi="Arial" w:cs="Arial"/>
          <w:b/>
          <w:bCs/>
          <w:sz w:val="32"/>
          <w:szCs w:val="32"/>
        </w:rPr>
        <w:t>BMIH5005</w:t>
      </w:r>
    </w:p>
    <w:p w14:paraId="601D96CB" w14:textId="77777777" w:rsidR="008F370D" w:rsidRDefault="008F370D" w:rsidP="00297BEB">
      <w:pPr>
        <w:spacing w:before="240" w:line="360" w:lineRule="auto"/>
        <w:jc w:val="center"/>
        <w:rPr>
          <w:rFonts w:ascii="Arial" w:hAnsi="Arial" w:cs="Arial"/>
          <w:b/>
          <w:bCs/>
          <w:sz w:val="32"/>
          <w:szCs w:val="32"/>
        </w:rPr>
      </w:pPr>
      <w:r w:rsidRPr="008F370D">
        <w:rPr>
          <w:rFonts w:ascii="Arial" w:hAnsi="Arial" w:cs="Arial"/>
          <w:b/>
          <w:bCs/>
          <w:sz w:val="32"/>
          <w:szCs w:val="32"/>
        </w:rPr>
        <w:t>Personnel Resourcing and</w:t>
      </w:r>
      <w:r>
        <w:rPr>
          <w:rFonts w:ascii="Arial" w:hAnsi="Arial" w:cs="Arial"/>
          <w:b/>
          <w:bCs/>
          <w:sz w:val="32"/>
          <w:szCs w:val="32"/>
        </w:rPr>
        <w:t xml:space="preserve"> </w:t>
      </w:r>
      <w:r w:rsidRPr="008F370D">
        <w:rPr>
          <w:rFonts w:ascii="Arial" w:hAnsi="Arial" w:cs="Arial"/>
          <w:b/>
          <w:bCs/>
          <w:sz w:val="32"/>
          <w:szCs w:val="32"/>
        </w:rPr>
        <w:t>Development</w:t>
      </w:r>
    </w:p>
    <w:p w14:paraId="6A2EE11B" w14:textId="77777777" w:rsidR="004E1C71" w:rsidRDefault="004E1C71" w:rsidP="00297BEB">
      <w:pPr>
        <w:spacing w:before="240" w:line="360" w:lineRule="auto"/>
        <w:jc w:val="center"/>
        <w:rPr>
          <w:rFonts w:ascii="Arial" w:hAnsi="Arial" w:cs="Arial"/>
          <w:sz w:val="32"/>
          <w:szCs w:val="32"/>
        </w:rPr>
      </w:pPr>
      <w:r>
        <w:rPr>
          <w:rFonts w:ascii="Arial" w:hAnsi="Arial" w:cs="Arial"/>
          <w:b/>
          <w:bCs/>
          <w:sz w:val="32"/>
          <w:szCs w:val="32"/>
        </w:rPr>
        <w:t xml:space="preserve">Title: </w:t>
      </w:r>
      <w:r w:rsidR="00F066D2" w:rsidRPr="00F066D2">
        <w:rPr>
          <w:rFonts w:ascii="Arial" w:hAnsi="Arial" w:cs="Arial"/>
          <w:sz w:val="32"/>
          <w:szCs w:val="32"/>
        </w:rPr>
        <w:t>How to retain and engage employees throughout the employee lifecycle</w:t>
      </w:r>
    </w:p>
    <w:p w14:paraId="237EB036" w14:textId="76E90960" w:rsidR="004E1C71" w:rsidRDefault="004E1C71" w:rsidP="00297BEB">
      <w:pPr>
        <w:spacing w:before="240" w:line="360" w:lineRule="auto"/>
        <w:jc w:val="center"/>
        <w:rPr>
          <w:rFonts w:ascii="Arial" w:hAnsi="Arial" w:cs="Arial"/>
          <w:b/>
          <w:bCs/>
          <w:sz w:val="32"/>
          <w:szCs w:val="32"/>
        </w:rPr>
      </w:pPr>
    </w:p>
    <w:p w14:paraId="41F9AD6C" w14:textId="1F9BBB2A" w:rsidR="00EC5C09" w:rsidRPr="00F0216B" w:rsidRDefault="00F0216B" w:rsidP="00F0216B">
      <w:pPr>
        <w:spacing w:before="240" w:line="360" w:lineRule="auto"/>
        <w:rPr>
          <w:rFonts w:ascii="Arial" w:hAnsi="Arial" w:cs="Arial"/>
          <w:b/>
          <w:bCs/>
          <w:sz w:val="32"/>
          <w:szCs w:val="32"/>
        </w:rPr>
      </w:pPr>
      <w:r>
        <w:rPr>
          <w:rFonts w:ascii="Arial" w:hAnsi="Arial" w:cs="Arial"/>
          <w:b/>
          <w:bCs/>
          <w:sz w:val="32"/>
          <w:szCs w:val="32"/>
        </w:rPr>
        <w:t xml:space="preserve">              </w:t>
      </w:r>
    </w:p>
    <w:p w14:paraId="28987625" w14:textId="77777777" w:rsidR="00F0216B" w:rsidRPr="00F0216B" w:rsidRDefault="00F0216B" w:rsidP="00297BEB">
      <w:pPr>
        <w:spacing w:before="240" w:line="360" w:lineRule="auto"/>
        <w:jc w:val="center"/>
        <w:rPr>
          <w:rFonts w:ascii="Arial" w:hAnsi="Arial" w:cs="Arial"/>
          <w:b/>
          <w:bCs/>
          <w:sz w:val="32"/>
          <w:szCs w:val="32"/>
        </w:rPr>
      </w:pPr>
      <w:r w:rsidRPr="00F0216B">
        <w:rPr>
          <w:rFonts w:ascii="Arial" w:hAnsi="Arial" w:cs="Arial"/>
          <w:b/>
          <w:bCs/>
          <w:sz w:val="32"/>
          <w:szCs w:val="32"/>
        </w:rPr>
        <w:t>Name: Natalia Tucan</w:t>
      </w:r>
    </w:p>
    <w:p w14:paraId="643FC8B0" w14:textId="77777777" w:rsidR="00F0216B" w:rsidRPr="00F0216B" w:rsidRDefault="00F0216B" w:rsidP="00297BEB">
      <w:pPr>
        <w:spacing w:before="240" w:line="360" w:lineRule="auto"/>
        <w:jc w:val="center"/>
        <w:rPr>
          <w:rFonts w:ascii="Arial" w:hAnsi="Arial" w:cs="Arial"/>
          <w:b/>
          <w:bCs/>
          <w:sz w:val="32"/>
          <w:szCs w:val="32"/>
        </w:rPr>
      </w:pPr>
      <w:r w:rsidRPr="00F0216B">
        <w:rPr>
          <w:rFonts w:ascii="Arial" w:hAnsi="Arial" w:cs="Arial"/>
          <w:b/>
          <w:bCs/>
          <w:sz w:val="32"/>
          <w:szCs w:val="32"/>
        </w:rPr>
        <w:t>ID: 2133016</w:t>
      </w:r>
    </w:p>
    <w:p w14:paraId="227ECD8C" w14:textId="696C72F9" w:rsidR="00CA4C04" w:rsidRPr="00180A33" w:rsidRDefault="00F0216B" w:rsidP="00297BEB">
      <w:pPr>
        <w:spacing w:before="240" w:line="360" w:lineRule="auto"/>
        <w:jc w:val="center"/>
        <w:rPr>
          <w:rFonts w:ascii="Arial" w:hAnsi="Arial" w:cs="Arial"/>
          <w:sz w:val="24"/>
          <w:szCs w:val="24"/>
        </w:rPr>
      </w:pPr>
      <w:r w:rsidRPr="00F0216B">
        <w:rPr>
          <w:rFonts w:ascii="Arial" w:hAnsi="Arial" w:cs="Arial"/>
          <w:b/>
          <w:bCs/>
          <w:sz w:val="32"/>
          <w:szCs w:val="32"/>
        </w:rPr>
        <w:t>Lecturer: Emma Roberts</w:t>
      </w:r>
      <w:r w:rsidR="00CA4C04" w:rsidRPr="00180A33">
        <w:rPr>
          <w:rFonts w:ascii="Arial" w:hAnsi="Arial" w:cs="Arial"/>
          <w:sz w:val="24"/>
          <w:szCs w:val="24"/>
        </w:rPr>
        <w:br w:type="page"/>
      </w:r>
    </w:p>
    <w:p w14:paraId="75A02802" w14:textId="77777777" w:rsidR="00CA4C04" w:rsidRPr="00511E8C" w:rsidRDefault="00CA4C04" w:rsidP="00297BEB">
      <w:pPr>
        <w:pStyle w:val="Heading1"/>
      </w:pPr>
      <w:r w:rsidRPr="00511E8C">
        <w:lastRenderedPageBreak/>
        <w:t xml:space="preserve">Introduction </w:t>
      </w:r>
    </w:p>
    <w:p w14:paraId="1C2BBEC1" w14:textId="77777777" w:rsidR="00CA4C04" w:rsidRDefault="00137BBF" w:rsidP="00297BEB">
      <w:pPr>
        <w:spacing w:before="240" w:line="360" w:lineRule="auto"/>
        <w:jc w:val="both"/>
        <w:rPr>
          <w:rFonts w:ascii="Arial" w:hAnsi="Arial" w:cs="Arial"/>
          <w:sz w:val="24"/>
          <w:szCs w:val="24"/>
        </w:rPr>
      </w:pPr>
      <w:r w:rsidRPr="00180A33">
        <w:rPr>
          <w:rFonts w:ascii="Arial" w:hAnsi="Arial" w:cs="Arial"/>
          <w:sz w:val="24"/>
          <w:szCs w:val="24"/>
        </w:rPr>
        <w:t>Talent has become a significant asset for firms in today's rapid and cutthroat business environment and skillfully directing and cultivating that talent is essential for their continued success. This is especially true for hospitality businesses, where superior customer satisfaction and treatment are of utmost importance. Throughout the employment lifetime, human resource departments are crucial in luring, keeping, and motivating skilled workers</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(Maas, 2015)</w:t>
      </w:r>
      <w:r w:rsidRPr="00180A33">
        <w:rPr>
          <w:rFonts w:ascii="Arial" w:hAnsi="Arial" w:cs="Arial"/>
          <w:sz w:val="24"/>
          <w:szCs w:val="24"/>
        </w:rPr>
        <w:t>. Each step of the employment lifecycle necessitates careful consideration and deliberate actions. Recruiting potential applicants is the first step in the method, which is subsequently followed by recruitment, onboarding, growth, retention, and, ultimately, separation. HR experts use a variety of methods and strategies at each level to make sure that workers are encouraged, supported, and supplied with the skills they require to contribute to the success of the firm</w:t>
      </w:r>
      <w:r w:rsidR="00180A33" w:rsidRPr="00180A33">
        <w:rPr>
          <w:rFonts w:ascii="Arial" w:hAnsi="Arial" w:cs="Arial"/>
          <w:sz w:val="24"/>
          <w:szCs w:val="24"/>
        </w:rPr>
        <w:t xml:space="preserve"> goals </w:t>
      </w:r>
      <w:r w:rsidR="00180A33" w:rsidRPr="00180A33">
        <w:rPr>
          <w:rFonts w:ascii="Arial" w:hAnsi="Arial" w:cs="Arial"/>
          <w:color w:val="000000"/>
          <w:sz w:val="24"/>
          <w:szCs w:val="24"/>
          <w:shd w:val="clear" w:color="auto" w:fill="FFFFFF"/>
        </w:rPr>
        <w:t>(De Stadler and van der Land, 2017)</w:t>
      </w:r>
      <w:r w:rsidRPr="00180A33">
        <w:rPr>
          <w:rFonts w:ascii="Arial" w:hAnsi="Arial" w:cs="Arial"/>
          <w:sz w:val="24"/>
          <w:szCs w:val="24"/>
        </w:rPr>
        <w:t>. Organi</w:t>
      </w:r>
      <w:r w:rsidR="00511E8C">
        <w:rPr>
          <w:rFonts w:ascii="Arial" w:hAnsi="Arial" w:cs="Arial"/>
          <w:sz w:val="24"/>
          <w:szCs w:val="24"/>
        </w:rPr>
        <w:t>sation</w:t>
      </w:r>
      <w:r w:rsidRPr="00180A33">
        <w:rPr>
          <w:rFonts w:ascii="Arial" w:hAnsi="Arial" w:cs="Arial"/>
          <w:sz w:val="24"/>
          <w:szCs w:val="24"/>
        </w:rPr>
        <w:t>s looking to achieve a competitive edge must comprehend the importance of talent administration. Increased satisfaction with work, efficiency, and overall organi</w:t>
      </w:r>
      <w:r w:rsidR="00511E8C">
        <w:rPr>
          <w:rFonts w:ascii="Arial" w:hAnsi="Arial" w:cs="Arial"/>
          <w:sz w:val="24"/>
          <w:szCs w:val="24"/>
        </w:rPr>
        <w:t>sation</w:t>
      </w:r>
      <w:r w:rsidRPr="00180A33">
        <w:rPr>
          <w:rFonts w:ascii="Arial" w:hAnsi="Arial" w:cs="Arial"/>
          <w:sz w:val="24"/>
          <w:szCs w:val="24"/>
        </w:rPr>
        <w:t>al success are the results of effective talent management techniques. Human resource departments can establish a healthy work environment, encourage employee growth and development, lower turnover rates, and guarantee an adequate supply of qualified and motivated personnel to accomplish corporate objectives by investing in talent management projects. There will be also a discussion about the best practices in the hospitality sector that can serve as an inspiration for fruitful personnel management initiatives, as well as examples of how businesses can profit from efficient talent management</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(Linden, 2018)</w:t>
      </w:r>
      <w:r w:rsidRPr="00180A33">
        <w:rPr>
          <w:rFonts w:ascii="Arial" w:hAnsi="Arial" w:cs="Arial"/>
          <w:sz w:val="24"/>
          <w:szCs w:val="24"/>
        </w:rPr>
        <w:t>.</w:t>
      </w:r>
    </w:p>
    <w:p w14:paraId="5541A67D" w14:textId="77777777" w:rsidR="00137BBF" w:rsidRPr="00B0058A" w:rsidRDefault="00436EE1" w:rsidP="00297BEB">
      <w:pPr>
        <w:pStyle w:val="Heading1"/>
        <w:rPr>
          <w:rFonts w:ascii="Times New Roman" w:hAnsi="Times New Roman" w:cstheme="majorBidi"/>
        </w:rPr>
      </w:pPr>
      <w:r>
        <w:t xml:space="preserve">Main Body </w:t>
      </w:r>
    </w:p>
    <w:p w14:paraId="529CE1F9" w14:textId="77777777" w:rsidR="00137BBF" w:rsidRPr="00B0058A" w:rsidRDefault="00137BBF" w:rsidP="00297BEB">
      <w:pPr>
        <w:pStyle w:val="Heading2"/>
        <w:spacing w:before="240"/>
        <w:rPr>
          <w:sz w:val="26"/>
          <w:szCs w:val="26"/>
        </w:rPr>
      </w:pPr>
      <w:r w:rsidRPr="003A1124">
        <w:t xml:space="preserve">Managing and developing talents </w:t>
      </w:r>
    </w:p>
    <w:p w14:paraId="6796021E"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Human resources (HR) departments are crucial to the management and growth of an organi</w:t>
      </w:r>
      <w:r w:rsidR="00511E8C">
        <w:rPr>
          <w:rFonts w:ascii="Arial" w:hAnsi="Arial" w:cs="Arial"/>
          <w:sz w:val="24"/>
          <w:szCs w:val="24"/>
        </w:rPr>
        <w:t>sation</w:t>
      </w:r>
      <w:r w:rsidRPr="00180A33">
        <w:rPr>
          <w:rFonts w:ascii="Arial" w:hAnsi="Arial" w:cs="Arial"/>
          <w:sz w:val="24"/>
          <w:szCs w:val="24"/>
        </w:rPr>
        <w:t>'s personnel. They are accountable for the full employee lifecycle, from attracting and hiring new workers to training and releasing outgoing staff. Human resources experts add to an organi</w:t>
      </w:r>
      <w:r w:rsidR="00511E8C">
        <w:rPr>
          <w:rFonts w:ascii="Arial" w:hAnsi="Arial" w:cs="Arial"/>
          <w:sz w:val="24"/>
          <w:szCs w:val="24"/>
        </w:rPr>
        <w:t>sation</w:t>
      </w:r>
      <w:r w:rsidRPr="00180A33">
        <w:rPr>
          <w:rFonts w:ascii="Arial" w:hAnsi="Arial" w:cs="Arial"/>
          <w:sz w:val="24"/>
          <w:szCs w:val="24"/>
        </w:rPr>
        <w:t xml:space="preserve">'s growth and competitiveness when they prioritise talent management.  Human resources departments collaborate closely with </w:t>
      </w:r>
      <w:r w:rsidRPr="00180A33">
        <w:rPr>
          <w:rFonts w:ascii="Arial" w:hAnsi="Arial" w:cs="Arial"/>
          <w:sz w:val="24"/>
          <w:szCs w:val="24"/>
        </w:rPr>
        <w:lastRenderedPageBreak/>
        <w:t>business executives to forecast and meet their organisations' future staffing requirements as part of strategic workforce planning</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(Appel, 2017)</w:t>
      </w:r>
      <w:r w:rsidRPr="00180A33">
        <w:rPr>
          <w:rFonts w:ascii="Arial" w:hAnsi="Arial" w:cs="Arial"/>
          <w:sz w:val="24"/>
          <w:szCs w:val="24"/>
        </w:rPr>
        <w:t>. The workforce's abilities, competencies, and gaps are all evaluated in their in-depth planning. Human resources can better meet the needs of the business by attracting, developing, and retaining personnel who possess the necessary skills and experience Human resources plays a critical role in the onboarding and orientation of new workers. They create programmes that help new employees adjust to the company's norms and values. Human resources make sure new hires feel comfortable, educated, and prepared to do their jobs well by giving them thorough orientations and ongoing assistance</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(Thomson, Goethals and Nedopil, 2016)</w:t>
      </w:r>
      <w:r w:rsidRPr="00180A33">
        <w:rPr>
          <w:rFonts w:ascii="Arial" w:hAnsi="Arial" w:cs="Arial"/>
          <w:sz w:val="24"/>
          <w:szCs w:val="24"/>
        </w:rPr>
        <w:t>. The Human Resources team is in charge of designing and implementing training and development courses for employees. They analyse current skill sets, determine where improvement is needed, and create training programmes to help staff members grow professionally. Human resource managers might promote lifelong learning and skill improvement by providing opportunities like workshops, seminars, online courses, mentoring programmes, and career advancement. When it comes to evaluating an employee's performance, human resources (HR) is important. They set expectations, evaluate the effectiveness regularly, offer constructive criticism, and lead conversations on how to make gains in performance. Human resources may help workers improve their performance and accomplish company goals by instituting performance management systems. Professionals in human resources play a crucial role in fostering a climate that encourages both employee engagement and retention</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(Pollak, 2020)</w:t>
      </w:r>
      <w:r w:rsidRPr="00180A33">
        <w:rPr>
          <w:rFonts w:ascii="Arial" w:hAnsi="Arial" w:cs="Arial"/>
          <w:sz w:val="24"/>
          <w:szCs w:val="24"/>
        </w:rPr>
        <w:t>. They plan ways to thank workers, improve interaction lines, and make work-life harmony easier to achieve. High levels of satisfaction and commitment among workers may be attributed in part to the efforts made by human resources to resolve employee problems, provide growth opportunities, and promote a supportive culture. In succession planning, human resources professionals help pinpoint and prepare rising stars to take on executive responsibilities in the company. They put into action succession planning programmes that take stock of important roles, evaluate possible successors, and offer specific chances for growth. Human resources create a future-proof leadership pool by investing in the development of current employees</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(DICKINSON, 2012)</w:t>
      </w:r>
      <w:r w:rsidRPr="00180A33">
        <w:rPr>
          <w:rFonts w:ascii="Arial" w:hAnsi="Arial" w:cs="Arial"/>
          <w:sz w:val="24"/>
          <w:szCs w:val="24"/>
        </w:rPr>
        <w:t>.</w:t>
      </w:r>
    </w:p>
    <w:p w14:paraId="00DC31FD" w14:textId="77777777" w:rsidR="00137BBF" w:rsidRPr="00180A33" w:rsidRDefault="00137BBF" w:rsidP="00297BEB">
      <w:pPr>
        <w:pStyle w:val="Heading2"/>
        <w:spacing w:before="240"/>
      </w:pPr>
      <w:r w:rsidRPr="00180A33">
        <w:lastRenderedPageBreak/>
        <w:t xml:space="preserve"> Benefits of Managing and developing talents </w:t>
      </w:r>
    </w:p>
    <w:p w14:paraId="1A765868"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In today's highly competitive corporate world, the necessity of personnel management and development cannot be stressed enough. When it comes to attracting, keeping, and retaining high-performing people, companies that emphasi</w:t>
      </w:r>
      <w:r w:rsidR="001F0B57">
        <w:rPr>
          <w:rFonts w:ascii="Arial" w:hAnsi="Arial" w:cs="Arial"/>
          <w:sz w:val="24"/>
          <w:szCs w:val="24"/>
        </w:rPr>
        <w:t>se</w:t>
      </w:r>
      <w:r w:rsidRPr="00180A33">
        <w:rPr>
          <w:rFonts w:ascii="Arial" w:hAnsi="Arial" w:cs="Arial"/>
          <w:sz w:val="24"/>
          <w:szCs w:val="24"/>
        </w:rPr>
        <w:t>d talent management have a distinct competitive advantage</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Giandomenico, 2016)</w:t>
      </w:r>
      <w:r w:rsidRPr="00180A33">
        <w:rPr>
          <w:rFonts w:ascii="Arial" w:hAnsi="Arial" w:cs="Arial"/>
          <w:sz w:val="24"/>
          <w:szCs w:val="24"/>
        </w:rPr>
        <w:t>. Positive work environments are fostered through talent management techniques, which in turn increases employee happiness and engagement. Motivated, dedicated, and enthusiastic workers are more common when workers feel their contributions are acknowledged and they have room to advance in their careers</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(Suryavanshi, 2018)</w:t>
      </w:r>
      <w:r w:rsidRPr="00180A33">
        <w:rPr>
          <w:rFonts w:ascii="Arial" w:hAnsi="Arial" w:cs="Arial"/>
          <w:sz w:val="24"/>
          <w:szCs w:val="24"/>
        </w:rPr>
        <w:t>. Employees that are invested in their work are more likely to go above and beyond to help the company achieve its goals. Effective management of human resources has a measurable effect on business results. Better interpersonal relationships, more reliable output, and increased productivity are all results of having a workforce that is both competent and enthusiastic about their work. Organi</w:t>
      </w:r>
      <w:r w:rsidR="00511E8C">
        <w:rPr>
          <w:rFonts w:ascii="Arial" w:hAnsi="Arial" w:cs="Arial"/>
          <w:sz w:val="24"/>
          <w:szCs w:val="24"/>
        </w:rPr>
        <w:t>sation</w:t>
      </w:r>
      <w:r w:rsidRPr="00180A33">
        <w:rPr>
          <w:rFonts w:ascii="Arial" w:hAnsi="Arial" w:cs="Arial"/>
          <w:sz w:val="24"/>
          <w:szCs w:val="24"/>
        </w:rPr>
        <w:t>s may maximi</w:t>
      </w:r>
      <w:r w:rsidR="001F0B57">
        <w:rPr>
          <w:rFonts w:ascii="Arial" w:hAnsi="Arial" w:cs="Arial"/>
          <w:sz w:val="24"/>
          <w:szCs w:val="24"/>
        </w:rPr>
        <w:t>se</w:t>
      </w:r>
      <w:r w:rsidRPr="00180A33">
        <w:rPr>
          <w:rFonts w:ascii="Arial" w:hAnsi="Arial" w:cs="Arial"/>
          <w:sz w:val="24"/>
          <w:szCs w:val="24"/>
        </w:rPr>
        <w:t xml:space="preserve"> their staff and fuel long-term expansion by coordinating their talent leadership approaches with their overall goals. Reduced staff turnover and the associated costs of finding and hiring new workers. Organi</w:t>
      </w:r>
      <w:r w:rsidR="00511E8C">
        <w:rPr>
          <w:rFonts w:ascii="Arial" w:hAnsi="Arial" w:cs="Arial"/>
          <w:sz w:val="24"/>
          <w:szCs w:val="24"/>
        </w:rPr>
        <w:t>sation</w:t>
      </w:r>
      <w:r w:rsidRPr="00180A33">
        <w:rPr>
          <w:rFonts w:ascii="Arial" w:hAnsi="Arial" w:cs="Arial"/>
          <w:sz w:val="24"/>
          <w:szCs w:val="24"/>
        </w:rPr>
        <w:t>al turnover and the expenses caused by it can be lowered by instituting retention-focused people management techniques</w:t>
      </w:r>
      <w:r w:rsidR="00180A33" w:rsidRPr="00180A33">
        <w:rPr>
          <w:rFonts w:ascii="Arial" w:hAnsi="Arial" w:cs="Arial"/>
          <w:sz w:val="24"/>
          <w:szCs w:val="24"/>
        </w:rPr>
        <w:t xml:space="preserve"> (Lehner,2019)</w:t>
      </w:r>
      <w:r w:rsidRPr="00180A33">
        <w:rPr>
          <w:rFonts w:ascii="Arial" w:hAnsi="Arial" w:cs="Arial"/>
          <w:sz w:val="24"/>
          <w:szCs w:val="24"/>
        </w:rPr>
        <w:t>. Individuals are less likely to leave a company that invests in their professional growth, offers possibilities for progress, and promotes a positive work environment. Effective personnel management programs incorporate activities like planning for succession and leadership development. Employers may assure a steady supply of qualified candidates for future leadership posts by focusing on developing their high-potential workers</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(Al-Kassem, 2017)</w:t>
      </w:r>
      <w:r w:rsidRPr="00180A33">
        <w:rPr>
          <w:rFonts w:ascii="Arial" w:hAnsi="Arial" w:cs="Arial"/>
          <w:sz w:val="24"/>
          <w:szCs w:val="24"/>
        </w:rPr>
        <w:t>. Internal leadership development helps save the time and money spent on recruiting, and it also guarantees a seamless transition during times of organi</w:t>
      </w:r>
      <w:r w:rsidR="00511E8C">
        <w:rPr>
          <w:rFonts w:ascii="Arial" w:hAnsi="Arial" w:cs="Arial"/>
          <w:sz w:val="24"/>
          <w:szCs w:val="24"/>
        </w:rPr>
        <w:t>sation</w:t>
      </w:r>
      <w:r w:rsidRPr="00180A33">
        <w:rPr>
          <w:rFonts w:ascii="Arial" w:hAnsi="Arial" w:cs="Arial"/>
          <w:sz w:val="24"/>
          <w:szCs w:val="24"/>
        </w:rPr>
        <w:t>al transformation or growth. The ability to respond to changing market conditions and to foster an environment conducive to development may be achieved via effective people management and development. Organi</w:t>
      </w:r>
      <w:r w:rsidR="00511E8C">
        <w:rPr>
          <w:rFonts w:ascii="Arial" w:hAnsi="Arial" w:cs="Arial"/>
          <w:sz w:val="24"/>
          <w:szCs w:val="24"/>
        </w:rPr>
        <w:t>sation</w:t>
      </w:r>
      <w:r w:rsidRPr="00180A33">
        <w:rPr>
          <w:rFonts w:ascii="Arial" w:hAnsi="Arial" w:cs="Arial"/>
          <w:sz w:val="24"/>
          <w:szCs w:val="24"/>
        </w:rPr>
        <w:t xml:space="preserve">s may better prepare their staff to adapt to new technology, marketplace developments, and shifting consumer tastes by investing in training for employees and supporting a learning culture. Employees that are invested in their work and proficient in their fields are more likely to suggest creative ways to streamline operations and keep ahead of the competition. Effective people management improves a company's </w:t>
      </w:r>
      <w:r w:rsidRPr="00180A33">
        <w:rPr>
          <w:rFonts w:ascii="Arial" w:hAnsi="Arial" w:cs="Arial"/>
          <w:sz w:val="24"/>
          <w:szCs w:val="24"/>
        </w:rPr>
        <w:lastRenderedPageBreak/>
        <w:t>reputation as an employer, giving it an unfair advantage in the marketplace</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Brackett, 2019)</w:t>
      </w:r>
      <w:r w:rsidRPr="00180A33">
        <w:rPr>
          <w:rFonts w:ascii="Arial" w:hAnsi="Arial" w:cs="Arial"/>
          <w:sz w:val="24"/>
          <w:szCs w:val="24"/>
        </w:rPr>
        <w:t xml:space="preserve">. </w:t>
      </w:r>
    </w:p>
    <w:p w14:paraId="492A48AD" w14:textId="77777777" w:rsidR="00137BBF" w:rsidRPr="00180A33" w:rsidRDefault="00137BBF" w:rsidP="00297BEB">
      <w:pPr>
        <w:pStyle w:val="Heading2"/>
        <w:spacing w:before="240"/>
      </w:pPr>
      <w:r w:rsidRPr="00180A33">
        <w:t xml:space="preserve">Employee life cycle </w:t>
      </w:r>
    </w:p>
    <w:p w14:paraId="7632F158"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There are several points throughout the employee lifecycle, from when an organi</w:t>
      </w:r>
      <w:r w:rsidR="00511E8C">
        <w:rPr>
          <w:rFonts w:ascii="Arial" w:hAnsi="Arial" w:cs="Arial"/>
          <w:sz w:val="24"/>
          <w:szCs w:val="24"/>
        </w:rPr>
        <w:t>sation</w:t>
      </w:r>
      <w:r w:rsidRPr="00180A33">
        <w:rPr>
          <w:rFonts w:ascii="Arial" w:hAnsi="Arial" w:cs="Arial"/>
          <w:sz w:val="24"/>
          <w:szCs w:val="24"/>
        </w:rPr>
        <w:t xml:space="preserve"> first attracts applicants to when they leave the company. When it comes to talent management and development, each phase is just as important as the next. </w:t>
      </w:r>
    </w:p>
    <w:p w14:paraId="1B61B30F"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Attracting applicants is the first step in the recruitment process. This comprises establishing a positive reputation as an employer. Marketing teams work with HR to promote the company's culture, values, and employment possibilities. This is accomplished through strategic recruiting advertising, an active social media presence, attendance at relevant industry events, and collaborative efforts with relevant educational institutions</w:t>
      </w:r>
      <w:r w:rsidR="00180A33" w:rsidRPr="00180A33">
        <w:rPr>
          <w:rFonts w:ascii="Arial" w:hAnsi="Arial" w:cs="Arial"/>
          <w:sz w:val="24"/>
          <w:szCs w:val="24"/>
        </w:rPr>
        <w:t xml:space="preserve"> (Linden, R., 2018)</w:t>
      </w:r>
      <w:r w:rsidRPr="00180A33">
        <w:rPr>
          <w:rFonts w:ascii="Arial" w:hAnsi="Arial" w:cs="Arial"/>
          <w:sz w:val="24"/>
          <w:szCs w:val="24"/>
        </w:rPr>
        <w:t xml:space="preserve">. </w:t>
      </w:r>
    </w:p>
    <w:p w14:paraId="0E1F041E"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 xml:space="preserve">During recruiting, human resources experts are actively on the lookout for and interviewing potential new hires for open jobs. They use several methods to reach a wide audience of potential employees, including job postings on the Internet, industry-specific platforms as well and professional networks. Human resources evaluate applicants by reviewing their applications, conducting interviews, and gauging their abilities, experience, and cultural fit. </w:t>
      </w:r>
    </w:p>
    <w:p w14:paraId="56EDB92E"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The onboarding process is essential in helping new workers settle in quickly and productively. Human resources departments design in-depth onboarding programs that introduce new hires to important team members, outline expectations for the position, and provide appropriate training. New hires are more likely to swiftly adapt to their responsibilities and contribute to the success of the company if they are given a positive and informative induction experience</w:t>
      </w:r>
      <w:r w:rsidR="00180A33" w:rsidRPr="00180A33">
        <w:rPr>
          <w:rFonts w:ascii="Arial" w:hAnsi="Arial" w:cs="Arial"/>
          <w:sz w:val="24"/>
          <w:szCs w:val="24"/>
        </w:rPr>
        <w:t xml:space="preserve"> (</w:t>
      </w:r>
      <w:r w:rsidR="00180A33" w:rsidRPr="00180A33">
        <w:rPr>
          <w:rFonts w:ascii="Arial" w:hAnsi="Arial" w:cs="Arial"/>
          <w:sz w:val="24"/>
          <w:szCs w:val="24"/>
          <w:shd w:val="clear" w:color="auto" w:fill="FFFFFF"/>
        </w:rPr>
        <w:t>Eteläpelto and Lahti, 2018)</w:t>
      </w:r>
      <w:r w:rsidRPr="00180A33">
        <w:rPr>
          <w:rFonts w:ascii="Arial" w:hAnsi="Arial" w:cs="Arial"/>
          <w:sz w:val="24"/>
          <w:szCs w:val="24"/>
        </w:rPr>
        <w:t>.</w:t>
      </w:r>
    </w:p>
    <w:p w14:paraId="78E60215"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Improvement of workers' talents, expertise, and knowledge during the development phase. Human resources departments are crucial because they facilitate access to learning and advancement opportunities for employees. Employees' ability to grow and develop is aided by efforts like mentoring programs, cross-departmental assignments, and consistent training</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(Holley, 2021)</w:t>
      </w:r>
      <w:r w:rsidRPr="00180A33">
        <w:rPr>
          <w:rFonts w:ascii="Arial" w:hAnsi="Arial" w:cs="Arial"/>
          <w:sz w:val="24"/>
          <w:szCs w:val="24"/>
        </w:rPr>
        <w:t xml:space="preserve">. </w:t>
      </w:r>
    </w:p>
    <w:p w14:paraId="2AEAE0CF"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lastRenderedPageBreak/>
        <w:t>When it comes to keeping a good, dedicated staff in place, retention is key. Human resources departments implement plans to foster a productive office environment that gives employees respect, appreciation, and room for professional growth. They guarantee competitive pay, work-life balance programs, opportunities for advancement, and a positive work environment</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(Gilbert and De Winne, 2015)</w:t>
      </w:r>
      <w:r w:rsidRPr="00180A33">
        <w:rPr>
          <w:rFonts w:ascii="Arial" w:hAnsi="Arial" w:cs="Arial"/>
          <w:sz w:val="24"/>
          <w:szCs w:val="24"/>
        </w:rPr>
        <w:t xml:space="preserve">. </w:t>
      </w:r>
    </w:p>
    <w:p w14:paraId="0FBF1E5F" w14:textId="77777777" w:rsidR="00137BBF" w:rsidRPr="00180A33" w:rsidRDefault="00137BBF" w:rsidP="00297BEB">
      <w:pPr>
        <w:spacing w:before="240" w:line="360" w:lineRule="auto"/>
        <w:jc w:val="both"/>
        <w:rPr>
          <w:rFonts w:ascii="Arial" w:hAnsi="Arial" w:cs="Arial"/>
          <w:sz w:val="24"/>
          <w:szCs w:val="24"/>
        </w:rPr>
      </w:pPr>
      <w:r w:rsidRPr="00180A33">
        <w:rPr>
          <w:rFonts w:ascii="Arial" w:hAnsi="Arial" w:cs="Arial"/>
          <w:sz w:val="24"/>
          <w:szCs w:val="24"/>
        </w:rPr>
        <w:t>Employees that decide to quit the company are said to be in the separation phase. Human resources do exit interviews to learn more about why workers are leaving their positions. Having proper separation protocols in place allows to have a strong connection with departing staff and gives them a satisfying final experience</w:t>
      </w:r>
      <w:r w:rsidR="00180A33" w:rsidRPr="00180A33">
        <w:rPr>
          <w:rFonts w:ascii="Arial" w:hAnsi="Arial" w:cs="Arial"/>
          <w:sz w:val="24"/>
          <w:szCs w:val="24"/>
        </w:rPr>
        <w:t xml:space="preserve"> </w:t>
      </w:r>
      <w:r w:rsidR="00180A33" w:rsidRPr="00180A33">
        <w:rPr>
          <w:rFonts w:ascii="Arial" w:hAnsi="Arial" w:cs="Arial"/>
          <w:color w:val="000000"/>
          <w:sz w:val="24"/>
          <w:szCs w:val="24"/>
          <w:shd w:val="clear" w:color="auto" w:fill="FFFFFF"/>
        </w:rPr>
        <w:t>(Piercy, 2016)</w:t>
      </w:r>
      <w:r w:rsidRPr="00180A33">
        <w:rPr>
          <w:rFonts w:ascii="Arial" w:hAnsi="Arial" w:cs="Arial"/>
          <w:sz w:val="24"/>
          <w:szCs w:val="24"/>
        </w:rPr>
        <w:t>.</w:t>
      </w:r>
    </w:p>
    <w:p w14:paraId="31FCECB1" w14:textId="77777777" w:rsidR="00180A33" w:rsidRPr="00B0058A" w:rsidRDefault="00180A33" w:rsidP="00297BEB">
      <w:pPr>
        <w:pStyle w:val="Heading2"/>
        <w:spacing w:before="240"/>
        <w:rPr>
          <w:sz w:val="26"/>
          <w:szCs w:val="26"/>
        </w:rPr>
      </w:pPr>
      <w:r w:rsidRPr="00180A33">
        <w:t xml:space="preserve">Organisational performance examples </w:t>
      </w:r>
    </w:p>
    <w:p w14:paraId="4F111565"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The following are some instances of how good talent management and development throughout the employment lifetime can enhance team and organisational performance:</w:t>
      </w:r>
    </w:p>
    <w:p w14:paraId="5D6EAE63"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Productivity is boosted when workers feel appreciated and given encouragement because they are more likely to be inspired and committed. Organisations may unlock the full potential of their staff and improve levels of productivity by offering opportunities for growth and acknowledging employees' contributions (</w:t>
      </w:r>
      <w:r w:rsidRPr="00180A33">
        <w:rPr>
          <w:rFonts w:ascii="Arial" w:hAnsi="Arial" w:cs="Arial"/>
          <w:color w:val="000000"/>
          <w:sz w:val="24"/>
          <w:szCs w:val="24"/>
          <w:shd w:val="clear" w:color="auto" w:fill="FFFFFF"/>
        </w:rPr>
        <w:t>Beardwell and Thompson, 2017)</w:t>
      </w:r>
      <w:r w:rsidRPr="00180A33">
        <w:rPr>
          <w:rFonts w:ascii="Arial" w:hAnsi="Arial" w:cs="Arial"/>
          <w:sz w:val="24"/>
          <w:szCs w:val="24"/>
        </w:rPr>
        <w:t>.</w:t>
      </w:r>
    </w:p>
    <w:p w14:paraId="7A24FEFA"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 xml:space="preserve">Talent management strategies that place a priority on employee growth and the promotion of a positive workplace culture help to promote collaboration between teams. Employees are more inclined to interact successfully, exchange expertise, and cooperate to accomplish shared goals when they feel encouraged and have possibilities for progress </w:t>
      </w:r>
      <w:r w:rsidRPr="00180A33">
        <w:rPr>
          <w:rFonts w:ascii="Arial" w:hAnsi="Arial" w:cs="Arial"/>
          <w:sz w:val="24"/>
          <w:szCs w:val="24"/>
          <w:shd w:val="clear" w:color="auto" w:fill="FFFFFF"/>
        </w:rPr>
        <w:t>(Katz, 2016)</w:t>
      </w:r>
      <w:r w:rsidRPr="00180A33">
        <w:rPr>
          <w:rFonts w:ascii="Arial" w:hAnsi="Arial" w:cs="Arial"/>
          <w:sz w:val="24"/>
          <w:szCs w:val="24"/>
        </w:rPr>
        <w:t>.</w:t>
      </w:r>
    </w:p>
    <w:p w14:paraId="7856B60D"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 xml:space="preserve"> Delivering outstanding customer service is essential in the hospitality sector. Organisations may provide exceptional client service by enticing and nurturing skilled people who have the requisite abilities and customer-centric mindset. Individuals that are motivated and competent are more inclined to go above and beyond to satisfy customers and enhance the reputation of the company </w:t>
      </w:r>
      <w:r w:rsidRPr="00180A33">
        <w:rPr>
          <w:rFonts w:ascii="Arial" w:hAnsi="Arial" w:cs="Arial"/>
          <w:color w:val="000000"/>
          <w:sz w:val="24"/>
          <w:szCs w:val="24"/>
          <w:shd w:val="clear" w:color="auto" w:fill="FFFFFF"/>
        </w:rPr>
        <w:t>(</w:t>
      </w:r>
      <w:r w:rsidRPr="00AE551E">
        <w:rPr>
          <w:rFonts w:ascii="Arial" w:hAnsi="Arial" w:cs="Arial"/>
          <w:color w:val="000000"/>
          <w:sz w:val="24"/>
          <w:szCs w:val="24"/>
          <w:shd w:val="clear" w:color="auto" w:fill="FFFFFF"/>
        </w:rPr>
        <w:t>CONWAY,</w:t>
      </w:r>
      <w:r w:rsidRPr="00180A33">
        <w:rPr>
          <w:rFonts w:ascii="Arial" w:hAnsi="Arial" w:cs="Arial"/>
          <w:color w:val="000000"/>
          <w:sz w:val="24"/>
          <w:szCs w:val="24"/>
          <w:shd w:val="clear" w:color="auto" w:fill="FFFFFF"/>
        </w:rPr>
        <w:t xml:space="preserve"> 2016)</w:t>
      </w:r>
      <w:r w:rsidRPr="00180A33">
        <w:rPr>
          <w:rFonts w:ascii="Arial" w:hAnsi="Arial" w:cs="Arial"/>
          <w:sz w:val="24"/>
          <w:szCs w:val="24"/>
        </w:rPr>
        <w:t xml:space="preserve">. Effective personnel management activities, such as career development programmes, </w:t>
      </w:r>
      <w:r w:rsidRPr="00180A33">
        <w:rPr>
          <w:rFonts w:ascii="Arial" w:hAnsi="Arial" w:cs="Arial"/>
          <w:sz w:val="24"/>
          <w:szCs w:val="24"/>
        </w:rPr>
        <w:lastRenderedPageBreak/>
        <w:t>recognition, and work-life balance initiatives, all help to lower employee turnover. Organisations can lower hiring and training expenses, preserve institutional knowledge, and promote stable working conditions by retaining experienced people.</w:t>
      </w:r>
    </w:p>
    <w:p w14:paraId="31930D08"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 xml:space="preserve"> Employees that are motivated and engaged are more likely to offer creative ideas and suggestions. Organisations may help staff develop an innovative attitude by offering possibilities for development and fostering a culture that values innovation and taking risks. As a result, fresh ideas are produced, processes are improved, and an edge over competitors is gained (King, S., 2016). </w:t>
      </w:r>
    </w:p>
    <w:p w14:paraId="7167AC91" w14:textId="77777777" w:rsidR="00180A33" w:rsidRPr="00D01E3B" w:rsidRDefault="00180A33" w:rsidP="00297BEB">
      <w:pPr>
        <w:pStyle w:val="Heading2"/>
        <w:spacing w:before="240"/>
      </w:pPr>
      <w:r w:rsidRPr="00D01E3B">
        <w:t xml:space="preserve">Best practice industry examples </w:t>
      </w:r>
    </w:p>
    <w:p w14:paraId="31542D83"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Marriott International: Marriott International's "Path to Excellence" programme provides employees with well-defined advancement possibilities, cross-departmental education, and chances to grow into leadership roles. The company emphasi</w:t>
      </w:r>
      <w:r w:rsidR="001F0B57">
        <w:rPr>
          <w:rFonts w:ascii="Arial" w:hAnsi="Arial" w:cs="Arial"/>
          <w:sz w:val="24"/>
          <w:szCs w:val="24"/>
        </w:rPr>
        <w:t>se</w:t>
      </w:r>
      <w:r w:rsidRPr="00180A33">
        <w:rPr>
          <w:rFonts w:ascii="Arial" w:hAnsi="Arial" w:cs="Arial"/>
          <w:sz w:val="24"/>
          <w:szCs w:val="24"/>
        </w:rPr>
        <w:t xml:space="preserve">s nurturing its talented staff by encouraging professional development as well as hiring within </w:t>
      </w:r>
      <w:r w:rsidRPr="00180A33">
        <w:rPr>
          <w:rFonts w:ascii="Arial" w:hAnsi="Arial" w:cs="Arial"/>
          <w:color w:val="000000"/>
          <w:sz w:val="24"/>
          <w:szCs w:val="24"/>
          <w:shd w:val="clear" w:color="auto" w:fill="FFFFFF"/>
        </w:rPr>
        <w:t>(Chang, 2019)</w:t>
      </w:r>
      <w:r w:rsidRPr="00180A33">
        <w:rPr>
          <w:rFonts w:ascii="Arial" w:hAnsi="Arial" w:cs="Arial"/>
          <w:sz w:val="24"/>
          <w:szCs w:val="24"/>
        </w:rPr>
        <w:t>.</w:t>
      </w:r>
    </w:p>
    <w:p w14:paraId="0562D7BB"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Hilton Worldwide uses "Hilton University," a comprehensive online and onsite training platform, to help its employees grow professionally. They place a premium on staff education and advancement, so workers have access to tools for lifelong learning and growth.</w:t>
      </w:r>
    </w:p>
    <w:p w14:paraId="3BFACBF1" w14:textId="77777777" w:rsidR="00180A33" w:rsidRPr="00180A33" w:rsidRDefault="00180A33" w:rsidP="00297BEB">
      <w:pPr>
        <w:spacing w:before="240" w:line="360" w:lineRule="auto"/>
        <w:jc w:val="both"/>
        <w:rPr>
          <w:rFonts w:ascii="Arial" w:hAnsi="Arial" w:cs="Arial"/>
          <w:sz w:val="24"/>
          <w:szCs w:val="24"/>
        </w:rPr>
      </w:pPr>
      <w:r w:rsidRPr="00180A33">
        <w:rPr>
          <w:rFonts w:ascii="Arial" w:hAnsi="Arial" w:cs="Arial"/>
          <w:sz w:val="24"/>
          <w:szCs w:val="24"/>
        </w:rPr>
        <w:t xml:space="preserve">Google is well-known for its innovative approaches to managing its employees' careers. They put a premium on finding and retaining the best personnel, therefore they use creative techniques to find and recruit them. </w:t>
      </w:r>
      <w:r w:rsidRPr="00180A33">
        <w:rPr>
          <w:rFonts w:ascii="Arial" w:hAnsi="Arial" w:cs="Arial"/>
          <w:color w:val="000000"/>
          <w:sz w:val="24"/>
          <w:szCs w:val="24"/>
          <w:shd w:val="clear" w:color="auto" w:fill="FFFFFF"/>
        </w:rPr>
        <w:t>(Mayo, 2014)</w:t>
      </w:r>
      <w:r w:rsidRPr="00180A33">
        <w:rPr>
          <w:rFonts w:ascii="Arial" w:hAnsi="Arial" w:cs="Arial"/>
          <w:sz w:val="24"/>
          <w:szCs w:val="24"/>
        </w:rPr>
        <w:t>.</w:t>
      </w:r>
    </w:p>
    <w:p w14:paraId="6DEA59FE" w14:textId="77777777" w:rsidR="00297BEB" w:rsidRDefault="00180A33" w:rsidP="00297BEB">
      <w:pPr>
        <w:spacing w:before="240" w:line="360" w:lineRule="auto"/>
        <w:jc w:val="both"/>
        <w:rPr>
          <w:rFonts w:ascii="Arial" w:hAnsi="Arial" w:cs="Arial"/>
          <w:sz w:val="24"/>
          <w:szCs w:val="24"/>
        </w:rPr>
      </w:pPr>
      <w:r w:rsidRPr="00180A33">
        <w:rPr>
          <w:rFonts w:ascii="Arial" w:hAnsi="Arial" w:cs="Arial"/>
          <w:sz w:val="24"/>
          <w:szCs w:val="24"/>
        </w:rPr>
        <w:t>Zappos is an e-commerce company that prides itself on providing excellent customer service and places a strong emphasis on fostering a good work environment. They emphasi</w:t>
      </w:r>
      <w:r w:rsidR="001F0B57">
        <w:rPr>
          <w:rFonts w:ascii="Arial" w:hAnsi="Arial" w:cs="Arial"/>
          <w:sz w:val="24"/>
          <w:szCs w:val="24"/>
        </w:rPr>
        <w:t>se</w:t>
      </w:r>
      <w:r w:rsidRPr="00180A33">
        <w:rPr>
          <w:rFonts w:ascii="Arial" w:hAnsi="Arial" w:cs="Arial"/>
          <w:sz w:val="24"/>
          <w:szCs w:val="24"/>
        </w:rPr>
        <w:t>d staff involvement and growth, and they give thorough orientation and instruction programs. Zappos places a premium on their workers' happiness and provides an environment where they may thrive as a team.</w:t>
      </w:r>
    </w:p>
    <w:p w14:paraId="76D91AAB" w14:textId="4F0E2D3D" w:rsidR="00137BBF" w:rsidRPr="00297BEB" w:rsidRDefault="00180A33" w:rsidP="00297BEB">
      <w:pPr>
        <w:pStyle w:val="Heading1"/>
        <w:rPr>
          <w:sz w:val="24"/>
          <w:szCs w:val="24"/>
        </w:rPr>
      </w:pPr>
      <w:r w:rsidRPr="00180A33">
        <w:lastRenderedPageBreak/>
        <w:t xml:space="preserve">Conclusion </w:t>
      </w:r>
    </w:p>
    <w:p w14:paraId="01E102BE" w14:textId="77777777" w:rsidR="00436EE1" w:rsidRDefault="00180A33" w:rsidP="00297BEB">
      <w:pPr>
        <w:spacing w:before="240" w:line="360" w:lineRule="auto"/>
        <w:jc w:val="both"/>
        <w:rPr>
          <w:rFonts w:ascii="Arial" w:hAnsi="Arial" w:cs="Arial"/>
          <w:sz w:val="24"/>
          <w:szCs w:val="24"/>
        </w:rPr>
      </w:pPr>
      <w:r w:rsidRPr="00180A33">
        <w:rPr>
          <w:rFonts w:ascii="Arial" w:hAnsi="Arial" w:cs="Arial"/>
          <w:sz w:val="24"/>
          <w:szCs w:val="24"/>
        </w:rPr>
        <w:t xml:space="preserve">In conclusion, improving team and organisational performance relies heavily on effective supervision as well as the growth of people over the whole employee lifespan. Companies can ensure a productive and creative staff by actively courting the best and brightest workers. Employees are enabled to contribute to the fullest of their abilities and work successfully in teams through deliberate recruiting, onboarding, and professional growth activities. There are several upsides to spending money on talent management. As a result, productivity increases as workers who are inspired to do their best continue to do so. Employees are more likely to work together towards common goals if they feel supported and have the opportunity to grow professionally </w:t>
      </w:r>
      <w:r w:rsidRPr="00180A33">
        <w:rPr>
          <w:rFonts w:ascii="Arial" w:hAnsi="Arial" w:cs="Arial"/>
          <w:color w:val="000000"/>
          <w:sz w:val="24"/>
          <w:szCs w:val="24"/>
          <w:shd w:val="clear" w:color="auto" w:fill="FFFFFF"/>
        </w:rPr>
        <w:t>(Woodall, 2017)</w:t>
      </w:r>
      <w:r w:rsidRPr="00180A33">
        <w:rPr>
          <w:rFonts w:ascii="Arial" w:hAnsi="Arial" w:cs="Arial"/>
          <w:sz w:val="24"/>
          <w:szCs w:val="24"/>
        </w:rPr>
        <w:t>. These methods are especially useful in the hospitality sector since they improve customer service and the public's perception of brands. In addition to keeping institutional knowledge within an organisation and saving money on recruiting and training, effective talent management helps keep employees from leaving. Furthermore, businesses that invest in their employees' growth and promote a culture of innovation see increased creativity, more efficient operations, and a significant competitive advantage.</w:t>
      </w:r>
    </w:p>
    <w:p w14:paraId="3032E6CD" w14:textId="77777777" w:rsidR="00180A33" w:rsidRPr="00180A33" w:rsidRDefault="00436EE1" w:rsidP="00297BEB">
      <w:pPr>
        <w:spacing w:before="240" w:line="360" w:lineRule="auto"/>
        <w:rPr>
          <w:rFonts w:ascii="Arial" w:hAnsi="Arial" w:cs="Arial"/>
          <w:sz w:val="24"/>
          <w:szCs w:val="24"/>
        </w:rPr>
      </w:pPr>
      <w:r>
        <w:rPr>
          <w:rFonts w:ascii="Arial" w:hAnsi="Arial" w:cs="Arial"/>
          <w:sz w:val="24"/>
          <w:szCs w:val="24"/>
        </w:rPr>
        <w:br w:type="page"/>
      </w:r>
    </w:p>
    <w:p w14:paraId="2BCD0DA9" w14:textId="77777777" w:rsidR="00180A33" w:rsidRPr="00180A33" w:rsidRDefault="00180A33" w:rsidP="00297BEB">
      <w:pPr>
        <w:pStyle w:val="Heading1"/>
      </w:pPr>
      <w:r w:rsidRPr="00180A33">
        <w:lastRenderedPageBreak/>
        <w:t xml:space="preserve">References </w:t>
      </w:r>
    </w:p>
    <w:p w14:paraId="7491C5F0"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Al-Kassem, A., (2017). Recruitment and Selection Practices in Business Process Outsourcing Industry. </w:t>
      </w:r>
      <w:r w:rsidRPr="005A77AD">
        <w:rPr>
          <w:rFonts w:ascii="Arial" w:hAnsi="Arial" w:cs="Arial"/>
          <w:i/>
          <w:iCs/>
          <w:sz w:val="24"/>
          <w:szCs w:val="24"/>
        </w:rPr>
        <w:t>Archives of Business Research, 5(3).</w:t>
      </w:r>
    </w:p>
    <w:p w14:paraId="17637536"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 xml:space="preserve">Appel, A., (2017). Sole proprietorship workbook. </w:t>
      </w:r>
      <w:r w:rsidRPr="005A77AD">
        <w:rPr>
          <w:rFonts w:ascii="Arial" w:hAnsi="Arial" w:cs="Arial"/>
          <w:i/>
          <w:iCs/>
          <w:color w:val="000000"/>
          <w:sz w:val="24"/>
          <w:szCs w:val="24"/>
        </w:rPr>
        <w:t>Greenvale, N.Y.: Panel Publishers.</w:t>
      </w:r>
    </w:p>
    <w:p w14:paraId="5D94572E" w14:textId="77777777" w:rsidR="00D5423C" w:rsidRPr="005A77AD" w:rsidRDefault="00D5423C" w:rsidP="00297BEB">
      <w:pPr>
        <w:spacing w:before="240" w:line="360" w:lineRule="auto"/>
        <w:jc w:val="both"/>
        <w:rPr>
          <w:rFonts w:ascii="Arial" w:eastAsia="Times New Roman" w:hAnsi="Arial" w:cs="Arial"/>
          <w:i/>
          <w:iCs/>
          <w:color w:val="000000"/>
          <w:sz w:val="24"/>
          <w:szCs w:val="24"/>
          <w:lang w:eastAsia="en-ID"/>
        </w:rPr>
      </w:pPr>
      <w:r w:rsidRPr="00451E66">
        <w:rPr>
          <w:rFonts w:ascii="Arial" w:eastAsia="Times New Roman" w:hAnsi="Arial" w:cs="Arial"/>
          <w:color w:val="000000"/>
          <w:sz w:val="24"/>
          <w:szCs w:val="24"/>
          <w:lang w:eastAsia="en-ID"/>
        </w:rPr>
        <w:t>Balla, J., (2019). A model for reflection for good clinical practice. </w:t>
      </w:r>
      <w:r w:rsidRPr="005A77AD">
        <w:rPr>
          <w:rFonts w:ascii="Arial" w:eastAsia="Times New Roman" w:hAnsi="Arial" w:cs="Arial"/>
          <w:i/>
          <w:iCs/>
          <w:color w:val="000000"/>
          <w:sz w:val="24"/>
          <w:szCs w:val="24"/>
          <w:lang w:eastAsia="en-ID"/>
        </w:rPr>
        <w:t xml:space="preserve">Journal of Evaluation in Clinical Practice, </w:t>
      </w:r>
      <w:r w:rsidRPr="00AC5E81">
        <w:rPr>
          <w:rFonts w:ascii="Arial" w:eastAsia="Times New Roman" w:hAnsi="Arial" w:cs="Arial"/>
          <w:color w:val="000000"/>
          <w:sz w:val="24"/>
          <w:szCs w:val="24"/>
          <w:lang w:eastAsia="en-ID"/>
        </w:rPr>
        <w:t>15(6), pp.964-969.</w:t>
      </w:r>
    </w:p>
    <w:p w14:paraId="1EE17341"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Brackett, M., (2019). Emotional Intelligence. </w:t>
      </w:r>
      <w:r w:rsidRPr="00780C07">
        <w:rPr>
          <w:rFonts w:ascii="Arial" w:hAnsi="Arial" w:cs="Arial"/>
          <w:i/>
          <w:iCs/>
          <w:sz w:val="24"/>
          <w:szCs w:val="24"/>
        </w:rPr>
        <w:t>Character Lab Playbook,</w:t>
      </w:r>
    </w:p>
    <w:p w14:paraId="4A0F3B89" w14:textId="77777777" w:rsidR="00D5423C" w:rsidRPr="00AC5E81" w:rsidRDefault="00D5423C" w:rsidP="00297BEB">
      <w:pPr>
        <w:spacing w:before="240" w:line="360" w:lineRule="auto"/>
        <w:jc w:val="both"/>
        <w:rPr>
          <w:rFonts w:ascii="Arial" w:eastAsia="Times New Roman" w:hAnsi="Arial" w:cs="Arial"/>
          <w:color w:val="000000"/>
          <w:sz w:val="24"/>
          <w:szCs w:val="24"/>
          <w:lang w:eastAsia="en-ID"/>
        </w:rPr>
      </w:pPr>
      <w:r w:rsidRPr="00451E66">
        <w:rPr>
          <w:rFonts w:ascii="Arial" w:eastAsia="Times New Roman" w:hAnsi="Arial" w:cs="Arial"/>
          <w:color w:val="000000"/>
          <w:sz w:val="24"/>
          <w:szCs w:val="24"/>
          <w:lang w:eastAsia="en-ID"/>
        </w:rPr>
        <w:t>CONWAY, D., (2016). DESCRIPTION AND EVALUTION</w:t>
      </w:r>
      <w:r w:rsidRPr="00780C07">
        <w:rPr>
          <w:rFonts w:ascii="Arial" w:eastAsia="Times New Roman" w:hAnsi="Arial" w:cs="Arial"/>
          <w:i/>
          <w:iCs/>
          <w:color w:val="000000"/>
          <w:sz w:val="24"/>
          <w:szCs w:val="24"/>
          <w:lang w:eastAsia="en-ID"/>
        </w:rPr>
        <w:t>. Mind, LXXXI(324</w:t>
      </w:r>
      <w:r w:rsidRPr="00AC5E81">
        <w:rPr>
          <w:rFonts w:ascii="Arial" w:eastAsia="Times New Roman" w:hAnsi="Arial" w:cs="Arial"/>
          <w:color w:val="000000"/>
          <w:sz w:val="24"/>
          <w:szCs w:val="24"/>
          <w:lang w:eastAsia="en-ID"/>
        </w:rPr>
        <w:t>), pp.590-594.</w:t>
      </w:r>
    </w:p>
    <w:p w14:paraId="456BD614" w14:textId="77777777" w:rsidR="00D5423C" w:rsidRPr="00780C07" w:rsidRDefault="00D5423C" w:rsidP="00297BEB">
      <w:pPr>
        <w:spacing w:before="240" w:line="360" w:lineRule="auto"/>
        <w:jc w:val="both"/>
        <w:rPr>
          <w:rFonts w:ascii="Arial" w:hAnsi="Arial" w:cs="Arial"/>
          <w:i/>
          <w:iCs/>
          <w:color w:val="000000"/>
          <w:sz w:val="24"/>
          <w:szCs w:val="24"/>
        </w:rPr>
      </w:pPr>
      <w:r w:rsidRPr="00451E66">
        <w:rPr>
          <w:rFonts w:ascii="Arial" w:hAnsi="Arial" w:cs="Arial"/>
          <w:color w:val="000000"/>
          <w:sz w:val="24"/>
          <w:szCs w:val="24"/>
        </w:rPr>
        <w:t>DICKINSON, F., (2012). Fighting Culture with Culture. </w:t>
      </w:r>
      <w:r w:rsidRPr="00F31E47">
        <w:rPr>
          <w:rFonts w:ascii="Arial" w:hAnsi="Arial" w:cs="Arial"/>
          <w:i/>
          <w:iCs/>
          <w:color w:val="000000"/>
          <w:sz w:val="24"/>
          <w:szCs w:val="24"/>
        </w:rPr>
        <w:t>Diplomatic History, 36(4),</w:t>
      </w:r>
      <w:r w:rsidRPr="00780C07">
        <w:rPr>
          <w:rFonts w:ascii="Arial" w:hAnsi="Arial" w:cs="Arial"/>
          <w:i/>
          <w:iCs/>
          <w:color w:val="000000"/>
          <w:sz w:val="24"/>
          <w:szCs w:val="24"/>
        </w:rPr>
        <w:t xml:space="preserve"> </w:t>
      </w:r>
      <w:r w:rsidRPr="00AC5E81">
        <w:rPr>
          <w:rFonts w:ascii="Arial" w:hAnsi="Arial" w:cs="Arial"/>
          <w:color w:val="000000"/>
          <w:sz w:val="24"/>
          <w:szCs w:val="24"/>
        </w:rPr>
        <w:t>pp.773-775.</w:t>
      </w:r>
    </w:p>
    <w:p w14:paraId="550098E7"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 xml:space="preserve">Eteläpelto, A. and Lahti, J., (2018). </w:t>
      </w:r>
      <w:r w:rsidRPr="00780C07">
        <w:rPr>
          <w:rFonts w:ascii="Arial" w:hAnsi="Arial" w:cs="Arial"/>
          <w:i/>
          <w:iCs/>
          <w:sz w:val="24"/>
          <w:szCs w:val="24"/>
        </w:rPr>
        <w:t>The resources and obstacles of creative collaboration in a long-term learning community.</w:t>
      </w:r>
    </w:p>
    <w:p w14:paraId="12F6B561"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Giandomenico, R., (2016). Asset Liability Management. </w:t>
      </w:r>
      <w:r w:rsidRPr="00780C07">
        <w:rPr>
          <w:rFonts w:ascii="Arial" w:hAnsi="Arial" w:cs="Arial"/>
          <w:i/>
          <w:iCs/>
          <w:color w:val="000000"/>
          <w:sz w:val="24"/>
          <w:szCs w:val="24"/>
        </w:rPr>
        <w:t>SSRN Electronic Journal,</w:t>
      </w:r>
    </w:p>
    <w:p w14:paraId="1D990D74"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Gilbert, C. and De Winne, S., (2015). Strong HRM processes and line managers' effective HRM implementation: a balanced view. </w:t>
      </w:r>
      <w:r w:rsidRPr="00AC5E81">
        <w:rPr>
          <w:rFonts w:ascii="Arial" w:hAnsi="Arial" w:cs="Arial"/>
          <w:i/>
          <w:iCs/>
          <w:color w:val="000000"/>
          <w:sz w:val="24"/>
          <w:szCs w:val="24"/>
        </w:rPr>
        <w:t>Human Resource Management Journal,</w:t>
      </w:r>
      <w:r w:rsidRPr="00451E66">
        <w:rPr>
          <w:rFonts w:ascii="Arial" w:hAnsi="Arial" w:cs="Arial"/>
          <w:color w:val="000000"/>
          <w:sz w:val="24"/>
          <w:szCs w:val="24"/>
        </w:rPr>
        <w:t xml:space="preserve"> 25(4), pp.600-616.</w:t>
      </w:r>
    </w:p>
    <w:p w14:paraId="13A5CBFF" w14:textId="77777777" w:rsidR="00D5423C" w:rsidRPr="00451E66" w:rsidRDefault="00D5423C" w:rsidP="00297BEB">
      <w:pPr>
        <w:spacing w:before="240" w:line="360" w:lineRule="auto"/>
        <w:jc w:val="both"/>
        <w:rPr>
          <w:rFonts w:ascii="Arial" w:eastAsia="Times New Roman" w:hAnsi="Arial" w:cs="Arial"/>
          <w:color w:val="000000"/>
          <w:sz w:val="24"/>
          <w:szCs w:val="24"/>
          <w:lang w:eastAsia="en-ID"/>
        </w:rPr>
      </w:pPr>
      <w:r w:rsidRPr="00451E66">
        <w:rPr>
          <w:rFonts w:ascii="Arial" w:eastAsia="Times New Roman" w:hAnsi="Arial" w:cs="Arial"/>
          <w:color w:val="000000"/>
          <w:sz w:val="24"/>
          <w:szCs w:val="24"/>
          <w:lang w:eastAsia="en-ID"/>
        </w:rPr>
        <w:t>Holley, R., (2021). Competition, Grading, and Group Work: The Path to Cooperation. </w:t>
      </w:r>
      <w:r w:rsidRPr="00AC5E81">
        <w:rPr>
          <w:rFonts w:ascii="Arial" w:eastAsia="Times New Roman" w:hAnsi="Arial" w:cs="Arial"/>
          <w:i/>
          <w:iCs/>
          <w:color w:val="000000"/>
          <w:sz w:val="24"/>
          <w:szCs w:val="24"/>
          <w:lang w:eastAsia="en-ID"/>
        </w:rPr>
        <w:t>Journal of Library Administration, 61(5),</w:t>
      </w:r>
      <w:r w:rsidRPr="00451E66">
        <w:rPr>
          <w:rFonts w:ascii="Arial" w:eastAsia="Times New Roman" w:hAnsi="Arial" w:cs="Arial"/>
          <w:color w:val="000000"/>
          <w:sz w:val="24"/>
          <w:szCs w:val="24"/>
          <w:lang w:eastAsia="en-ID"/>
        </w:rPr>
        <w:t xml:space="preserve"> pp.603-610.</w:t>
      </w:r>
    </w:p>
    <w:p w14:paraId="5A8FB998"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Katz, J., (2016). Lines of Miscommunication. </w:t>
      </w:r>
      <w:r w:rsidRPr="00AC5E81">
        <w:rPr>
          <w:rFonts w:ascii="Arial" w:hAnsi="Arial" w:cs="Arial"/>
          <w:i/>
          <w:iCs/>
          <w:sz w:val="24"/>
          <w:szCs w:val="24"/>
        </w:rPr>
        <w:t>Anesthesia &amp;amp; Analgesia,</w:t>
      </w:r>
      <w:r w:rsidRPr="00451E66">
        <w:rPr>
          <w:rFonts w:ascii="Arial" w:hAnsi="Arial" w:cs="Arial"/>
          <w:sz w:val="24"/>
          <w:szCs w:val="24"/>
        </w:rPr>
        <w:t xml:space="preserve"> p.1261.</w:t>
      </w:r>
    </w:p>
    <w:p w14:paraId="56CFF2C1"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King, S., (2016). The relationship between stress and communication in the organi</w:t>
      </w:r>
      <w:r w:rsidR="00511E8C">
        <w:rPr>
          <w:rFonts w:ascii="Arial" w:hAnsi="Arial" w:cs="Arial"/>
          <w:sz w:val="24"/>
          <w:szCs w:val="24"/>
        </w:rPr>
        <w:t>sation</w:t>
      </w:r>
      <w:r w:rsidRPr="00451E66">
        <w:rPr>
          <w:rFonts w:ascii="Arial" w:hAnsi="Arial" w:cs="Arial"/>
          <w:sz w:val="24"/>
          <w:szCs w:val="24"/>
        </w:rPr>
        <w:t>al context. </w:t>
      </w:r>
      <w:r w:rsidRPr="00AC5E81">
        <w:rPr>
          <w:rFonts w:ascii="Arial" w:hAnsi="Arial" w:cs="Arial"/>
          <w:i/>
          <w:iCs/>
          <w:sz w:val="24"/>
          <w:szCs w:val="24"/>
        </w:rPr>
        <w:t>Central States Speech Journal, 37(1),</w:t>
      </w:r>
      <w:r w:rsidRPr="00451E66">
        <w:rPr>
          <w:rFonts w:ascii="Arial" w:hAnsi="Arial" w:cs="Arial"/>
          <w:sz w:val="24"/>
          <w:szCs w:val="24"/>
        </w:rPr>
        <w:t xml:space="preserve"> pp.27-35.</w:t>
      </w:r>
    </w:p>
    <w:p w14:paraId="02A0BD98"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Lehner, D., (2019). </w:t>
      </w:r>
      <w:r w:rsidRPr="00F31E47">
        <w:rPr>
          <w:rFonts w:ascii="Arial" w:hAnsi="Arial" w:cs="Arial"/>
          <w:i/>
          <w:iCs/>
          <w:sz w:val="24"/>
          <w:szCs w:val="24"/>
        </w:rPr>
        <w:t xml:space="preserve">Risk Assessment </w:t>
      </w:r>
      <w:r w:rsidR="005A77AD" w:rsidRPr="00F31E47">
        <w:rPr>
          <w:rFonts w:ascii="Arial" w:hAnsi="Arial" w:cs="Arial"/>
          <w:i/>
          <w:iCs/>
          <w:sz w:val="24"/>
          <w:szCs w:val="24"/>
        </w:rPr>
        <w:t>and</w:t>
      </w:r>
      <w:r w:rsidRPr="00F31E47">
        <w:rPr>
          <w:rFonts w:ascii="Arial" w:hAnsi="Arial" w:cs="Arial"/>
          <w:i/>
          <w:iCs/>
          <w:sz w:val="24"/>
          <w:szCs w:val="24"/>
        </w:rPr>
        <w:t xml:space="preserve"> </w:t>
      </w:r>
      <w:r w:rsidR="00AC5E81" w:rsidRPr="00F31E47">
        <w:rPr>
          <w:rFonts w:ascii="Arial" w:hAnsi="Arial" w:cs="Arial"/>
          <w:i/>
          <w:iCs/>
          <w:sz w:val="24"/>
          <w:szCs w:val="24"/>
        </w:rPr>
        <w:t>Multi-Agency</w:t>
      </w:r>
      <w:r w:rsidRPr="00F31E47">
        <w:rPr>
          <w:rFonts w:ascii="Arial" w:hAnsi="Arial" w:cs="Arial"/>
          <w:i/>
          <w:iCs/>
          <w:sz w:val="24"/>
          <w:szCs w:val="24"/>
        </w:rPr>
        <w:t xml:space="preserve"> Protection</w:t>
      </w:r>
      <w:r w:rsidRPr="00451E66">
        <w:rPr>
          <w:rFonts w:ascii="Arial" w:hAnsi="Arial" w:cs="Arial"/>
          <w:sz w:val="24"/>
          <w:szCs w:val="24"/>
        </w:rPr>
        <w:t>.</w:t>
      </w:r>
    </w:p>
    <w:p w14:paraId="6B961DC6"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Linden, R., (2018). Developing a collaborative mindset</w:t>
      </w:r>
      <w:r w:rsidRPr="00D91C69">
        <w:rPr>
          <w:rFonts w:ascii="Arial" w:hAnsi="Arial" w:cs="Arial"/>
          <w:i/>
          <w:iCs/>
          <w:sz w:val="24"/>
          <w:szCs w:val="24"/>
        </w:rPr>
        <w:t>. Leader to Leader, 2010(58),</w:t>
      </w:r>
      <w:r w:rsidRPr="00451E66">
        <w:rPr>
          <w:rFonts w:ascii="Arial" w:hAnsi="Arial" w:cs="Arial"/>
          <w:sz w:val="24"/>
          <w:szCs w:val="24"/>
        </w:rPr>
        <w:t xml:space="preserve"> pp.57-62.</w:t>
      </w:r>
    </w:p>
    <w:p w14:paraId="79011F8D"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lastRenderedPageBreak/>
        <w:t>Maas, M., (2015). Professional practice for the extended care environment</w:t>
      </w:r>
      <w:r w:rsidRPr="00D91C69">
        <w:rPr>
          <w:rFonts w:ascii="Arial" w:hAnsi="Arial" w:cs="Arial"/>
          <w:i/>
          <w:iCs/>
          <w:sz w:val="24"/>
          <w:szCs w:val="24"/>
        </w:rPr>
        <w:t>. Journal of Professional Nursing</w:t>
      </w:r>
      <w:r w:rsidRPr="00451E66">
        <w:rPr>
          <w:rFonts w:ascii="Arial" w:hAnsi="Arial" w:cs="Arial"/>
          <w:sz w:val="24"/>
          <w:szCs w:val="24"/>
        </w:rPr>
        <w:t>, 5(2), pp.66-76.</w:t>
      </w:r>
    </w:p>
    <w:p w14:paraId="3B246746" w14:textId="77777777" w:rsidR="00D5423C" w:rsidRPr="00D91C69" w:rsidRDefault="00D5423C" w:rsidP="00297BEB">
      <w:pPr>
        <w:spacing w:before="240" w:line="360" w:lineRule="auto"/>
        <w:jc w:val="both"/>
        <w:rPr>
          <w:rFonts w:ascii="Arial" w:hAnsi="Arial" w:cs="Arial"/>
          <w:i/>
          <w:iCs/>
          <w:color w:val="000000"/>
          <w:sz w:val="24"/>
          <w:szCs w:val="24"/>
        </w:rPr>
      </w:pPr>
      <w:r w:rsidRPr="00451E66">
        <w:rPr>
          <w:rFonts w:ascii="Arial" w:hAnsi="Arial" w:cs="Arial"/>
          <w:color w:val="000000"/>
          <w:sz w:val="24"/>
          <w:szCs w:val="24"/>
        </w:rPr>
        <w:t>Mayo, A., (2014). Align the workforce to strategic objectives. </w:t>
      </w:r>
      <w:r w:rsidRPr="00D91C69">
        <w:rPr>
          <w:rFonts w:ascii="Arial" w:hAnsi="Arial" w:cs="Arial"/>
          <w:i/>
          <w:iCs/>
          <w:color w:val="000000"/>
          <w:sz w:val="24"/>
          <w:szCs w:val="24"/>
        </w:rPr>
        <w:t>Strategic HR Review, 13(2).</w:t>
      </w:r>
    </w:p>
    <w:p w14:paraId="7E9AB66D"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Piercy, N., (2016). Sales forecasting with limited resources. </w:t>
      </w:r>
      <w:r w:rsidRPr="00D91C69">
        <w:rPr>
          <w:rFonts w:ascii="Arial" w:hAnsi="Arial" w:cs="Arial"/>
          <w:i/>
          <w:iCs/>
          <w:color w:val="000000"/>
          <w:sz w:val="24"/>
          <w:szCs w:val="24"/>
        </w:rPr>
        <w:t>Retail and Distribution Management, 6(4),</w:t>
      </w:r>
      <w:r w:rsidRPr="00451E66">
        <w:rPr>
          <w:rFonts w:ascii="Arial" w:hAnsi="Arial" w:cs="Arial"/>
          <w:color w:val="000000"/>
          <w:sz w:val="24"/>
          <w:szCs w:val="24"/>
        </w:rPr>
        <w:t xml:space="preserve"> pp.37-64.</w:t>
      </w:r>
    </w:p>
    <w:p w14:paraId="1055772D" w14:textId="77777777" w:rsidR="00D5423C" w:rsidRPr="00451E66" w:rsidRDefault="00D5423C" w:rsidP="00297BEB">
      <w:pPr>
        <w:spacing w:before="240" w:line="360" w:lineRule="auto"/>
        <w:jc w:val="both"/>
        <w:rPr>
          <w:rFonts w:ascii="Arial" w:hAnsi="Arial" w:cs="Arial"/>
          <w:sz w:val="24"/>
          <w:szCs w:val="24"/>
        </w:rPr>
      </w:pPr>
      <w:r w:rsidRPr="00451E66">
        <w:rPr>
          <w:rFonts w:ascii="Arial" w:hAnsi="Arial" w:cs="Arial"/>
          <w:sz w:val="24"/>
          <w:szCs w:val="24"/>
        </w:rPr>
        <w:t xml:space="preserve">Pollak, K., (2020). </w:t>
      </w:r>
      <w:r w:rsidRPr="00D91C69">
        <w:rPr>
          <w:rFonts w:ascii="Arial" w:hAnsi="Arial" w:cs="Arial"/>
          <w:sz w:val="24"/>
          <w:szCs w:val="24"/>
        </w:rPr>
        <w:t xml:space="preserve">Teaching effective communication by </w:t>
      </w:r>
      <w:r w:rsidR="00D91C69" w:rsidRPr="00D91C69">
        <w:rPr>
          <w:rFonts w:ascii="Arial" w:hAnsi="Arial" w:cs="Arial"/>
          <w:sz w:val="24"/>
          <w:szCs w:val="24"/>
        </w:rPr>
        <w:t>modelling</w:t>
      </w:r>
      <w:r w:rsidRPr="00D91C69">
        <w:rPr>
          <w:rFonts w:ascii="Arial" w:hAnsi="Arial" w:cs="Arial"/>
          <w:sz w:val="24"/>
          <w:szCs w:val="24"/>
        </w:rPr>
        <w:t xml:space="preserve"> effective communication: Experiences of a communication coach for clinicians</w:t>
      </w:r>
    </w:p>
    <w:p w14:paraId="39C9AB53" w14:textId="77777777" w:rsidR="00D5423C" w:rsidRPr="00CA5426" w:rsidRDefault="00D5423C" w:rsidP="00297BEB">
      <w:pPr>
        <w:spacing w:before="240" w:line="360" w:lineRule="auto"/>
        <w:jc w:val="both"/>
        <w:rPr>
          <w:rFonts w:ascii="Arial" w:eastAsia="Times New Roman" w:hAnsi="Arial" w:cs="Arial"/>
          <w:i/>
          <w:iCs/>
          <w:color w:val="000000"/>
          <w:sz w:val="24"/>
          <w:szCs w:val="24"/>
          <w:lang w:eastAsia="en-ID"/>
        </w:rPr>
      </w:pPr>
      <w:r w:rsidRPr="00451E66">
        <w:rPr>
          <w:rFonts w:ascii="Arial" w:eastAsia="Times New Roman" w:hAnsi="Arial" w:cs="Arial"/>
          <w:color w:val="000000"/>
          <w:sz w:val="24"/>
          <w:szCs w:val="24"/>
          <w:lang w:eastAsia="en-ID"/>
        </w:rPr>
        <w:t>Suryavanshi, S., (2018). Analysis Communication Process in McDonald’s</w:t>
      </w:r>
      <w:r w:rsidRPr="00CA5426">
        <w:rPr>
          <w:rFonts w:ascii="Arial" w:eastAsia="Times New Roman" w:hAnsi="Arial" w:cs="Arial"/>
          <w:i/>
          <w:iCs/>
          <w:color w:val="000000"/>
          <w:sz w:val="24"/>
          <w:szCs w:val="24"/>
          <w:lang w:eastAsia="en-ID"/>
        </w:rPr>
        <w:t>. International Journal of Trend in Scientific Research and Development, Volume-2(Issue-5).</w:t>
      </w:r>
    </w:p>
    <w:p w14:paraId="08BE6EEA" w14:textId="77777777" w:rsidR="00D5423C" w:rsidRPr="00F31E47" w:rsidRDefault="00D5423C" w:rsidP="00297BEB">
      <w:pPr>
        <w:spacing w:before="240" w:line="360" w:lineRule="auto"/>
        <w:jc w:val="both"/>
        <w:rPr>
          <w:rFonts w:ascii="Arial" w:hAnsi="Arial" w:cs="Arial"/>
          <w:i/>
          <w:iCs/>
          <w:sz w:val="24"/>
          <w:szCs w:val="24"/>
        </w:rPr>
      </w:pPr>
      <w:r w:rsidRPr="00451E66">
        <w:rPr>
          <w:rFonts w:ascii="Arial" w:hAnsi="Arial" w:cs="Arial"/>
          <w:sz w:val="24"/>
          <w:szCs w:val="24"/>
        </w:rPr>
        <w:t xml:space="preserve">Thomson, L., Goethals, K. and Nedopil, N., (2016). </w:t>
      </w:r>
      <w:r w:rsidR="005A77AD" w:rsidRPr="00F31E47">
        <w:rPr>
          <w:rFonts w:ascii="Arial" w:hAnsi="Arial" w:cs="Arial"/>
          <w:i/>
          <w:iCs/>
          <w:sz w:val="24"/>
          <w:szCs w:val="24"/>
        </w:rPr>
        <w:t>Multi-agency</w:t>
      </w:r>
      <w:r w:rsidRPr="00F31E47">
        <w:rPr>
          <w:rFonts w:ascii="Arial" w:hAnsi="Arial" w:cs="Arial"/>
          <w:i/>
          <w:iCs/>
          <w:sz w:val="24"/>
          <w:szCs w:val="24"/>
        </w:rPr>
        <w:t xml:space="preserve"> working in forensic psychiatry.</w:t>
      </w:r>
    </w:p>
    <w:p w14:paraId="0CB1BFBB" w14:textId="77777777" w:rsidR="00D5423C" w:rsidRPr="00CA5426" w:rsidRDefault="00D5423C" w:rsidP="00297BEB">
      <w:pPr>
        <w:spacing w:before="240" w:line="360" w:lineRule="auto"/>
        <w:jc w:val="both"/>
        <w:rPr>
          <w:rFonts w:ascii="Arial" w:hAnsi="Arial" w:cs="Arial"/>
          <w:i/>
          <w:iCs/>
          <w:sz w:val="24"/>
          <w:szCs w:val="24"/>
        </w:rPr>
      </w:pPr>
      <w:r w:rsidRPr="00451E66">
        <w:rPr>
          <w:rFonts w:ascii="Arial" w:hAnsi="Arial" w:cs="Arial"/>
          <w:sz w:val="24"/>
          <w:szCs w:val="24"/>
        </w:rPr>
        <w:t>Turturean, M., (2020). Factors of Influence of Emotional and Social Skills. </w:t>
      </w:r>
      <w:r w:rsidRPr="00CA5426">
        <w:rPr>
          <w:rFonts w:ascii="Arial" w:hAnsi="Arial" w:cs="Arial"/>
          <w:i/>
          <w:iCs/>
          <w:sz w:val="24"/>
          <w:szCs w:val="24"/>
        </w:rPr>
        <w:t>SSRN Electronic Journal,</w:t>
      </w:r>
    </w:p>
    <w:p w14:paraId="1A152FAB"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Wilusz, R., Sanchez-Adams, J. and Guilak, F., (2014). The structure and function of the pericellular matrix of articular cartilage. </w:t>
      </w:r>
      <w:r w:rsidRPr="00CA5426">
        <w:rPr>
          <w:rFonts w:ascii="Arial" w:hAnsi="Arial" w:cs="Arial"/>
          <w:i/>
          <w:iCs/>
          <w:color w:val="000000"/>
          <w:sz w:val="24"/>
          <w:szCs w:val="24"/>
        </w:rPr>
        <w:t>Matrix Biology, 39,</w:t>
      </w:r>
      <w:r w:rsidRPr="00451E66">
        <w:rPr>
          <w:rFonts w:ascii="Arial" w:hAnsi="Arial" w:cs="Arial"/>
          <w:color w:val="000000"/>
          <w:sz w:val="24"/>
          <w:szCs w:val="24"/>
        </w:rPr>
        <w:t xml:space="preserve"> pp.25-32.</w:t>
      </w:r>
    </w:p>
    <w:p w14:paraId="39D27895" w14:textId="77777777" w:rsidR="00D5423C" w:rsidRPr="00451E66" w:rsidRDefault="00D5423C" w:rsidP="00297BEB">
      <w:pPr>
        <w:spacing w:before="240" w:line="360" w:lineRule="auto"/>
        <w:jc w:val="both"/>
        <w:rPr>
          <w:rFonts w:ascii="Arial" w:hAnsi="Arial" w:cs="Arial"/>
          <w:color w:val="000000"/>
          <w:sz w:val="24"/>
          <w:szCs w:val="24"/>
        </w:rPr>
      </w:pPr>
      <w:r w:rsidRPr="00451E66">
        <w:rPr>
          <w:rFonts w:ascii="Arial" w:hAnsi="Arial" w:cs="Arial"/>
          <w:color w:val="000000"/>
          <w:sz w:val="24"/>
          <w:szCs w:val="24"/>
        </w:rPr>
        <w:t>Woodall, T., (2017). Marketing. </w:t>
      </w:r>
      <w:r w:rsidRPr="00CA5426">
        <w:rPr>
          <w:rFonts w:ascii="Arial" w:hAnsi="Arial" w:cs="Arial"/>
          <w:i/>
          <w:iCs/>
          <w:color w:val="000000"/>
          <w:sz w:val="24"/>
          <w:szCs w:val="24"/>
        </w:rPr>
        <w:t>European Journal of Marketing, 41(11/12),</w:t>
      </w:r>
      <w:r w:rsidRPr="00451E66">
        <w:rPr>
          <w:rFonts w:ascii="Arial" w:hAnsi="Arial" w:cs="Arial"/>
          <w:color w:val="000000"/>
          <w:sz w:val="24"/>
          <w:szCs w:val="24"/>
        </w:rPr>
        <w:t xml:space="preserve"> pp.1284-1296.</w:t>
      </w:r>
    </w:p>
    <w:p w14:paraId="5A68AE37" w14:textId="77777777" w:rsidR="00180A33" w:rsidRPr="00180A33" w:rsidRDefault="00180A33" w:rsidP="00297BEB">
      <w:pPr>
        <w:spacing w:before="240" w:line="360" w:lineRule="auto"/>
        <w:jc w:val="both"/>
        <w:rPr>
          <w:rFonts w:ascii="Arial" w:hAnsi="Arial" w:cs="Arial"/>
          <w:sz w:val="24"/>
          <w:szCs w:val="24"/>
        </w:rPr>
      </w:pPr>
    </w:p>
    <w:p w14:paraId="7CF055C2" w14:textId="77777777" w:rsidR="00137BBF" w:rsidRPr="00180A33" w:rsidRDefault="00137BBF" w:rsidP="00297BEB">
      <w:pPr>
        <w:spacing w:before="240" w:line="360" w:lineRule="auto"/>
        <w:jc w:val="both"/>
        <w:rPr>
          <w:rFonts w:ascii="Arial" w:hAnsi="Arial" w:cs="Arial"/>
          <w:sz w:val="24"/>
          <w:szCs w:val="24"/>
        </w:rPr>
      </w:pPr>
    </w:p>
    <w:p w14:paraId="2B16F541" w14:textId="77777777" w:rsidR="00137BBF" w:rsidRPr="00180A33" w:rsidRDefault="00137BBF" w:rsidP="00297BEB">
      <w:pPr>
        <w:spacing w:before="240" w:line="360" w:lineRule="auto"/>
        <w:jc w:val="both"/>
        <w:rPr>
          <w:rFonts w:ascii="Arial" w:hAnsi="Arial" w:cs="Arial"/>
          <w:sz w:val="24"/>
          <w:szCs w:val="24"/>
        </w:rPr>
      </w:pPr>
    </w:p>
    <w:p w14:paraId="2ACB892B" w14:textId="77777777" w:rsidR="00137BBF" w:rsidRPr="00180A33" w:rsidRDefault="00137BBF" w:rsidP="00297BEB">
      <w:pPr>
        <w:spacing w:before="240" w:line="360" w:lineRule="auto"/>
        <w:jc w:val="both"/>
        <w:rPr>
          <w:rFonts w:ascii="Arial" w:hAnsi="Arial" w:cs="Arial"/>
          <w:sz w:val="24"/>
          <w:szCs w:val="24"/>
        </w:rPr>
      </w:pPr>
    </w:p>
    <w:p w14:paraId="5D5A0632" w14:textId="77777777" w:rsidR="00137BBF" w:rsidRPr="00180A33" w:rsidRDefault="00137BBF" w:rsidP="00297BEB">
      <w:pPr>
        <w:spacing w:before="240" w:line="360" w:lineRule="auto"/>
        <w:jc w:val="both"/>
        <w:rPr>
          <w:rFonts w:ascii="Arial" w:hAnsi="Arial" w:cs="Arial"/>
          <w:sz w:val="24"/>
          <w:szCs w:val="24"/>
        </w:rPr>
      </w:pPr>
    </w:p>
    <w:p w14:paraId="61AC8241" w14:textId="77777777" w:rsidR="00137BBF" w:rsidRPr="00180A33" w:rsidRDefault="00137BBF" w:rsidP="00297BEB">
      <w:pPr>
        <w:spacing w:before="240" w:line="360" w:lineRule="auto"/>
        <w:jc w:val="both"/>
        <w:rPr>
          <w:rFonts w:ascii="Arial" w:hAnsi="Arial" w:cs="Arial"/>
          <w:sz w:val="24"/>
          <w:szCs w:val="24"/>
        </w:rPr>
      </w:pPr>
    </w:p>
    <w:p w14:paraId="320DEC81" w14:textId="77777777" w:rsidR="00137BBF" w:rsidRPr="00180A33" w:rsidRDefault="00137BBF" w:rsidP="00297BEB">
      <w:pPr>
        <w:spacing w:before="240" w:line="360" w:lineRule="auto"/>
        <w:jc w:val="both"/>
        <w:rPr>
          <w:rFonts w:ascii="Arial" w:hAnsi="Arial" w:cs="Arial"/>
          <w:sz w:val="24"/>
          <w:szCs w:val="24"/>
        </w:rPr>
      </w:pPr>
    </w:p>
    <w:p w14:paraId="5B36D220" w14:textId="77777777" w:rsidR="00137BBF" w:rsidRPr="00180A33" w:rsidRDefault="00137BBF" w:rsidP="00297BEB">
      <w:pPr>
        <w:spacing w:before="240" w:line="360" w:lineRule="auto"/>
        <w:jc w:val="both"/>
        <w:rPr>
          <w:rFonts w:ascii="Arial" w:hAnsi="Arial" w:cs="Arial"/>
          <w:sz w:val="24"/>
          <w:szCs w:val="24"/>
        </w:rPr>
      </w:pPr>
    </w:p>
    <w:p w14:paraId="6127F77B" w14:textId="77777777" w:rsidR="00137BBF" w:rsidRPr="00180A33" w:rsidRDefault="00137BBF" w:rsidP="00297BEB">
      <w:pPr>
        <w:spacing w:before="240" w:line="360" w:lineRule="auto"/>
        <w:jc w:val="both"/>
        <w:rPr>
          <w:rFonts w:ascii="Arial" w:hAnsi="Arial" w:cs="Arial"/>
          <w:sz w:val="24"/>
          <w:szCs w:val="24"/>
        </w:rPr>
      </w:pPr>
    </w:p>
    <w:p w14:paraId="554E0C10" w14:textId="77777777" w:rsidR="00137BBF" w:rsidRPr="00180A33" w:rsidRDefault="00137BBF" w:rsidP="00297BEB">
      <w:pPr>
        <w:spacing w:before="240" w:line="360" w:lineRule="auto"/>
        <w:jc w:val="both"/>
        <w:rPr>
          <w:rFonts w:ascii="Arial" w:hAnsi="Arial" w:cs="Arial"/>
          <w:sz w:val="24"/>
          <w:szCs w:val="24"/>
        </w:rPr>
      </w:pPr>
    </w:p>
    <w:sectPr w:rsidR="00137BBF" w:rsidRPr="00180A33" w:rsidSect="00BF42B9">
      <w:footerReference w:type="default" r:id="rId8"/>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A38B8" w14:textId="77777777" w:rsidR="002777CB" w:rsidRDefault="002777CB" w:rsidP="00BF42B9">
      <w:pPr>
        <w:spacing w:after="0" w:line="240" w:lineRule="auto"/>
      </w:pPr>
      <w:r>
        <w:separator/>
      </w:r>
    </w:p>
  </w:endnote>
  <w:endnote w:type="continuationSeparator" w:id="0">
    <w:p w14:paraId="30E1FEFD" w14:textId="77777777" w:rsidR="002777CB" w:rsidRDefault="002777CB" w:rsidP="00BF4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57240497"/>
      <w:docPartObj>
        <w:docPartGallery w:val="Page Numbers (Bottom of Page)"/>
        <w:docPartUnique/>
      </w:docPartObj>
    </w:sdtPr>
    <w:sdtEndPr>
      <w:rPr>
        <w:noProof/>
      </w:rPr>
    </w:sdtEndPr>
    <w:sdtContent>
      <w:p w14:paraId="6FA29DE2" w14:textId="77777777" w:rsidR="00BF42B9" w:rsidRDefault="00BF42B9">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C8FE4C2" w14:textId="77777777" w:rsidR="00BF42B9" w:rsidRDefault="00BF4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D97B6" w14:textId="77777777" w:rsidR="002777CB" w:rsidRDefault="002777CB" w:rsidP="00BF42B9">
      <w:pPr>
        <w:spacing w:after="0" w:line="240" w:lineRule="auto"/>
      </w:pPr>
      <w:r>
        <w:separator/>
      </w:r>
    </w:p>
  </w:footnote>
  <w:footnote w:type="continuationSeparator" w:id="0">
    <w:p w14:paraId="19671A9C" w14:textId="77777777" w:rsidR="002777CB" w:rsidRDefault="002777CB" w:rsidP="00BF42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F7A2A"/>
    <w:multiLevelType w:val="hybridMultilevel"/>
    <w:tmpl w:val="FA4CC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497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2tDCxMLAwtbCwMDNT0lEKTi0uzszPAykwrAUAxygQECwAAAA="/>
  </w:docVars>
  <w:rsids>
    <w:rsidRoot w:val="00CA4C04"/>
    <w:rsid w:val="00137BBF"/>
    <w:rsid w:val="00180A33"/>
    <w:rsid w:val="001F0B57"/>
    <w:rsid w:val="002246B6"/>
    <w:rsid w:val="00241C51"/>
    <w:rsid w:val="00262720"/>
    <w:rsid w:val="002777CB"/>
    <w:rsid w:val="00294AFE"/>
    <w:rsid w:val="00297BEB"/>
    <w:rsid w:val="003A1124"/>
    <w:rsid w:val="00436EE1"/>
    <w:rsid w:val="00451E66"/>
    <w:rsid w:val="004E1C71"/>
    <w:rsid w:val="00511E8C"/>
    <w:rsid w:val="005A0DBF"/>
    <w:rsid w:val="005A4871"/>
    <w:rsid w:val="005A77AD"/>
    <w:rsid w:val="00780C07"/>
    <w:rsid w:val="008F370D"/>
    <w:rsid w:val="00AC5E81"/>
    <w:rsid w:val="00AE551E"/>
    <w:rsid w:val="00B0058A"/>
    <w:rsid w:val="00BF42B9"/>
    <w:rsid w:val="00CA4C04"/>
    <w:rsid w:val="00CA5426"/>
    <w:rsid w:val="00D01E3B"/>
    <w:rsid w:val="00D5423C"/>
    <w:rsid w:val="00D91C69"/>
    <w:rsid w:val="00DA71A0"/>
    <w:rsid w:val="00DE211F"/>
    <w:rsid w:val="00EC5C09"/>
    <w:rsid w:val="00F0216B"/>
    <w:rsid w:val="00F066D2"/>
    <w:rsid w:val="00F31E47"/>
  </w:rsids>
  <m:mathPr>
    <m:mathFont m:val="Cambria Math"/>
    <m:brkBin m:val="before"/>
    <m:brkBinSub m:val="--"/>
    <m:smallFrac m:val="0"/>
    <m:dispDef/>
    <m:lMargin m:val="0"/>
    <m:rMargin m:val="0"/>
    <m:defJc m:val="centerGroup"/>
    <m:wrapIndent m:val="1440"/>
    <m:intLim m:val="subSup"/>
    <m:naryLim m:val="undOvr"/>
  </m:mathPr>
  <w:themeFontLang w:val="en-ID"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3D0A"/>
  <w15:chartTrackingRefBased/>
  <w15:docId w15:val="{12BE5723-6B93-4BCD-B241-75B05DFA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autoRedefine/>
    <w:uiPriority w:val="9"/>
    <w:qFormat/>
    <w:rsid w:val="00511E8C"/>
    <w:pPr>
      <w:keepNext/>
      <w:keepLines/>
      <w:spacing w:before="240" w:after="0" w:line="360" w:lineRule="auto"/>
      <w:jc w:val="both"/>
      <w:outlineLvl w:val="0"/>
    </w:pPr>
    <w:rPr>
      <w:rFonts w:ascii="Arial" w:eastAsiaTheme="majorEastAsia" w:hAnsi="Arial" w:cs="Arial"/>
      <w:b/>
      <w:color w:val="2F5496" w:themeColor="accent1" w:themeShade="BF"/>
      <w:sz w:val="32"/>
      <w:szCs w:val="32"/>
    </w:rPr>
  </w:style>
  <w:style w:type="paragraph" w:styleId="Heading2">
    <w:name w:val="heading 2"/>
    <w:basedOn w:val="Normal"/>
    <w:next w:val="Normal"/>
    <w:link w:val="Heading2Char"/>
    <w:uiPriority w:val="9"/>
    <w:unhideWhenUsed/>
    <w:qFormat/>
    <w:rsid w:val="00D01E3B"/>
    <w:pPr>
      <w:keepNext/>
      <w:keepLines/>
      <w:spacing w:before="40" w:after="0" w:line="360" w:lineRule="auto"/>
      <w:jc w:val="both"/>
      <w:outlineLvl w:val="1"/>
    </w:pPr>
    <w:rPr>
      <w:rFonts w:ascii="Arial" w:eastAsiaTheme="majorEastAsia" w:hAnsi="Arial" w:cs="Arial"/>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E8C"/>
    <w:rPr>
      <w:rFonts w:ascii="Arial" w:eastAsiaTheme="majorEastAsia" w:hAnsi="Arial" w:cs="Arial"/>
      <w:b/>
      <w:noProof/>
      <w:color w:val="2F5496" w:themeColor="accent1" w:themeShade="BF"/>
      <w:sz w:val="32"/>
      <w:szCs w:val="32"/>
      <w:lang w:val="en-GB"/>
    </w:rPr>
  </w:style>
  <w:style w:type="paragraph" w:styleId="NormalWeb">
    <w:name w:val="Normal (Web)"/>
    <w:basedOn w:val="Normal"/>
    <w:uiPriority w:val="99"/>
    <w:semiHidden/>
    <w:unhideWhenUsed/>
    <w:rsid w:val="00180A33"/>
    <w:pPr>
      <w:spacing w:before="100" w:beforeAutospacing="1" w:after="100" w:afterAutospacing="1" w:line="240" w:lineRule="auto"/>
    </w:pPr>
    <w:rPr>
      <w:rFonts w:ascii="Times New Roman" w:eastAsia="Times New Roman" w:hAnsi="Times New Roman" w:cs="Times New Roman"/>
      <w:noProof w:val="0"/>
      <w:kern w:val="0"/>
      <w:sz w:val="24"/>
      <w:szCs w:val="24"/>
      <w:lang w:val="en-ID" w:eastAsia="en-ID"/>
      <w14:ligatures w14:val="none"/>
    </w:rPr>
  </w:style>
  <w:style w:type="character" w:customStyle="1" w:styleId="Heading2Char">
    <w:name w:val="Heading 2 Char"/>
    <w:basedOn w:val="DefaultParagraphFont"/>
    <w:link w:val="Heading2"/>
    <w:uiPriority w:val="9"/>
    <w:rsid w:val="00D01E3B"/>
    <w:rPr>
      <w:rFonts w:ascii="Arial" w:eastAsiaTheme="majorEastAsia" w:hAnsi="Arial" w:cs="Arial"/>
      <w:b/>
      <w:bCs/>
      <w:noProof/>
      <w:color w:val="000000" w:themeColor="text1"/>
      <w:sz w:val="28"/>
      <w:szCs w:val="28"/>
      <w:lang w:val="en-GB"/>
    </w:rPr>
  </w:style>
  <w:style w:type="paragraph" w:styleId="ListParagraph">
    <w:name w:val="List Paragraph"/>
    <w:basedOn w:val="Normal"/>
    <w:uiPriority w:val="34"/>
    <w:qFormat/>
    <w:rsid w:val="00451E66"/>
    <w:pPr>
      <w:ind w:left="720"/>
      <w:contextualSpacing/>
    </w:pPr>
  </w:style>
  <w:style w:type="paragraph" w:styleId="Header">
    <w:name w:val="header"/>
    <w:basedOn w:val="Normal"/>
    <w:link w:val="HeaderChar"/>
    <w:uiPriority w:val="99"/>
    <w:unhideWhenUsed/>
    <w:rsid w:val="00BF4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2B9"/>
    <w:rPr>
      <w:noProof/>
      <w:lang w:val="en-GB"/>
    </w:rPr>
  </w:style>
  <w:style w:type="paragraph" w:styleId="Footer">
    <w:name w:val="footer"/>
    <w:basedOn w:val="Normal"/>
    <w:link w:val="FooterChar"/>
    <w:uiPriority w:val="99"/>
    <w:unhideWhenUsed/>
    <w:rsid w:val="00BF4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2B9"/>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11</Pages>
  <Words>2634</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Tucan</cp:lastModifiedBy>
  <cp:revision>2</cp:revision>
  <dcterms:created xsi:type="dcterms:W3CDTF">2023-05-23T12:27:00Z</dcterms:created>
  <dcterms:modified xsi:type="dcterms:W3CDTF">2023-06-09T07:23:00Z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0039f74d-551b-4893-9e26-b24a9fe28170</vt:lpwstr>
  </property>
</Properties>
</file>