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438B44" w14:textId="77777777" w:rsidR="00BF0DED" w:rsidRDefault="00BF0DED">
      <w:pPr>
        <w:rPr>
          <w:b/>
          <w:bCs/>
          <w:i/>
          <w:iCs/>
          <w:u w:val="single"/>
        </w:rPr>
      </w:pPr>
    </w:p>
    <w:p w14:paraId="7D2E415E" w14:textId="6A491095" w:rsidR="00AD4211" w:rsidRPr="00C448CC" w:rsidRDefault="00BF0DED" w:rsidP="00C448CC">
      <w:pPr>
        <w:rPr>
          <w:b/>
          <w:bCs/>
          <w:i/>
          <w:iCs/>
          <w:u w:val="single"/>
          <w:vertAlign w:val="superscript"/>
        </w:rPr>
      </w:pPr>
      <w:r w:rsidRPr="00BF0DED">
        <w:rPr>
          <w:b/>
          <w:bCs/>
          <w:i/>
          <w:iCs/>
          <w:u w:val="single"/>
        </w:rPr>
        <w:t xml:space="preserve">Worksheet for </w:t>
      </w:r>
      <w:r w:rsidR="00FE37AF">
        <w:rPr>
          <w:b/>
          <w:bCs/>
          <w:i/>
          <w:iCs/>
          <w:u w:val="single"/>
        </w:rPr>
        <w:t>Frida</w:t>
      </w:r>
      <w:r w:rsidR="00C448CC">
        <w:rPr>
          <w:b/>
          <w:bCs/>
          <w:i/>
          <w:iCs/>
          <w:u w:val="single"/>
        </w:rPr>
        <w:t>y 26</w:t>
      </w:r>
      <w:r w:rsidR="00C448CC" w:rsidRPr="00C448CC">
        <w:rPr>
          <w:b/>
          <w:bCs/>
          <w:i/>
          <w:iCs/>
          <w:u w:val="single"/>
          <w:vertAlign w:val="superscript"/>
        </w:rPr>
        <w:t>th</w:t>
      </w:r>
      <w:r w:rsidR="00FE37AF">
        <w:rPr>
          <w:b/>
          <w:bCs/>
          <w:i/>
          <w:iCs/>
          <w:u w:val="single"/>
        </w:rPr>
        <w:t xml:space="preserve"> </w:t>
      </w:r>
      <w:r w:rsidR="00A80C11">
        <w:rPr>
          <w:b/>
          <w:bCs/>
          <w:i/>
          <w:iCs/>
          <w:u w:val="single"/>
        </w:rPr>
        <w:t xml:space="preserve">May </w:t>
      </w:r>
    </w:p>
    <w:p w14:paraId="2857CBFC" w14:textId="7E6F17F5" w:rsidR="00703BB5" w:rsidRDefault="004A5B3B" w:rsidP="00512F20">
      <w:r>
        <w:t xml:space="preserve">It might be helpful to have these questions in front of you while watching the lecture. </w:t>
      </w:r>
    </w:p>
    <w:p w14:paraId="06F6FE94" w14:textId="77777777" w:rsidR="004A5B3B" w:rsidRDefault="004A5B3B" w:rsidP="00512F20"/>
    <w:p w14:paraId="30397100" w14:textId="4C2D6491" w:rsidR="009A1462" w:rsidRDefault="000E393A" w:rsidP="004A5B3B">
      <w:pPr>
        <w:pStyle w:val="ListParagraph"/>
        <w:numPr>
          <w:ilvl w:val="0"/>
          <w:numId w:val="4"/>
        </w:numPr>
      </w:pPr>
      <w:r>
        <w:t xml:space="preserve">What are the </w:t>
      </w:r>
      <w:r w:rsidR="00005A00">
        <w:t xml:space="preserve">main </w:t>
      </w:r>
      <w:r>
        <w:t>differences</w:t>
      </w:r>
      <w:r w:rsidR="001A3980">
        <w:t xml:space="preserve"> that Prof. Daniel Schwartz </w:t>
      </w:r>
      <w:r w:rsidR="00A6710A">
        <w:t>puts forward</w:t>
      </w:r>
      <w:r>
        <w:t xml:space="preserve"> between </w:t>
      </w:r>
      <w:r w:rsidR="00F91FB0">
        <w:t>1 &amp; 2 Maccabees</w:t>
      </w:r>
      <w:r w:rsidR="009A1462">
        <w:t>?</w:t>
      </w:r>
    </w:p>
    <w:p w14:paraId="0544D183" w14:textId="3CE130D0" w:rsidR="00087E61" w:rsidRDefault="00087E61" w:rsidP="00512F20">
      <w:r>
        <w:t xml:space="preserve">Prof. Daniel Schwartz mentions many key points on the differences between 1 and 2 Maccabees, where some of which can be mentioned which I found interesting is where he highlights the difference in length of the two books. He commented that 1 Maccabees was for a period of 40 years, spanning 175-134 BCE and highlighted the rise to power of Mattathias along with his son, Judah. Whereas 2 Maccabees covers a far shorter period, 175-161 BCE, where the ending is also different. With this, 2 Maccabees ends with the final victory of Judah Maccabeus, where the holiday of Yom Nicanor was made from this in antiquity. </w:t>
      </w:r>
    </w:p>
    <w:p w14:paraId="261A79C0" w14:textId="7096CDAE" w:rsidR="00655709" w:rsidRDefault="00655709" w:rsidP="00512F20">
      <w:r>
        <w:t xml:space="preserve">An obvious difference in this way is where 1 Macc. explores a larger period of time, including much of the history of the rebellion and main characters such as Judah and his sons. Whereas 2 Macc. ends 1 year before the death of Judah. This can be seen as a way for the ‘story’ to end on a positive note, as with much of Greek literature where a hero comes and saves people, and abruptly ends with a good ending. This is not seen in 1 Macc. where it explores not only the death of Judah but consequently the death of those followed by Judah also, until 134 BCE. </w:t>
      </w:r>
    </w:p>
    <w:p w14:paraId="5D4F6FD0" w14:textId="4B815D32" w:rsidR="00655709" w:rsidRDefault="00087E61" w:rsidP="00512F20">
      <w:r>
        <w:t>Another aspect to mention about the many differences between 1 and 2 Macc. is that 1 Macc. was composed originally in Hebrew, as Schwartz mentions that Saint Jerome had found a copy that was written in Hebrew in the 4</w:t>
      </w:r>
      <w:r w:rsidRPr="00087E61">
        <w:rPr>
          <w:vertAlign w:val="superscript"/>
        </w:rPr>
        <w:t>th</w:t>
      </w:r>
      <w:r>
        <w:t xml:space="preserve"> Century. The difference being is where 2 Macc. was </w:t>
      </w:r>
      <w:r w:rsidR="002821F9">
        <w:t>composed in Greek during the 2</w:t>
      </w:r>
      <w:r w:rsidR="002821F9" w:rsidRPr="002821F9">
        <w:rPr>
          <w:vertAlign w:val="superscript"/>
        </w:rPr>
        <w:t>nd</w:t>
      </w:r>
      <w:r w:rsidR="002821F9">
        <w:t xml:space="preserve"> Century</w:t>
      </w:r>
      <w:r w:rsidR="00655709">
        <w:t>. These two texts being compiled possibly in different locations, as Schwartz aims to highlight, is where these different ideas and portrayals of the narrative can be seen.</w:t>
      </w:r>
    </w:p>
    <w:p w14:paraId="66D6C361" w14:textId="4C2BE0E6" w:rsidR="004A5B3B" w:rsidRDefault="002821F9" w:rsidP="00512F20">
      <w:r>
        <w:t xml:space="preserve">An interesting difference between the two books also is where due to this difference </w:t>
      </w:r>
      <w:r w:rsidR="005D4674">
        <w:t>Schwartz comments on this through the understanding of the interest in Temple Cult in 1 Macc., with there being very little interest in 2 Macc. With this, he argues that this is evident for the difference between both due to there being a diaspora during 2</w:t>
      </w:r>
      <w:r w:rsidR="005D4674" w:rsidRPr="005D4674">
        <w:rPr>
          <w:vertAlign w:val="superscript"/>
        </w:rPr>
        <w:t>nd</w:t>
      </w:r>
      <w:r w:rsidR="005D4674">
        <w:t xml:space="preserve"> Temple Judaism and not during 1</w:t>
      </w:r>
      <w:r w:rsidR="005D4674" w:rsidRPr="005D4674">
        <w:rPr>
          <w:vertAlign w:val="superscript"/>
        </w:rPr>
        <w:t>st</w:t>
      </w:r>
      <w:r w:rsidR="005D4674">
        <w:t xml:space="preserve"> Temple Judaism, where this difference is noted between the two books is evident. With this, he goes on to highlight how 1 Macc. explains in great detail on the various objects of religious significance were taken from the Temple (including the Menorah, table for bread etc) whereas the difference with 2 Macc. is that</w:t>
      </w:r>
      <w:r w:rsidR="004543AA">
        <w:t xml:space="preserve"> the words used are ‘holy vessels’ that were taken. This shows where 1 Macc. speaks to the Judaean audience of the time, using specific symbols and objects that were heavily used within the Temple, compared with 2 Macc. where in the diaspora, ‘holy vessels’ would have been a term used that was understandable for such objects.</w:t>
      </w:r>
    </w:p>
    <w:p w14:paraId="2F25DA15" w14:textId="77777777" w:rsidR="005D4674" w:rsidRDefault="005D4674" w:rsidP="00512F20"/>
    <w:p w14:paraId="163B606F" w14:textId="3C520364" w:rsidR="00B17040" w:rsidRDefault="00EF0E29" w:rsidP="004A5B3B">
      <w:pPr>
        <w:pStyle w:val="ListParagraph"/>
        <w:numPr>
          <w:ilvl w:val="0"/>
          <w:numId w:val="4"/>
        </w:numPr>
      </w:pPr>
      <w:r>
        <w:t xml:space="preserve">How significant is it that 1 and 2 Maccabees were written </w:t>
      </w:r>
      <w:r w:rsidR="00B17040">
        <w:t>in different locations? It might be helpful here to think in terms of diaspora and Judea.</w:t>
      </w:r>
    </w:p>
    <w:p w14:paraId="5C2A5AFF" w14:textId="292447E3" w:rsidR="005D4674" w:rsidRDefault="002821F9" w:rsidP="00296E10">
      <w:r>
        <w:t xml:space="preserve">The main ideas on the different locations in which 1 and 2 Maccabees were written have been clearly explored by Schwartz throughout his lecture. A major significance that can be highlighted from this is where he argues on the locations in which both texts were composed in and also who </w:t>
      </w:r>
      <w:r>
        <w:lastRenderedPageBreak/>
        <w:t xml:space="preserve">they could have been composed by. With this, he makes the argument that 1 Macc. was most likely compiled in Judea, due to the original text being written in Hebrew, which is very significant for this text due to the directed audience of the time: which included the Judaean Jews. This would have been very relevant for the Judaeans of this time due to the writing being of a similar descent to many aspects of the Hebrew Bible. With this also, Schwartz even comments on the specific locations that are noted throughout the text. He explains that by using exact locations and towns, </w:t>
      </w:r>
      <w:r w:rsidR="005D4674">
        <w:t xml:space="preserve">in 1 Macc., </w:t>
      </w:r>
      <w:r>
        <w:t xml:space="preserve">this is known within the Judaean community therefore very relevant for the Judaeans who would be reading </w:t>
      </w:r>
      <w:r w:rsidR="005D4674">
        <w:t xml:space="preserve">this text. </w:t>
      </w:r>
      <w:r w:rsidR="004543AA">
        <w:t xml:space="preserve">1 Macc. also clearly follows a distinct story, as seen through numerous texts within the Hebrew Bible. With this, Schwartz mentions this as the ‘Judaean Story’- with a life of persecution which is later resolved by someone. The succession also </w:t>
      </w:r>
      <w:r w:rsidR="007575A6">
        <w:t xml:space="preserve">of </w:t>
      </w:r>
      <w:r w:rsidR="004543AA">
        <w:t xml:space="preserve">the </w:t>
      </w:r>
      <w:proofErr w:type="spellStart"/>
      <w:r w:rsidR="004543AA">
        <w:t>Simonide</w:t>
      </w:r>
      <w:proofErr w:type="spellEnd"/>
      <w:r w:rsidR="004543AA">
        <w:t xml:space="preserve"> rule is very significant for this text as it, like many other Biblical narratives, establishes a lineage of succession which, he mentions, is why it is justified to have this ruling dynasty in Judaea.</w:t>
      </w:r>
      <w:r w:rsidR="00EC24A2">
        <w:t xml:space="preserve"> The author of 1 Macc. mentions Palestinian places and locations that are familiar with the Judaeans of this time, further showing where Schwartz sees this as a significance of the authors use of specific locations that the people of Judaea would be familiar with.</w:t>
      </w:r>
    </w:p>
    <w:p w14:paraId="3158EC1F" w14:textId="20640632" w:rsidR="00296E10" w:rsidRDefault="002821F9" w:rsidP="00296E10">
      <w:r>
        <w:t xml:space="preserve">In a similar way with 2 Macc. this can also be explored with the writing due to this book being compiled in Greek. Schwartz argues that this is due to the author belonging to the Diaspora, where Greek influence and culture guided the author with this text, especially with its comparisons to other Greek works and even with Greek thinkers. </w:t>
      </w:r>
      <w:r w:rsidR="005D4674">
        <w:t xml:space="preserve">With this, Schwartz highlights that this parallel can be seen with a link between the narrative of Eleazer- who refused to accept Hellenism and would rather die than turn from his faith, which is linked with that of Socrates. Where this similar narrative unfolds under Plato’s writings, Socrates, like Eleazer, refused to </w:t>
      </w:r>
      <w:r w:rsidR="007575A6">
        <w:t xml:space="preserve">be </w:t>
      </w:r>
      <w:r w:rsidR="005D4674">
        <w:t xml:space="preserve">bribed out of prison so he drank poison and died. </w:t>
      </w:r>
      <w:r w:rsidR="004543AA">
        <w:t xml:space="preserve">Where 2 Macc. does not strictly focus on rule in Judaea, the focus is largely on the history of Jerusalem, which comes from the Greek influence on the interest in cities or ‘Polis.’ This, as Schwartz argues, is where the interest in cities is not as prevalent in other Hebrew Bible texts, or even in 1 Macc., which shows the significance of this influence by Greek culture on the interest or focus largely placed on the city of Jerusalem. </w:t>
      </w:r>
      <w:r w:rsidR="00EC24A2">
        <w:t xml:space="preserve">A significance that I found particularly interesting with the different locations is where Schwartz highlights an interesting aspect where he mentions the use of the term ‘Judaism.’ With this, he mentioned that the Jews in the diaspora needed a term for being ‘Jewish’ so used this term, where previously this only encompassed those Judean Jews as ‘Jewish.’ </w:t>
      </w:r>
      <w:r w:rsidR="007575A6">
        <w:t>The term Schwartz highlighted was ‘</w:t>
      </w:r>
      <w:proofErr w:type="spellStart"/>
      <w:r w:rsidR="007575A6">
        <w:t>louda</w:t>
      </w:r>
      <w:proofErr w:type="spellEnd"/>
      <w:r w:rsidR="007575A6">
        <w:t xml:space="preserve"> </w:t>
      </w:r>
      <w:proofErr w:type="spellStart"/>
      <w:r w:rsidR="007575A6">
        <w:t>ismos</w:t>
      </w:r>
      <w:proofErr w:type="spellEnd"/>
      <w:r w:rsidR="007575A6">
        <w:t xml:space="preserve">’ for Judaism, which allowed for diaspora Jewry to be included within Judaism due to this term. This also enabled Jews within the diaspora to retain their Jewish identity through prayer, religious observations etc, which is significant also for the Jewry within the diaspora. </w:t>
      </w:r>
      <w:r w:rsidR="00EC24A2">
        <w:t xml:space="preserve">This is very significant in establishing Jewry outside of Judaea which can be seen even through to today, with a large population within the diaspora. </w:t>
      </w:r>
      <w:r w:rsidR="007575A6">
        <w:t>Where 1 Macc. heavily uses Palestinian places and names of towns, 2 Macc. lacks in these descriptions. As Schwartz highlights this is due to the locational difference between 1 and 2 Macc. where this lack of knowledge of specific locations implies that this author was possibly writing within the diaspora, rather than within Judaea.</w:t>
      </w:r>
    </w:p>
    <w:p w14:paraId="593936CD" w14:textId="77777777" w:rsidR="00296E10" w:rsidRDefault="00296E10" w:rsidP="00296E10"/>
    <w:p w14:paraId="2B055737" w14:textId="02005129" w:rsidR="003C78AB" w:rsidRDefault="00296E10" w:rsidP="003C78AB">
      <w:pPr>
        <w:pStyle w:val="ListParagraph"/>
        <w:numPr>
          <w:ilvl w:val="0"/>
          <w:numId w:val="4"/>
        </w:numPr>
      </w:pPr>
      <w:r>
        <w:t>What is the difference in the way 1 &amp; 2 Maccabees depict martyrdom</w:t>
      </w:r>
      <w:r w:rsidR="002D1740">
        <w:t xml:space="preserve"> and resurrection?</w:t>
      </w:r>
    </w:p>
    <w:p w14:paraId="04A7677C" w14:textId="5F7E7C06" w:rsidR="00A3607A" w:rsidRDefault="007575A6" w:rsidP="007575A6">
      <w:r>
        <w:t xml:space="preserve">Some aspects that Schwartz highlights for the difference in the depiction of martyrdom and resurrection in 1 and 2 Macc. is where he says how in 1 Macc. martyrs are seen as doing nothing and being insignificant whereas in 2 </w:t>
      </w:r>
      <w:proofErr w:type="spellStart"/>
      <w:r>
        <w:t>Macc</w:t>
      </w:r>
      <w:proofErr w:type="spellEnd"/>
      <w:r>
        <w:t xml:space="preserve">, the martyrs are the heroes of the faith. </w:t>
      </w:r>
      <w:r w:rsidR="001131B5">
        <w:t xml:space="preserve">What was noted is where 2 Macc. highlights the individual fate of people is more apparent within this text, where </w:t>
      </w:r>
      <w:r w:rsidR="001131B5">
        <w:lastRenderedPageBreak/>
        <w:t xml:space="preserve">Schwartz mentions sin and divine providence. He explores this in 2 Macc. 12, where fallen soldiers held symbols of their faith as to be blessed by God at death in this way, due to their sins. </w:t>
      </w:r>
      <w:r w:rsidR="0064306A">
        <w:t xml:space="preserve">1 Macc. focuses less on immortality and resurrection where after chapter 4, there is no mention of God or God speaking with the Jews either through angels or in prayer. </w:t>
      </w:r>
      <w:r w:rsidR="00A3607A">
        <w:t xml:space="preserve">The lack of discussion of God in this way further shows where the need for understanding or having an afterlife is not as significant as that explored in 2 Macc. </w:t>
      </w:r>
      <w:r w:rsidR="0064306A">
        <w:t xml:space="preserve">This difference is seen in 2 Macc. where the understanding of god’s providence is seen as good, where sins caused to God are seen as bad, therefore the Jews must atone for their wrongdoings for life to be good once more. </w:t>
      </w:r>
      <w:r w:rsidR="00A3607A">
        <w:t>Another aspect to mention is where Schwartz commented on 2 Macc. 6,7 where the wrath of God turned to mercy due to the Jewish blood that was being spilled. With this, it continues on in chapter 8 where Judah prays to God where Schwartz highlights how the blood of those who died would cry out from the ground. This is a reference directly to those who had died in light of persecution, where only the mercy of God would allow later for the resurrection of those who had died. Schwartz argues then that only through this blood being spilled was part of the solution needed to reclaim their Jewish identity and land. A difference that can also be explored is where Schwartz notes that honour is what is important in death, where this can be likened to those ideals of honour at death within Greek culture and in the army. With this, dying an honourable death was seen as significant within 2 Macc. whereas this was a completely different case in 1 Macc. He explores this as the dependence of the Jews on the Hasmoneans rather than on God further implies this lack of meaning for the afterlife and eventual resurrection.</w:t>
      </w:r>
    </w:p>
    <w:p w14:paraId="3D3CE520" w14:textId="77777777" w:rsidR="00B17040" w:rsidRDefault="00B17040" w:rsidP="00512F20"/>
    <w:p w14:paraId="12B10EE8" w14:textId="7EEF4BD3" w:rsidR="009E51CE" w:rsidRPr="00BF0DED" w:rsidRDefault="00D65F52" w:rsidP="00512F20">
      <w:r>
        <w:t xml:space="preserve"> </w:t>
      </w:r>
    </w:p>
    <w:sectPr w:rsidR="009E51CE" w:rsidRPr="00BF0DE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83AF49" w14:textId="77777777" w:rsidR="00761D90" w:rsidRDefault="00761D90" w:rsidP="00BF0DED">
      <w:pPr>
        <w:spacing w:after="0" w:line="240" w:lineRule="auto"/>
      </w:pPr>
      <w:r>
        <w:separator/>
      </w:r>
    </w:p>
  </w:endnote>
  <w:endnote w:type="continuationSeparator" w:id="0">
    <w:p w14:paraId="1FBCEAD2" w14:textId="77777777" w:rsidR="00761D90" w:rsidRDefault="00761D90" w:rsidP="00BF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54BFB" w14:textId="77777777" w:rsidR="00761D90" w:rsidRDefault="00761D90" w:rsidP="00BF0DED">
      <w:pPr>
        <w:spacing w:after="0" w:line="240" w:lineRule="auto"/>
      </w:pPr>
      <w:r>
        <w:separator/>
      </w:r>
    </w:p>
  </w:footnote>
  <w:footnote w:type="continuationSeparator" w:id="0">
    <w:p w14:paraId="4270DF47" w14:textId="77777777" w:rsidR="00761D90" w:rsidRDefault="00761D90" w:rsidP="00BF0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8D830" w14:textId="55E9E636" w:rsidR="00BF0DED" w:rsidRPr="00BF0DED" w:rsidRDefault="00BF0DED" w:rsidP="00BF0DED">
    <w:pPr>
      <w:pStyle w:val="Header"/>
      <w:jc w:val="right"/>
      <w:rPr>
        <w:b/>
        <w:bCs/>
      </w:rPr>
    </w:pPr>
    <w:r w:rsidRPr="00BF0DED">
      <w:rPr>
        <w:b/>
        <w:bCs/>
      </w:rPr>
      <w:t>HPRS5008 / HPRS6008</w:t>
    </w:r>
  </w:p>
  <w:p w14:paraId="0931981C" w14:textId="6D316D57" w:rsidR="00BF0DED" w:rsidRPr="00BF0DED" w:rsidRDefault="00BF0DED" w:rsidP="00BF0DED">
    <w:pPr>
      <w:pStyle w:val="Header"/>
      <w:jc w:val="right"/>
      <w:rPr>
        <w:b/>
        <w:bCs/>
      </w:rPr>
    </w:pPr>
    <w:r w:rsidRPr="00BF0DED">
      <w:rPr>
        <w:b/>
        <w:bCs/>
      </w:rPr>
      <w:t xml:space="preserve">From Maccabees to Masada: Jews, </w:t>
    </w:r>
    <w:proofErr w:type="gramStart"/>
    <w:r w:rsidRPr="00BF0DED">
      <w:rPr>
        <w:b/>
        <w:bCs/>
      </w:rPr>
      <w:t>Christians</w:t>
    </w:r>
    <w:proofErr w:type="gramEnd"/>
    <w:r w:rsidRPr="00BF0DED">
      <w:rPr>
        <w:b/>
        <w:bCs/>
      </w:rPr>
      <w:t xml:space="preserve"> and Romans (167 BCE </w:t>
    </w:r>
    <w:r>
      <w:rPr>
        <w:b/>
        <w:bCs/>
      </w:rPr>
      <w:t>-</w:t>
    </w:r>
    <w:r w:rsidRPr="00BF0DED">
      <w:rPr>
        <w:b/>
        <w:bCs/>
      </w:rPr>
      <w:t xml:space="preserve"> 74 CE)</w:t>
    </w:r>
  </w:p>
  <w:p w14:paraId="6589872B" w14:textId="77777777" w:rsidR="00BF0DED" w:rsidRDefault="00BF0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709B7"/>
    <w:multiLevelType w:val="hybridMultilevel"/>
    <w:tmpl w:val="64D0E2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C528B"/>
    <w:multiLevelType w:val="hybridMultilevel"/>
    <w:tmpl w:val="A31846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415F7"/>
    <w:multiLevelType w:val="hybridMultilevel"/>
    <w:tmpl w:val="DB388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594A86"/>
    <w:multiLevelType w:val="hybridMultilevel"/>
    <w:tmpl w:val="CDF818DE"/>
    <w:lvl w:ilvl="0" w:tplc="1E621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ED"/>
    <w:rsid w:val="00004DA2"/>
    <w:rsid w:val="00005A00"/>
    <w:rsid w:val="00071BC1"/>
    <w:rsid w:val="00087E61"/>
    <w:rsid w:val="000E393A"/>
    <w:rsid w:val="001131B5"/>
    <w:rsid w:val="001646FF"/>
    <w:rsid w:val="001A3980"/>
    <w:rsid w:val="002821F9"/>
    <w:rsid w:val="00296E10"/>
    <w:rsid w:val="002D1740"/>
    <w:rsid w:val="003C78AB"/>
    <w:rsid w:val="00443674"/>
    <w:rsid w:val="004543AA"/>
    <w:rsid w:val="004A5B3B"/>
    <w:rsid w:val="00512F20"/>
    <w:rsid w:val="005D4674"/>
    <w:rsid w:val="00615031"/>
    <w:rsid w:val="0064306A"/>
    <w:rsid w:val="00655709"/>
    <w:rsid w:val="006877A7"/>
    <w:rsid w:val="00703BB5"/>
    <w:rsid w:val="007575A6"/>
    <w:rsid w:val="00761D90"/>
    <w:rsid w:val="0082427D"/>
    <w:rsid w:val="009A1462"/>
    <w:rsid w:val="009E51CE"/>
    <w:rsid w:val="00A3607A"/>
    <w:rsid w:val="00A6710A"/>
    <w:rsid w:val="00A80C11"/>
    <w:rsid w:val="00AD4211"/>
    <w:rsid w:val="00B17040"/>
    <w:rsid w:val="00BB21C1"/>
    <w:rsid w:val="00BF0DED"/>
    <w:rsid w:val="00C448CC"/>
    <w:rsid w:val="00C73D23"/>
    <w:rsid w:val="00CC2AFE"/>
    <w:rsid w:val="00D65F52"/>
    <w:rsid w:val="00DD28B3"/>
    <w:rsid w:val="00EC24A2"/>
    <w:rsid w:val="00EE7FE0"/>
    <w:rsid w:val="00EF0E29"/>
    <w:rsid w:val="00F91FB0"/>
    <w:rsid w:val="00FC74A7"/>
    <w:rsid w:val="00FD5315"/>
    <w:rsid w:val="00FE37A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7CC1"/>
  <w15:chartTrackingRefBased/>
  <w15:docId w15:val="{5618DDE8-AA82-439B-AC42-2508EC00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DED"/>
  </w:style>
  <w:style w:type="paragraph" w:styleId="Footer">
    <w:name w:val="footer"/>
    <w:basedOn w:val="Normal"/>
    <w:link w:val="FooterChar"/>
    <w:uiPriority w:val="99"/>
    <w:unhideWhenUsed/>
    <w:rsid w:val="00BF0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DED"/>
  </w:style>
  <w:style w:type="paragraph" w:styleId="ListParagraph">
    <w:name w:val="List Paragraph"/>
    <w:basedOn w:val="Normal"/>
    <w:uiPriority w:val="34"/>
    <w:qFormat/>
    <w:rsid w:val="00BF0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Amy Seale</cp:lastModifiedBy>
  <cp:revision>2</cp:revision>
  <dcterms:created xsi:type="dcterms:W3CDTF">2020-05-22T18:00:00Z</dcterms:created>
  <dcterms:modified xsi:type="dcterms:W3CDTF">2020-05-22T18:00:00Z</dcterms:modified>
</cp:coreProperties>
</file>