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D58" w:rsidRPr="00C8727F" w:rsidRDefault="00C8727F" w:rsidP="005733BB">
      <w:pPr>
        <w:spacing w:after="0" w:line="360" w:lineRule="auto"/>
        <w:contextualSpacing/>
        <w:mirrorIndents/>
        <w:jc w:val="both"/>
        <w:rPr>
          <w:rFonts w:ascii="Times New Roman" w:eastAsia="Times New Roman" w:hAnsi="Times New Roman" w:cs="Times New Roman"/>
          <w:sz w:val="24"/>
          <w:szCs w:val="24"/>
          <w:lang w:val="en-GB"/>
        </w:rPr>
      </w:pPr>
      <w:bookmarkStart w:id="0" w:name="_Hlk102375418"/>
      <w:r w:rsidRPr="00C8727F">
        <w:rPr>
          <w:rFonts w:ascii="Times New Roman" w:eastAsia="Times New Roman" w:hAnsi="Times New Roman" w:cs="Times New Roman"/>
          <w:sz w:val="24"/>
          <w:szCs w:val="24"/>
          <w:lang w:val="en-GB"/>
        </w:rPr>
        <w:t xml:space="preserve"> </w:t>
      </w:r>
      <w:r w:rsidR="009C04AA" w:rsidRPr="00C8727F">
        <w:rPr>
          <w:rFonts w:ascii="Times New Roman" w:eastAsia="Times New Roman" w:hAnsi="Times New Roman" w:cs="Times New Roman"/>
          <w:sz w:val="24"/>
          <w:szCs w:val="24"/>
          <w:lang w:val="en-GB"/>
        </w:rPr>
        <w:t xml:space="preserve">European law can refer to the intellectual as well as institutional and Historical </w:t>
      </w:r>
      <w:r w:rsidR="00E12B31" w:rsidRPr="00C8727F">
        <w:rPr>
          <w:rFonts w:ascii="Times New Roman" w:eastAsia="Times New Roman" w:hAnsi="Times New Roman" w:cs="Times New Roman"/>
          <w:sz w:val="24"/>
          <w:szCs w:val="24"/>
          <w:lang w:val="en-GB"/>
        </w:rPr>
        <w:t>elements those European Legal systems</w:t>
      </w:r>
      <w:r w:rsidR="009C04AA" w:rsidRPr="00C8727F">
        <w:rPr>
          <w:rFonts w:ascii="Times New Roman" w:eastAsia="Times New Roman" w:hAnsi="Times New Roman" w:cs="Times New Roman"/>
          <w:sz w:val="24"/>
          <w:szCs w:val="24"/>
          <w:lang w:val="en-GB"/>
        </w:rPr>
        <w:t xml:space="preserve"> have in common</w:t>
      </w:r>
      <w:r w:rsidR="004F23A3" w:rsidRPr="00C8727F">
        <w:rPr>
          <w:rFonts w:ascii="Times New Roman" w:eastAsia="Times New Roman" w:hAnsi="Times New Roman" w:cs="Times New Roman"/>
          <w:sz w:val="24"/>
          <w:szCs w:val="24"/>
          <w:lang w:val="en-GB"/>
        </w:rPr>
        <w:t xml:space="preserve"> (</w:t>
      </w:r>
      <w:r w:rsidR="004F23A3" w:rsidRPr="00C8727F">
        <w:rPr>
          <w:rFonts w:ascii="Times New Roman" w:eastAsia="Times New Roman" w:hAnsi="Times New Roman" w:cs="Times New Roman"/>
          <w:color w:val="222222"/>
          <w:sz w:val="24"/>
          <w:szCs w:val="24"/>
          <w:lang w:val="en-GB"/>
        </w:rPr>
        <w:t>Kelemen and Laurent, 2019</w:t>
      </w:r>
      <w:r w:rsidR="004F23A3" w:rsidRPr="00C8727F">
        <w:rPr>
          <w:rFonts w:ascii="Times New Roman" w:eastAsia="Times New Roman" w:hAnsi="Times New Roman" w:cs="Times New Roman"/>
          <w:sz w:val="24"/>
          <w:szCs w:val="24"/>
          <w:lang w:val="en-GB"/>
        </w:rPr>
        <w:t>)</w:t>
      </w:r>
      <w:r w:rsidR="009C04AA" w:rsidRPr="00C8727F">
        <w:rPr>
          <w:rFonts w:ascii="Times New Roman" w:eastAsia="Times New Roman" w:hAnsi="Times New Roman" w:cs="Times New Roman"/>
          <w:sz w:val="24"/>
          <w:szCs w:val="24"/>
          <w:lang w:val="en-GB"/>
        </w:rPr>
        <w:t xml:space="preserve">. </w:t>
      </w:r>
      <w:r w:rsidR="00573512" w:rsidRPr="00C8727F">
        <w:rPr>
          <w:rFonts w:ascii="Times New Roman" w:eastAsia="Times New Roman" w:hAnsi="Times New Roman" w:cs="Times New Roman"/>
          <w:sz w:val="24"/>
          <w:szCs w:val="24"/>
          <w:lang w:val="en-GB"/>
        </w:rPr>
        <w:t>Treaties serve as the foundation for EU law and are referred to in the EU as primary law.</w:t>
      </w:r>
      <w:r w:rsidR="009C04AA" w:rsidRPr="00C8727F">
        <w:rPr>
          <w:rFonts w:ascii="Times New Roman" w:eastAsia="Times New Roman" w:hAnsi="Times New Roman" w:cs="Times New Roman"/>
          <w:sz w:val="24"/>
          <w:szCs w:val="24"/>
          <w:lang w:val="en-GB"/>
        </w:rPr>
        <w:t xml:space="preserve"> EU law has been compiled with two effects</w:t>
      </w:r>
      <w:r w:rsidR="000350F9" w:rsidRPr="00C8727F">
        <w:rPr>
          <w:rFonts w:ascii="Times New Roman" w:eastAsia="Times New Roman" w:hAnsi="Times New Roman" w:cs="Times New Roman"/>
          <w:sz w:val="24"/>
          <w:szCs w:val="24"/>
          <w:lang w:val="en-GB"/>
        </w:rPr>
        <w:t>:</w:t>
      </w:r>
      <w:r w:rsidR="009C04AA" w:rsidRPr="00C8727F">
        <w:rPr>
          <w:rFonts w:ascii="Times New Roman" w:eastAsia="Times New Roman" w:hAnsi="Times New Roman" w:cs="Times New Roman"/>
          <w:sz w:val="24"/>
          <w:szCs w:val="24"/>
          <w:lang w:val="en-GB"/>
        </w:rPr>
        <w:t xml:space="preserve"> one is direct and another is indirect</w:t>
      </w:r>
      <w:r w:rsidR="004F23A3" w:rsidRPr="00C8727F">
        <w:rPr>
          <w:rFonts w:ascii="Times New Roman" w:eastAsia="Times New Roman" w:hAnsi="Times New Roman" w:cs="Times New Roman"/>
          <w:sz w:val="24"/>
          <w:szCs w:val="24"/>
          <w:lang w:val="en-GB"/>
        </w:rPr>
        <w:t xml:space="preserve"> (Muse, 2020)</w:t>
      </w:r>
      <w:r w:rsidR="009C04AA" w:rsidRPr="00C8727F">
        <w:rPr>
          <w:rFonts w:ascii="Times New Roman" w:eastAsia="Times New Roman" w:hAnsi="Times New Roman" w:cs="Times New Roman"/>
          <w:sz w:val="24"/>
          <w:szCs w:val="24"/>
          <w:lang w:val="en-GB"/>
        </w:rPr>
        <w:t xml:space="preserve">. </w:t>
      </w:r>
      <w:r w:rsidR="005733BB" w:rsidRPr="00C8727F">
        <w:rPr>
          <w:rFonts w:ascii="Times New Roman" w:eastAsia="Times New Roman" w:hAnsi="Times New Roman" w:cs="Times New Roman"/>
          <w:sz w:val="24"/>
          <w:szCs w:val="24"/>
          <w:lang w:val="en-GB"/>
        </w:rPr>
        <w:t>“</w:t>
      </w:r>
      <w:r w:rsidR="00620889" w:rsidRPr="00C8727F">
        <w:rPr>
          <w:rFonts w:ascii="Times New Roman" w:eastAsia="Times New Roman" w:hAnsi="Times New Roman" w:cs="Times New Roman"/>
          <w:sz w:val="24"/>
          <w:szCs w:val="24"/>
          <w:lang w:val="en-GB"/>
        </w:rPr>
        <w:t>Direct effect</w:t>
      </w:r>
      <w:r w:rsidR="005733BB" w:rsidRPr="00C8727F">
        <w:rPr>
          <w:rFonts w:ascii="Times New Roman" w:eastAsia="Times New Roman" w:hAnsi="Times New Roman" w:cs="Times New Roman"/>
          <w:sz w:val="24"/>
          <w:szCs w:val="24"/>
          <w:lang w:val="en-GB"/>
        </w:rPr>
        <w:t>”</w:t>
      </w:r>
      <w:r w:rsidR="00620889" w:rsidRPr="00C8727F">
        <w:rPr>
          <w:rFonts w:ascii="Times New Roman" w:eastAsia="Times New Roman" w:hAnsi="Times New Roman" w:cs="Times New Roman"/>
          <w:sz w:val="24"/>
          <w:szCs w:val="24"/>
          <w:lang w:val="en-GB"/>
        </w:rPr>
        <w:t xml:space="preserve"> is a principle in </w:t>
      </w:r>
      <w:r w:rsidR="005733BB" w:rsidRPr="00C8727F">
        <w:rPr>
          <w:rFonts w:ascii="Times New Roman" w:eastAsia="Times New Roman" w:hAnsi="Times New Roman" w:cs="Times New Roman"/>
          <w:sz w:val="24"/>
          <w:szCs w:val="24"/>
          <w:lang w:val="en-GB"/>
        </w:rPr>
        <w:t>“</w:t>
      </w:r>
      <w:r w:rsidR="00620889" w:rsidRPr="00C8727F">
        <w:rPr>
          <w:rFonts w:ascii="Times New Roman" w:eastAsia="Times New Roman" w:hAnsi="Times New Roman" w:cs="Times New Roman"/>
          <w:sz w:val="24"/>
          <w:szCs w:val="24"/>
          <w:lang w:val="en-GB"/>
        </w:rPr>
        <w:t>European Union law</w:t>
      </w:r>
      <w:r w:rsidR="005733BB" w:rsidRPr="00C8727F">
        <w:rPr>
          <w:rFonts w:ascii="Times New Roman" w:eastAsia="Times New Roman" w:hAnsi="Times New Roman" w:cs="Times New Roman"/>
          <w:sz w:val="24"/>
          <w:szCs w:val="24"/>
          <w:lang w:val="en-GB"/>
        </w:rPr>
        <w:t>”</w:t>
      </w:r>
      <w:r w:rsidR="00620889" w:rsidRPr="00C8727F">
        <w:rPr>
          <w:rFonts w:ascii="Times New Roman" w:eastAsia="Times New Roman" w:hAnsi="Times New Roman" w:cs="Times New Roman"/>
          <w:sz w:val="24"/>
          <w:szCs w:val="24"/>
          <w:lang w:val="en-GB"/>
        </w:rPr>
        <w:t xml:space="preserve"> that if properly drafted, </w:t>
      </w:r>
      <w:r w:rsidR="005733BB" w:rsidRPr="00C8727F">
        <w:rPr>
          <w:rFonts w:ascii="Times New Roman" w:eastAsia="Times New Roman" w:hAnsi="Times New Roman" w:cs="Times New Roman"/>
          <w:sz w:val="24"/>
          <w:szCs w:val="24"/>
          <w:lang w:val="en-GB"/>
        </w:rPr>
        <w:t>“</w:t>
      </w:r>
      <w:r w:rsidR="00620889" w:rsidRPr="00C8727F">
        <w:rPr>
          <w:rFonts w:ascii="Times New Roman" w:eastAsia="Times New Roman" w:hAnsi="Times New Roman" w:cs="Times New Roman"/>
          <w:sz w:val="24"/>
          <w:szCs w:val="24"/>
          <w:lang w:val="en-GB"/>
        </w:rPr>
        <w:t xml:space="preserve">Union law can confer rights on individuals that the courts of </w:t>
      </w:r>
      <w:r w:rsidR="005733BB" w:rsidRPr="00C8727F">
        <w:rPr>
          <w:rFonts w:ascii="Times New Roman" w:eastAsia="Times New Roman" w:hAnsi="Times New Roman" w:cs="Times New Roman"/>
          <w:sz w:val="24"/>
          <w:szCs w:val="24"/>
          <w:lang w:val="en-GB"/>
        </w:rPr>
        <w:t>“</w:t>
      </w:r>
      <w:r w:rsidR="00620889" w:rsidRPr="00C8727F">
        <w:rPr>
          <w:rFonts w:ascii="Times New Roman" w:eastAsia="Times New Roman" w:hAnsi="Times New Roman" w:cs="Times New Roman"/>
          <w:sz w:val="24"/>
          <w:szCs w:val="24"/>
          <w:lang w:val="en-GB"/>
        </w:rPr>
        <w:t>EU Member States</w:t>
      </w:r>
      <w:r w:rsidR="005733BB" w:rsidRPr="00C8727F">
        <w:rPr>
          <w:rFonts w:ascii="Times New Roman" w:eastAsia="Times New Roman" w:hAnsi="Times New Roman" w:cs="Times New Roman"/>
          <w:sz w:val="24"/>
          <w:szCs w:val="24"/>
          <w:lang w:val="en-GB"/>
        </w:rPr>
        <w:t>”</w:t>
      </w:r>
      <w:r w:rsidR="00620889" w:rsidRPr="00C8727F">
        <w:rPr>
          <w:rFonts w:ascii="Times New Roman" w:eastAsia="Times New Roman" w:hAnsi="Times New Roman" w:cs="Times New Roman"/>
          <w:sz w:val="24"/>
          <w:szCs w:val="24"/>
          <w:lang w:val="en-GB"/>
        </w:rPr>
        <w:t xml:space="preserve"> must recognise and enforce</w:t>
      </w:r>
      <w:r w:rsidR="005733BB" w:rsidRPr="00C8727F">
        <w:rPr>
          <w:rFonts w:ascii="Times New Roman" w:eastAsia="Times New Roman" w:hAnsi="Times New Roman" w:cs="Times New Roman"/>
          <w:sz w:val="24"/>
          <w:szCs w:val="24"/>
          <w:lang w:val="en-GB"/>
        </w:rPr>
        <w:t>”</w:t>
      </w:r>
      <w:r w:rsidR="00620889" w:rsidRPr="00C8727F">
        <w:rPr>
          <w:rFonts w:ascii="Times New Roman" w:eastAsia="Times New Roman" w:hAnsi="Times New Roman" w:cs="Times New Roman"/>
          <w:sz w:val="24"/>
          <w:szCs w:val="24"/>
          <w:lang w:val="en-GB"/>
        </w:rPr>
        <w:t xml:space="preserve">. </w:t>
      </w:r>
      <w:r w:rsidR="009C04AA" w:rsidRPr="00C8727F">
        <w:rPr>
          <w:rFonts w:ascii="Times New Roman" w:eastAsia="Times New Roman" w:hAnsi="Times New Roman" w:cs="Times New Roman"/>
          <w:sz w:val="24"/>
          <w:szCs w:val="24"/>
          <w:lang w:val="en-GB"/>
        </w:rPr>
        <w:t xml:space="preserve">On the other </w:t>
      </w:r>
      <w:r w:rsidR="00E12B31" w:rsidRPr="00C8727F">
        <w:rPr>
          <w:rFonts w:ascii="Times New Roman" w:eastAsia="Times New Roman" w:hAnsi="Times New Roman" w:cs="Times New Roman"/>
          <w:sz w:val="24"/>
          <w:szCs w:val="24"/>
          <w:lang w:val="en-GB"/>
        </w:rPr>
        <w:t>hand,</w:t>
      </w:r>
      <w:r w:rsidR="009C04AA" w:rsidRPr="00C8727F">
        <w:rPr>
          <w:rFonts w:ascii="Times New Roman" w:eastAsia="Times New Roman" w:hAnsi="Times New Roman" w:cs="Times New Roman"/>
          <w:sz w:val="24"/>
          <w:szCs w:val="24"/>
          <w:lang w:val="en-GB"/>
        </w:rPr>
        <w:t xml:space="preserve"> </w:t>
      </w:r>
      <w:r w:rsidR="00A80D58" w:rsidRPr="00C8727F">
        <w:rPr>
          <w:rFonts w:ascii="Times New Roman" w:hAnsi="Times New Roman" w:cs="Times New Roman"/>
          <w:sz w:val="24"/>
          <w:szCs w:val="24"/>
        </w:rPr>
        <w:t xml:space="preserve">Indirect effect is an interpretation obligation whereby any relevant national legislation must be interpreted in line with non-directly effective EU law </w:t>
      </w:r>
      <w:r w:rsidR="005733BB" w:rsidRPr="00C8727F">
        <w:rPr>
          <w:rFonts w:ascii="Times New Roman" w:hAnsi="Times New Roman" w:cs="Times New Roman"/>
          <w:sz w:val="24"/>
          <w:szCs w:val="24"/>
        </w:rPr>
        <w:t>‘</w:t>
      </w:r>
      <w:r w:rsidR="00A80D58" w:rsidRPr="00C8727F">
        <w:rPr>
          <w:rFonts w:ascii="Times New Roman" w:hAnsi="Times New Roman" w:cs="Times New Roman"/>
          <w:sz w:val="24"/>
          <w:szCs w:val="24"/>
        </w:rPr>
        <w:t>as far as possible</w:t>
      </w:r>
      <w:r w:rsidR="005733BB" w:rsidRPr="00C8727F">
        <w:rPr>
          <w:rFonts w:ascii="Times New Roman" w:hAnsi="Times New Roman" w:cs="Times New Roman"/>
          <w:sz w:val="24"/>
          <w:szCs w:val="24"/>
        </w:rPr>
        <w:t>’</w:t>
      </w:r>
      <w:r w:rsidR="006A66FC" w:rsidRPr="00C8727F">
        <w:rPr>
          <w:rFonts w:ascii="Times New Roman" w:hAnsi="Times New Roman" w:cs="Times New Roman"/>
          <w:sz w:val="24"/>
          <w:szCs w:val="24"/>
        </w:rPr>
        <w:t xml:space="preserve"> </w:t>
      </w:r>
      <w:r w:rsidR="004F23A3" w:rsidRPr="00C8727F">
        <w:rPr>
          <w:rFonts w:ascii="Times New Roman" w:eastAsia="Times New Roman" w:hAnsi="Times New Roman" w:cs="Times New Roman"/>
          <w:sz w:val="24"/>
          <w:szCs w:val="24"/>
          <w:lang w:val="en-GB"/>
        </w:rPr>
        <w:t>(</w:t>
      </w:r>
      <w:proofErr w:type="spellStart"/>
      <w:r w:rsidR="004F23A3" w:rsidRPr="00C8727F">
        <w:rPr>
          <w:rFonts w:ascii="Times New Roman" w:eastAsia="Times New Roman" w:hAnsi="Times New Roman" w:cs="Times New Roman"/>
          <w:sz w:val="24"/>
          <w:szCs w:val="24"/>
          <w:lang w:val="en-GB"/>
        </w:rPr>
        <w:t>Zaccaroni</w:t>
      </w:r>
      <w:proofErr w:type="spellEnd"/>
      <w:r w:rsidR="004F23A3" w:rsidRPr="00C8727F">
        <w:rPr>
          <w:rFonts w:ascii="Times New Roman" w:eastAsia="Times New Roman" w:hAnsi="Times New Roman" w:cs="Times New Roman"/>
          <w:sz w:val="24"/>
          <w:szCs w:val="24"/>
          <w:lang w:val="en-GB"/>
        </w:rPr>
        <w:t>, 2018)</w:t>
      </w:r>
      <w:r w:rsidR="00A80D58" w:rsidRPr="00C8727F">
        <w:rPr>
          <w:rFonts w:ascii="Times New Roman" w:eastAsia="Times New Roman" w:hAnsi="Times New Roman" w:cs="Times New Roman"/>
          <w:sz w:val="24"/>
          <w:szCs w:val="24"/>
          <w:lang w:val="en-GB"/>
        </w:rPr>
        <w:t xml:space="preserve">. </w:t>
      </w:r>
      <w:r w:rsidR="00A80D58" w:rsidRPr="00C8727F">
        <w:rPr>
          <w:rFonts w:ascii="Times New Roman" w:eastAsia="Times New Roman" w:hAnsi="Times New Roman" w:cs="Times New Roman"/>
          <w:bCs/>
          <w:sz w:val="24"/>
          <w:szCs w:val="24"/>
          <w:lang w:val="en-GB"/>
        </w:rPr>
        <w:t>It is the role of national courts to interpret national law in light of EU law, notably Directives, in accordance with the doctrine of indirect effect, or consistent interpretation. In countries where the concept of direct impact of Directives cannot be applied, the result can only be obtained by judicial interpretation of national law. In Von Colson, the Court of Justice established the indirect principle of EU law. It</w:t>
      </w:r>
      <w:r w:rsidR="005733BB" w:rsidRPr="00C8727F">
        <w:rPr>
          <w:rFonts w:ascii="Times New Roman" w:eastAsia="Times New Roman" w:hAnsi="Times New Roman" w:cs="Times New Roman"/>
          <w:bCs/>
          <w:sz w:val="24"/>
          <w:szCs w:val="24"/>
          <w:lang w:val="en-GB"/>
        </w:rPr>
        <w:t>’</w:t>
      </w:r>
      <w:r w:rsidR="00A80D58" w:rsidRPr="00C8727F">
        <w:rPr>
          <w:rFonts w:ascii="Times New Roman" w:eastAsia="Times New Roman" w:hAnsi="Times New Roman" w:cs="Times New Roman"/>
          <w:bCs/>
          <w:sz w:val="24"/>
          <w:szCs w:val="24"/>
          <w:lang w:val="en-GB"/>
        </w:rPr>
        <w:t>s also a way to mitigate some of the negative implications of Directives not being recognised as having horizontal direct effect.</w:t>
      </w:r>
    </w:p>
    <w:p w:rsidR="00212A55" w:rsidRPr="00C8727F" w:rsidRDefault="009C04AA"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The key aspects that maintain the effectiveness of the EU principles </w:t>
      </w:r>
      <w:r w:rsidR="00620889" w:rsidRPr="00C8727F">
        <w:rPr>
          <w:rFonts w:ascii="Times New Roman" w:eastAsia="Times New Roman" w:hAnsi="Times New Roman" w:cs="Times New Roman"/>
          <w:sz w:val="24"/>
          <w:szCs w:val="24"/>
          <w:lang w:val="en-GB"/>
        </w:rPr>
        <w:t>in regard to</w:t>
      </w:r>
      <w:r w:rsidRPr="00C8727F">
        <w:rPr>
          <w:rFonts w:ascii="Times New Roman" w:eastAsia="Times New Roman" w:hAnsi="Times New Roman" w:cs="Times New Roman"/>
          <w:sz w:val="24"/>
          <w:szCs w:val="24"/>
          <w:lang w:val="en-GB"/>
        </w:rPr>
        <w:t xml:space="preserve"> legal and natural persons are direct effect and supremacy. These direct effects as per Frantziou (2019) ar</w:t>
      </w:r>
      <w:r w:rsidR="000350F9" w:rsidRPr="00C8727F">
        <w:rPr>
          <w:rFonts w:ascii="Times New Roman" w:eastAsia="Times New Roman" w:hAnsi="Times New Roman" w:cs="Times New Roman"/>
          <w:sz w:val="24"/>
          <w:szCs w:val="24"/>
          <w:lang w:val="en-GB"/>
        </w:rPr>
        <w:t>e further bifurcated intro</w:t>
      </w:r>
      <w:r w:rsidRPr="00C8727F">
        <w:rPr>
          <w:rFonts w:ascii="Times New Roman" w:eastAsia="Times New Roman" w:hAnsi="Times New Roman" w:cs="Times New Roman"/>
          <w:sz w:val="24"/>
          <w:szCs w:val="24"/>
          <w:lang w:val="en-GB"/>
        </w:rPr>
        <w:t>:</w:t>
      </w:r>
      <w:r w:rsidR="00245CB6" w:rsidRPr="00C8727F">
        <w:rPr>
          <w:rFonts w:ascii="Times New Roman" w:eastAsia="Times New Roman" w:hAnsi="Times New Roman" w:cs="Times New Roman"/>
          <w:sz w:val="24"/>
          <w:szCs w:val="24"/>
          <w:lang w:val="en-GB"/>
        </w:rPr>
        <w:t xml:space="preserve"> </w:t>
      </w:r>
      <w:r w:rsidR="000350F9" w:rsidRPr="00C8727F">
        <w:rPr>
          <w:rFonts w:ascii="Times New Roman" w:eastAsia="Times New Roman" w:hAnsi="Times New Roman" w:cs="Times New Roman"/>
          <w:sz w:val="24"/>
          <w:szCs w:val="24"/>
          <w:lang w:val="en-GB"/>
        </w:rPr>
        <w:t>v</w:t>
      </w:r>
      <w:r w:rsidRPr="00C8727F">
        <w:rPr>
          <w:rFonts w:ascii="Times New Roman" w:eastAsia="Times New Roman" w:hAnsi="Times New Roman" w:cs="Times New Roman"/>
          <w:sz w:val="24"/>
          <w:szCs w:val="24"/>
          <w:lang w:val="en-GB"/>
        </w:rPr>
        <w:t>ertical direct effects that happen between the state and individuals and</w:t>
      </w:r>
      <w:r w:rsidR="00245CB6" w:rsidRPr="00C8727F">
        <w:rPr>
          <w:rFonts w:ascii="Times New Roman" w:eastAsia="Times New Roman" w:hAnsi="Times New Roman" w:cs="Times New Roman"/>
          <w:sz w:val="24"/>
          <w:szCs w:val="24"/>
          <w:lang w:val="en-GB"/>
        </w:rPr>
        <w:t xml:space="preserve"> </w:t>
      </w:r>
      <w:r w:rsidRPr="00C8727F">
        <w:rPr>
          <w:rFonts w:ascii="Times New Roman" w:eastAsia="Times New Roman" w:hAnsi="Times New Roman" w:cs="Times New Roman"/>
          <w:sz w:val="24"/>
          <w:szCs w:val="24"/>
          <w:lang w:val="en-GB"/>
        </w:rPr>
        <w:t xml:space="preserve">horizontal direct effects between private individuals. </w:t>
      </w:r>
      <w:r w:rsidR="00573512" w:rsidRPr="00C8727F">
        <w:rPr>
          <w:rFonts w:ascii="Times New Roman" w:eastAsia="Times New Roman" w:hAnsi="Times New Roman" w:cs="Times New Roman"/>
          <w:sz w:val="24"/>
          <w:szCs w:val="24"/>
          <w:lang w:val="en-GB"/>
        </w:rPr>
        <w:t xml:space="preserve">Everything the EU does is based on its treaties. </w:t>
      </w:r>
      <w:proofErr w:type="gramStart"/>
      <w:r w:rsidR="00573512" w:rsidRPr="00C8727F">
        <w:rPr>
          <w:rFonts w:ascii="Times New Roman" w:eastAsia="Times New Roman" w:hAnsi="Times New Roman" w:cs="Times New Roman"/>
          <w:sz w:val="24"/>
          <w:szCs w:val="24"/>
          <w:lang w:val="en-GB"/>
        </w:rPr>
        <w:t>As a result of these binding agreements, the EU sets out its goals and norms for its institutions as well as how decisions are made.</w:t>
      </w:r>
      <w:proofErr w:type="gramEnd"/>
      <w:r w:rsidR="00573512" w:rsidRPr="00C8727F">
        <w:rPr>
          <w:rFonts w:ascii="Times New Roman" w:eastAsia="Times New Roman" w:hAnsi="Times New Roman" w:cs="Times New Roman"/>
          <w:sz w:val="24"/>
          <w:szCs w:val="24"/>
          <w:lang w:val="en-GB"/>
        </w:rPr>
        <w:t xml:space="preserve"> Secondary law is the body of law derived from treaty principles and goals. </w:t>
      </w:r>
      <w:r w:rsidR="005733BB" w:rsidRPr="00C8727F">
        <w:rPr>
          <w:rFonts w:ascii="Times New Roman" w:eastAsia="Times New Roman" w:hAnsi="Times New Roman" w:cs="Times New Roman"/>
          <w:sz w:val="24"/>
          <w:szCs w:val="24"/>
          <w:lang w:val="en-GB"/>
        </w:rPr>
        <w:t>“</w:t>
      </w:r>
      <w:proofErr w:type="gramStart"/>
      <w:r w:rsidR="00573512" w:rsidRPr="00C8727F">
        <w:rPr>
          <w:rFonts w:ascii="Times New Roman" w:eastAsia="Times New Roman" w:hAnsi="Times New Roman" w:cs="Times New Roman"/>
          <w:sz w:val="24"/>
          <w:szCs w:val="24"/>
          <w:lang w:val="en-GB"/>
        </w:rPr>
        <w:t>regulations</w:t>
      </w:r>
      <w:proofErr w:type="gramEnd"/>
      <w:r w:rsidR="00573512" w:rsidRPr="00C8727F">
        <w:rPr>
          <w:rFonts w:ascii="Times New Roman" w:eastAsia="Times New Roman" w:hAnsi="Times New Roman" w:cs="Times New Roman"/>
          <w:sz w:val="24"/>
          <w:szCs w:val="24"/>
          <w:lang w:val="en-GB"/>
        </w:rPr>
        <w:t>, directives, decisions, suggestions, and views</w:t>
      </w:r>
      <w:r w:rsidR="005733BB" w:rsidRPr="00C8727F">
        <w:rPr>
          <w:rFonts w:ascii="Times New Roman" w:eastAsia="Times New Roman" w:hAnsi="Times New Roman" w:cs="Times New Roman"/>
          <w:sz w:val="24"/>
          <w:szCs w:val="24"/>
          <w:lang w:val="en-GB"/>
        </w:rPr>
        <w:t>”</w:t>
      </w:r>
      <w:r w:rsidR="00573512" w:rsidRPr="00C8727F">
        <w:rPr>
          <w:rFonts w:ascii="Times New Roman" w:eastAsia="Times New Roman" w:hAnsi="Times New Roman" w:cs="Times New Roman"/>
          <w:sz w:val="24"/>
          <w:szCs w:val="24"/>
          <w:lang w:val="en-GB"/>
        </w:rPr>
        <w:t xml:space="preserve"> are examples of secondary law.</w:t>
      </w:r>
    </w:p>
    <w:p w:rsidR="00C41627" w:rsidRPr="00C8727F" w:rsidRDefault="009C04AA"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As the regulations apply to </w:t>
      </w:r>
      <w:r w:rsidR="00E12B31" w:rsidRPr="00C8727F">
        <w:rPr>
          <w:rFonts w:ascii="Times New Roman" w:eastAsia="Times New Roman" w:hAnsi="Times New Roman" w:cs="Times New Roman"/>
          <w:sz w:val="24"/>
          <w:szCs w:val="24"/>
          <w:lang w:val="en-GB"/>
        </w:rPr>
        <w:t>everyone,</w:t>
      </w:r>
      <w:r w:rsidRPr="00C8727F">
        <w:rPr>
          <w:rFonts w:ascii="Times New Roman" w:eastAsia="Times New Roman" w:hAnsi="Times New Roman" w:cs="Times New Roman"/>
          <w:sz w:val="24"/>
          <w:szCs w:val="24"/>
          <w:lang w:val="en-GB"/>
        </w:rPr>
        <w:t xml:space="preserve"> they are clear and easier to follow. In contrast, directives are limited to the ambit of certain individuals (natural or legal) that work with explanations and exceptions to the general rule. As stated by Ashton (2018) the case law regarding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Van Gen den Loos</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Directive No. 76/207/EEC pointed out that the national court will be liable to penalise the member states for the violation of law and further awards compensation regarding the same. It was further rendered important for implementing the directive of the EU that the member states need to surrender their right to sovereignty for protection from conflicting laws and loopholes misinterpretations.</w:t>
      </w:r>
    </w:p>
    <w:p w:rsidR="00212A55" w:rsidRPr="00C8727F" w:rsidRDefault="00212A55"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lastRenderedPageBreak/>
        <w:t>Directives: In order to attain a certain goal, EU nations are given the option of implementing directives in their own way. In order to meet the directive</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s goals, member states of the EU must take action to transfer the directive</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s provisions into national law</w:t>
      </w:r>
      <w:r w:rsidR="004F23A3" w:rsidRPr="00C8727F">
        <w:rPr>
          <w:rFonts w:ascii="Times New Roman" w:eastAsia="Times New Roman" w:hAnsi="Times New Roman" w:cs="Times New Roman"/>
          <w:sz w:val="24"/>
          <w:szCs w:val="24"/>
          <w:lang w:val="en-GB"/>
        </w:rPr>
        <w:t xml:space="preserve"> (</w:t>
      </w:r>
      <w:proofErr w:type="gramStart"/>
      <w:r w:rsidR="004F23A3" w:rsidRPr="00C8727F">
        <w:rPr>
          <w:rFonts w:ascii="Times New Roman" w:eastAsia="Times New Roman" w:hAnsi="Times New Roman" w:cs="Times New Roman"/>
          <w:sz w:val="24"/>
          <w:szCs w:val="24"/>
          <w:lang w:val="en-GB"/>
        </w:rPr>
        <w:t>Tas</w:t>
      </w:r>
      <w:proofErr w:type="gramEnd"/>
      <w:r w:rsidR="004F23A3" w:rsidRPr="00C8727F">
        <w:rPr>
          <w:rFonts w:ascii="Times New Roman" w:eastAsia="Times New Roman" w:hAnsi="Times New Roman" w:cs="Times New Roman"/>
          <w:sz w:val="24"/>
          <w:szCs w:val="24"/>
          <w:lang w:val="en-GB"/>
        </w:rPr>
        <w:t>, 2021)</w:t>
      </w:r>
      <w:r w:rsidRPr="00C8727F">
        <w:rPr>
          <w:rFonts w:ascii="Times New Roman" w:eastAsia="Times New Roman" w:hAnsi="Times New Roman" w:cs="Times New Roman"/>
          <w:sz w:val="24"/>
          <w:szCs w:val="24"/>
          <w:lang w:val="en-GB"/>
        </w:rPr>
        <w:t>. The European Commission must be informed of these actions by national governments. The directive must be transposed into national legislation by the deadline specified when it is adopted (generally within 2 years). The European Commission has the power to take legal action against a country that fails to implement a directive.</w:t>
      </w:r>
    </w:p>
    <w:p w:rsidR="00212A55" w:rsidRPr="00C8727F" w:rsidRDefault="00212A55"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Decisions: Decisions are binding if they are made in their entirety</w:t>
      </w:r>
      <w:r w:rsidR="004F23A3" w:rsidRPr="00C8727F">
        <w:rPr>
          <w:rFonts w:ascii="Times New Roman" w:eastAsia="Times New Roman" w:hAnsi="Times New Roman" w:cs="Times New Roman"/>
          <w:sz w:val="24"/>
          <w:szCs w:val="24"/>
          <w:lang w:val="en-GB"/>
        </w:rPr>
        <w:t xml:space="preserve"> (</w:t>
      </w:r>
      <w:proofErr w:type="spellStart"/>
      <w:r w:rsidR="004F23A3" w:rsidRPr="00C8727F">
        <w:rPr>
          <w:rFonts w:ascii="Times New Roman" w:eastAsia="Times New Roman" w:hAnsi="Times New Roman" w:cs="Times New Roman"/>
          <w:sz w:val="24"/>
          <w:szCs w:val="24"/>
          <w:lang w:val="en-GB"/>
        </w:rPr>
        <w:t>Zaccaroni</w:t>
      </w:r>
      <w:proofErr w:type="spellEnd"/>
      <w:r w:rsidR="004F23A3" w:rsidRPr="00C8727F">
        <w:rPr>
          <w:rFonts w:ascii="Times New Roman" w:eastAsia="Times New Roman" w:hAnsi="Times New Roman" w:cs="Times New Roman"/>
          <w:sz w:val="24"/>
          <w:szCs w:val="24"/>
          <w:lang w:val="en-GB"/>
        </w:rPr>
        <w:t>, 2018)</w:t>
      </w:r>
      <w:r w:rsidRPr="00C8727F">
        <w:rPr>
          <w:rFonts w:ascii="Times New Roman" w:eastAsia="Times New Roman" w:hAnsi="Times New Roman" w:cs="Times New Roman"/>
          <w:sz w:val="24"/>
          <w:szCs w:val="24"/>
          <w:lang w:val="en-GB"/>
        </w:rPr>
        <w:t>. If a decision indicates who it is addressed to, then it is binding solely on those who receive it.</w:t>
      </w:r>
    </w:p>
    <w:p w:rsidR="00212A55" w:rsidRPr="00C8727F" w:rsidRDefault="00212A55"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Recommendations: Without imposing any legal obligations on individuals to whom they are directed, recommendations allow EU institutions to express their opinions and give suggestions for a course of action</w:t>
      </w:r>
      <w:r w:rsidR="004F23A3" w:rsidRPr="00C8727F">
        <w:rPr>
          <w:rFonts w:ascii="Times New Roman" w:eastAsia="Times New Roman" w:hAnsi="Times New Roman" w:cs="Times New Roman"/>
          <w:sz w:val="24"/>
          <w:szCs w:val="24"/>
          <w:lang w:val="en-GB"/>
        </w:rPr>
        <w:t xml:space="preserve"> (Ashton, 2018)</w:t>
      </w:r>
      <w:r w:rsidRPr="00C8727F">
        <w:rPr>
          <w:rFonts w:ascii="Times New Roman" w:eastAsia="Times New Roman" w:hAnsi="Times New Roman" w:cs="Times New Roman"/>
          <w:sz w:val="24"/>
          <w:szCs w:val="24"/>
          <w:lang w:val="en-GB"/>
        </w:rPr>
        <w:t xml:space="preserve">. </w:t>
      </w:r>
    </w:p>
    <w:p w:rsidR="00212A55" w:rsidRPr="00C8727F" w:rsidRDefault="00212A55"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Opinion: the European Union can express an opinion without placing any obligation on the subject matter of the opinion by using the term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opinion.</w:t>
      </w:r>
      <w:r w:rsidR="005733BB" w:rsidRPr="00C8727F">
        <w:rPr>
          <w:rFonts w:ascii="Times New Roman" w:eastAsia="Times New Roman" w:hAnsi="Times New Roman" w:cs="Times New Roman"/>
          <w:sz w:val="24"/>
          <w:szCs w:val="24"/>
          <w:lang w:val="en-GB"/>
        </w:rPr>
        <w:t>”</w:t>
      </w:r>
    </w:p>
    <w:p w:rsidR="00C41627" w:rsidRPr="00C8727F" w:rsidRDefault="009C04AA"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Moreover, as per Halberstam (2021), the case-law of </w:t>
      </w:r>
      <w:r w:rsidR="005733BB" w:rsidRPr="00C8727F">
        <w:rPr>
          <w:rFonts w:ascii="Times New Roman" w:eastAsia="Times New Roman" w:hAnsi="Times New Roman" w:cs="Times New Roman"/>
          <w:sz w:val="24"/>
          <w:szCs w:val="24"/>
          <w:lang w:val="en-GB"/>
        </w:rPr>
        <w:t>“</w:t>
      </w:r>
      <w:proofErr w:type="spellStart"/>
      <w:r w:rsidRPr="00C8727F">
        <w:rPr>
          <w:rFonts w:ascii="Times New Roman" w:eastAsia="Times New Roman" w:hAnsi="Times New Roman" w:cs="Times New Roman"/>
          <w:sz w:val="24"/>
          <w:szCs w:val="24"/>
          <w:lang w:val="en-GB"/>
        </w:rPr>
        <w:t>Simmenthal</w:t>
      </w:r>
      <w:proofErr w:type="spellEnd"/>
      <w:r w:rsidRPr="00C8727F">
        <w:rPr>
          <w:rFonts w:ascii="Times New Roman" w:eastAsia="Times New Roman" w:hAnsi="Times New Roman" w:cs="Times New Roman"/>
          <w:sz w:val="24"/>
          <w:szCs w:val="24"/>
          <w:lang w:val="en-GB"/>
        </w:rPr>
        <w:t xml:space="preserve"> and </w:t>
      </w:r>
      <w:proofErr w:type="spellStart"/>
      <w:r w:rsidRPr="00C8727F">
        <w:rPr>
          <w:rFonts w:ascii="Times New Roman" w:eastAsia="Times New Roman" w:hAnsi="Times New Roman" w:cs="Times New Roman"/>
          <w:sz w:val="24"/>
          <w:szCs w:val="24"/>
          <w:lang w:val="en-GB"/>
        </w:rPr>
        <w:t>Factortame</w:t>
      </w:r>
      <w:proofErr w:type="spellEnd"/>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highlights that the national courts of the member state need to be abided by the following obligations:</w:t>
      </w:r>
      <w:r w:rsidR="00291050" w:rsidRPr="00C8727F">
        <w:rPr>
          <w:rFonts w:ascii="Times New Roman" w:eastAsia="Times New Roman" w:hAnsi="Times New Roman" w:cs="Times New Roman"/>
          <w:sz w:val="24"/>
          <w:szCs w:val="24"/>
          <w:lang w:val="en-GB"/>
        </w:rPr>
        <w:t xml:space="preserve"> </w:t>
      </w:r>
      <w:r w:rsidRPr="00C8727F">
        <w:rPr>
          <w:rFonts w:ascii="Times New Roman" w:eastAsia="Times New Roman" w:hAnsi="Times New Roman" w:cs="Times New Roman"/>
          <w:sz w:val="24"/>
          <w:szCs w:val="24"/>
          <w:lang w:val="en-GB"/>
        </w:rPr>
        <w:t>Any legislation that are overlapping with the directives of the EU and the member nation should be set aside and EU laws should be followed</w:t>
      </w:r>
      <w:r w:rsidR="004F23A3" w:rsidRPr="00C8727F">
        <w:rPr>
          <w:rFonts w:ascii="Times New Roman" w:eastAsia="Times New Roman" w:hAnsi="Times New Roman" w:cs="Times New Roman"/>
          <w:sz w:val="24"/>
          <w:szCs w:val="24"/>
          <w:lang w:val="en-GB"/>
        </w:rPr>
        <w:t xml:space="preserve"> (</w:t>
      </w:r>
      <w:proofErr w:type="spellStart"/>
      <w:r w:rsidR="004F23A3" w:rsidRPr="00C8727F">
        <w:rPr>
          <w:rFonts w:ascii="Times New Roman" w:eastAsia="Times New Roman" w:hAnsi="Times New Roman" w:cs="Times New Roman"/>
          <w:sz w:val="24"/>
          <w:szCs w:val="24"/>
          <w:lang w:val="en-GB"/>
        </w:rPr>
        <w:t>Frantziou</w:t>
      </w:r>
      <w:proofErr w:type="spellEnd"/>
      <w:r w:rsidR="004F23A3" w:rsidRPr="00C8727F">
        <w:rPr>
          <w:rFonts w:ascii="Times New Roman" w:eastAsia="Times New Roman" w:hAnsi="Times New Roman" w:cs="Times New Roman"/>
          <w:sz w:val="24"/>
          <w:szCs w:val="24"/>
          <w:lang w:val="en-GB"/>
        </w:rPr>
        <w:t>, 2019)</w:t>
      </w:r>
      <w:r w:rsidR="00291050" w:rsidRPr="00C8727F">
        <w:rPr>
          <w:rFonts w:ascii="Times New Roman" w:eastAsia="Times New Roman" w:hAnsi="Times New Roman" w:cs="Times New Roman"/>
          <w:sz w:val="24"/>
          <w:szCs w:val="24"/>
          <w:lang w:val="en-GB"/>
        </w:rPr>
        <w:t xml:space="preserve">; </w:t>
      </w:r>
      <w:r w:rsidRPr="00C8727F">
        <w:rPr>
          <w:rFonts w:ascii="Times New Roman" w:eastAsia="Times New Roman" w:hAnsi="Times New Roman" w:cs="Times New Roman"/>
          <w:sz w:val="24"/>
          <w:szCs w:val="24"/>
          <w:lang w:val="en-GB"/>
        </w:rPr>
        <w:t>The valid adoption of any new legislative measure should be precluded by the EU.</w:t>
      </w:r>
      <w:r w:rsidR="00291050" w:rsidRPr="00C8727F">
        <w:rPr>
          <w:rFonts w:ascii="Times New Roman" w:eastAsia="Times New Roman" w:hAnsi="Times New Roman" w:cs="Times New Roman"/>
          <w:sz w:val="24"/>
          <w:szCs w:val="24"/>
          <w:lang w:val="en-GB"/>
        </w:rPr>
        <w:t xml:space="preserve"> </w:t>
      </w:r>
      <w:r w:rsidRPr="00C8727F">
        <w:rPr>
          <w:rFonts w:ascii="Times New Roman" w:eastAsia="Times New Roman" w:hAnsi="Times New Roman" w:cs="Times New Roman"/>
          <w:sz w:val="24"/>
          <w:szCs w:val="24"/>
          <w:lang w:val="en-GB"/>
        </w:rPr>
        <w:t>The conflicting nature of any current provision of the member nation will be automatically overridden.</w:t>
      </w:r>
      <w:r w:rsidR="00291050" w:rsidRPr="00C8727F">
        <w:rPr>
          <w:rFonts w:ascii="Times New Roman" w:eastAsia="Times New Roman" w:hAnsi="Times New Roman" w:cs="Times New Roman"/>
          <w:sz w:val="24"/>
          <w:szCs w:val="24"/>
          <w:lang w:val="en-GB"/>
        </w:rPr>
        <w:t xml:space="preserve"> </w:t>
      </w:r>
      <w:r w:rsidRPr="00C8727F">
        <w:rPr>
          <w:rFonts w:ascii="Times New Roman" w:eastAsia="Times New Roman" w:hAnsi="Times New Roman" w:cs="Times New Roman"/>
          <w:sz w:val="24"/>
          <w:szCs w:val="24"/>
          <w:lang w:val="en-GB"/>
        </w:rPr>
        <w:t>Any laws that are incompatible with EU regulations or directives should be set suspended temporarily till a compatible rectification is made</w:t>
      </w:r>
      <w:r w:rsidR="00291050" w:rsidRPr="00C8727F">
        <w:rPr>
          <w:rFonts w:ascii="Times New Roman" w:eastAsia="Times New Roman" w:hAnsi="Times New Roman" w:cs="Times New Roman"/>
          <w:sz w:val="24"/>
          <w:szCs w:val="24"/>
          <w:lang w:val="en-GB"/>
        </w:rPr>
        <w:t xml:space="preserve"> and</w:t>
      </w:r>
      <w:r w:rsidRPr="00C8727F">
        <w:rPr>
          <w:rFonts w:ascii="Times New Roman" w:eastAsia="Times New Roman" w:hAnsi="Times New Roman" w:cs="Times New Roman"/>
          <w:sz w:val="24"/>
          <w:szCs w:val="24"/>
          <w:lang w:val="en-GB"/>
        </w:rPr>
        <w:t xml:space="preserve"> </w:t>
      </w:r>
      <w:r w:rsidR="00291050" w:rsidRPr="00C8727F">
        <w:rPr>
          <w:rFonts w:ascii="Times New Roman" w:eastAsia="Times New Roman" w:hAnsi="Times New Roman" w:cs="Times New Roman"/>
          <w:sz w:val="24"/>
          <w:szCs w:val="24"/>
          <w:lang w:val="en-GB"/>
        </w:rPr>
        <w:t>c</w:t>
      </w:r>
      <w:r w:rsidRPr="00C8727F">
        <w:rPr>
          <w:rFonts w:ascii="Times New Roman" w:eastAsia="Times New Roman" w:hAnsi="Times New Roman" w:cs="Times New Roman"/>
          <w:sz w:val="24"/>
          <w:szCs w:val="24"/>
          <w:lang w:val="en-GB"/>
        </w:rPr>
        <w:t xml:space="preserve">ommunity laws should be applied to protect the rights of individuals. </w:t>
      </w:r>
    </w:p>
    <w:p w:rsidR="00C41627" w:rsidRPr="00C8727F" w:rsidRDefault="009C04AA"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As per </w:t>
      </w:r>
      <w:proofErr w:type="gramStart"/>
      <w:r w:rsidRPr="00C8727F">
        <w:rPr>
          <w:rFonts w:ascii="Times New Roman" w:eastAsia="Times New Roman" w:hAnsi="Times New Roman" w:cs="Times New Roman"/>
          <w:sz w:val="24"/>
          <w:szCs w:val="24"/>
          <w:lang w:val="en-GB"/>
        </w:rPr>
        <w:t>Tas</w:t>
      </w:r>
      <w:proofErr w:type="gramEnd"/>
      <w:r w:rsidRPr="00C8727F">
        <w:rPr>
          <w:rFonts w:ascii="Times New Roman" w:eastAsia="Times New Roman" w:hAnsi="Times New Roman" w:cs="Times New Roman"/>
          <w:sz w:val="24"/>
          <w:szCs w:val="24"/>
          <w:lang w:val="en-GB"/>
        </w:rPr>
        <w:t xml:space="preserve"> (2021) The case law of </w:t>
      </w:r>
      <w:r w:rsidR="005733BB" w:rsidRPr="00C8727F">
        <w:rPr>
          <w:rFonts w:ascii="Times New Roman" w:eastAsia="Times New Roman" w:hAnsi="Times New Roman" w:cs="Times New Roman"/>
          <w:sz w:val="24"/>
          <w:szCs w:val="24"/>
          <w:lang w:val="en-GB"/>
        </w:rPr>
        <w:t>“</w:t>
      </w:r>
      <w:proofErr w:type="spellStart"/>
      <w:r w:rsidRPr="00C8727F">
        <w:rPr>
          <w:rFonts w:ascii="Times New Roman" w:eastAsia="Times New Roman" w:hAnsi="Times New Roman" w:cs="Times New Roman"/>
          <w:sz w:val="24"/>
          <w:szCs w:val="24"/>
          <w:lang w:val="en-GB"/>
        </w:rPr>
        <w:t>Defrenne</w:t>
      </w:r>
      <w:proofErr w:type="spellEnd"/>
      <w:r w:rsidRPr="00C8727F">
        <w:rPr>
          <w:rFonts w:ascii="Times New Roman" w:eastAsia="Times New Roman" w:hAnsi="Times New Roman" w:cs="Times New Roman"/>
          <w:sz w:val="24"/>
          <w:szCs w:val="24"/>
          <w:lang w:val="en-GB"/>
        </w:rPr>
        <w:t xml:space="preserve"> v </w:t>
      </w:r>
      <w:r w:rsidR="00245CB6" w:rsidRPr="00C8727F">
        <w:rPr>
          <w:rFonts w:ascii="Times New Roman" w:eastAsia="Times New Roman" w:hAnsi="Times New Roman" w:cs="Times New Roman"/>
          <w:sz w:val="24"/>
          <w:szCs w:val="24"/>
          <w:lang w:val="en-GB"/>
        </w:rPr>
        <w:t xml:space="preserve">Sabena </w:t>
      </w:r>
      <w:r w:rsidR="005733BB" w:rsidRPr="00C8727F">
        <w:rPr>
          <w:rFonts w:ascii="Times New Roman" w:eastAsia="Times New Roman" w:hAnsi="Times New Roman" w:cs="Times New Roman"/>
          <w:sz w:val="24"/>
          <w:szCs w:val="24"/>
          <w:lang w:val="en-GB"/>
        </w:rPr>
        <w:t>“</w:t>
      </w:r>
      <w:r w:rsidR="00245CB6" w:rsidRPr="00C8727F">
        <w:rPr>
          <w:rFonts w:ascii="Times New Roman" w:eastAsia="Times New Roman" w:hAnsi="Times New Roman" w:cs="Times New Roman"/>
          <w:sz w:val="24"/>
          <w:szCs w:val="24"/>
          <w:lang w:val="en-GB"/>
        </w:rPr>
        <w:t>further</w:t>
      </w:r>
      <w:r w:rsidRPr="00C8727F">
        <w:rPr>
          <w:rFonts w:ascii="Times New Roman" w:eastAsia="Times New Roman" w:hAnsi="Times New Roman" w:cs="Times New Roman"/>
          <w:sz w:val="24"/>
          <w:szCs w:val="24"/>
          <w:lang w:val="en-GB"/>
        </w:rPr>
        <w:t xml:space="preserve"> emphasises the application of the horizontal direct effect of treaty articles under the EU. This case circles around Article 119 where an air hostess sued for fair pay </w:t>
      </w:r>
      <w:r w:rsidR="00E12B31" w:rsidRPr="00C8727F">
        <w:rPr>
          <w:rFonts w:ascii="Times New Roman" w:eastAsia="Times New Roman" w:hAnsi="Times New Roman" w:cs="Times New Roman"/>
          <w:sz w:val="24"/>
          <w:szCs w:val="24"/>
          <w:lang w:val="en-GB"/>
        </w:rPr>
        <w:t>were</w:t>
      </w:r>
      <w:r w:rsidRPr="00C8727F">
        <w:rPr>
          <w:rFonts w:ascii="Times New Roman" w:eastAsia="Times New Roman" w:hAnsi="Times New Roman" w:cs="Times New Roman"/>
          <w:sz w:val="24"/>
          <w:szCs w:val="24"/>
          <w:lang w:val="en-GB"/>
        </w:rPr>
        <w:t xml:space="preserve"> the words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pay</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and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work</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were not sufficiently defined in the article. However, her claim was </w:t>
      </w:r>
      <w:r w:rsidR="00245CB6" w:rsidRPr="00C8727F">
        <w:rPr>
          <w:rFonts w:ascii="Times New Roman" w:eastAsia="Times New Roman" w:hAnsi="Times New Roman" w:cs="Times New Roman"/>
          <w:sz w:val="24"/>
          <w:szCs w:val="24"/>
          <w:lang w:val="en-GB"/>
        </w:rPr>
        <w:t>addressed</w:t>
      </w:r>
      <w:r w:rsidRPr="00C8727F">
        <w:rPr>
          <w:rFonts w:ascii="Times New Roman" w:eastAsia="Times New Roman" w:hAnsi="Times New Roman" w:cs="Times New Roman"/>
          <w:sz w:val="24"/>
          <w:szCs w:val="24"/>
          <w:lang w:val="en-GB"/>
        </w:rPr>
        <w:t xml:space="preserve"> by the law and it was required for the employer to adhere to the corresponding rights of the treaty. </w:t>
      </w:r>
    </w:p>
    <w:p w:rsidR="00C41627" w:rsidRPr="00C8727F" w:rsidRDefault="009C04AA"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In contrast, the case laws regarding </w:t>
      </w:r>
      <w:r w:rsidR="005733BB" w:rsidRPr="00C8727F">
        <w:rPr>
          <w:rFonts w:ascii="Times New Roman" w:eastAsia="Times New Roman" w:hAnsi="Times New Roman" w:cs="Times New Roman"/>
          <w:sz w:val="24"/>
          <w:szCs w:val="24"/>
          <w:lang w:val="en-GB"/>
        </w:rPr>
        <w:t>“</w:t>
      </w:r>
      <w:proofErr w:type="spellStart"/>
      <w:r w:rsidRPr="00C8727F">
        <w:rPr>
          <w:rFonts w:ascii="Times New Roman" w:eastAsia="Times New Roman" w:hAnsi="Times New Roman" w:cs="Times New Roman"/>
          <w:sz w:val="24"/>
          <w:szCs w:val="24"/>
          <w:lang w:val="en-GB"/>
        </w:rPr>
        <w:t>Mangold</w:t>
      </w:r>
      <w:proofErr w:type="spellEnd"/>
      <w:r w:rsidRPr="00C8727F">
        <w:rPr>
          <w:rFonts w:ascii="Times New Roman" w:eastAsia="Times New Roman" w:hAnsi="Times New Roman" w:cs="Times New Roman"/>
          <w:sz w:val="24"/>
          <w:szCs w:val="24"/>
          <w:lang w:val="en-GB"/>
        </w:rPr>
        <w:t xml:space="preserve"> and </w:t>
      </w:r>
      <w:proofErr w:type="spellStart"/>
      <w:r w:rsidRPr="00C8727F">
        <w:rPr>
          <w:rFonts w:ascii="Times New Roman" w:eastAsia="Times New Roman" w:hAnsi="Times New Roman" w:cs="Times New Roman"/>
          <w:sz w:val="24"/>
          <w:szCs w:val="24"/>
          <w:lang w:val="en-GB"/>
        </w:rPr>
        <w:t>Kücükdeveci</w:t>
      </w:r>
      <w:proofErr w:type="spellEnd"/>
      <w:r w:rsidR="005733BB" w:rsidRPr="00C8727F">
        <w:rPr>
          <w:rFonts w:ascii="Times New Roman" w:eastAsia="Times New Roman" w:hAnsi="Times New Roman" w:cs="Times New Roman"/>
          <w:sz w:val="24"/>
          <w:szCs w:val="24"/>
          <w:lang w:val="en-GB"/>
        </w:rPr>
        <w:t>”</w:t>
      </w:r>
      <w:r w:rsidR="00245CB6" w:rsidRPr="00C8727F">
        <w:rPr>
          <w:rFonts w:ascii="Times New Roman" w:eastAsia="Times New Roman" w:hAnsi="Times New Roman" w:cs="Times New Roman"/>
          <w:sz w:val="24"/>
          <w:szCs w:val="24"/>
          <w:lang w:val="en-GB"/>
        </w:rPr>
        <w:t xml:space="preserve"> criticis</w:t>
      </w:r>
      <w:r w:rsidRPr="00C8727F">
        <w:rPr>
          <w:rFonts w:ascii="Times New Roman" w:eastAsia="Times New Roman" w:hAnsi="Times New Roman" w:cs="Times New Roman"/>
          <w:sz w:val="24"/>
          <w:szCs w:val="24"/>
          <w:lang w:val="en-GB"/>
        </w:rPr>
        <w:t xml:space="preserve">ed the horizontal direct effect of the </w:t>
      </w:r>
      <w:r w:rsidR="00C0587F" w:rsidRPr="00C8727F">
        <w:rPr>
          <w:rFonts w:ascii="Times New Roman" w:eastAsia="Times New Roman" w:hAnsi="Times New Roman" w:cs="Times New Roman"/>
          <w:sz w:val="24"/>
          <w:szCs w:val="24"/>
          <w:lang w:val="en-GB"/>
        </w:rPr>
        <w:t>directives</w:t>
      </w:r>
      <w:r w:rsidRPr="00C8727F">
        <w:rPr>
          <w:rFonts w:ascii="Times New Roman" w:eastAsia="Times New Roman" w:hAnsi="Times New Roman" w:cs="Times New Roman"/>
          <w:sz w:val="24"/>
          <w:szCs w:val="24"/>
          <w:lang w:val="en-GB"/>
        </w:rPr>
        <w:t xml:space="preserve"> as this effect decreases the trust of the private parties in the national law (Zaccaroni, 2018). Further, the legal certainty of the laws at the point of entering contracts may be compromised and such contracts may be entered by parties with misinformation about the </w:t>
      </w:r>
      <w:r w:rsidRPr="00C8727F">
        <w:rPr>
          <w:rFonts w:ascii="Times New Roman" w:eastAsia="Times New Roman" w:hAnsi="Times New Roman" w:cs="Times New Roman"/>
          <w:sz w:val="24"/>
          <w:szCs w:val="24"/>
          <w:lang w:val="en-GB"/>
        </w:rPr>
        <w:lastRenderedPageBreak/>
        <w:t xml:space="preserve">applicable law. Therefore, the intricate nature of the applicability of the direct effect of the European laws has caused the traders complex barriers as they are uncertain of the applicable conditions regarding the treaty as they may be reliant on national principles. However, the criticism was disregarded because the direct effect abides by the general principle of equality and does not favour any nation. Therefore, the regulations and directives of the EU reflect a fair view of every possible threat of conflict. </w:t>
      </w:r>
    </w:p>
    <w:p w:rsidR="00212A55" w:rsidRPr="00C8727F" w:rsidRDefault="00212A55"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When it comes to directives: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Article 249</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w:t>
      </w:r>
      <w:r w:rsidR="00730405" w:rsidRPr="00C8727F">
        <w:rPr>
          <w:rFonts w:ascii="Times New Roman" w:eastAsia="Times New Roman" w:hAnsi="Times New Roman" w:cs="Times New Roman"/>
          <w:sz w:val="24"/>
          <w:szCs w:val="24"/>
          <w:lang w:val="en-GB"/>
        </w:rPr>
        <w:t xml:space="preserve">of </w:t>
      </w:r>
      <w:r w:rsidRPr="00C8727F">
        <w:rPr>
          <w:rFonts w:ascii="Times New Roman" w:eastAsia="Times New Roman" w:hAnsi="Times New Roman" w:cs="Times New Roman"/>
          <w:sz w:val="24"/>
          <w:szCs w:val="24"/>
          <w:lang w:val="en-GB"/>
        </w:rPr>
        <w:t xml:space="preserve">EC specifies that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a directive shall be obligatory upon each Member State but shall leave to the national authorities the option of form and means</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With respect to directives having direct effect, the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European Court of Justice</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determined that they could only do so to a limited extent, as in the case of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Grad v </w:t>
      </w:r>
      <w:proofErr w:type="spellStart"/>
      <w:r w:rsidRPr="00C8727F">
        <w:rPr>
          <w:rFonts w:ascii="Times New Roman" w:eastAsia="Times New Roman" w:hAnsi="Times New Roman" w:cs="Times New Roman"/>
          <w:sz w:val="24"/>
          <w:szCs w:val="24"/>
          <w:lang w:val="en-GB"/>
        </w:rPr>
        <w:t>Finanzamt</w:t>
      </w:r>
      <w:proofErr w:type="spellEnd"/>
      <w:r w:rsidRPr="00C8727F">
        <w:rPr>
          <w:rFonts w:ascii="Times New Roman" w:eastAsia="Times New Roman" w:hAnsi="Times New Roman" w:cs="Times New Roman"/>
          <w:sz w:val="24"/>
          <w:szCs w:val="24"/>
          <w:lang w:val="en-GB"/>
        </w:rPr>
        <w:t xml:space="preserve"> </w:t>
      </w:r>
      <w:proofErr w:type="spellStart"/>
      <w:r w:rsidRPr="00C8727F">
        <w:rPr>
          <w:rFonts w:ascii="Times New Roman" w:eastAsia="Times New Roman" w:hAnsi="Times New Roman" w:cs="Times New Roman"/>
          <w:sz w:val="24"/>
          <w:szCs w:val="24"/>
          <w:lang w:val="en-GB"/>
        </w:rPr>
        <w:t>Traunstein</w:t>
      </w:r>
      <w:proofErr w:type="spellEnd"/>
      <w:r w:rsidRPr="00C8727F">
        <w:rPr>
          <w:rFonts w:ascii="Times New Roman" w:eastAsia="Times New Roman" w:hAnsi="Times New Roman" w:cs="Times New Roman"/>
          <w:sz w:val="24"/>
          <w:szCs w:val="24"/>
          <w:lang w:val="en-GB"/>
        </w:rPr>
        <w:t xml:space="preserve"> [1970] ECR 825</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With respect to VAT, the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European Court of Justice (ECJ)</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has held that directives may have a direct effect. Even though it could have direct effect, it could also be directly affected if the deadline for implementation has passed, as demonstrated in the case of </w:t>
      </w:r>
      <w:r w:rsidR="005733BB" w:rsidRPr="00C8727F">
        <w:rPr>
          <w:rFonts w:ascii="Times New Roman" w:eastAsia="Times New Roman" w:hAnsi="Times New Roman" w:cs="Times New Roman"/>
          <w:sz w:val="24"/>
          <w:szCs w:val="24"/>
          <w:lang w:val="en-GB"/>
        </w:rPr>
        <w:t>“</w:t>
      </w:r>
      <w:proofErr w:type="spellStart"/>
      <w:r w:rsidRPr="00C8727F">
        <w:rPr>
          <w:rFonts w:ascii="Times New Roman" w:eastAsia="Times New Roman" w:hAnsi="Times New Roman" w:cs="Times New Roman"/>
          <w:sz w:val="24"/>
          <w:szCs w:val="24"/>
          <w:lang w:val="en-GB"/>
        </w:rPr>
        <w:t>Pubblico</w:t>
      </w:r>
      <w:proofErr w:type="spellEnd"/>
      <w:r w:rsidRPr="00C8727F">
        <w:rPr>
          <w:rFonts w:ascii="Times New Roman" w:eastAsia="Times New Roman" w:hAnsi="Times New Roman" w:cs="Times New Roman"/>
          <w:sz w:val="24"/>
          <w:szCs w:val="24"/>
          <w:lang w:val="en-GB"/>
        </w:rPr>
        <w:t xml:space="preserve"> </w:t>
      </w:r>
      <w:proofErr w:type="spellStart"/>
      <w:r w:rsidRPr="00C8727F">
        <w:rPr>
          <w:rFonts w:ascii="Times New Roman" w:eastAsia="Times New Roman" w:hAnsi="Times New Roman" w:cs="Times New Roman"/>
          <w:sz w:val="24"/>
          <w:szCs w:val="24"/>
          <w:lang w:val="en-GB"/>
        </w:rPr>
        <w:t>Ministero</w:t>
      </w:r>
      <w:proofErr w:type="spellEnd"/>
      <w:r w:rsidRPr="00C8727F">
        <w:rPr>
          <w:rFonts w:ascii="Times New Roman" w:eastAsia="Times New Roman" w:hAnsi="Times New Roman" w:cs="Times New Roman"/>
          <w:sz w:val="24"/>
          <w:szCs w:val="24"/>
          <w:lang w:val="en-GB"/>
        </w:rPr>
        <w:t xml:space="preserve"> v. Ratti (Case 148/78) [1979] ECR 1629,</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where it was shown that direct effect could not be had because of a deadline for implementation still being in effect.</w:t>
      </w:r>
    </w:p>
    <w:p w:rsidR="00212A55" w:rsidRPr="00C8727F" w:rsidRDefault="00730405"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Directives can only have a vertical effect if the state or its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emanations</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are involved</w:t>
      </w:r>
      <w:r w:rsidR="004F23A3" w:rsidRPr="00C8727F">
        <w:rPr>
          <w:rFonts w:ascii="Times New Roman" w:eastAsia="Times New Roman" w:hAnsi="Times New Roman" w:cs="Times New Roman"/>
          <w:sz w:val="24"/>
          <w:szCs w:val="24"/>
          <w:lang w:val="en-GB"/>
        </w:rPr>
        <w:t xml:space="preserve"> (</w:t>
      </w:r>
      <w:proofErr w:type="gramStart"/>
      <w:r w:rsidR="004F23A3" w:rsidRPr="00C8727F">
        <w:rPr>
          <w:rFonts w:ascii="Times New Roman" w:eastAsia="Times New Roman" w:hAnsi="Times New Roman" w:cs="Times New Roman"/>
          <w:sz w:val="24"/>
          <w:szCs w:val="24"/>
          <w:lang w:val="en-GB"/>
        </w:rPr>
        <w:t>Tas</w:t>
      </w:r>
      <w:proofErr w:type="gramEnd"/>
      <w:r w:rsidR="004F23A3" w:rsidRPr="00C8727F">
        <w:rPr>
          <w:rFonts w:ascii="Times New Roman" w:eastAsia="Times New Roman" w:hAnsi="Times New Roman" w:cs="Times New Roman"/>
          <w:sz w:val="24"/>
          <w:szCs w:val="24"/>
          <w:lang w:val="en-GB"/>
        </w:rPr>
        <w:t>, 2021)</w:t>
      </w:r>
      <w:r w:rsidRPr="00C8727F">
        <w:rPr>
          <w:rFonts w:ascii="Times New Roman" w:eastAsia="Times New Roman" w:hAnsi="Times New Roman" w:cs="Times New Roman"/>
          <w:sz w:val="24"/>
          <w:szCs w:val="24"/>
          <w:lang w:val="en-GB"/>
        </w:rPr>
        <w:t xml:space="preserve">. For example, they cannot sue other citizens, persons, or </w:t>
      </w:r>
      <w:proofErr w:type="gramStart"/>
      <w:r w:rsidRPr="00C8727F">
        <w:rPr>
          <w:rFonts w:ascii="Times New Roman" w:eastAsia="Times New Roman" w:hAnsi="Times New Roman" w:cs="Times New Roman"/>
          <w:sz w:val="24"/>
          <w:szCs w:val="24"/>
          <w:lang w:val="en-GB"/>
        </w:rPr>
        <w:t>businesses</w:t>
      </w:r>
      <w:r w:rsidR="00212A55" w:rsidRPr="00C8727F">
        <w:rPr>
          <w:rFonts w:ascii="Times New Roman" w:eastAsia="Times New Roman" w:hAnsi="Times New Roman" w:cs="Times New Roman"/>
          <w:sz w:val="24"/>
          <w:szCs w:val="24"/>
          <w:lang w:val="en-GB"/>
        </w:rPr>
        <w:t xml:space="preserve"> in a manner known as </w:t>
      </w:r>
      <w:r w:rsidR="005733BB" w:rsidRPr="00C8727F">
        <w:rPr>
          <w:rFonts w:ascii="Times New Roman" w:eastAsia="Times New Roman" w:hAnsi="Times New Roman" w:cs="Times New Roman"/>
          <w:sz w:val="24"/>
          <w:szCs w:val="24"/>
          <w:lang w:val="en-GB"/>
        </w:rPr>
        <w:t>“</w:t>
      </w:r>
      <w:r w:rsidR="00212A55" w:rsidRPr="00C8727F">
        <w:rPr>
          <w:rFonts w:ascii="Times New Roman" w:eastAsia="Times New Roman" w:hAnsi="Times New Roman" w:cs="Times New Roman"/>
          <w:sz w:val="24"/>
          <w:szCs w:val="24"/>
          <w:lang w:val="en-GB"/>
        </w:rPr>
        <w:t>horizontal direct effect,</w:t>
      </w:r>
      <w:r w:rsidR="005733BB" w:rsidRPr="00C8727F">
        <w:rPr>
          <w:rFonts w:ascii="Times New Roman" w:eastAsia="Times New Roman" w:hAnsi="Times New Roman" w:cs="Times New Roman"/>
          <w:sz w:val="24"/>
          <w:szCs w:val="24"/>
          <w:lang w:val="en-GB"/>
        </w:rPr>
        <w:t>”</w:t>
      </w:r>
      <w:r w:rsidR="00212A55" w:rsidRPr="00C8727F">
        <w:rPr>
          <w:rFonts w:ascii="Times New Roman" w:eastAsia="Times New Roman" w:hAnsi="Times New Roman" w:cs="Times New Roman"/>
          <w:sz w:val="24"/>
          <w:szCs w:val="24"/>
          <w:lang w:val="en-GB"/>
        </w:rPr>
        <w:t xml:space="preserve"> as was</w:t>
      </w:r>
      <w:proofErr w:type="gramEnd"/>
      <w:r w:rsidR="00212A55" w:rsidRPr="00C8727F">
        <w:rPr>
          <w:rFonts w:ascii="Times New Roman" w:eastAsia="Times New Roman" w:hAnsi="Times New Roman" w:cs="Times New Roman"/>
          <w:sz w:val="24"/>
          <w:szCs w:val="24"/>
          <w:lang w:val="en-GB"/>
        </w:rPr>
        <w:t xml:space="preserve"> discussed in the case of </w:t>
      </w:r>
      <w:r w:rsidR="005733BB" w:rsidRPr="00C8727F">
        <w:rPr>
          <w:rFonts w:ascii="Times New Roman" w:eastAsia="Times New Roman" w:hAnsi="Times New Roman" w:cs="Times New Roman"/>
          <w:sz w:val="24"/>
          <w:szCs w:val="24"/>
          <w:lang w:val="en-GB"/>
        </w:rPr>
        <w:t>“</w:t>
      </w:r>
      <w:r w:rsidR="00212A55" w:rsidRPr="00C8727F">
        <w:rPr>
          <w:rFonts w:ascii="Times New Roman" w:eastAsia="Times New Roman" w:hAnsi="Times New Roman" w:cs="Times New Roman"/>
          <w:sz w:val="24"/>
          <w:szCs w:val="24"/>
          <w:lang w:val="en-GB"/>
        </w:rPr>
        <w:t>Marshall v Southampton and south-west Hampshire Area Health Authority v ECR 732 (1986)</w:t>
      </w:r>
      <w:r w:rsidR="005733BB" w:rsidRPr="00C8727F">
        <w:rPr>
          <w:rFonts w:ascii="Times New Roman" w:eastAsia="Times New Roman" w:hAnsi="Times New Roman" w:cs="Times New Roman"/>
          <w:sz w:val="24"/>
          <w:szCs w:val="24"/>
          <w:lang w:val="en-GB"/>
        </w:rPr>
        <w:t>”</w:t>
      </w:r>
      <w:r w:rsidR="00212A55" w:rsidRPr="00C8727F">
        <w:rPr>
          <w:rFonts w:ascii="Times New Roman" w:eastAsia="Times New Roman" w:hAnsi="Times New Roman" w:cs="Times New Roman"/>
          <w:sz w:val="24"/>
          <w:szCs w:val="24"/>
          <w:lang w:val="en-GB"/>
        </w:rPr>
        <w:t>, in which the question of whether directives could be applied horizontally was raised.</w:t>
      </w:r>
    </w:p>
    <w:p w:rsidR="00C41627" w:rsidRPr="00C8727F" w:rsidRDefault="000350F9"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 </w:t>
      </w:r>
      <w:r w:rsidR="009C04AA" w:rsidRPr="00C8727F">
        <w:rPr>
          <w:rFonts w:ascii="Times New Roman" w:eastAsia="Times New Roman" w:hAnsi="Times New Roman" w:cs="Times New Roman"/>
          <w:sz w:val="24"/>
          <w:szCs w:val="24"/>
          <w:lang w:val="en-GB"/>
        </w:rPr>
        <w:t xml:space="preserve">The indirect effect of the EU </w:t>
      </w:r>
      <w:r w:rsidR="00212A55" w:rsidRPr="00C8727F">
        <w:rPr>
          <w:rFonts w:ascii="Times New Roman" w:eastAsia="Times New Roman" w:hAnsi="Times New Roman" w:cs="Times New Roman"/>
          <w:sz w:val="24"/>
          <w:szCs w:val="24"/>
          <w:lang w:val="en-GB"/>
        </w:rPr>
        <w:t>Law can be</w:t>
      </w:r>
      <w:r w:rsidR="009C04AA" w:rsidRPr="00C8727F">
        <w:rPr>
          <w:rFonts w:ascii="Times New Roman" w:eastAsia="Times New Roman" w:hAnsi="Times New Roman" w:cs="Times New Roman"/>
          <w:sz w:val="24"/>
          <w:szCs w:val="24"/>
          <w:lang w:val="en-GB"/>
        </w:rPr>
        <w:t xml:space="preserve"> defined where the national courts are required to interpret an unclear EU directive that is hard to implement in the nation. This effect is read with Article 4(3) TEU which dictates that every directive of the EU has to be implemented even if it falls under</w:t>
      </w:r>
      <w:r w:rsidR="00245CB6" w:rsidRPr="00C8727F">
        <w:rPr>
          <w:rFonts w:ascii="Times New Roman" w:eastAsia="Times New Roman" w:hAnsi="Times New Roman" w:cs="Times New Roman"/>
          <w:sz w:val="24"/>
          <w:szCs w:val="24"/>
          <w:lang w:val="en-GB"/>
        </w:rPr>
        <w:t xml:space="preserve"> the indirect effect of the law</w:t>
      </w:r>
      <w:r w:rsidR="009C04AA" w:rsidRPr="00C8727F">
        <w:rPr>
          <w:rFonts w:ascii="Times New Roman" w:eastAsia="Times New Roman" w:hAnsi="Times New Roman" w:cs="Times New Roman"/>
          <w:sz w:val="24"/>
          <w:szCs w:val="24"/>
          <w:lang w:val="en-GB"/>
        </w:rPr>
        <w:t xml:space="preserve"> </w:t>
      </w:r>
      <w:r w:rsidR="00245CB6" w:rsidRPr="00C8727F">
        <w:rPr>
          <w:rFonts w:ascii="Times New Roman" w:eastAsia="Times New Roman" w:hAnsi="Times New Roman" w:cs="Times New Roman"/>
          <w:sz w:val="24"/>
          <w:szCs w:val="24"/>
          <w:lang w:val="en-GB"/>
        </w:rPr>
        <w:t>this</w:t>
      </w:r>
      <w:r w:rsidR="009C04AA" w:rsidRPr="00C8727F">
        <w:rPr>
          <w:rFonts w:ascii="Times New Roman" w:eastAsia="Times New Roman" w:hAnsi="Times New Roman" w:cs="Times New Roman"/>
          <w:sz w:val="24"/>
          <w:szCs w:val="24"/>
          <w:lang w:val="en-GB"/>
        </w:rPr>
        <w:t xml:space="preserve"> effect gives rise to a complex dilemma for the EU member nations as the laws are open to interpretation and unambiguous. As per Muse (2020), this doctrine was created from the decided case law of </w:t>
      </w:r>
      <w:r w:rsidR="005733BB" w:rsidRPr="00C8727F">
        <w:rPr>
          <w:rFonts w:ascii="Times New Roman" w:eastAsia="Times New Roman" w:hAnsi="Times New Roman" w:cs="Times New Roman"/>
          <w:sz w:val="24"/>
          <w:szCs w:val="24"/>
          <w:lang w:val="en-GB"/>
        </w:rPr>
        <w:t>“</w:t>
      </w:r>
      <w:r w:rsidR="009C04AA" w:rsidRPr="00C8727F">
        <w:rPr>
          <w:rFonts w:ascii="Times New Roman" w:eastAsia="Times New Roman" w:hAnsi="Times New Roman" w:cs="Times New Roman"/>
          <w:sz w:val="24"/>
          <w:szCs w:val="24"/>
          <w:lang w:val="en-GB"/>
        </w:rPr>
        <w:t>Von Colson V Land Nordheim-Westfalen 1984</w:t>
      </w:r>
      <w:r w:rsidR="005733BB" w:rsidRPr="00C8727F">
        <w:rPr>
          <w:rFonts w:ascii="Times New Roman" w:eastAsia="Times New Roman" w:hAnsi="Times New Roman" w:cs="Times New Roman"/>
          <w:sz w:val="24"/>
          <w:szCs w:val="24"/>
          <w:lang w:val="en-GB"/>
        </w:rPr>
        <w:t>”</w:t>
      </w:r>
      <w:r w:rsidR="009C04AA" w:rsidRPr="00C8727F">
        <w:rPr>
          <w:rFonts w:ascii="Times New Roman" w:eastAsia="Times New Roman" w:hAnsi="Times New Roman" w:cs="Times New Roman"/>
          <w:sz w:val="24"/>
          <w:szCs w:val="24"/>
          <w:lang w:val="en-GB"/>
        </w:rPr>
        <w:t xml:space="preserve">. This case law highlights the case of a German woman who had been discriminated against for getting a job in prison. In this case, it was observed that EU directives already started norms for job equality. </w:t>
      </w:r>
      <w:r w:rsidR="00E12B31" w:rsidRPr="00C8727F">
        <w:rPr>
          <w:rFonts w:ascii="Times New Roman" w:eastAsia="Times New Roman" w:hAnsi="Times New Roman" w:cs="Times New Roman"/>
          <w:sz w:val="24"/>
          <w:szCs w:val="24"/>
          <w:lang w:val="en-GB"/>
        </w:rPr>
        <w:t>Therefore,</w:t>
      </w:r>
      <w:r w:rsidR="009C04AA" w:rsidRPr="00C8727F">
        <w:rPr>
          <w:rFonts w:ascii="Times New Roman" w:eastAsia="Times New Roman" w:hAnsi="Times New Roman" w:cs="Times New Roman"/>
          <w:sz w:val="24"/>
          <w:szCs w:val="24"/>
          <w:lang w:val="en-GB"/>
        </w:rPr>
        <w:t xml:space="preserve"> it was warned that the indirect effect should not be used to manipulate national laws. </w:t>
      </w:r>
    </w:p>
    <w:p w:rsidR="00BD435C" w:rsidRPr="00C8727F" w:rsidRDefault="00BD435C" w:rsidP="005733BB">
      <w:pPr>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lastRenderedPageBreak/>
        <w:t xml:space="preserve">One of the most useful aspects of the indirect impact concept is that it works horizontally. </w:t>
      </w:r>
      <w:r w:rsidR="001850C6" w:rsidRPr="00C8727F">
        <w:rPr>
          <w:rFonts w:ascii="Times New Roman" w:eastAsia="Times New Roman" w:hAnsi="Times New Roman" w:cs="Times New Roman"/>
          <w:sz w:val="24"/>
          <w:szCs w:val="24"/>
          <w:lang w:val="en-GB"/>
        </w:rPr>
        <w:t xml:space="preserve">While highlighting in paragraph 113 of its judgments in </w:t>
      </w:r>
      <w:r w:rsidR="005733BB" w:rsidRPr="00C8727F">
        <w:rPr>
          <w:rFonts w:ascii="Times New Roman" w:eastAsia="Times New Roman" w:hAnsi="Times New Roman" w:cs="Times New Roman"/>
          <w:sz w:val="24"/>
          <w:szCs w:val="24"/>
          <w:lang w:val="en-GB"/>
        </w:rPr>
        <w:t>“</w:t>
      </w:r>
      <w:proofErr w:type="spellStart"/>
      <w:r w:rsidR="001850C6" w:rsidRPr="00C8727F">
        <w:rPr>
          <w:rFonts w:ascii="Times New Roman" w:eastAsia="Times New Roman" w:hAnsi="Times New Roman" w:cs="Times New Roman"/>
          <w:sz w:val="24"/>
          <w:szCs w:val="24"/>
          <w:lang w:val="en-GB"/>
        </w:rPr>
        <w:t>Konstantinos</w:t>
      </w:r>
      <w:proofErr w:type="spellEnd"/>
      <w:r w:rsidR="001850C6" w:rsidRPr="00C8727F">
        <w:rPr>
          <w:rFonts w:ascii="Times New Roman" w:eastAsia="Times New Roman" w:hAnsi="Times New Roman" w:cs="Times New Roman"/>
          <w:sz w:val="24"/>
          <w:szCs w:val="24"/>
          <w:lang w:val="en-GB"/>
        </w:rPr>
        <w:t xml:space="preserve"> </w:t>
      </w:r>
      <w:proofErr w:type="spellStart"/>
      <w:r w:rsidR="001850C6" w:rsidRPr="00C8727F">
        <w:rPr>
          <w:rFonts w:ascii="Times New Roman" w:eastAsia="Times New Roman" w:hAnsi="Times New Roman" w:cs="Times New Roman"/>
          <w:sz w:val="24"/>
          <w:szCs w:val="24"/>
          <w:lang w:val="en-GB"/>
        </w:rPr>
        <w:t>Adeneler</w:t>
      </w:r>
      <w:proofErr w:type="spellEnd"/>
      <w:r w:rsidR="001850C6" w:rsidRPr="00C8727F">
        <w:rPr>
          <w:rFonts w:ascii="Times New Roman" w:eastAsia="Times New Roman" w:hAnsi="Times New Roman" w:cs="Times New Roman"/>
          <w:sz w:val="24"/>
          <w:szCs w:val="24"/>
          <w:lang w:val="en-GB"/>
        </w:rPr>
        <w:t xml:space="preserve"> and Others v </w:t>
      </w:r>
      <w:proofErr w:type="spellStart"/>
      <w:r w:rsidR="001850C6" w:rsidRPr="00C8727F">
        <w:rPr>
          <w:rFonts w:ascii="Times New Roman" w:eastAsia="Times New Roman" w:hAnsi="Times New Roman" w:cs="Times New Roman"/>
          <w:sz w:val="24"/>
          <w:szCs w:val="24"/>
          <w:lang w:val="en-GB"/>
        </w:rPr>
        <w:t>Ellinikos</w:t>
      </w:r>
      <w:proofErr w:type="spellEnd"/>
      <w:r w:rsidR="001850C6" w:rsidRPr="00C8727F">
        <w:rPr>
          <w:rFonts w:ascii="Times New Roman" w:eastAsia="Times New Roman" w:hAnsi="Times New Roman" w:cs="Times New Roman"/>
          <w:sz w:val="24"/>
          <w:szCs w:val="24"/>
          <w:lang w:val="en-GB"/>
        </w:rPr>
        <w:t xml:space="preserve"> </w:t>
      </w:r>
      <w:proofErr w:type="spellStart"/>
      <w:r w:rsidR="001850C6" w:rsidRPr="00C8727F">
        <w:rPr>
          <w:rFonts w:ascii="Times New Roman" w:eastAsia="Times New Roman" w:hAnsi="Times New Roman" w:cs="Times New Roman"/>
          <w:sz w:val="24"/>
          <w:szCs w:val="24"/>
          <w:lang w:val="en-GB"/>
        </w:rPr>
        <w:t>Organismos</w:t>
      </w:r>
      <w:proofErr w:type="spellEnd"/>
      <w:r w:rsidR="001850C6" w:rsidRPr="00C8727F">
        <w:rPr>
          <w:rFonts w:ascii="Times New Roman" w:eastAsia="Times New Roman" w:hAnsi="Times New Roman" w:cs="Times New Roman"/>
          <w:sz w:val="24"/>
          <w:szCs w:val="24"/>
          <w:lang w:val="en-GB"/>
        </w:rPr>
        <w:t xml:space="preserve"> </w:t>
      </w:r>
      <w:proofErr w:type="spellStart"/>
      <w:r w:rsidR="001850C6" w:rsidRPr="00C8727F">
        <w:rPr>
          <w:rFonts w:ascii="Times New Roman" w:eastAsia="Times New Roman" w:hAnsi="Times New Roman" w:cs="Times New Roman"/>
          <w:sz w:val="24"/>
          <w:szCs w:val="24"/>
          <w:lang w:val="en-GB"/>
        </w:rPr>
        <w:t>Galaktos</w:t>
      </w:r>
      <w:proofErr w:type="spellEnd"/>
      <w:r w:rsidR="001850C6" w:rsidRPr="00C8727F">
        <w:rPr>
          <w:rFonts w:ascii="Times New Roman" w:eastAsia="Times New Roman" w:hAnsi="Times New Roman" w:cs="Times New Roman"/>
          <w:sz w:val="24"/>
          <w:szCs w:val="24"/>
          <w:lang w:val="en-GB"/>
        </w:rPr>
        <w:t xml:space="preserve"> (ELOG) (2006),</w:t>
      </w:r>
      <w:r w:rsidR="005733BB" w:rsidRPr="00C8727F">
        <w:rPr>
          <w:rFonts w:ascii="Times New Roman" w:eastAsia="Times New Roman" w:hAnsi="Times New Roman" w:cs="Times New Roman"/>
          <w:sz w:val="24"/>
          <w:szCs w:val="24"/>
          <w:lang w:val="en-GB"/>
        </w:rPr>
        <w:t>”</w:t>
      </w:r>
      <w:r w:rsidR="001850C6" w:rsidRPr="00C8727F">
        <w:rPr>
          <w:rFonts w:ascii="Times New Roman" w:eastAsia="Times New Roman" w:hAnsi="Times New Roman" w:cs="Times New Roman"/>
          <w:sz w:val="24"/>
          <w:szCs w:val="24"/>
          <w:lang w:val="en-GB"/>
        </w:rPr>
        <w:t xml:space="preserve"> the CJEU. </w:t>
      </w:r>
      <w:r w:rsidRPr="00C8727F">
        <w:rPr>
          <w:rFonts w:ascii="Times New Roman" w:eastAsia="Times New Roman" w:hAnsi="Times New Roman" w:cs="Times New Roman"/>
          <w:sz w:val="24"/>
          <w:szCs w:val="24"/>
          <w:lang w:val="en-GB"/>
        </w:rPr>
        <w:t xml:space="preserve">For example, where a directive has no direct impact because it involves a horizontal conflict, the lack of direct effect suggests that Member States are bound to interpret national law in line with EU law,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which is per definition indirect effect.</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In </w:t>
      </w:r>
      <w:r w:rsidR="005733BB" w:rsidRPr="00C8727F">
        <w:rPr>
          <w:rFonts w:ascii="Times New Roman" w:eastAsia="Times New Roman" w:hAnsi="Times New Roman" w:cs="Times New Roman"/>
          <w:sz w:val="24"/>
          <w:szCs w:val="24"/>
          <w:lang w:val="en-GB"/>
        </w:rPr>
        <w:t>“</w:t>
      </w:r>
      <w:proofErr w:type="spellStart"/>
      <w:r w:rsidRPr="00C8727F">
        <w:rPr>
          <w:rFonts w:ascii="Times New Roman" w:eastAsia="Times New Roman" w:hAnsi="Times New Roman" w:cs="Times New Roman"/>
          <w:sz w:val="24"/>
          <w:szCs w:val="24"/>
          <w:lang w:val="en-GB"/>
        </w:rPr>
        <w:t>Marleasing</w:t>
      </w:r>
      <w:proofErr w:type="spellEnd"/>
      <w:r w:rsidRPr="00C8727F">
        <w:rPr>
          <w:rFonts w:ascii="Times New Roman" w:eastAsia="Times New Roman" w:hAnsi="Times New Roman" w:cs="Times New Roman"/>
          <w:sz w:val="24"/>
          <w:szCs w:val="24"/>
          <w:lang w:val="en-GB"/>
        </w:rPr>
        <w:t xml:space="preserve"> SA v La </w:t>
      </w:r>
      <w:proofErr w:type="spellStart"/>
      <w:r w:rsidRPr="00C8727F">
        <w:rPr>
          <w:rFonts w:ascii="Times New Roman" w:eastAsia="Times New Roman" w:hAnsi="Times New Roman" w:cs="Times New Roman"/>
          <w:sz w:val="24"/>
          <w:szCs w:val="24"/>
          <w:lang w:val="en-GB"/>
        </w:rPr>
        <w:t>Comercial</w:t>
      </w:r>
      <w:proofErr w:type="spellEnd"/>
      <w:r w:rsidRPr="00C8727F">
        <w:rPr>
          <w:rFonts w:ascii="Times New Roman" w:eastAsia="Times New Roman" w:hAnsi="Times New Roman" w:cs="Times New Roman"/>
          <w:sz w:val="24"/>
          <w:szCs w:val="24"/>
          <w:lang w:val="en-GB"/>
        </w:rPr>
        <w:t xml:space="preserve"> </w:t>
      </w:r>
      <w:proofErr w:type="spellStart"/>
      <w:r w:rsidRPr="00C8727F">
        <w:rPr>
          <w:rFonts w:ascii="Times New Roman" w:eastAsia="Times New Roman" w:hAnsi="Times New Roman" w:cs="Times New Roman"/>
          <w:sz w:val="24"/>
          <w:szCs w:val="24"/>
          <w:lang w:val="en-GB"/>
        </w:rPr>
        <w:t>Internationale</w:t>
      </w:r>
      <w:proofErr w:type="spellEnd"/>
      <w:r w:rsidRPr="00C8727F">
        <w:rPr>
          <w:rFonts w:ascii="Times New Roman" w:eastAsia="Times New Roman" w:hAnsi="Times New Roman" w:cs="Times New Roman"/>
          <w:sz w:val="24"/>
          <w:szCs w:val="24"/>
          <w:lang w:val="en-GB"/>
        </w:rPr>
        <w:t xml:space="preserve"> de </w:t>
      </w:r>
      <w:proofErr w:type="spellStart"/>
      <w:r w:rsidRPr="00C8727F">
        <w:rPr>
          <w:rFonts w:ascii="Times New Roman" w:eastAsia="Times New Roman" w:hAnsi="Times New Roman" w:cs="Times New Roman"/>
          <w:sz w:val="24"/>
          <w:szCs w:val="24"/>
          <w:lang w:val="en-GB"/>
        </w:rPr>
        <w:t>Alimentacion</w:t>
      </w:r>
      <w:proofErr w:type="spellEnd"/>
      <w:r w:rsidRPr="00C8727F">
        <w:rPr>
          <w:rFonts w:ascii="Times New Roman" w:eastAsia="Times New Roman" w:hAnsi="Times New Roman" w:cs="Times New Roman"/>
          <w:sz w:val="24"/>
          <w:szCs w:val="24"/>
          <w:lang w:val="en-GB"/>
        </w:rPr>
        <w:t xml:space="preserve"> SA (1990),</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the CJEU confirmed that an unimplemented regulation could alter the interpretation of national law in a personal matter.</w:t>
      </w:r>
    </w:p>
    <w:p w:rsidR="00B21507" w:rsidRPr="00C8727F" w:rsidRDefault="000350F9" w:rsidP="005733BB">
      <w:pPr>
        <w:spacing w:after="0" w:line="360" w:lineRule="auto"/>
        <w:contextualSpacing/>
        <w:mirrorIndents/>
        <w:jc w:val="both"/>
        <w:rPr>
          <w:rFonts w:ascii="Times New Roman" w:eastAsia="Times New Roman" w:hAnsi="Times New Roman" w:cs="Times New Roman"/>
          <w:color w:val="222222"/>
          <w:sz w:val="24"/>
          <w:szCs w:val="24"/>
          <w:lang w:val="en-GB"/>
        </w:rPr>
      </w:pPr>
      <w:r w:rsidRPr="00C8727F">
        <w:rPr>
          <w:rFonts w:ascii="Times New Roman" w:eastAsia="Times New Roman" w:hAnsi="Times New Roman" w:cs="Times New Roman"/>
          <w:sz w:val="24"/>
          <w:szCs w:val="24"/>
          <w:lang w:val="en-GB"/>
        </w:rPr>
        <w:t xml:space="preserve"> </w:t>
      </w:r>
      <w:r w:rsidR="009C04AA" w:rsidRPr="00C8727F">
        <w:rPr>
          <w:rFonts w:ascii="Times New Roman" w:eastAsia="Times New Roman" w:hAnsi="Times New Roman" w:cs="Times New Roman"/>
          <w:sz w:val="24"/>
          <w:szCs w:val="24"/>
          <w:lang w:val="en-GB"/>
        </w:rPr>
        <w:t xml:space="preserve">An indirect effect is not clear as per the views as it creates confusion in many cases. On the other hand, the </w:t>
      </w:r>
      <w:proofErr w:type="gramStart"/>
      <w:r w:rsidR="009C04AA" w:rsidRPr="00C8727F">
        <w:rPr>
          <w:rFonts w:ascii="Times New Roman" w:eastAsia="Times New Roman" w:hAnsi="Times New Roman" w:cs="Times New Roman"/>
          <w:sz w:val="24"/>
          <w:szCs w:val="24"/>
          <w:lang w:val="en-GB"/>
        </w:rPr>
        <w:t>Indirect</w:t>
      </w:r>
      <w:proofErr w:type="gramEnd"/>
      <w:r w:rsidR="009C04AA" w:rsidRPr="00C8727F">
        <w:rPr>
          <w:rFonts w:ascii="Times New Roman" w:eastAsia="Times New Roman" w:hAnsi="Times New Roman" w:cs="Times New Roman"/>
          <w:sz w:val="24"/>
          <w:szCs w:val="24"/>
          <w:lang w:val="en-GB"/>
        </w:rPr>
        <w:t xml:space="preserve"> effect only being used in the time of direct law </w:t>
      </w:r>
      <w:r w:rsidR="00E12B31" w:rsidRPr="00C8727F">
        <w:rPr>
          <w:rFonts w:ascii="Times New Roman" w:eastAsia="Times New Roman" w:hAnsi="Times New Roman" w:cs="Times New Roman"/>
          <w:sz w:val="24"/>
          <w:szCs w:val="24"/>
          <w:lang w:val="en-GB"/>
        </w:rPr>
        <w:t>cannot</w:t>
      </w:r>
      <w:r w:rsidR="009C04AA" w:rsidRPr="00C8727F">
        <w:rPr>
          <w:rFonts w:ascii="Times New Roman" w:eastAsia="Times New Roman" w:hAnsi="Times New Roman" w:cs="Times New Roman"/>
          <w:sz w:val="24"/>
          <w:szCs w:val="24"/>
          <w:lang w:val="en-GB"/>
        </w:rPr>
        <w:t xml:space="preserve"> provide a clear justification of the case or the direct effect is not implemented. It can be stated that indirect effect is quite dependent on the direct law, as at the time if the direct effect or national law has a clear vision that it can</w:t>
      </w:r>
      <w:r w:rsidR="005733BB" w:rsidRPr="00C8727F">
        <w:rPr>
          <w:rFonts w:ascii="Times New Roman" w:eastAsia="Times New Roman" w:hAnsi="Times New Roman" w:cs="Times New Roman"/>
          <w:sz w:val="24"/>
          <w:szCs w:val="24"/>
          <w:lang w:val="en-GB"/>
        </w:rPr>
        <w:t>’</w:t>
      </w:r>
      <w:r w:rsidR="009C04AA" w:rsidRPr="00C8727F">
        <w:rPr>
          <w:rFonts w:ascii="Times New Roman" w:eastAsia="Times New Roman" w:hAnsi="Times New Roman" w:cs="Times New Roman"/>
          <w:sz w:val="24"/>
          <w:szCs w:val="24"/>
          <w:lang w:val="en-GB"/>
        </w:rPr>
        <w:t xml:space="preserve">t be interpreted in the way a case needs it then indirect effects will be implemented or interpret the case otherwise not. In the presence of a Direct effect there, the indirect effect has never been in action that is the limitation, there many cases that can be taken for example such as the case of </w:t>
      </w:r>
      <w:r w:rsidR="005733BB" w:rsidRPr="00C8727F">
        <w:rPr>
          <w:rFonts w:ascii="Times New Roman" w:eastAsia="Times New Roman" w:hAnsi="Times New Roman" w:cs="Times New Roman"/>
          <w:sz w:val="24"/>
          <w:szCs w:val="24"/>
          <w:lang w:val="en-GB"/>
        </w:rPr>
        <w:t>“</w:t>
      </w:r>
      <w:proofErr w:type="spellStart"/>
      <w:r w:rsidR="009C04AA" w:rsidRPr="00C8727F">
        <w:rPr>
          <w:rFonts w:ascii="Times New Roman" w:eastAsia="Times New Roman" w:hAnsi="Times New Roman" w:cs="Times New Roman"/>
          <w:sz w:val="24"/>
          <w:szCs w:val="24"/>
          <w:lang w:val="en-GB"/>
        </w:rPr>
        <w:t>Centrosteel</w:t>
      </w:r>
      <w:proofErr w:type="spellEnd"/>
      <w:r w:rsidR="009C04AA" w:rsidRPr="00C8727F">
        <w:rPr>
          <w:rFonts w:ascii="Times New Roman" w:eastAsia="Times New Roman" w:hAnsi="Times New Roman" w:cs="Times New Roman"/>
          <w:sz w:val="24"/>
          <w:szCs w:val="24"/>
          <w:lang w:val="en-GB"/>
        </w:rPr>
        <w:t xml:space="preserve"> SRL Vs </w:t>
      </w:r>
      <w:proofErr w:type="spellStart"/>
      <w:r w:rsidR="009C04AA" w:rsidRPr="00C8727F">
        <w:rPr>
          <w:rFonts w:ascii="Times New Roman" w:eastAsia="Times New Roman" w:hAnsi="Times New Roman" w:cs="Times New Roman"/>
          <w:sz w:val="24"/>
          <w:szCs w:val="24"/>
          <w:lang w:val="en-GB"/>
        </w:rPr>
        <w:t>Adipol</w:t>
      </w:r>
      <w:proofErr w:type="spellEnd"/>
      <w:r w:rsidR="009C04AA" w:rsidRPr="00C8727F">
        <w:rPr>
          <w:rFonts w:ascii="Times New Roman" w:eastAsia="Times New Roman" w:hAnsi="Times New Roman" w:cs="Times New Roman"/>
          <w:sz w:val="24"/>
          <w:szCs w:val="24"/>
          <w:lang w:val="en-GB"/>
        </w:rPr>
        <w:t xml:space="preserve"> GMBH 2000</w:t>
      </w:r>
      <w:r w:rsidR="005733BB" w:rsidRPr="00C8727F">
        <w:rPr>
          <w:rFonts w:ascii="Times New Roman" w:eastAsia="Times New Roman" w:hAnsi="Times New Roman" w:cs="Times New Roman"/>
          <w:sz w:val="24"/>
          <w:szCs w:val="24"/>
          <w:lang w:val="en-GB"/>
        </w:rPr>
        <w:t>”</w:t>
      </w:r>
      <w:r w:rsidR="009C04AA" w:rsidRPr="00C8727F">
        <w:rPr>
          <w:rFonts w:ascii="Times New Roman" w:eastAsia="Times New Roman" w:hAnsi="Times New Roman" w:cs="Times New Roman"/>
          <w:sz w:val="24"/>
          <w:szCs w:val="24"/>
          <w:lang w:val="en-GB"/>
        </w:rPr>
        <w:t xml:space="preserve">, faced obligation under the law of nation means under Direct effect, the obligation also applies to proceeding between the individuals at that case the Indirect Law has been taking place of the Direct Law. An interpretive obligation is another Limitation of the Indirect effect (Acas.org.uk 2022). </w:t>
      </w:r>
    </w:p>
    <w:p w:rsidR="001850C6" w:rsidRPr="00C8727F" w:rsidRDefault="00BD435C" w:rsidP="005733BB">
      <w:pPr>
        <w:pStyle w:val="Normal1"/>
        <w:spacing w:after="0" w:line="360" w:lineRule="auto"/>
        <w:contextualSpacing/>
        <w:mirrorIndents/>
        <w:jc w:val="both"/>
        <w:rPr>
          <w:rFonts w:ascii="Times New Roman" w:eastAsia="Times New Roman" w:hAnsi="Times New Roman" w:cs="Times New Roman"/>
          <w:color w:val="222222"/>
          <w:sz w:val="24"/>
          <w:szCs w:val="24"/>
          <w:lang w:val="en-GB"/>
        </w:rPr>
      </w:pPr>
      <w:r w:rsidRPr="00C8727F">
        <w:rPr>
          <w:rFonts w:ascii="Times New Roman" w:eastAsia="Times New Roman" w:hAnsi="Times New Roman" w:cs="Times New Roman"/>
          <w:color w:val="222222"/>
          <w:sz w:val="24"/>
          <w:szCs w:val="24"/>
          <w:lang w:val="en-GB"/>
        </w:rPr>
        <w:t>The CJEU applied the principle of indirect effect requires national legislation to be read in line with directives, to address the horizontal direct impact dispute</w:t>
      </w:r>
      <w:r w:rsidR="004F23A3" w:rsidRPr="00C8727F">
        <w:rPr>
          <w:rFonts w:ascii="Times New Roman" w:eastAsia="Times New Roman" w:hAnsi="Times New Roman" w:cs="Times New Roman"/>
          <w:color w:val="222222"/>
          <w:sz w:val="24"/>
          <w:szCs w:val="24"/>
          <w:lang w:val="en-GB"/>
        </w:rPr>
        <w:t xml:space="preserve"> </w:t>
      </w:r>
      <w:r w:rsidR="004F23A3" w:rsidRPr="00C8727F">
        <w:rPr>
          <w:rFonts w:ascii="Times New Roman" w:eastAsia="Times New Roman" w:hAnsi="Times New Roman" w:cs="Times New Roman"/>
          <w:sz w:val="24"/>
          <w:szCs w:val="24"/>
          <w:lang w:val="en-GB"/>
        </w:rPr>
        <w:t>(Muse, 2020)</w:t>
      </w:r>
      <w:r w:rsidRPr="00C8727F">
        <w:rPr>
          <w:rFonts w:ascii="Times New Roman" w:eastAsia="Times New Roman" w:hAnsi="Times New Roman" w:cs="Times New Roman"/>
          <w:color w:val="222222"/>
          <w:sz w:val="24"/>
          <w:szCs w:val="24"/>
          <w:lang w:val="en-GB"/>
        </w:rPr>
        <w:t xml:space="preserve">. </w:t>
      </w:r>
      <w:r w:rsidR="001850C6" w:rsidRPr="00C8727F">
        <w:rPr>
          <w:rFonts w:ascii="Times New Roman" w:eastAsia="Times New Roman" w:hAnsi="Times New Roman" w:cs="Times New Roman"/>
          <w:color w:val="222222"/>
          <w:sz w:val="24"/>
          <w:szCs w:val="24"/>
          <w:lang w:val="en-GB"/>
        </w:rPr>
        <w:t xml:space="preserve">When faced with the challenge of </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how to ensure that the plaintiffs</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 xml:space="preserve"> obtained the maximum benefit of their fundamental right to equal protection quite apart from the absence of direct impact of the relevant directive provisions, the CJEU developed this concept as a remedy. </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European Union nations</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 xml:space="preserve"> were obligated to establish a legal remedy to implement the concept of equal treatment in accordance with the </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Equal Treatment Directive</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 xml:space="preserve"> based on the </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Von Colson</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 xml:space="preserve"> case law. It</w:t>
      </w:r>
      <w:r w:rsidR="005733BB" w:rsidRPr="00C8727F">
        <w:rPr>
          <w:rFonts w:ascii="Times New Roman" w:eastAsia="Times New Roman" w:hAnsi="Times New Roman" w:cs="Times New Roman"/>
          <w:color w:val="222222"/>
          <w:sz w:val="24"/>
          <w:szCs w:val="24"/>
          <w:lang w:val="en-GB"/>
        </w:rPr>
        <w:t>’</w:t>
      </w:r>
      <w:r w:rsidR="001850C6" w:rsidRPr="00C8727F">
        <w:rPr>
          <w:rFonts w:ascii="Times New Roman" w:eastAsia="Times New Roman" w:hAnsi="Times New Roman" w:cs="Times New Roman"/>
          <w:color w:val="222222"/>
          <w:sz w:val="24"/>
          <w:szCs w:val="24"/>
          <w:lang w:val="en-GB"/>
        </w:rPr>
        <w:t>s crucial to understand the concept of indirect effect in this way</w:t>
      </w:r>
      <w:r w:rsidR="004F23A3" w:rsidRPr="00C8727F">
        <w:rPr>
          <w:rFonts w:ascii="Times New Roman" w:eastAsia="Times New Roman" w:hAnsi="Times New Roman" w:cs="Times New Roman"/>
          <w:color w:val="222222"/>
          <w:sz w:val="24"/>
          <w:szCs w:val="24"/>
          <w:lang w:val="en-GB"/>
        </w:rPr>
        <w:t xml:space="preserve"> </w:t>
      </w:r>
      <w:r w:rsidR="004F23A3" w:rsidRPr="00C8727F">
        <w:rPr>
          <w:rFonts w:ascii="Times New Roman" w:eastAsia="Times New Roman" w:hAnsi="Times New Roman" w:cs="Times New Roman"/>
          <w:sz w:val="24"/>
          <w:szCs w:val="24"/>
          <w:lang w:val="en-GB"/>
        </w:rPr>
        <w:t>(</w:t>
      </w:r>
      <w:proofErr w:type="spellStart"/>
      <w:r w:rsidR="004F23A3" w:rsidRPr="00C8727F">
        <w:rPr>
          <w:rFonts w:ascii="Times New Roman" w:eastAsia="Times New Roman" w:hAnsi="Times New Roman" w:cs="Times New Roman"/>
          <w:sz w:val="24"/>
          <w:szCs w:val="24"/>
          <w:lang w:val="en-GB"/>
        </w:rPr>
        <w:t>Zaccaroni</w:t>
      </w:r>
      <w:proofErr w:type="spellEnd"/>
      <w:r w:rsidR="004F23A3" w:rsidRPr="00C8727F">
        <w:rPr>
          <w:rFonts w:ascii="Times New Roman" w:eastAsia="Times New Roman" w:hAnsi="Times New Roman" w:cs="Times New Roman"/>
          <w:sz w:val="24"/>
          <w:szCs w:val="24"/>
          <w:lang w:val="en-GB"/>
        </w:rPr>
        <w:t>, 2018)</w:t>
      </w:r>
      <w:r w:rsidR="001850C6" w:rsidRPr="00C8727F">
        <w:rPr>
          <w:rFonts w:ascii="Times New Roman" w:eastAsia="Times New Roman" w:hAnsi="Times New Roman" w:cs="Times New Roman"/>
          <w:color w:val="222222"/>
          <w:sz w:val="24"/>
          <w:szCs w:val="24"/>
          <w:lang w:val="en-GB"/>
        </w:rPr>
        <w:t>. This mandates that EU member states interpret their own national legislation in accordance with EU regulations.</w:t>
      </w:r>
    </w:p>
    <w:p w:rsidR="00F62840" w:rsidRPr="00C8727F" w:rsidRDefault="009C04AA"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The Liability Principle of the EU members states that the liability was always articulated by the National Court in the terms that it is one of the </w:t>
      </w:r>
      <w:r w:rsidR="00E12B31" w:rsidRPr="00C8727F">
        <w:rPr>
          <w:rFonts w:ascii="Times New Roman" w:eastAsia="Times New Roman" w:hAnsi="Times New Roman" w:cs="Times New Roman"/>
          <w:sz w:val="24"/>
          <w:szCs w:val="24"/>
          <w:lang w:val="en-GB"/>
        </w:rPr>
        <w:t>principles</w:t>
      </w:r>
      <w:r w:rsidRPr="00C8727F">
        <w:rPr>
          <w:rFonts w:ascii="Times New Roman" w:eastAsia="Times New Roman" w:hAnsi="Times New Roman" w:cs="Times New Roman"/>
          <w:sz w:val="24"/>
          <w:szCs w:val="24"/>
          <w:lang w:val="en-GB"/>
        </w:rPr>
        <w:t xml:space="preserve"> of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Community law</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that the members of the states are obliged with paying compensation for harming other individuals for breaching </w:t>
      </w:r>
      <w:r w:rsidR="005733BB" w:rsidRPr="00C8727F">
        <w:rPr>
          <w:rFonts w:ascii="Times New Roman" w:eastAsia="Times New Roman" w:hAnsi="Times New Roman" w:cs="Times New Roman"/>
          <w:sz w:val="24"/>
          <w:szCs w:val="24"/>
          <w:lang w:val="en-GB"/>
        </w:rPr>
        <w:lastRenderedPageBreak/>
        <w:t>“</w:t>
      </w:r>
      <w:r w:rsidRPr="00C8727F">
        <w:rPr>
          <w:rFonts w:ascii="Times New Roman" w:eastAsia="Times New Roman" w:hAnsi="Times New Roman" w:cs="Times New Roman"/>
          <w:sz w:val="24"/>
          <w:szCs w:val="24"/>
          <w:lang w:val="en-GB"/>
        </w:rPr>
        <w:t>Community Law</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for that they can be found responsible. According to </w:t>
      </w:r>
      <w:r w:rsidRPr="00C8727F">
        <w:rPr>
          <w:rFonts w:ascii="Times New Roman" w:eastAsia="Times New Roman" w:hAnsi="Times New Roman" w:cs="Times New Roman"/>
          <w:color w:val="222222"/>
          <w:sz w:val="24"/>
          <w:szCs w:val="24"/>
          <w:lang w:val="en-GB"/>
        </w:rPr>
        <w:t>Palmirani et al.</w:t>
      </w:r>
      <w:r w:rsidR="00E12B31" w:rsidRPr="00C8727F">
        <w:rPr>
          <w:rFonts w:ascii="Times New Roman" w:eastAsia="Times New Roman" w:hAnsi="Times New Roman" w:cs="Times New Roman"/>
          <w:color w:val="222222"/>
          <w:sz w:val="24"/>
          <w:szCs w:val="24"/>
          <w:lang w:val="en-GB"/>
        </w:rPr>
        <w:t xml:space="preserve"> </w:t>
      </w:r>
      <w:r w:rsidRPr="00C8727F">
        <w:rPr>
          <w:rFonts w:ascii="Times New Roman" w:eastAsia="Times New Roman" w:hAnsi="Times New Roman" w:cs="Times New Roman"/>
          <w:color w:val="222222"/>
          <w:sz w:val="24"/>
          <w:szCs w:val="24"/>
          <w:lang w:val="en-GB"/>
        </w:rPr>
        <w:t>(2018)</w:t>
      </w:r>
      <w:r w:rsidRPr="00C8727F">
        <w:rPr>
          <w:rFonts w:ascii="Times New Roman" w:eastAsia="Times New Roman" w:hAnsi="Times New Roman" w:cs="Times New Roman"/>
          <w:sz w:val="24"/>
          <w:szCs w:val="24"/>
          <w:lang w:val="en-GB"/>
        </w:rPr>
        <w:t xml:space="preserve">, one of the primary principles for governing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EU Law</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is the basic principle of the rules of Law. According to it, if the State does any damages to any individual or citizen of that country it is obliged to compensate due to unlawful acts. </w:t>
      </w:r>
    </w:p>
    <w:p w:rsidR="00BD435C" w:rsidRPr="00C8727F" w:rsidRDefault="009C04AA"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As stated by </w:t>
      </w:r>
      <w:r w:rsidRPr="00C8727F">
        <w:rPr>
          <w:rFonts w:ascii="Times New Roman" w:eastAsia="Times New Roman" w:hAnsi="Times New Roman" w:cs="Times New Roman"/>
          <w:color w:val="222222"/>
          <w:sz w:val="24"/>
          <w:szCs w:val="24"/>
          <w:lang w:val="en-GB"/>
        </w:rPr>
        <w:t>Cui (2019)</w:t>
      </w:r>
      <w:r w:rsidR="00F62840" w:rsidRPr="00C8727F">
        <w:rPr>
          <w:rFonts w:ascii="Times New Roman" w:eastAsia="Times New Roman" w:hAnsi="Times New Roman" w:cs="Times New Roman"/>
          <w:sz w:val="24"/>
          <w:szCs w:val="24"/>
          <w:lang w:val="en-GB"/>
        </w:rPr>
        <w:t xml:space="preserve">, each year EU through Commission initiates infringement procedures against Member States for non-transposition or delayed implementation of Directives. There is a serious problem with EU Directives not being implemented. Member States are instructed by the EU via a Directive (parent legislation) as to what provisions must be incorporated (transposed) into their own laws, as well as when they must be implemented. The </w:t>
      </w:r>
      <w:r w:rsidR="005733BB" w:rsidRPr="00C8727F">
        <w:rPr>
          <w:rFonts w:ascii="Times New Roman" w:eastAsia="Times New Roman" w:hAnsi="Times New Roman" w:cs="Times New Roman"/>
          <w:sz w:val="24"/>
          <w:szCs w:val="24"/>
          <w:lang w:val="en-GB"/>
        </w:rPr>
        <w:t>“</w:t>
      </w:r>
      <w:r w:rsidR="00F62840" w:rsidRPr="00C8727F">
        <w:rPr>
          <w:rFonts w:ascii="Times New Roman" w:eastAsia="Times New Roman" w:hAnsi="Times New Roman" w:cs="Times New Roman"/>
          <w:sz w:val="24"/>
          <w:szCs w:val="24"/>
          <w:lang w:val="en-GB"/>
        </w:rPr>
        <w:t>Court of Justice</w:t>
      </w:r>
      <w:r w:rsidR="005733BB" w:rsidRPr="00C8727F">
        <w:rPr>
          <w:rFonts w:ascii="Times New Roman" w:eastAsia="Times New Roman" w:hAnsi="Times New Roman" w:cs="Times New Roman"/>
          <w:sz w:val="24"/>
          <w:szCs w:val="24"/>
          <w:lang w:val="en-GB"/>
        </w:rPr>
        <w:t>”</w:t>
      </w:r>
      <w:r w:rsidR="00F62840" w:rsidRPr="00C8727F">
        <w:rPr>
          <w:rFonts w:ascii="Times New Roman" w:eastAsia="Times New Roman" w:hAnsi="Times New Roman" w:cs="Times New Roman"/>
          <w:sz w:val="24"/>
          <w:szCs w:val="24"/>
          <w:lang w:val="en-GB"/>
        </w:rPr>
        <w:t xml:space="preserve"> has stated that it does not intend to disclose any information, after a request for access to Commission documents, relevant to the examination of a Member State</w:t>
      </w:r>
      <w:r w:rsidR="005733BB" w:rsidRPr="00C8727F">
        <w:rPr>
          <w:rFonts w:ascii="Times New Roman" w:eastAsia="Times New Roman" w:hAnsi="Times New Roman" w:cs="Times New Roman"/>
          <w:sz w:val="24"/>
          <w:szCs w:val="24"/>
          <w:lang w:val="en-GB"/>
        </w:rPr>
        <w:t>’</w:t>
      </w:r>
      <w:r w:rsidR="00F62840" w:rsidRPr="00C8727F">
        <w:rPr>
          <w:rFonts w:ascii="Times New Roman" w:eastAsia="Times New Roman" w:hAnsi="Times New Roman" w:cs="Times New Roman"/>
          <w:sz w:val="24"/>
          <w:szCs w:val="24"/>
          <w:lang w:val="en-GB"/>
        </w:rPr>
        <w:t>s suspected infringement of EU law.  </w:t>
      </w:r>
      <w:r w:rsidR="00BD435C" w:rsidRPr="00C8727F">
        <w:rPr>
          <w:rFonts w:ascii="Times New Roman" w:eastAsia="Times New Roman" w:hAnsi="Times New Roman" w:cs="Times New Roman"/>
          <w:sz w:val="24"/>
          <w:szCs w:val="24"/>
          <w:lang w:val="en-GB"/>
        </w:rPr>
        <w:t xml:space="preserve">Since effective enforcement by the Commission and the Court of Justice is not guaranteed. Since Articles 258-260 TFEU focus on Member State compliance rather than individual rights. To enable access to non-implemented </w:t>
      </w:r>
      <w:r w:rsidR="005733BB" w:rsidRPr="00C8727F">
        <w:rPr>
          <w:rFonts w:ascii="Times New Roman" w:eastAsia="Times New Roman" w:hAnsi="Times New Roman" w:cs="Times New Roman"/>
          <w:sz w:val="24"/>
          <w:szCs w:val="24"/>
          <w:lang w:val="en-GB"/>
        </w:rPr>
        <w:t>“</w:t>
      </w:r>
      <w:r w:rsidR="00BD435C" w:rsidRPr="00C8727F">
        <w:rPr>
          <w:rFonts w:ascii="Times New Roman" w:eastAsia="Times New Roman" w:hAnsi="Times New Roman" w:cs="Times New Roman"/>
          <w:sz w:val="24"/>
          <w:szCs w:val="24"/>
          <w:lang w:val="en-GB"/>
        </w:rPr>
        <w:t>EU laws</w:t>
      </w:r>
      <w:r w:rsidR="005733BB" w:rsidRPr="00C8727F">
        <w:rPr>
          <w:rFonts w:ascii="Times New Roman" w:eastAsia="Times New Roman" w:hAnsi="Times New Roman" w:cs="Times New Roman"/>
          <w:sz w:val="24"/>
          <w:szCs w:val="24"/>
          <w:lang w:val="en-GB"/>
        </w:rPr>
        <w:t>”</w:t>
      </w:r>
      <w:r w:rsidR="00BD435C" w:rsidRPr="00C8727F">
        <w:rPr>
          <w:rFonts w:ascii="Times New Roman" w:eastAsia="Times New Roman" w:hAnsi="Times New Roman" w:cs="Times New Roman"/>
          <w:sz w:val="24"/>
          <w:szCs w:val="24"/>
          <w:lang w:val="en-GB"/>
        </w:rPr>
        <w:t xml:space="preserve">, national courts must establish an effective system of legislative interpretation or enforcement through </w:t>
      </w:r>
      <w:r w:rsidR="005733BB" w:rsidRPr="00C8727F">
        <w:rPr>
          <w:rFonts w:ascii="Times New Roman" w:eastAsia="Times New Roman" w:hAnsi="Times New Roman" w:cs="Times New Roman"/>
          <w:sz w:val="24"/>
          <w:szCs w:val="24"/>
          <w:lang w:val="en-GB"/>
        </w:rPr>
        <w:t>“</w:t>
      </w:r>
      <w:r w:rsidR="00BD435C" w:rsidRPr="00C8727F">
        <w:rPr>
          <w:rFonts w:ascii="Times New Roman" w:eastAsia="Times New Roman" w:hAnsi="Times New Roman" w:cs="Times New Roman"/>
          <w:sz w:val="24"/>
          <w:szCs w:val="24"/>
          <w:lang w:val="en-GB"/>
        </w:rPr>
        <w:t>State Liability</w:t>
      </w:r>
      <w:r w:rsidR="005733BB" w:rsidRPr="00C8727F">
        <w:rPr>
          <w:rFonts w:ascii="Times New Roman" w:eastAsia="Times New Roman" w:hAnsi="Times New Roman" w:cs="Times New Roman"/>
          <w:sz w:val="24"/>
          <w:szCs w:val="24"/>
          <w:lang w:val="en-GB"/>
        </w:rPr>
        <w:t>”</w:t>
      </w:r>
      <w:r w:rsidR="00BD435C" w:rsidRPr="00C8727F">
        <w:rPr>
          <w:rFonts w:ascii="Times New Roman" w:eastAsia="Times New Roman" w:hAnsi="Times New Roman" w:cs="Times New Roman"/>
          <w:sz w:val="24"/>
          <w:szCs w:val="24"/>
          <w:lang w:val="en-GB"/>
        </w:rPr>
        <w:t xml:space="preserve"> damages actions.</w:t>
      </w:r>
    </w:p>
    <w:p w:rsidR="00B21507" w:rsidRPr="00C8727F" w:rsidRDefault="009C04AA"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The national Judge is assigned as authority to the application of EU law provisions. The national Judge ensures that the EU law has established its full effectiveness. Case Law has established the liability of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Member States for breaches of EU law</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The structure, as well as the recognition, was developed based on the principle of (</w:t>
      </w:r>
      <w:r w:rsidRPr="00C8727F">
        <w:rPr>
          <w:rFonts w:ascii="Times New Roman" w:eastAsia="Times New Roman" w:hAnsi="Times New Roman" w:cs="Times New Roman"/>
          <w:color w:val="222222"/>
          <w:sz w:val="24"/>
          <w:szCs w:val="24"/>
          <w:lang w:val="en-GB"/>
        </w:rPr>
        <w:t>Kelemen and Laurent 2019</w:t>
      </w:r>
      <w:r w:rsidRPr="00C8727F">
        <w:rPr>
          <w:rFonts w:ascii="Times New Roman" w:eastAsia="Times New Roman" w:hAnsi="Times New Roman" w:cs="Times New Roman"/>
          <w:sz w:val="24"/>
          <w:szCs w:val="24"/>
          <w:lang w:val="en-GB"/>
        </w:rPr>
        <w:t xml:space="preserve">). The State Liability triggered </w:t>
      </w:r>
      <w:r w:rsidR="00E12B31" w:rsidRPr="00C8727F">
        <w:rPr>
          <w:rFonts w:ascii="Times New Roman" w:eastAsia="Times New Roman" w:hAnsi="Times New Roman" w:cs="Times New Roman"/>
          <w:sz w:val="24"/>
          <w:szCs w:val="24"/>
          <w:lang w:val="en-GB"/>
        </w:rPr>
        <w:t xml:space="preserve">those breaches of any state </w:t>
      </w:r>
      <w:proofErr w:type="gramStart"/>
      <w:r w:rsidR="00E12B31" w:rsidRPr="00C8727F">
        <w:rPr>
          <w:rFonts w:ascii="Times New Roman" w:eastAsia="Times New Roman" w:hAnsi="Times New Roman" w:cs="Times New Roman"/>
          <w:sz w:val="24"/>
          <w:szCs w:val="24"/>
          <w:lang w:val="en-GB"/>
        </w:rPr>
        <w:t>body</w:t>
      </w:r>
      <w:r w:rsidRPr="00C8727F">
        <w:rPr>
          <w:rFonts w:ascii="Times New Roman" w:eastAsia="Times New Roman" w:hAnsi="Times New Roman" w:cs="Times New Roman"/>
          <w:sz w:val="24"/>
          <w:szCs w:val="24"/>
          <w:lang w:val="en-GB"/>
        </w:rPr>
        <w:t>, that</w:t>
      </w:r>
      <w:proofErr w:type="gramEnd"/>
      <w:r w:rsidRPr="00C8727F">
        <w:rPr>
          <w:rFonts w:ascii="Times New Roman" w:eastAsia="Times New Roman" w:hAnsi="Times New Roman" w:cs="Times New Roman"/>
          <w:sz w:val="24"/>
          <w:szCs w:val="24"/>
          <w:lang w:val="en-GB"/>
        </w:rPr>
        <w:t xml:space="preserve"> is judiciary, Executive or legislature. On the other </w:t>
      </w:r>
      <w:r w:rsidR="00E12B31" w:rsidRPr="00C8727F">
        <w:rPr>
          <w:rFonts w:ascii="Times New Roman" w:eastAsia="Times New Roman" w:hAnsi="Times New Roman" w:cs="Times New Roman"/>
          <w:sz w:val="24"/>
          <w:szCs w:val="24"/>
          <w:lang w:val="en-GB"/>
        </w:rPr>
        <w:t>hand,</w:t>
      </w:r>
      <w:r w:rsidRPr="00C8727F">
        <w:rPr>
          <w:rFonts w:ascii="Times New Roman" w:eastAsia="Times New Roman" w:hAnsi="Times New Roman" w:cs="Times New Roman"/>
          <w:sz w:val="24"/>
          <w:szCs w:val="24"/>
          <w:lang w:val="en-GB"/>
        </w:rPr>
        <w:t xml:space="preserve"> a breach of EU law by the national Judge of the country brings the liability of </w:t>
      </w:r>
      <w:proofErr w:type="gramStart"/>
      <w:r w:rsidRPr="00C8727F">
        <w:rPr>
          <w:rFonts w:ascii="Times New Roman" w:eastAsia="Times New Roman" w:hAnsi="Times New Roman" w:cs="Times New Roman"/>
          <w:sz w:val="24"/>
          <w:szCs w:val="24"/>
          <w:lang w:val="en-GB"/>
        </w:rPr>
        <w:t>Civil</w:t>
      </w:r>
      <w:proofErr w:type="gramEnd"/>
      <w:r w:rsidRPr="00C8727F">
        <w:rPr>
          <w:rFonts w:ascii="Times New Roman" w:eastAsia="Times New Roman" w:hAnsi="Times New Roman" w:cs="Times New Roman"/>
          <w:sz w:val="24"/>
          <w:szCs w:val="24"/>
          <w:lang w:val="en-GB"/>
        </w:rPr>
        <w:t xml:space="preserve"> means to the members of the State, which led to compensating the private parties who suffered damages. </w:t>
      </w:r>
    </w:p>
    <w:p w:rsidR="00925D50" w:rsidRPr="00C8727F" w:rsidRDefault="009C04AA"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Infringement proceedings are referred to in the Articles of 258-260 of the Treaty, which stated that it is the responsibility of the European Commission to identify possible breaches </w:t>
      </w:r>
      <w:r w:rsidR="00E12B31" w:rsidRPr="00C8727F">
        <w:rPr>
          <w:rFonts w:ascii="Times New Roman" w:eastAsia="Times New Roman" w:hAnsi="Times New Roman" w:cs="Times New Roman"/>
          <w:sz w:val="24"/>
          <w:szCs w:val="24"/>
          <w:lang w:val="en-GB"/>
        </w:rPr>
        <w:t>of EU</w:t>
      </w:r>
      <w:r w:rsidRPr="00C8727F">
        <w:rPr>
          <w:rFonts w:ascii="Times New Roman" w:eastAsia="Times New Roman" w:hAnsi="Times New Roman" w:cs="Times New Roman"/>
          <w:sz w:val="24"/>
          <w:szCs w:val="24"/>
          <w:lang w:val="en-GB"/>
        </w:rPr>
        <w:t xml:space="preserve"> Law by the complaints from companies or citizens and also from its investigation. According to </w:t>
      </w:r>
      <w:r w:rsidRPr="00C8727F">
        <w:rPr>
          <w:rFonts w:ascii="Times New Roman" w:eastAsia="Times New Roman" w:hAnsi="Times New Roman" w:cs="Times New Roman"/>
          <w:color w:val="222222"/>
          <w:sz w:val="24"/>
          <w:szCs w:val="24"/>
          <w:lang w:val="en-GB"/>
        </w:rPr>
        <w:t>Scheppele et al.</w:t>
      </w:r>
      <w:r w:rsidR="00E12B31" w:rsidRPr="00C8727F">
        <w:rPr>
          <w:rFonts w:ascii="Times New Roman" w:eastAsia="Times New Roman" w:hAnsi="Times New Roman" w:cs="Times New Roman"/>
          <w:color w:val="222222"/>
          <w:sz w:val="24"/>
          <w:szCs w:val="24"/>
          <w:lang w:val="en-GB"/>
        </w:rPr>
        <w:t xml:space="preserve"> </w:t>
      </w:r>
      <w:r w:rsidRPr="00C8727F">
        <w:rPr>
          <w:rFonts w:ascii="Times New Roman" w:eastAsia="Times New Roman" w:hAnsi="Times New Roman" w:cs="Times New Roman"/>
          <w:color w:val="222222"/>
          <w:sz w:val="24"/>
          <w:szCs w:val="24"/>
          <w:lang w:val="en-GB"/>
        </w:rPr>
        <w:t>(2021)</w:t>
      </w:r>
      <w:r w:rsidRPr="00C8727F">
        <w:rPr>
          <w:rFonts w:ascii="Times New Roman" w:eastAsia="Times New Roman" w:hAnsi="Times New Roman" w:cs="Times New Roman"/>
          <w:sz w:val="24"/>
          <w:szCs w:val="24"/>
          <w:lang w:val="en-GB"/>
        </w:rPr>
        <w:t xml:space="preserve"> affected any citizen can record a case that EU law has been breached. This is the duty of the national Judges to shape the national Law. </w:t>
      </w:r>
      <w:r w:rsidR="00E12B31" w:rsidRPr="00C8727F">
        <w:rPr>
          <w:rFonts w:ascii="Times New Roman" w:eastAsia="Times New Roman" w:hAnsi="Times New Roman" w:cs="Times New Roman"/>
          <w:sz w:val="24"/>
          <w:szCs w:val="24"/>
          <w:lang w:val="en-GB"/>
        </w:rPr>
        <w:t>So,</w:t>
      </w:r>
      <w:r w:rsidRPr="00C8727F">
        <w:rPr>
          <w:rFonts w:ascii="Times New Roman" w:eastAsia="Times New Roman" w:hAnsi="Times New Roman" w:cs="Times New Roman"/>
          <w:sz w:val="24"/>
          <w:szCs w:val="24"/>
          <w:lang w:val="en-GB"/>
        </w:rPr>
        <w:t xml:space="preserve"> it can be stated that most of the responsibilities are in the hands of the National Judges that in many cases brings conflict. </w:t>
      </w:r>
    </w:p>
    <w:p w:rsidR="00925D50" w:rsidRPr="00C8727F" w:rsidRDefault="00925D50"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lastRenderedPageBreak/>
        <w:t>It wasn</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t until 1991 that the Supreme Court addressed the issue of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State liability for breach of Community law</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and its foundation in EC, not national law, in case of </w:t>
      </w:r>
      <w:r w:rsidR="004F23A3"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Francovich, [1991] ECR I-5357, [1993] 2 C.M.L.R. 66.</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According to the ruling, it is a fundamental principle of European Union law that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the Member States must make good loss and harm caused to persons by violations of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Community law</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for which they can be held liable</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Because the nature of the breach of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Community law</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causing the loss and damage determines the conditions under which a right to compensation arises.</w:t>
      </w:r>
    </w:p>
    <w:p w:rsidR="005733BB" w:rsidRPr="00C8727F" w:rsidRDefault="005733BB"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1996 Brasserie/Factortame</w:t>
      </w: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 xml:space="preserve"> is a landmark case in the Court</w:t>
      </w: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 xml:space="preserve">s development of precedent. </w:t>
      </w: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The European Court of Justice (ECJ)</w:t>
      </w: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 xml:space="preserve"> has established a connection between EU liability under </w:t>
      </w: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Article 215 EC Treaty</w:t>
      </w: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 xml:space="preserve"> and state liability for violations of </w:t>
      </w: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Community law</w:t>
      </w:r>
      <w:r w:rsidRPr="00C8727F">
        <w:rPr>
          <w:rFonts w:ascii="Times New Roman" w:eastAsia="Times New Roman" w:hAnsi="Times New Roman" w:cs="Times New Roman"/>
          <w:sz w:val="24"/>
          <w:szCs w:val="24"/>
          <w:lang w:val="en-GB"/>
        </w:rPr>
        <w:t>”</w:t>
      </w:r>
      <w:r w:rsidR="00925D50" w:rsidRPr="00C8727F">
        <w:rPr>
          <w:rFonts w:ascii="Times New Roman" w:eastAsia="Times New Roman" w:hAnsi="Times New Roman" w:cs="Times New Roman"/>
          <w:sz w:val="24"/>
          <w:szCs w:val="24"/>
          <w:lang w:val="en-GB"/>
        </w:rPr>
        <w:t xml:space="preserve">. </w:t>
      </w:r>
      <w:r w:rsidRPr="00C8727F">
        <w:rPr>
          <w:rFonts w:ascii="Times New Roman" w:eastAsia="Times New Roman" w:hAnsi="Times New Roman" w:cs="Times New Roman"/>
          <w:sz w:val="24"/>
          <w:szCs w:val="24"/>
          <w:lang w:val="en-GB"/>
        </w:rPr>
        <w:t>This approach to liability problems between Member States and the EU may determine the Court’s future. This principle maintains that a Member State is accountable if it violates a directly effective Treaty provision or fails to properly transfer a directive into national law</w:t>
      </w:r>
      <w:r w:rsidR="004F23A3" w:rsidRPr="00C8727F">
        <w:rPr>
          <w:rFonts w:ascii="Times New Roman" w:eastAsia="Times New Roman" w:hAnsi="Times New Roman" w:cs="Times New Roman"/>
          <w:sz w:val="24"/>
          <w:szCs w:val="24"/>
          <w:lang w:val="en-GB"/>
        </w:rPr>
        <w:t xml:space="preserve"> (</w:t>
      </w:r>
      <w:r w:rsidR="004F23A3" w:rsidRPr="00C8727F">
        <w:rPr>
          <w:rFonts w:ascii="Times New Roman" w:eastAsia="Times New Roman" w:hAnsi="Times New Roman" w:cs="Times New Roman"/>
          <w:color w:val="222222"/>
          <w:sz w:val="24"/>
          <w:szCs w:val="24"/>
          <w:lang w:val="en-GB"/>
        </w:rPr>
        <w:t>Kelemen and Laurent 2019</w:t>
      </w:r>
      <w:r w:rsidR="004F23A3"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w:t>
      </w:r>
      <w:proofErr w:type="gramStart"/>
      <w:r w:rsidRPr="00C8727F">
        <w:rPr>
          <w:rFonts w:ascii="Times New Roman" w:eastAsia="Times New Roman" w:hAnsi="Times New Roman" w:cs="Times New Roman"/>
          <w:sz w:val="24"/>
          <w:szCs w:val="24"/>
          <w:lang w:val="en-GB"/>
        </w:rPr>
        <w:t>If there is a clear and significant violation of the State’s commitment and a direct causal link between the violation and the individual or group’s harm.</w:t>
      </w:r>
      <w:proofErr w:type="gramEnd"/>
      <w:r w:rsidRPr="00C8727F">
        <w:rPr>
          <w:rFonts w:ascii="Times New Roman" w:eastAsia="Times New Roman" w:hAnsi="Times New Roman" w:cs="Times New Roman"/>
          <w:sz w:val="24"/>
          <w:szCs w:val="24"/>
          <w:lang w:val="en-GB"/>
        </w:rPr>
        <w:t xml:space="preserve"> The “Francovich-set versus Brasserie-set of needs” must be chosen.</w:t>
      </w:r>
    </w:p>
    <w:p w:rsidR="005733BB" w:rsidRPr="00C8727F" w:rsidRDefault="005733BB"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After “</w:t>
      </w:r>
      <w:proofErr w:type="spellStart"/>
      <w:r w:rsidRPr="00C8727F">
        <w:rPr>
          <w:rFonts w:ascii="Times New Roman" w:eastAsia="Times New Roman" w:hAnsi="Times New Roman" w:cs="Times New Roman"/>
          <w:sz w:val="24"/>
          <w:szCs w:val="24"/>
          <w:lang w:val="en-GB"/>
        </w:rPr>
        <w:t>Dillenkofer</w:t>
      </w:r>
      <w:proofErr w:type="spellEnd"/>
      <w:r w:rsidRPr="00C8727F">
        <w:rPr>
          <w:rFonts w:ascii="Times New Roman" w:eastAsia="Times New Roman" w:hAnsi="Times New Roman" w:cs="Times New Roman"/>
          <w:sz w:val="24"/>
          <w:szCs w:val="24"/>
          <w:lang w:val="en-GB"/>
        </w:rPr>
        <w:t xml:space="preserve">”, the conditions set forth in those cases [Brasserie, British Telecommunications, and Hedley Lomas] are the same as in “Francovich”, as a sufficiently substantial infringement, though not officially declared in the latter, was clear from the circumstances of that </w:t>
      </w:r>
      <w:proofErr w:type="gramStart"/>
      <w:r w:rsidRPr="00C8727F">
        <w:rPr>
          <w:rFonts w:ascii="Times New Roman" w:eastAsia="Times New Roman" w:hAnsi="Times New Roman" w:cs="Times New Roman"/>
          <w:sz w:val="24"/>
          <w:szCs w:val="24"/>
          <w:lang w:val="en-GB"/>
        </w:rPr>
        <w:t>case.</w:t>
      </w:r>
      <w:proofErr w:type="gramEnd"/>
    </w:p>
    <w:p w:rsidR="005733BB" w:rsidRPr="00C8727F" w:rsidRDefault="00925D50"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According to Article 288 EC, the ECJ has now taken the first step toward creating a single liability framework that applies to both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Member States and the Community</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at large </w:t>
      </w:r>
      <w:proofErr w:type="gramStart"/>
      <w:r w:rsidRPr="00C8727F">
        <w:rPr>
          <w:rFonts w:ascii="Times New Roman" w:eastAsia="Times New Roman" w:hAnsi="Times New Roman" w:cs="Times New Roman"/>
          <w:sz w:val="24"/>
          <w:szCs w:val="24"/>
          <w:lang w:val="en-GB"/>
        </w:rPr>
        <w:t>In</w:t>
      </w:r>
      <w:proofErr w:type="gramEnd"/>
      <w:r w:rsidRPr="00C8727F">
        <w:rPr>
          <w:rFonts w:ascii="Times New Roman" w:eastAsia="Times New Roman" w:hAnsi="Times New Roman" w:cs="Times New Roman"/>
          <w:sz w:val="24"/>
          <w:szCs w:val="24"/>
          <w:lang w:val="en-GB"/>
        </w:rPr>
        <w:t xml:space="preserve"> its </w:t>
      </w:r>
      <w:r w:rsidR="005733BB" w:rsidRPr="00C8727F">
        <w:rPr>
          <w:rFonts w:ascii="Times New Roman" w:eastAsia="Times New Roman" w:hAnsi="Times New Roman" w:cs="Times New Roman"/>
          <w:sz w:val="24"/>
          <w:szCs w:val="24"/>
          <w:lang w:val="en-GB"/>
        </w:rPr>
        <w:t>“</w:t>
      </w:r>
      <w:proofErr w:type="spellStart"/>
      <w:r w:rsidRPr="00C8727F">
        <w:rPr>
          <w:rFonts w:ascii="Times New Roman" w:eastAsia="Times New Roman" w:hAnsi="Times New Roman" w:cs="Times New Roman"/>
          <w:sz w:val="24"/>
          <w:szCs w:val="24"/>
          <w:lang w:val="en-GB"/>
        </w:rPr>
        <w:t>Bergaderm</w:t>
      </w:r>
      <w:proofErr w:type="spellEnd"/>
      <w:r w:rsidRPr="00C8727F">
        <w:rPr>
          <w:rFonts w:ascii="Times New Roman" w:eastAsia="Times New Roman" w:hAnsi="Times New Roman" w:cs="Times New Roman"/>
          <w:sz w:val="24"/>
          <w:szCs w:val="24"/>
          <w:lang w:val="en-GB"/>
        </w:rPr>
        <w:t xml:space="preserve"> judgement of 4 July 2000 (Case C352/98 P, [2000] ECR I-5291),</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the Court firmly established this </w:t>
      </w:r>
      <w:proofErr w:type="spellStart"/>
      <w:r w:rsidRPr="00C8727F">
        <w:rPr>
          <w:rFonts w:ascii="Times New Roman" w:eastAsia="Times New Roman" w:hAnsi="Times New Roman" w:cs="Times New Roman"/>
          <w:sz w:val="24"/>
          <w:szCs w:val="24"/>
          <w:lang w:val="en-GB"/>
        </w:rPr>
        <w:t>ius</w:t>
      </w:r>
      <w:proofErr w:type="spellEnd"/>
      <w:r w:rsidRPr="00C8727F">
        <w:rPr>
          <w:rFonts w:ascii="Times New Roman" w:eastAsia="Times New Roman" w:hAnsi="Times New Roman" w:cs="Times New Roman"/>
          <w:sz w:val="24"/>
          <w:szCs w:val="24"/>
          <w:lang w:val="en-GB"/>
        </w:rPr>
        <w:t xml:space="preserve"> commune following its pronouncement in </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Brasserie</w:t>
      </w:r>
      <w:r w:rsidR="005733BB" w:rsidRPr="00C8727F">
        <w:rPr>
          <w:rFonts w:ascii="Times New Roman" w:eastAsia="Times New Roman" w:hAnsi="Times New Roman" w:cs="Times New Roman"/>
          <w:sz w:val="24"/>
          <w:szCs w:val="24"/>
          <w:lang w:val="en-GB"/>
        </w:rPr>
        <w:t>”</w:t>
      </w:r>
      <w:r w:rsidRPr="00C8727F">
        <w:rPr>
          <w:rFonts w:ascii="Times New Roman" w:eastAsia="Times New Roman" w:hAnsi="Times New Roman" w:cs="Times New Roman"/>
          <w:sz w:val="24"/>
          <w:szCs w:val="24"/>
          <w:lang w:val="en-GB"/>
        </w:rPr>
        <w:t xml:space="preserve">. </w:t>
      </w:r>
      <w:r w:rsidR="005733BB" w:rsidRPr="00C8727F">
        <w:rPr>
          <w:rFonts w:ascii="Times New Roman" w:eastAsia="Times New Roman" w:hAnsi="Times New Roman" w:cs="Times New Roman"/>
          <w:sz w:val="24"/>
          <w:szCs w:val="24"/>
          <w:lang w:val="en-GB"/>
        </w:rPr>
        <w:t>The three conditions for “both EC and state responsibility” are now the same for both EC and state. In order to establish a claim, the parties involved must be granted a right, a major violation must have occurred, and there must be a clear link between the loss and the breach itself.</w:t>
      </w:r>
    </w:p>
    <w:p w:rsidR="00B21507" w:rsidRPr="00C8727F" w:rsidRDefault="009C04AA" w:rsidP="005733BB">
      <w:pPr>
        <w:pStyle w:val="Normal1"/>
        <w:spacing w:after="0" w:line="360" w:lineRule="auto"/>
        <w:contextualSpacing/>
        <w:mirrorIndents/>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The study concluded that European Law has mainly two effects Direct and Indirect Effects. There are two principles of direct effect, the horizontal effect is always associated with private individuals and the other hand vertical is associated with the individuals and state. The Lisbon treaty might help know the effects of </w:t>
      </w:r>
      <w:proofErr w:type="gramStart"/>
      <w:r w:rsidRPr="00C8727F">
        <w:rPr>
          <w:rFonts w:ascii="Times New Roman" w:eastAsia="Times New Roman" w:hAnsi="Times New Roman" w:cs="Times New Roman"/>
          <w:sz w:val="24"/>
          <w:szCs w:val="24"/>
          <w:lang w:val="en-GB"/>
        </w:rPr>
        <w:t>Direct</w:t>
      </w:r>
      <w:proofErr w:type="gramEnd"/>
      <w:r w:rsidRPr="00C8727F">
        <w:rPr>
          <w:rFonts w:ascii="Times New Roman" w:eastAsia="Times New Roman" w:hAnsi="Times New Roman" w:cs="Times New Roman"/>
          <w:sz w:val="24"/>
          <w:szCs w:val="24"/>
          <w:lang w:val="en-GB"/>
        </w:rPr>
        <w:t xml:space="preserve"> laws but it never clarifies the concept that who can </w:t>
      </w:r>
      <w:r w:rsidRPr="00C8727F">
        <w:rPr>
          <w:rFonts w:ascii="Times New Roman" w:eastAsia="Times New Roman" w:hAnsi="Times New Roman" w:cs="Times New Roman"/>
          <w:sz w:val="24"/>
          <w:szCs w:val="24"/>
          <w:lang w:val="en-GB"/>
        </w:rPr>
        <w:lastRenderedPageBreak/>
        <w:t xml:space="preserve">use it, that is quite misleading. In their hand in place Direct Law can provide Justice, in </w:t>
      </w:r>
      <w:r w:rsidR="00E12B31" w:rsidRPr="00C8727F">
        <w:rPr>
          <w:rFonts w:ascii="Times New Roman" w:eastAsia="Times New Roman" w:hAnsi="Times New Roman" w:cs="Times New Roman"/>
          <w:sz w:val="24"/>
          <w:szCs w:val="24"/>
          <w:lang w:val="en-GB"/>
        </w:rPr>
        <w:t>their</w:t>
      </w:r>
      <w:r w:rsidRPr="00C8727F">
        <w:rPr>
          <w:rFonts w:ascii="Times New Roman" w:eastAsia="Times New Roman" w:hAnsi="Times New Roman" w:cs="Times New Roman"/>
          <w:sz w:val="24"/>
          <w:szCs w:val="24"/>
          <w:lang w:val="en-GB"/>
        </w:rPr>
        <w:t xml:space="preserve"> indirect Law is used to clear and establish justice.</w:t>
      </w:r>
    </w:p>
    <w:bookmarkEnd w:id="0"/>
    <w:p w:rsidR="00B21507" w:rsidRPr="00C8727F" w:rsidRDefault="00B21507"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P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P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P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p w:rsidR="00C8727F" w:rsidRPr="00C8727F" w:rsidRDefault="00C8727F" w:rsidP="00C8727F">
      <w:pPr>
        <w:pStyle w:val="Heading1"/>
        <w:rPr>
          <w:rFonts w:ascii="Times New Roman" w:eastAsia="Times New Roman" w:hAnsi="Times New Roman" w:cs="Times New Roman"/>
          <w:sz w:val="24"/>
          <w:szCs w:val="24"/>
        </w:rPr>
      </w:pPr>
      <w:bookmarkStart w:id="1" w:name="_Toc99730716"/>
      <w:r w:rsidRPr="00C8727F">
        <w:rPr>
          <w:rFonts w:ascii="Times New Roman" w:hAnsi="Times New Roman" w:cs="Times New Roman"/>
          <w:sz w:val="24"/>
          <w:szCs w:val="24"/>
        </w:rPr>
        <w:lastRenderedPageBreak/>
        <w:t>References</w:t>
      </w:r>
      <w:bookmarkEnd w:id="1"/>
      <w:r w:rsidRPr="00C8727F">
        <w:rPr>
          <w:rFonts w:ascii="Times New Roman" w:hAnsi="Times New Roman" w:cs="Times New Roman"/>
          <w:sz w:val="24"/>
          <w:szCs w:val="24"/>
        </w:rPr>
        <w:t xml:space="preserve"> </w:t>
      </w:r>
    </w:p>
    <w:p w:rsidR="00C8727F" w:rsidRPr="00C8727F" w:rsidRDefault="00C8727F" w:rsidP="00C8727F">
      <w:pPr>
        <w:pStyle w:val="Normal1"/>
        <w:spacing w:line="360" w:lineRule="auto"/>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Acas.org.uk (2022), </w:t>
      </w:r>
      <w:r w:rsidRPr="00C8727F">
        <w:rPr>
          <w:rFonts w:ascii="Times New Roman" w:eastAsia="Times New Roman" w:hAnsi="Times New Roman" w:cs="Times New Roman"/>
          <w:i/>
          <w:sz w:val="24"/>
          <w:szCs w:val="24"/>
          <w:lang w:val="en-GB"/>
        </w:rPr>
        <w:t>Advice,</w:t>
      </w:r>
      <w:r w:rsidRPr="00C8727F">
        <w:rPr>
          <w:rFonts w:ascii="Times New Roman" w:eastAsia="Times New Roman" w:hAnsi="Times New Roman" w:cs="Times New Roman"/>
          <w:sz w:val="24"/>
          <w:szCs w:val="24"/>
          <w:lang w:val="en-GB"/>
        </w:rPr>
        <w:t xml:space="preserve"> Available At: </w:t>
      </w:r>
      <w:hyperlink r:id="rId8" w:history="1">
        <w:r w:rsidRPr="00C8727F">
          <w:rPr>
            <w:rStyle w:val="Hyperlink"/>
            <w:rFonts w:ascii="Times New Roman" w:eastAsia="Times New Roman" w:hAnsi="Times New Roman" w:cs="Times New Roman"/>
            <w:sz w:val="24"/>
            <w:szCs w:val="24"/>
            <w:lang w:val="en-GB"/>
          </w:rPr>
          <w:t>https://www.acas.org.uk/discrimination-and-the-law/direct-and-indirect-discrimination</w:t>
        </w:r>
      </w:hyperlink>
      <w:proofErr w:type="gramStart"/>
      <w:r w:rsidRPr="00C8727F">
        <w:rPr>
          <w:rFonts w:ascii="Times New Roman" w:eastAsia="Times New Roman" w:hAnsi="Times New Roman" w:cs="Times New Roman"/>
          <w:sz w:val="24"/>
          <w:szCs w:val="24"/>
          <w:lang w:val="en-GB"/>
        </w:rPr>
        <w:t>,  [</w:t>
      </w:r>
      <w:proofErr w:type="gramEnd"/>
      <w:r w:rsidRPr="00C8727F">
        <w:rPr>
          <w:rFonts w:ascii="Times New Roman" w:eastAsia="Times New Roman" w:hAnsi="Times New Roman" w:cs="Times New Roman"/>
          <w:sz w:val="24"/>
          <w:szCs w:val="24"/>
          <w:lang w:val="en-GB"/>
        </w:rPr>
        <w:t>Accessed on: 31st March 2022]</w:t>
      </w:r>
    </w:p>
    <w:p w:rsidR="00C8727F" w:rsidRPr="00C8727F" w:rsidRDefault="00C8727F" w:rsidP="00C8727F">
      <w:pPr>
        <w:spacing w:line="360" w:lineRule="auto"/>
        <w:jc w:val="both"/>
        <w:rPr>
          <w:rFonts w:ascii="Times New Roman" w:hAnsi="Times New Roman" w:cs="Times New Roman"/>
          <w:sz w:val="24"/>
          <w:szCs w:val="24"/>
          <w:lang w:val="en-GB"/>
        </w:rPr>
      </w:pPr>
      <w:r w:rsidRPr="00C8727F">
        <w:rPr>
          <w:rFonts w:ascii="Times New Roman" w:hAnsi="Times New Roman" w:cs="Times New Roman"/>
          <w:sz w:val="24"/>
          <w:szCs w:val="24"/>
          <w:lang w:val="en-GB"/>
        </w:rPr>
        <w:t xml:space="preserve">Ashton, D., (2018). The Legal Context </w:t>
      </w:r>
      <w:proofErr w:type="gramStart"/>
      <w:r w:rsidRPr="00C8727F">
        <w:rPr>
          <w:rFonts w:ascii="Times New Roman" w:hAnsi="Times New Roman" w:cs="Times New Roman"/>
          <w:sz w:val="24"/>
          <w:szCs w:val="24"/>
          <w:lang w:val="en-GB"/>
        </w:rPr>
        <w:t>Of</w:t>
      </w:r>
      <w:proofErr w:type="gramEnd"/>
      <w:r w:rsidRPr="00C8727F">
        <w:rPr>
          <w:rFonts w:ascii="Times New Roman" w:hAnsi="Times New Roman" w:cs="Times New Roman"/>
          <w:sz w:val="24"/>
          <w:szCs w:val="24"/>
          <w:lang w:val="en-GB"/>
        </w:rPr>
        <w:t xml:space="preserve"> </w:t>
      </w:r>
      <w:proofErr w:type="spellStart"/>
      <w:r w:rsidRPr="00C8727F">
        <w:rPr>
          <w:rFonts w:ascii="Times New Roman" w:hAnsi="Times New Roman" w:cs="Times New Roman"/>
          <w:sz w:val="24"/>
          <w:szCs w:val="24"/>
          <w:lang w:val="en-GB"/>
        </w:rPr>
        <w:t>Eu</w:t>
      </w:r>
      <w:proofErr w:type="spellEnd"/>
      <w:r w:rsidRPr="00C8727F">
        <w:rPr>
          <w:rFonts w:ascii="Times New Roman" w:hAnsi="Times New Roman" w:cs="Times New Roman"/>
          <w:sz w:val="24"/>
          <w:szCs w:val="24"/>
          <w:lang w:val="en-GB"/>
        </w:rPr>
        <w:t xml:space="preserve"> Competition Law Damages Actions: Law and Practice. </w:t>
      </w:r>
      <w:proofErr w:type="gramStart"/>
      <w:r w:rsidRPr="00C8727F">
        <w:rPr>
          <w:rFonts w:ascii="Times New Roman" w:hAnsi="Times New Roman" w:cs="Times New Roman"/>
          <w:i/>
          <w:iCs/>
          <w:sz w:val="24"/>
          <w:szCs w:val="24"/>
          <w:lang w:val="en-GB"/>
        </w:rPr>
        <w:t>Competition Damages Actions in the EU</w:t>
      </w:r>
      <w:r w:rsidRPr="00C8727F">
        <w:rPr>
          <w:rFonts w:ascii="Times New Roman" w:hAnsi="Times New Roman" w:cs="Times New Roman"/>
          <w:sz w:val="24"/>
          <w:szCs w:val="24"/>
          <w:lang w:val="en-GB"/>
        </w:rPr>
        <w:t>.</w:t>
      </w:r>
      <w:proofErr w:type="gramEnd"/>
    </w:p>
    <w:p w:rsidR="00C8727F" w:rsidRPr="00C8727F" w:rsidRDefault="00C8727F" w:rsidP="00C8727F">
      <w:pPr>
        <w:pStyle w:val="Normal1"/>
        <w:spacing w:line="360" w:lineRule="auto"/>
        <w:jc w:val="both"/>
        <w:rPr>
          <w:rFonts w:ascii="Times New Roman" w:eastAsia="Times New Roman" w:hAnsi="Times New Roman" w:cs="Times New Roman"/>
          <w:sz w:val="24"/>
          <w:szCs w:val="24"/>
          <w:lang w:val="en-GB"/>
        </w:rPr>
      </w:pPr>
      <w:r w:rsidRPr="00C8727F">
        <w:rPr>
          <w:rFonts w:ascii="Times New Roman" w:eastAsia="Times New Roman" w:hAnsi="Times New Roman" w:cs="Times New Roman"/>
          <w:sz w:val="24"/>
          <w:szCs w:val="24"/>
          <w:lang w:val="en-GB"/>
        </w:rPr>
        <w:t xml:space="preserve">Asser.nl, (2022), </w:t>
      </w:r>
      <w:r w:rsidRPr="00C8727F">
        <w:rPr>
          <w:rFonts w:ascii="Times New Roman" w:eastAsia="Times New Roman" w:hAnsi="Times New Roman" w:cs="Times New Roman"/>
          <w:i/>
          <w:sz w:val="24"/>
          <w:szCs w:val="24"/>
          <w:lang w:val="en-GB"/>
        </w:rPr>
        <w:t>The Principle of State Liability,</w:t>
      </w:r>
      <w:r w:rsidRPr="00C8727F">
        <w:rPr>
          <w:rFonts w:ascii="Times New Roman" w:eastAsia="Times New Roman" w:hAnsi="Times New Roman" w:cs="Times New Roman"/>
          <w:sz w:val="24"/>
          <w:szCs w:val="24"/>
          <w:lang w:val="en-GB"/>
        </w:rPr>
        <w:t xml:space="preserve"> Available At: </w:t>
      </w:r>
      <w:hyperlink r:id="rId9" w:history="1">
        <w:r w:rsidRPr="00C8727F">
          <w:rPr>
            <w:rStyle w:val="Hyperlink"/>
            <w:rFonts w:ascii="Times New Roman" w:eastAsia="Times New Roman" w:hAnsi="Times New Roman" w:cs="Times New Roman"/>
            <w:sz w:val="24"/>
            <w:szCs w:val="24"/>
            <w:lang w:val="en-GB"/>
          </w:rPr>
          <w:t>https://www.asser.nl/upload/eel-webroot/www/documents/cms_eel_id182_1_The%20Principle%20of%20State%20Liability.pdf</w:t>
        </w:r>
      </w:hyperlink>
      <w:proofErr w:type="gramStart"/>
      <w:r w:rsidRPr="00C8727F">
        <w:rPr>
          <w:rFonts w:ascii="Times New Roman" w:eastAsia="Times New Roman" w:hAnsi="Times New Roman" w:cs="Times New Roman"/>
          <w:sz w:val="24"/>
          <w:szCs w:val="24"/>
          <w:lang w:val="en-GB"/>
        </w:rPr>
        <w:t>,  [</w:t>
      </w:r>
      <w:proofErr w:type="gramEnd"/>
      <w:r w:rsidRPr="00C8727F">
        <w:rPr>
          <w:rFonts w:ascii="Times New Roman" w:eastAsia="Times New Roman" w:hAnsi="Times New Roman" w:cs="Times New Roman"/>
          <w:sz w:val="24"/>
          <w:szCs w:val="24"/>
          <w:lang w:val="en-GB"/>
        </w:rPr>
        <w:t>Accessed on: 31st March 2022]</w:t>
      </w:r>
    </w:p>
    <w:p w:rsidR="00C8727F" w:rsidRPr="00C8727F" w:rsidRDefault="00C8727F" w:rsidP="00C8727F">
      <w:pPr>
        <w:pStyle w:val="Normal1"/>
        <w:spacing w:line="360" w:lineRule="auto"/>
        <w:jc w:val="both"/>
        <w:rPr>
          <w:rFonts w:ascii="Times New Roman" w:eastAsia="Times New Roman" w:hAnsi="Times New Roman" w:cs="Times New Roman"/>
          <w:color w:val="222222"/>
          <w:sz w:val="24"/>
          <w:szCs w:val="24"/>
          <w:highlight w:val="white"/>
          <w:lang w:val="en-GB"/>
        </w:rPr>
      </w:pPr>
      <w:proofErr w:type="gramStart"/>
      <w:r w:rsidRPr="00C8727F">
        <w:rPr>
          <w:rFonts w:ascii="Times New Roman" w:eastAsia="Times New Roman" w:hAnsi="Times New Roman" w:cs="Times New Roman"/>
          <w:color w:val="222222"/>
          <w:sz w:val="24"/>
          <w:szCs w:val="24"/>
          <w:highlight w:val="white"/>
          <w:lang w:val="en-GB"/>
        </w:rPr>
        <w:t>Cui, W., (2019).</w:t>
      </w:r>
      <w:proofErr w:type="gramEnd"/>
      <w:r w:rsidRPr="00C8727F">
        <w:rPr>
          <w:rFonts w:ascii="Times New Roman" w:eastAsia="Times New Roman" w:hAnsi="Times New Roman" w:cs="Times New Roman"/>
          <w:color w:val="222222"/>
          <w:sz w:val="24"/>
          <w:szCs w:val="24"/>
          <w:highlight w:val="white"/>
          <w:lang w:val="en-GB"/>
        </w:rPr>
        <w:t xml:space="preserve"> </w:t>
      </w:r>
      <w:proofErr w:type="gramStart"/>
      <w:r w:rsidRPr="00C8727F">
        <w:rPr>
          <w:rFonts w:ascii="Times New Roman" w:eastAsia="Times New Roman" w:hAnsi="Times New Roman" w:cs="Times New Roman"/>
          <w:color w:val="222222"/>
          <w:sz w:val="24"/>
          <w:szCs w:val="24"/>
          <w:highlight w:val="white"/>
          <w:lang w:val="en-GB"/>
        </w:rPr>
        <w:t>The superiority of the digital services tax over significant digital presence proposals.</w:t>
      </w:r>
      <w:proofErr w:type="gramEnd"/>
      <w:r w:rsidRPr="00C8727F">
        <w:rPr>
          <w:rFonts w:ascii="Times New Roman" w:eastAsia="Times New Roman" w:hAnsi="Times New Roman" w:cs="Times New Roman"/>
          <w:color w:val="222222"/>
          <w:sz w:val="24"/>
          <w:szCs w:val="24"/>
          <w:highlight w:val="white"/>
          <w:lang w:val="en-GB"/>
        </w:rPr>
        <w:t xml:space="preserve"> </w:t>
      </w:r>
      <w:proofErr w:type="gramStart"/>
      <w:r w:rsidRPr="00C8727F">
        <w:rPr>
          <w:rFonts w:ascii="Times New Roman" w:eastAsia="Times New Roman" w:hAnsi="Times New Roman" w:cs="Times New Roman"/>
          <w:i/>
          <w:color w:val="222222"/>
          <w:sz w:val="24"/>
          <w:szCs w:val="24"/>
          <w:highlight w:val="white"/>
          <w:lang w:val="en-GB"/>
        </w:rPr>
        <w:t>National Tax Journal</w:t>
      </w:r>
      <w:r w:rsidRPr="00C8727F">
        <w:rPr>
          <w:rFonts w:ascii="Times New Roman" w:eastAsia="Times New Roman" w:hAnsi="Times New Roman" w:cs="Times New Roman"/>
          <w:color w:val="222222"/>
          <w:sz w:val="24"/>
          <w:szCs w:val="24"/>
          <w:highlight w:val="white"/>
          <w:lang w:val="en-GB"/>
        </w:rPr>
        <w:t xml:space="preserve">, </w:t>
      </w:r>
      <w:r w:rsidRPr="00C8727F">
        <w:rPr>
          <w:rFonts w:ascii="Times New Roman" w:eastAsia="Times New Roman" w:hAnsi="Times New Roman" w:cs="Times New Roman"/>
          <w:i/>
          <w:color w:val="222222"/>
          <w:sz w:val="24"/>
          <w:szCs w:val="24"/>
          <w:highlight w:val="white"/>
          <w:lang w:val="en-GB"/>
        </w:rPr>
        <w:t>72</w:t>
      </w:r>
      <w:r w:rsidRPr="00C8727F">
        <w:rPr>
          <w:rFonts w:ascii="Times New Roman" w:eastAsia="Times New Roman" w:hAnsi="Times New Roman" w:cs="Times New Roman"/>
          <w:color w:val="222222"/>
          <w:sz w:val="24"/>
          <w:szCs w:val="24"/>
          <w:highlight w:val="white"/>
          <w:lang w:val="en-GB"/>
        </w:rPr>
        <w:t>(4), pp.839-856.</w:t>
      </w:r>
      <w:proofErr w:type="gramEnd"/>
    </w:p>
    <w:p w:rsidR="00C8727F" w:rsidRPr="00C8727F" w:rsidRDefault="00C8727F" w:rsidP="00C8727F">
      <w:pPr>
        <w:pStyle w:val="Normal1"/>
        <w:spacing w:line="360" w:lineRule="auto"/>
        <w:jc w:val="both"/>
        <w:rPr>
          <w:rFonts w:ascii="Times New Roman" w:eastAsia="Times New Roman" w:hAnsi="Times New Roman" w:cs="Times New Roman"/>
          <w:color w:val="222222"/>
          <w:sz w:val="24"/>
          <w:szCs w:val="24"/>
          <w:highlight w:val="white"/>
          <w:lang w:val="en-GB"/>
        </w:rPr>
      </w:pPr>
      <w:proofErr w:type="gramStart"/>
      <w:r w:rsidRPr="00C8727F">
        <w:rPr>
          <w:rFonts w:ascii="Times New Roman" w:eastAsia="Times New Roman" w:hAnsi="Times New Roman" w:cs="Times New Roman"/>
          <w:color w:val="222222"/>
          <w:sz w:val="24"/>
          <w:szCs w:val="24"/>
          <w:highlight w:val="white"/>
          <w:lang w:val="en-GB"/>
        </w:rPr>
        <w:t>Fink, M., (2020).</w:t>
      </w:r>
      <w:proofErr w:type="gramEnd"/>
      <w:r w:rsidRPr="00C8727F">
        <w:rPr>
          <w:rFonts w:ascii="Times New Roman" w:eastAsia="Times New Roman" w:hAnsi="Times New Roman" w:cs="Times New Roman"/>
          <w:color w:val="222222"/>
          <w:sz w:val="24"/>
          <w:szCs w:val="24"/>
          <w:highlight w:val="white"/>
          <w:lang w:val="en-GB"/>
        </w:rPr>
        <w:t xml:space="preserve"> The action for damages as a fundamental rights remedy: Holding </w:t>
      </w:r>
      <w:proofErr w:type="spellStart"/>
      <w:r w:rsidRPr="00C8727F">
        <w:rPr>
          <w:rFonts w:ascii="Times New Roman" w:eastAsia="Times New Roman" w:hAnsi="Times New Roman" w:cs="Times New Roman"/>
          <w:color w:val="222222"/>
          <w:sz w:val="24"/>
          <w:szCs w:val="24"/>
          <w:highlight w:val="white"/>
          <w:lang w:val="en-GB"/>
        </w:rPr>
        <w:t>Frontex</w:t>
      </w:r>
      <w:proofErr w:type="spellEnd"/>
      <w:r w:rsidRPr="00C8727F">
        <w:rPr>
          <w:rFonts w:ascii="Times New Roman" w:eastAsia="Times New Roman" w:hAnsi="Times New Roman" w:cs="Times New Roman"/>
          <w:color w:val="222222"/>
          <w:sz w:val="24"/>
          <w:szCs w:val="24"/>
          <w:highlight w:val="white"/>
          <w:lang w:val="en-GB"/>
        </w:rPr>
        <w:t xml:space="preserve"> liable. </w:t>
      </w:r>
      <w:proofErr w:type="gramStart"/>
      <w:r w:rsidRPr="00C8727F">
        <w:rPr>
          <w:rFonts w:ascii="Times New Roman" w:eastAsia="Times New Roman" w:hAnsi="Times New Roman" w:cs="Times New Roman"/>
          <w:i/>
          <w:color w:val="222222"/>
          <w:sz w:val="24"/>
          <w:szCs w:val="24"/>
          <w:highlight w:val="white"/>
          <w:lang w:val="en-GB"/>
        </w:rPr>
        <w:t>German Law Journal</w:t>
      </w:r>
      <w:r w:rsidRPr="00C8727F">
        <w:rPr>
          <w:rFonts w:ascii="Times New Roman" w:eastAsia="Times New Roman" w:hAnsi="Times New Roman" w:cs="Times New Roman"/>
          <w:color w:val="222222"/>
          <w:sz w:val="24"/>
          <w:szCs w:val="24"/>
          <w:highlight w:val="white"/>
          <w:lang w:val="en-GB"/>
        </w:rPr>
        <w:t xml:space="preserve">, </w:t>
      </w:r>
      <w:r w:rsidRPr="00C8727F">
        <w:rPr>
          <w:rFonts w:ascii="Times New Roman" w:eastAsia="Times New Roman" w:hAnsi="Times New Roman" w:cs="Times New Roman"/>
          <w:i/>
          <w:color w:val="222222"/>
          <w:sz w:val="24"/>
          <w:szCs w:val="24"/>
          <w:highlight w:val="white"/>
          <w:lang w:val="en-GB"/>
        </w:rPr>
        <w:t>21</w:t>
      </w:r>
      <w:r w:rsidRPr="00C8727F">
        <w:rPr>
          <w:rFonts w:ascii="Times New Roman" w:eastAsia="Times New Roman" w:hAnsi="Times New Roman" w:cs="Times New Roman"/>
          <w:color w:val="222222"/>
          <w:sz w:val="24"/>
          <w:szCs w:val="24"/>
          <w:highlight w:val="white"/>
          <w:lang w:val="en-GB"/>
        </w:rPr>
        <w:t>(3), pp.532-548.</w:t>
      </w:r>
      <w:proofErr w:type="gramEnd"/>
    </w:p>
    <w:p w:rsidR="00C8727F" w:rsidRPr="00C8727F" w:rsidRDefault="00C8727F" w:rsidP="00C8727F">
      <w:pPr>
        <w:spacing w:line="360" w:lineRule="auto"/>
        <w:jc w:val="both"/>
        <w:rPr>
          <w:rFonts w:ascii="Times New Roman" w:hAnsi="Times New Roman" w:cs="Times New Roman"/>
          <w:sz w:val="24"/>
          <w:szCs w:val="24"/>
          <w:lang w:val="en-GB"/>
        </w:rPr>
      </w:pPr>
      <w:proofErr w:type="spellStart"/>
      <w:r w:rsidRPr="00C8727F">
        <w:rPr>
          <w:rFonts w:ascii="Times New Roman" w:hAnsi="Times New Roman" w:cs="Times New Roman"/>
          <w:sz w:val="24"/>
          <w:szCs w:val="24"/>
          <w:lang w:val="en-GB"/>
        </w:rPr>
        <w:t>Frantziou</w:t>
      </w:r>
      <w:proofErr w:type="spellEnd"/>
      <w:r w:rsidRPr="00C8727F">
        <w:rPr>
          <w:rFonts w:ascii="Times New Roman" w:hAnsi="Times New Roman" w:cs="Times New Roman"/>
          <w:sz w:val="24"/>
          <w:szCs w:val="24"/>
          <w:lang w:val="en-GB"/>
        </w:rPr>
        <w:t>, E., (2019). </w:t>
      </w:r>
      <w:r w:rsidRPr="00C8727F">
        <w:rPr>
          <w:rFonts w:ascii="Times New Roman" w:hAnsi="Times New Roman" w:cs="Times New Roman"/>
          <w:i/>
          <w:iCs/>
          <w:sz w:val="24"/>
          <w:szCs w:val="24"/>
          <w:lang w:val="en-GB"/>
        </w:rPr>
        <w:t>The Horizontal Effect of Fundamental Rights in the European Union: A Constitutional Analysis</w:t>
      </w:r>
      <w:r w:rsidRPr="00C8727F">
        <w:rPr>
          <w:rFonts w:ascii="Times New Roman" w:hAnsi="Times New Roman" w:cs="Times New Roman"/>
          <w:sz w:val="24"/>
          <w:szCs w:val="24"/>
          <w:lang w:val="en-GB"/>
        </w:rPr>
        <w:t xml:space="preserve">. </w:t>
      </w:r>
      <w:proofErr w:type="gramStart"/>
      <w:r w:rsidRPr="00C8727F">
        <w:rPr>
          <w:rFonts w:ascii="Times New Roman" w:hAnsi="Times New Roman" w:cs="Times New Roman"/>
          <w:sz w:val="24"/>
          <w:szCs w:val="24"/>
          <w:lang w:val="en-GB"/>
        </w:rPr>
        <w:t>Oxford University Press.</w:t>
      </w:r>
      <w:proofErr w:type="gramEnd"/>
    </w:p>
    <w:p w:rsidR="00C8727F" w:rsidRPr="00C8727F" w:rsidRDefault="00C8727F" w:rsidP="00C8727F">
      <w:pPr>
        <w:spacing w:line="360" w:lineRule="auto"/>
        <w:jc w:val="both"/>
        <w:rPr>
          <w:rFonts w:ascii="Times New Roman" w:hAnsi="Times New Roman" w:cs="Times New Roman"/>
          <w:sz w:val="24"/>
          <w:szCs w:val="24"/>
          <w:lang w:val="en-GB"/>
        </w:rPr>
      </w:pPr>
      <w:proofErr w:type="spellStart"/>
      <w:r w:rsidRPr="00C8727F">
        <w:rPr>
          <w:rFonts w:ascii="Times New Roman" w:hAnsi="Times New Roman" w:cs="Times New Roman"/>
          <w:sz w:val="24"/>
          <w:szCs w:val="24"/>
          <w:lang w:val="en-GB"/>
        </w:rPr>
        <w:t>Halberstam</w:t>
      </w:r>
      <w:proofErr w:type="spellEnd"/>
      <w:r w:rsidRPr="00C8727F">
        <w:rPr>
          <w:rFonts w:ascii="Times New Roman" w:hAnsi="Times New Roman" w:cs="Times New Roman"/>
          <w:sz w:val="24"/>
          <w:szCs w:val="24"/>
          <w:lang w:val="en-GB"/>
        </w:rPr>
        <w:t>, D., (2021). Understanding National Remedies and the Principle of National Procedural Autonomy: A Constitutional Approach. </w:t>
      </w:r>
      <w:proofErr w:type="gramStart"/>
      <w:r w:rsidRPr="00C8727F">
        <w:rPr>
          <w:rFonts w:ascii="Times New Roman" w:hAnsi="Times New Roman" w:cs="Times New Roman"/>
          <w:i/>
          <w:iCs/>
          <w:sz w:val="24"/>
          <w:szCs w:val="24"/>
          <w:lang w:val="en-GB"/>
        </w:rPr>
        <w:t>Cambridge Yearbook of European Legal Studies</w:t>
      </w:r>
      <w:r w:rsidRPr="00C8727F">
        <w:rPr>
          <w:rFonts w:ascii="Times New Roman" w:hAnsi="Times New Roman" w:cs="Times New Roman"/>
          <w:sz w:val="24"/>
          <w:szCs w:val="24"/>
          <w:lang w:val="en-GB"/>
        </w:rPr>
        <w:t>, </w:t>
      </w:r>
      <w:r w:rsidRPr="00C8727F">
        <w:rPr>
          <w:rFonts w:ascii="Times New Roman" w:hAnsi="Times New Roman" w:cs="Times New Roman"/>
          <w:i/>
          <w:iCs/>
          <w:sz w:val="24"/>
          <w:szCs w:val="24"/>
          <w:lang w:val="en-GB"/>
        </w:rPr>
        <w:t>23</w:t>
      </w:r>
      <w:r w:rsidRPr="00C8727F">
        <w:rPr>
          <w:rFonts w:ascii="Times New Roman" w:hAnsi="Times New Roman" w:cs="Times New Roman"/>
          <w:sz w:val="24"/>
          <w:szCs w:val="24"/>
          <w:lang w:val="en-GB"/>
        </w:rPr>
        <w:t>, pp.128-158.</w:t>
      </w:r>
      <w:proofErr w:type="gramEnd"/>
    </w:p>
    <w:p w:rsidR="00C8727F" w:rsidRPr="00C8727F" w:rsidRDefault="00C8727F" w:rsidP="00C8727F">
      <w:pPr>
        <w:spacing w:line="360" w:lineRule="auto"/>
        <w:jc w:val="both"/>
        <w:rPr>
          <w:rFonts w:ascii="Times New Roman" w:hAnsi="Times New Roman" w:cs="Times New Roman"/>
          <w:sz w:val="24"/>
          <w:szCs w:val="24"/>
          <w:lang w:val="en-GB"/>
        </w:rPr>
      </w:pPr>
      <w:proofErr w:type="spellStart"/>
      <w:proofErr w:type="gramStart"/>
      <w:r w:rsidRPr="00C8727F">
        <w:rPr>
          <w:rFonts w:ascii="Times New Roman" w:hAnsi="Times New Roman" w:cs="Times New Roman"/>
          <w:sz w:val="24"/>
          <w:szCs w:val="24"/>
          <w:lang w:val="en-GB"/>
        </w:rPr>
        <w:t>Kamiński</w:t>
      </w:r>
      <w:proofErr w:type="spellEnd"/>
      <w:r w:rsidRPr="00C8727F">
        <w:rPr>
          <w:rFonts w:ascii="Times New Roman" w:hAnsi="Times New Roman" w:cs="Times New Roman"/>
          <w:sz w:val="24"/>
          <w:szCs w:val="24"/>
          <w:lang w:val="en-GB"/>
        </w:rPr>
        <w:t>, M., (2018).</w:t>
      </w:r>
      <w:proofErr w:type="gramEnd"/>
      <w:r w:rsidRPr="00C8727F">
        <w:rPr>
          <w:rFonts w:ascii="Times New Roman" w:hAnsi="Times New Roman" w:cs="Times New Roman"/>
          <w:sz w:val="24"/>
          <w:szCs w:val="24"/>
          <w:lang w:val="en-GB"/>
        </w:rPr>
        <w:t xml:space="preserve"> </w:t>
      </w:r>
      <w:proofErr w:type="gramStart"/>
      <w:r w:rsidRPr="00C8727F">
        <w:rPr>
          <w:rFonts w:ascii="Times New Roman" w:hAnsi="Times New Roman" w:cs="Times New Roman"/>
          <w:sz w:val="24"/>
          <w:szCs w:val="24"/>
          <w:lang w:val="en-GB"/>
        </w:rPr>
        <w:t>Internal and External Limits of the Principle of Consistent Interpretation of Domestic Law with the Directives of the European Union and Their Relevance for the Adjudication of the Administrative Courts.</w:t>
      </w:r>
      <w:proofErr w:type="gramEnd"/>
      <w:r w:rsidRPr="00C8727F">
        <w:rPr>
          <w:rFonts w:ascii="Times New Roman" w:hAnsi="Times New Roman" w:cs="Times New Roman"/>
          <w:sz w:val="24"/>
          <w:szCs w:val="24"/>
          <w:lang w:val="en-GB"/>
        </w:rPr>
        <w:t> </w:t>
      </w:r>
      <w:proofErr w:type="spellStart"/>
      <w:proofErr w:type="gramStart"/>
      <w:r w:rsidRPr="00C8727F">
        <w:rPr>
          <w:rFonts w:ascii="Times New Roman" w:hAnsi="Times New Roman" w:cs="Times New Roman"/>
          <w:i/>
          <w:iCs/>
          <w:sz w:val="24"/>
          <w:szCs w:val="24"/>
          <w:lang w:val="en-GB"/>
        </w:rPr>
        <w:t>Białostockie</w:t>
      </w:r>
      <w:proofErr w:type="spellEnd"/>
      <w:r w:rsidRPr="00C8727F">
        <w:rPr>
          <w:rFonts w:ascii="Times New Roman" w:hAnsi="Times New Roman" w:cs="Times New Roman"/>
          <w:i/>
          <w:iCs/>
          <w:sz w:val="24"/>
          <w:szCs w:val="24"/>
          <w:lang w:val="en-GB"/>
        </w:rPr>
        <w:t xml:space="preserve"> </w:t>
      </w:r>
      <w:proofErr w:type="spellStart"/>
      <w:r w:rsidRPr="00C8727F">
        <w:rPr>
          <w:rFonts w:ascii="Times New Roman" w:hAnsi="Times New Roman" w:cs="Times New Roman"/>
          <w:i/>
          <w:iCs/>
          <w:sz w:val="24"/>
          <w:szCs w:val="24"/>
          <w:lang w:val="en-GB"/>
        </w:rPr>
        <w:t>Studia</w:t>
      </w:r>
      <w:proofErr w:type="spellEnd"/>
      <w:r w:rsidRPr="00C8727F">
        <w:rPr>
          <w:rFonts w:ascii="Times New Roman" w:hAnsi="Times New Roman" w:cs="Times New Roman"/>
          <w:i/>
          <w:iCs/>
          <w:sz w:val="24"/>
          <w:szCs w:val="24"/>
          <w:lang w:val="en-GB"/>
        </w:rPr>
        <w:t xml:space="preserve"> </w:t>
      </w:r>
      <w:proofErr w:type="spellStart"/>
      <w:r w:rsidRPr="00C8727F">
        <w:rPr>
          <w:rFonts w:ascii="Times New Roman" w:hAnsi="Times New Roman" w:cs="Times New Roman"/>
          <w:i/>
          <w:iCs/>
          <w:sz w:val="24"/>
          <w:szCs w:val="24"/>
          <w:lang w:val="en-GB"/>
        </w:rPr>
        <w:t>Prawnicze</w:t>
      </w:r>
      <w:proofErr w:type="spellEnd"/>
      <w:r w:rsidRPr="00C8727F">
        <w:rPr>
          <w:rFonts w:ascii="Times New Roman" w:hAnsi="Times New Roman" w:cs="Times New Roman"/>
          <w:sz w:val="24"/>
          <w:szCs w:val="24"/>
          <w:lang w:val="en-GB"/>
        </w:rPr>
        <w:t>, </w:t>
      </w:r>
      <w:r w:rsidRPr="00C8727F">
        <w:rPr>
          <w:rFonts w:ascii="Times New Roman" w:hAnsi="Times New Roman" w:cs="Times New Roman"/>
          <w:i/>
          <w:iCs/>
          <w:sz w:val="24"/>
          <w:szCs w:val="24"/>
          <w:lang w:val="en-GB"/>
        </w:rPr>
        <w:t>2</w:t>
      </w:r>
      <w:r w:rsidRPr="00C8727F">
        <w:rPr>
          <w:rFonts w:ascii="Times New Roman" w:hAnsi="Times New Roman" w:cs="Times New Roman"/>
          <w:sz w:val="24"/>
          <w:szCs w:val="24"/>
          <w:lang w:val="en-GB"/>
        </w:rPr>
        <w:t>(23), pp.9-24.</w:t>
      </w:r>
      <w:proofErr w:type="gramEnd"/>
    </w:p>
    <w:p w:rsidR="00C8727F" w:rsidRPr="00C8727F" w:rsidRDefault="00C8727F" w:rsidP="00C8727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C8727F">
        <w:rPr>
          <w:rFonts w:ascii="Times New Roman" w:eastAsia="Times New Roman" w:hAnsi="Times New Roman" w:cs="Times New Roman"/>
          <w:color w:val="222222"/>
          <w:sz w:val="24"/>
          <w:szCs w:val="24"/>
          <w:highlight w:val="white"/>
          <w:lang w:val="en-GB"/>
        </w:rPr>
        <w:t>Kelemen</w:t>
      </w:r>
      <w:proofErr w:type="spellEnd"/>
      <w:r w:rsidRPr="00C8727F">
        <w:rPr>
          <w:rFonts w:ascii="Times New Roman" w:eastAsia="Times New Roman" w:hAnsi="Times New Roman" w:cs="Times New Roman"/>
          <w:color w:val="222222"/>
          <w:sz w:val="24"/>
          <w:szCs w:val="24"/>
          <w:highlight w:val="white"/>
          <w:lang w:val="en-GB"/>
        </w:rPr>
        <w:t xml:space="preserve">, R.D. and Laurent, P.E.C.H., (2019). The uses and abuses of constitutional pluralism: undermining the rule of law in the name of constitutional identity in Hungary and Poland. </w:t>
      </w:r>
      <w:proofErr w:type="gramStart"/>
      <w:r w:rsidRPr="00C8727F">
        <w:rPr>
          <w:rFonts w:ascii="Times New Roman" w:eastAsia="Times New Roman" w:hAnsi="Times New Roman" w:cs="Times New Roman"/>
          <w:i/>
          <w:color w:val="222222"/>
          <w:sz w:val="24"/>
          <w:szCs w:val="24"/>
          <w:highlight w:val="white"/>
          <w:lang w:val="en-GB"/>
        </w:rPr>
        <w:t>Cambridge Yearbook of European Legal Studies</w:t>
      </w:r>
      <w:r w:rsidRPr="00C8727F">
        <w:rPr>
          <w:rFonts w:ascii="Times New Roman" w:eastAsia="Times New Roman" w:hAnsi="Times New Roman" w:cs="Times New Roman"/>
          <w:color w:val="222222"/>
          <w:sz w:val="24"/>
          <w:szCs w:val="24"/>
          <w:highlight w:val="white"/>
          <w:lang w:val="en-GB"/>
        </w:rPr>
        <w:t xml:space="preserve">, </w:t>
      </w:r>
      <w:r w:rsidRPr="00C8727F">
        <w:rPr>
          <w:rFonts w:ascii="Times New Roman" w:eastAsia="Times New Roman" w:hAnsi="Times New Roman" w:cs="Times New Roman"/>
          <w:i/>
          <w:color w:val="222222"/>
          <w:sz w:val="24"/>
          <w:szCs w:val="24"/>
          <w:highlight w:val="white"/>
          <w:lang w:val="en-GB"/>
        </w:rPr>
        <w:t>21</w:t>
      </w:r>
      <w:r w:rsidRPr="00C8727F">
        <w:rPr>
          <w:rFonts w:ascii="Times New Roman" w:eastAsia="Times New Roman" w:hAnsi="Times New Roman" w:cs="Times New Roman"/>
          <w:color w:val="222222"/>
          <w:sz w:val="24"/>
          <w:szCs w:val="24"/>
          <w:highlight w:val="white"/>
          <w:lang w:val="en-GB"/>
        </w:rPr>
        <w:t>, pp.59-74.</w:t>
      </w:r>
      <w:proofErr w:type="gramEnd"/>
    </w:p>
    <w:p w:rsidR="00C8727F" w:rsidRPr="00C8727F" w:rsidRDefault="00C8727F" w:rsidP="00C8727F">
      <w:pPr>
        <w:spacing w:line="360" w:lineRule="auto"/>
        <w:jc w:val="both"/>
        <w:rPr>
          <w:rFonts w:ascii="Times New Roman" w:hAnsi="Times New Roman" w:cs="Times New Roman"/>
          <w:sz w:val="24"/>
          <w:szCs w:val="24"/>
          <w:lang w:val="en-GB"/>
        </w:rPr>
      </w:pPr>
      <w:r w:rsidRPr="00C8727F">
        <w:rPr>
          <w:rFonts w:ascii="Times New Roman" w:hAnsi="Times New Roman" w:cs="Times New Roman"/>
          <w:sz w:val="24"/>
          <w:szCs w:val="24"/>
          <w:lang w:val="en-GB"/>
        </w:rPr>
        <w:t>Mancini, I., (2019). The Horizontal Effect of Fundamental Rights in the European Union: A Constitutional Analysis. </w:t>
      </w:r>
      <w:proofErr w:type="spellStart"/>
      <w:proofErr w:type="gramStart"/>
      <w:r w:rsidRPr="00C8727F">
        <w:rPr>
          <w:rFonts w:ascii="Times New Roman" w:hAnsi="Times New Roman" w:cs="Times New Roman"/>
          <w:i/>
          <w:iCs/>
          <w:sz w:val="24"/>
          <w:szCs w:val="24"/>
          <w:lang w:val="en-GB"/>
        </w:rPr>
        <w:t>Eueopean</w:t>
      </w:r>
      <w:proofErr w:type="spellEnd"/>
      <w:r w:rsidRPr="00C8727F">
        <w:rPr>
          <w:rFonts w:ascii="Times New Roman" w:hAnsi="Times New Roman" w:cs="Times New Roman"/>
          <w:i/>
          <w:iCs/>
          <w:sz w:val="24"/>
          <w:szCs w:val="24"/>
          <w:lang w:val="en-GB"/>
        </w:rPr>
        <w:t xml:space="preserve"> Law Review</w:t>
      </w:r>
      <w:r w:rsidRPr="00C8727F">
        <w:rPr>
          <w:rFonts w:ascii="Times New Roman" w:hAnsi="Times New Roman" w:cs="Times New Roman"/>
          <w:sz w:val="24"/>
          <w:szCs w:val="24"/>
          <w:lang w:val="en-GB"/>
        </w:rPr>
        <w:t>, </w:t>
      </w:r>
      <w:r w:rsidRPr="00C8727F">
        <w:rPr>
          <w:rFonts w:ascii="Times New Roman" w:hAnsi="Times New Roman" w:cs="Times New Roman"/>
          <w:i/>
          <w:iCs/>
          <w:sz w:val="24"/>
          <w:szCs w:val="24"/>
          <w:lang w:val="en-GB"/>
        </w:rPr>
        <w:t>44</w:t>
      </w:r>
      <w:r w:rsidRPr="00C8727F">
        <w:rPr>
          <w:rFonts w:ascii="Times New Roman" w:hAnsi="Times New Roman" w:cs="Times New Roman"/>
          <w:sz w:val="24"/>
          <w:szCs w:val="24"/>
          <w:lang w:val="en-GB"/>
        </w:rPr>
        <w:t>(5), pp.730-733.</w:t>
      </w:r>
      <w:proofErr w:type="gramEnd"/>
    </w:p>
    <w:p w:rsidR="00C8727F" w:rsidRPr="00C8727F" w:rsidRDefault="00C8727F" w:rsidP="00C8727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r w:rsidRPr="00C8727F">
        <w:rPr>
          <w:rFonts w:ascii="Times New Roman" w:eastAsia="Times New Roman" w:hAnsi="Times New Roman" w:cs="Times New Roman"/>
          <w:color w:val="222222"/>
          <w:sz w:val="24"/>
          <w:szCs w:val="24"/>
          <w:highlight w:val="white"/>
          <w:lang w:val="en-GB"/>
        </w:rPr>
        <w:t>Markkula</w:t>
      </w:r>
      <w:proofErr w:type="spellEnd"/>
      <w:r w:rsidRPr="00C8727F">
        <w:rPr>
          <w:rFonts w:ascii="Times New Roman" w:eastAsia="Times New Roman" w:hAnsi="Times New Roman" w:cs="Times New Roman"/>
          <w:color w:val="222222"/>
          <w:sz w:val="24"/>
          <w:szCs w:val="24"/>
          <w:highlight w:val="white"/>
          <w:lang w:val="en-GB"/>
        </w:rPr>
        <w:t xml:space="preserve">, G., Madigan, R., Nathanael, D., </w:t>
      </w:r>
      <w:proofErr w:type="spellStart"/>
      <w:r w:rsidRPr="00C8727F">
        <w:rPr>
          <w:rFonts w:ascii="Times New Roman" w:eastAsia="Times New Roman" w:hAnsi="Times New Roman" w:cs="Times New Roman"/>
          <w:color w:val="222222"/>
          <w:sz w:val="24"/>
          <w:szCs w:val="24"/>
          <w:highlight w:val="white"/>
          <w:lang w:val="en-GB"/>
        </w:rPr>
        <w:t>Portouli</w:t>
      </w:r>
      <w:proofErr w:type="spellEnd"/>
      <w:r w:rsidRPr="00C8727F">
        <w:rPr>
          <w:rFonts w:ascii="Times New Roman" w:eastAsia="Times New Roman" w:hAnsi="Times New Roman" w:cs="Times New Roman"/>
          <w:color w:val="222222"/>
          <w:sz w:val="24"/>
          <w:szCs w:val="24"/>
          <w:highlight w:val="white"/>
          <w:lang w:val="en-GB"/>
        </w:rPr>
        <w:t xml:space="preserve">, E., Lee, Y.M., Dietrich, A., </w:t>
      </w:r>
      <w:proofErr w:type="spellStart"/>
      <w:r w:rsidRPr="00C8727F">
        <w:rPr>
          <w:rFonts w:ascii="Times New Roman" w:eastAsia="Times New Roman" w:hAnsi="Times New Roman" w:cs="Times New Roman"/>
          <w:color w:val="222222"/>
          <w:sz w:val="24"/>
          <w:szCs w:val="24"/>
          <w:highlight w:val="white"/>
          <w:lang w:val="en-GB"/>
        </w:rPr>
        <w:t>Billington</w:t>
      </w:r>
      <w:proofErr w:type="spellEnd"/>
      <w:r w:rsidRPr="00C8727F">
        <w:rPr>
          <w:rFonts w:ascii="Times New Roman" w:eastAsia="Times New Roman" w:hAnsi="Times New Roman" w:cs="Times New Roman"/>
          <w:color w:val="222222"/>
          <w:sz w:val="24"/>
          <w:szCs w:val="24"/>
          <w:highlight w:val="white"/>
          <w:lang w:val="en-GB"/>
        </w:rPr>
        <w:t xml:space="preserve">, J., </w:t>
      </w:r>
      <w:proofErr w:type="spellStart"/>
      <w:r w:rsidRPr="00C8727F">
        <w:rPr>
          <w:rFonts w:ascii="Times New Roman" w:eastAsia="Times New Roman" w:hAnsi="Times New Roman" w:cs="Times New Roman"/>
          <w:color w:val="222222"/>
          <w:sz w:val="24"/>
          <w:szCs w:val="24"/>
          <w:highlight w:val="white"/>
          <w:lang w:val="en-GB"/>
        </w:rPr>
        <w:t>Schieben</w:t>
      </w:r>
      <w:proofErr w:type="spellEnd"/>
      <w:r w:rsidRPr="00C8727F">
        <w:rPr>
          <w:rFonts w:ascii="Times New Roman" w:eastAsia="Times New Roman" w:hAnsi="Times New Roman" w:cs="Times New Roman"/>
          <w:color w:val="222222"/>
          <w:sz w:val="24"/>
          <w:szCs w:val="24"/>
          <w:highlight w:val="white"/>
          <w:lang w:val="en-GB"/>
        </w:rPr>
        <w:t xml:space="preserve">, A. and </w:t>
      </w:r>
      <w:proofErr w:type="spellStart"/>
      <w:r w:rsidRPr="00C8727F">
        <w:rPr>
          <w:rFonts w:ascii="Times New Roman" w:eastAsia="Times New Roman" w:hAnsi="Times New Roman" w:cs="Times New Roman"/>
          <w:color w:val="222222"/>
          <w:sz w:val="24"/>
          <w:szCs w:val="24"/>
          <w:highlight w:val="white"/>
          <w:lang w:val="en-GB"/>
        </w:rPr>
        <w:t>Merat</w:t>
      </w:r>
      <w:proofErr w:type="spellEnd"/>
      <w:r w:rsidRPr="00C8727F">
        <w:rPr>
          <w:rFonts w:ascii="Times New Roman" w:eastAsia="Times New Roman" w:hAnsi="Times New Roman" w:cs="Times New Roman"/>
          <w:color w:val="222222"/>
          <w:sz w:val="24"/>
          <w:szCs w:val="24"/>
          <w:highlight w:val="white"/>
          <w:lang w:val="en-GB"/>
        </w:rPr>
        <w:t xml:space="preserve">, N., (2020). </w:t>
      </w:r>
      <w:proofErr w:type="gramStart"/>
      <w:r w:rsidRPr="00C8727F">
        <w:rPr>
          <w:rFonts w:ascii="Times New Roman" w:eastAsia="Times New Roman" w:hAnsi="Times New Roman" w:cs="Times New Roman"/>
          <w:color w:val="222222"/>
          <w:sz w:val="24"/>
          <w:szCs w:val="24"/>
          <w:highlight w:val="white"/>
          <w:lang w:val="en-GB"/>
        </w:rPr>
        <w:t xml:space="preserve">Defining interactions: A conceptual framework for </w:t>
      </w:r>
      <w:r w:rsidRPr="00C8727F">
        <w:rPr>
          <w:rFonts w:ascii="Times New Roman" w:eastAsia="Times New Roman" w:hAnsi="Times New Roman" w:cs="Times New Roman"/>
          <w:color w:val="222222"/>
          <w:sz w:val="24"/>
          <w:szCs w:val="24"/>
          <w:highlight w:val="white"/>
          <w:lang w:val="en-GB"/>
        </w:rPr>
        <w:lastRenderedPageBreak/>
        <w:t>understanding interactive behaviour in human and automated road traffic.</w:t>
      </w:r>
      <w:proofErr w:type="gramEnd"/>
      <w:r w:rsidRPr="00C8727F">
        <w:rPr>
          <w:rFonts w:ascii="Times New Roman" w:eastAsia="Times New Roman" w:hAnsi="Times New Roman" w:cs="Times New Roman"/>
          <w:color w:val="222222"/>
          <w:sz w:val="24"/>
          <w:szCs w:val="24"/>
          <w:highlight w:val="white"/>
          <w:lang w:val="en-GB"/>
        </w:rPr>
        <w:t xml:space="preserve"> </w:t>
      </w:r>
      <w:proofErr w:type="gramStart"/>
      <w:r w:rsidRPr="00C8727F">
        <w:rPr>
          <w:rFonts w:ascii="Times New Roman" w:eastAsia="Times New Roman" w:hAnsi="Times New Roman" w:cs="Times New Roman"/>
          <w:i/>
          <w:color w:val="222222"/>
          <w:sz w:val="24"/>
          <w:szCs w:val="24"/>
          <w:highlight w:val="white"/>
          <w:lang w:val="en-GB"/>
        </w:rPr>
        <w:t>Theoretical Issues in Ergonomics Science</w:t>
      </w:r>
      <w:r w:rsidRPr="00C8727F">
        <w:rPr>
          <w:rFonts w:ascii="Times New Roman" w:eastAsia="Times New Roman" w:hAnsi="Times New Roman" w:cs="Times New Roman"/>
          <w:color w:val="222222"/>
          <w:sz w:val="24"/>
          <w:szCs w:val="24"/>
          <w:highlight w:val="white"/>
          <w:lang w:val="en-GB"/>
        </w:rPr>
        <w:t xml:space="preserve">, </w:t>
      </w:r>
      <w:r w:rsidRPr="00C8727F">
        <w:rPr>
          <w:rFonts w:ascii="Times New Roman" w:eastAsia="Times New Roman" w:hAnsi="Times New Roman" w:cs="Times New Roman"/>
          <w:i/>
          <w:color w:val="222222"/>
          <w:sz w:val="24"/>
          <w:szCs w:val="24"/>
          <w:highlight w:val="white"/>
          <w:lang w:val="en-GB"/>
        </w:rPr>
        <w:t>21</w:t>
      </w:r>
      <w:r w:rsidRPr="00C8727F">
        <w:rPr>
          <w:rFonts w:ascii="Times New Roman" w:eastAsia="Times New Roman" w:hAnsi="Times New Roman" w:cs="Times New Roman"/>
          <w:color w:val="222222"/>
          <w:sz w:val="24"/>
          <w:szCs w:val="24"/>
          <w:highlight w:val="white"/>
          <w:lang w:val="en-GB"/>
        </w:rPr>
        <w:t>(6), pp.728-752.</w:t>
      </w:r>
      <w:proofErr w:type="gramEnd"/>
    </w:p>
    <w:p w:rsidR="00C8727F" w:rsidRPr="00C8727F" w:rsidRDefault="00C8727F" w:rsidP="00C8727F">
      <w:pPr>
        <w:spacing w:line="360" w:lineRule="auto"/>
        <w:jc w:val="both"/>
        <w:rPr>
          <w:rFonts w:ascii="Times New Roman" w:hAnsi="Times New Roman" w:cs="Times New Roman"/>
          <w:sz w:val="24"/>
          <w:szCs w:val="24"/>
          <w:lang w:val="en-GB"/>
        </w:rPr>
      </w:pPr>
      <w:proofErr w:type="spellStart"/>
      <w:r w:rsidRPr="00C8727F">
        <w:rPr>
          <w:rFonts w:ascii="Times New Roman" w:hAnsi="Times New Roman" w:cs="Times New Roman"/>
          <w:sz w:val="24"/>
          <w:szCs w:val="24"/>
          <w:lang w:val="en-GB"/>
        </w:rPr>
        <w:t>Marson</w:t>
      </w:r>
      <w:proofErr w:type="spellEnd"/>
      <w:r w:rsidRPr="00C8727F">
        <w:rPr>
          <w:rFonts w:ascii="Times New Roman" w:hAnsi="Times New Roman" w:cs="Times New Roman"/>
          <w:sz w:val="24"/>
          <w:szCs w:val="24"/>
          <w:lang w:val="en-GB"/>
        </w:rPr>
        <w:t xml:space="preserve">, J. and Ferris, K., (2020). The compatibility of English law with the motor vehicle insurance directives: The courts </w:t>
      </w:r>
      <w:proofErr w:type="spellStart"/>
      <w:r w:rsidRPr="00C8727F">
        <w:rPr>
          <w:rFonts w:ascii="Times New Roman" w:hAnsi="Times New Roman" w:cs="Times New Roman"/>
          <w:sz w:val="24"/>
          <w:szCs w:val="24"/>
          <w:lang w:val="en-GB"/>
        </w:rPr>
        <w:t>giveth</w:t>
      </w:r>
      <w:proofErr w:type="spellEnd"/>
      <w:r w:rsidRPr="00C8727F">
        <w:rPr>
          <w:rFonts w:ascii="Times New Roman" w:hAnsi="Times New Roman" w:cs="Times New Roman"/>
          <w:sz w:val="24"/>
          <w:szCs w:val="24"/>
          <w:lang w:val="en-GB"/>
        </w:rPr>
        <w:t xml:space="preserve">… at least until </w:t>
      </w:r>
      <w:proofErr w:type="spellStart"/>
      <w:r w:rsidRPr="00C8727F">
        <w:rPr>
          <w:rFonts w:ascii="Times New Roman" w:hAnsi="Times New Roman" w:cs="Times New Roman"/>
          <w:sz w:val="24"/>
          <w:szCs w:val="24"/>
          <w:lang w:val="en-GB"/>
        </w:rPr>
        <w:t>brexit</w:t>
      </w:r>
      <w:proofErr w:type="spellEnd"/>
      <w:r w:rsidRPr="00C8727F">
        <w:rPr>
          <w:rFonts w:ascii="Times New Roman" w:hAnsi="Times New Roman" w:cs="Times New Roman"/>
          <w:sz w:val="24"/>
          <w:szCs w:val="24"/>
          <w:lang w:val="en-GB"/>
        </w:rPr>
        <w:t xml:space="preserve"> day. </w:t>
      </w:r>
      <w:proofErr w:type="gramStart"/>
      <w:r w:rsidRPr="00C8727F">
        <w:rPr>
          <w:rFonts w:ascii="Times New Roman" w:hAnsi="Times New Roman" w:cs="Times New Roman"/>
          <w:i/>
          <w:iCs/>
          <w:sz w:val="24"/>
          <w:szCs w:val="24"/>
          <w:lang w:val="en-GB"/>
        </w:rPr>
        <w:t>Law quarterly review</w:t>
      </w:r>
      <w:r w:rsidRPr="00C8727F">
        <w:rPr>
          <w:rFonts w:ascii="Times New Roman" w:hAnsi="Times New Roman" w:cs="Times New Roman"/>
          <w:sz w:val="24"/>
          <w:szCs w:val="24"/>
          <w:lang w:val="en-GB"/>
        </w:rPr>
        <w:t>, </w:t>
      </w:r>
      <w:r w:rsidRPr="00C8727F">
        <w:rPr>
          <w:rFonts w:ascii="Times New Roman" w:hAnsi="Times New Roman" w:cs="Times New Roman"/>
          <w:i/>
          <w:iCs/>
          <w:sz w:val="24"/>
          <w:szCs w:val="24"/>
          <w:lang w:val="en-GB"/>
        </w:rPr>
        <w:t>136</w:t>
      </w:r>
      <w:r w:rsidRPr="00C8727F">
        <w:rPr>
          <w:rFonts w:ascii="Times New Roman" w:hAnsi="Times New Roman" w:cs="Times New Roman"/>
          <w:sz w:val="24"/>
          <w:szCs w:val="24"/>
          <w:lang w:val="en-GB"/>
        </w:rPr>
        <w:t>, pp.35-40.</w:t>
      </w:r>
      <w:proofErr w:type="gramEnd"/>
    </w:p>
    <w:p w:rsidR="00C8727F" w:rsidRPr="00C8727F" w:rsidRDefault="00C8727F" w:rsidP="00C8727F">
      <w:pPr>
        <w:spacing w:line="360" w:lineRule="auto"/>
        <w:jc w:val="both"/>
        <w:rPr>
          <w:rFonts w:ascii="Times New Roman" w:hAnsi="Times New Roman" w:cs="Times New Roman"/>
          <w:sz w:val="24"/>
          <w:szCs w:val="24"/>
          <w:lang w:val="en-GB"/>
        </w:rPr>
      </w:pPr>
      <w:r w:rsidRPr="00C8727F">
        <w:rPr>
          <w:rFonts w:ascii="Times New Roman" w:hAnsi="Times New Roman" w:cs="Times New Roman"/>
          <w:sz w:val="24"/>
          <w:szCs w:val="24"/>
          <w:lang w:val="en-GB"/>
        </w:rPr>
        <w:t xml:space="preserve">Muse, H.M., (2020). The Supremacy Doctrine, Direct, and Indirect Effects and State Liability </w:t>
      </w:r>
      <w:proofErr w:type="gramStart"/>
      <w:r w:rsidRPr="00C8727F">
        <w:rPr>
          <w:rFonts w:ascii="Times New Roman" w:hAnsi="Times New Roman" w:cs="Times New Roman"/>
          <w:sz w:val="24"/>
          <w:szCs w:val="24"/>
          <w:lang w:val="en-GB"/>
        </w:rPr>
        <w:t>Under</w:t>
      </w:r>
      <w:proofErr w:type="gramEnd"/>
      <w:r w:rsidRPr="00C8727F">
        <w:rPr>
          <w:rFonts w:ascii="Times New Roman" w:hAnsi="Times New Roman" w:cs="Times New Roman"/>
          <w:sz w:val="24"/>
          <w:szCs w:val="24"/>
          <w:lang w:val="en-GB"/>
        </w:rPr>
        <w:t xml:space="preserve"> EU Law. </w:t>
      </w:r>
      <w:r w:rsidRPr="00C8727F">
        <w:rPr>
          <w:rFonts w:ascii="Times New Roman" w:hAnsi="Times New Roman" w:cs="Times New Roman"/>
          <w:i/>
          <w:iCs/>
          <w:sz w:val="24"/>
          <w:szCs w:val="24"/>
          <w:lang w:val="en-GB"/>
        </w:rPr>
        <w:t xml:space="preserve">Direct, and Indirect Effects and State Liability </w:t>
      </w:r>
      <w:proofErr w:type="gramStart"/>
      <w:r w:rsidRPr="00C8727F">
        <w:rPr>
          <w:rFonts w:ascii="Times New Roman" w:hAnsi="Times New Roman" w:cs="Times New Roman"/>
          <w:i/>
          <w:iCs/>
          <w:sz w:val="24"/>
          <w:szCs w:val="24"/>
          <w:lang w:val="en-GB"/>
        </w:rPr>
        <w:t>Under</w:t>
      </w:r>
      <w:proofErr w:type="gramEnd"/>
      <w:r w:rsidRPr="00C8727F">
        <w:rPr>
          <w:rFonts w:ascii="Times New Roman" w:hAnsi="Times New Roman" w:cs="Times New Roman"/>
          <w:i/>
          <w:iCs/>
          <w:sz w:val="24"/>
          <w:szCs w:val="24"/>
          <w:lang w:val="en-GB"/>
        </w:rPr>
        <w:t xml:space="preserve"> EU Law (August 18, (2020))</w:t>
      </w:r>
      <w:r w:rsidRPr="00C8727F">
        <w:rPr>
          <w:rFonts w:ascii="Times New Roman" w:hAnsi="Times New Roman" w:cs="Times New Roman"/>
          <w:sz w:val="24"/>
          <w:szCs w:val="24"/>
          <w:lang w:val="en-GB"/>
        </w:rPr>
        <w:t>.</w:t>
      </w:r>
    </w:p>
    <w:p w:rsidR="00C8727F" w:rsidRPr="00C8727F" w:rsidRDefault="00C8727F" w:rsidP="00C8727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proofErr w:type="gramStart"/>
      <w:r w:rsidRPr="00C8727F">
        <w:rPr>
          <w:rFonts w:ascii="Times New Roman" w:eastAsia="Times New Roman" w:hAnsi="Times New Roman" w:cs="Times New Roman"/>
          <w:color w:val="222222"/>
          <w:sz w:val="24"/>
          <w:szCs w:val="24"/>
          <w:highlight w:val="white"/>
          <w:lang w:val="en-GB"/>
        </w:rPr>
        <w:t>Palmirani</w:t>
      </w:r>
      <w:proofErr w:type="spellEnd"/>
      <w:r w:rsidRPr="00C8727F">
        <w:rPr>
          <w:rFonts w:ascii="Times New Roman" w:eastAsia="Times New Roman" w:hAnsi="Times New Roman" w:cs="Times New Roman"/>
          <w:color w:val="222222"/>
          <w:sz w:val="24"/>
          <w:szCs w:val="24"/>
          <w:highlight w:val="white"/>
          <w:lang w:val="en-GB"/>
        </w:rPr>
        <w:t xml:space="preserve">, M., </w:t>
      </w:r>
      <w:proofErr w:type="spellStart"/>
      <w:r w:rsidRPr="00C8727F">
        <w:rPr>
          <w:rFonts w:ascii="Times New Roman" w:eastAsia="Times New Roman" w:hAnsi="Times New Roman" w:cs="Times New Roman"/>
          <w:color w:val="222222"/>
          <w:sz w:val="24"/>
          <w:szCs w:val="24"/>
          <w:highlight w:val="white"/>
          <w:lang w:val="en-GB"/>
        </w:rPr>
        <w:t>Martoni</w:t>
      </w:r>
      <w:proofErr w:type="spellEnd"/>
      <w:r w:rsidRPr="00C8727F">
        <w:rPr>
          <w:rFonts w:ascii="Times New Roman" w:eastAsia="Times New Roman" w:hAnsi="Times New Roman" w:cs="Times New Roman"/>
          <w:color w:val="222222"/>
          <w:sz w:val="24"/>
          <w:szCs w:val="24"/>
          <w:highlight w:val="white"/>
          <w:lang w:val="en-GB"/>
        </w:rPr>
        <w:t xml:space="preserve">, M., Rossi, A., </w:t>
      </w:r>
      <w:proofErr w:type="spellStart"/>
      <w:r w:rsidRPr="00C8727F">
        <w:rPr>
          <w:rFonts w:ascii="Times New Roman" w:eastAsia="Times New Roman" w:hAnsi="Times New Roman" w:cs="Times New Roman"/>
          <w:color w:val="222222"/>
          <w:sz w:val="24"/>
          <w:szCs w:val="24"/>
          <w:highlight w:val="white"/>
          <w:lang w:val="en-GB"/>
        </w:rPr>
        <w:t>Bartolini</w:t>
      </w:r>
      <w:proofErr w:type="spellEnd"/>
      <w:r w:rsidRPr="00C8727F">
        <w:rPr>
          <w:rFonts w:ascii="Times New Roman" w:eastAsia="Times New Roman" w:hAnsi="Times New Roman" w:cs="Times New Roman"/>
          <w:color w:val="222222"/>
          <w:sz w:val="24"/>
          <w:szCs w:val="24"/>
          <w:highlight w:val="white"/>
          <w:lang w:val="en-GB"/>
        </w:rPr>
        <w:t xml:space="preserve">, C. and </w:t>
      </w:r>
      <w:proofErr w:type="spellStart"/>
      <w:r w:rsidRPr="00C8727F">
        <w:rPr>
          <w:rFonts w:ascii="Times New Roman" w:eastAsia="Times New Roman" w:hAnsi="Times New Roman" w:cs="Times New Roman"/>
          <w:color w:val="222222"/>
          <w:sz w:val="24"/>
          <w:szCs w:val="24"/>
          <w:highlight w:val="white"/>
          <w:lang w:val="en-GB"/>
        </w:rPr>
        <w:t>Robaldo</w:t>
      </w:r>
      <w:proofErr w:type="spellEnd"/>
      <w:r w:rsidRPr="00C8727F">
        <w:rPr>
          <w:rFonts w:ascii="Times New Roman" w:eastAsia="Times New Roman" w:hAnsi="Times New Roman" w:cs="Times New Roman"/>
          <w:color w:val="222222"/>
          <w:sz w:val="24"/>
          <w:szCs w:val="24"/>
          <w:highlight w:val="white"/>
          <w:lang w:val="en-GB"/>
        </w:rPr>
        <w:t>, L., (2018), September.</w:t>
      </w:r>
      <w:proofErr w:type="gramEnd"/>
      <w:r w:rsidRPr="00C8727F">
        <w:rPr>
          <w:rFonts w:ascii="Times New Roman" w:eastAsia="Times New Roman" w:hAnsi="Times New Roman" w:cs="Times New Roman"/>
          <w:color w:val="222222"/>
          <w:sz w:val="24"/>
          <w:szCs w:val="24"/>
          <w:highlight w:val="white"/>
          <w:lang w:val="en-GB"/>
        </w:rPr>
        <w:t xml:space="preserve"> Pronto: Privacy ontology for legal reasoning. </w:t>
      </w:r>
      <w:proofErr w:type="gramStart"/>
      <w:r w:rsidRPr="00C8727F">
        <w:rPr>
          <w:rFonts w:ascii="Times New Roman" w:eastAsia="Times New Roman" w:hAnsi="Times New Roman" w:cs="Times New Roman"/>
          <w:color w:val="222222"/>
          <w:sz w:val="24"/>
          <w:szCs w:val="24"/>
          <w:highlight w:val="white"/>
          <w:lang w:val="en-GB"/>
        </w:rPr>
        <w:t xml:space="preserve">In </w:t>
      </w:r>
      <w:r w:rsidRPr="00C8727F">
        <w:rPr>
          <w:rFonts w:ascii="Times New Roman" w:eastAsia="Times New Roman" w:hAnsi="Times New Roman" w:cs="Times New Roman"/>
          <w:i/>
          <w:color w:val="222222"/>
          <w:sz w:val="24"/>
          <w:szCs w:val="24"/>
          <w:highlight w:val="white"/>
          <w:lang w:val="en-GB"/>
        </w:rPr>
        <w:t>International Conference on Electronic Government and the Information Systems Perspective</w:t>
      </w:r>
      <w:r w:rsidRPr="00C8727F">
        <w:rPr>
          <w:rFonts w:ascii="Times New Roman" w:eastAsia="Times New Roman" w:hAnsi="Times New Roman" w:cs="Times New Roman"/>
          <w:color w:val="222222"/>
          <w:sz w:val="24"/>
          <w:szCs w:val="24"/>
          <w:highlight w:val="white"/>
          <w:lang w:val="en-GB"/>
        </w:rPr>
        <w:t xml:space="preserve"> (pp. 139-152).</w:t>
      </w:r>
      <w:proofErr w:type="gramEnd"/>
      <w:r w:rsidRPr="00C8727F">
        <w:rPr>
          <w:rFonts w:ascii="Times New Roman" w:eastAsia="Times New Roman" w:hAnsi="Times New Roman" w:cs="Times New Roman"/>
          <w:color w:val="222222"/>
          <w:sz w:val="24"/>
          <w:szCs w:val="24"/>
          <w:highlight w:val="white"/>
          <w:lang w:val="en-GB"/>
        </w:rPr>
        <w:t xml:space="preserve"> </w:t>
      </w:r>
      <w:proofErr w:type="gramStart"/>
      <w:r w:rsidRPr="00C8727F">
        <w:rPr>
          <w:rFonts w:ascii="Times New Roman" w:eastAsia="Times New Roman" w:hAnsi="Times New Roman" w:cs="Times New Roman"/>
          <w:color w:val="222222"/>
          <w:sz w:val="24"/>
          <w:szCs w:val="24"/>
          <w:highlight w:val="white"/>
          <w:lang w:val="en-GB"/>
        </w:rPr>
        <w:t>Springer, Cham.</w:t>
      </w:r>
      <w:proofErr w:type="gramEnd"/>
    </w:p>
    <w:p w:rsidR="00C8727F" w:rsidRPr="00C8727F" w:rsidRDefault="00C8727F" w:rsidP="00C8727F">
      <w:pPr>
        <w:pStyle w:val="Normal1"/>
        <w:spacing w:line="360" w:lineRule="auto"/>
        <w:jc w:val="both"/>
        <w:rPr>
          <w:rFonts w:ascii="Times New Roman" w:eastAsia="Times New Roman" w:hAnsi="Times New Roman" w:cs="Times New Roman"/>
          <w:color w:val="222222"/>
          <w:sz w:val="24"/>
          <w:szCs w:val="24"/>
          <w:highlight w:val="white"/>
          <w:lang w:val="en-GB"/>
        </w:rPr>
      </w:pPr>
      <w:proofErr w:type="spellStart"/>
      <w:proofErr w:type="gramStart"/>
      <w:r w:rsidRPr="00C8727F">
        <w:rPr>
          <w:rFonts w:ascii="Times New Roman" w:eastAsia="Times New Roman" w:hAnsi="Times New Roman" w:cs="Times New Roman"/>
          <w:color w:val="222222"/>
          <w:sz w:val="24"/>
          <w:szCs w:val="24"/>
          <w:highlight w:val="white"/>
          <w:lang w:val="en-GB"/>
        </w:rPr>
        <w:t>Scheppele</w:t>
      </w:r>
      <w:proofErr w:type="spellEnd"/>
      <w:r w:rsidRPr="00C8727F">
        <w:rPr>
          <w:rFonts w:ascii="Times New Roman" w:eastAsia="Times New Roman" w:hAnsi="Times New Roman" w:cs="Times New Roman"/>
          <w:color w:val="222222"/>
          <w:sz w:val="24"/>
          <w:szCs w:val="24"/>
          <w:highlight w:val="white"/>
          <w:lang w:val="en-GB"/>
        </w:rPr>
        <w:t xml:space="preserve">, K.L., </w:t>
      </w:r>
      <w:proofErr w:type="spellStart"/>
      <w:r w:rsidRPr="00C8727F">
        <w:rPr>
          <w:rFonts w:ascii="Times New Roman" w:eastAsia="Times New Roman" w:hAnsi="Times New Roman" w:cs="Times New Roman"/>
          <w:color w:val="222222"/>
          <w:sz w:val="24"/>
          <w:szCs w:val="24"/>
          <w:highlight w:val="white"/>
          <w:lang w:val="en-GB"/>
        </w:rPr>
        <w:t>Kochenov</w:t>
      </w:r>
      <w:proofErr w:type="spellEnd"/>
      <w:r w:rsidRPr="00C8727F">
        <w:rPr>
          <w:rFonts w:ascii="Times New Roman" w:eastAsia="Times New Roman" w:hAnsi="Times New Roman" w:cs="Times New Roman"/>
          <w:color w:val="222222"/>
          <w:sz w:val="24"/>
          <w:szCs w:val="24"/>
          <w:highlight w:val="white"/>
          <w:lang w:val="en-GB"/>
        </w:rPr>
        <w:t xml:space="preserve">, D.V. and </w:t>
      </w:r>
      <w:proofErr w:type="spellStart"/>
      <w:r w:rsidRPr="00C8727F">
        <w:rPr>
          <w:rFonts w:ascii="Times New Roman" w:eastAsia="Times New Roman" w:hAnsi="Times New Roman" w:cs="Times New Roman"/>
          <w:color w:val="222222"/>
          <w:sz w:val="24"/>
          <w:szCs w:val="24"/>
          <w:highlight w:val="white"/>
          <w:lang w:val="en-GB"/>
        </w:rPr>
        <w:t>Grabowska-Moroz</w:t>
      </w:r>
      <w:proofErr w:type="spellEnd"/>
      <w:r w:rsidRPr="00C8727F">
        <w:rPr>
          <w:rFonts w:ascii="Times New Roman" w:eastAsia="Times New Roman" w:hAnsi="Times New Roman" w:cs="Times New Roman"/>
          <w:color w:val="222222"/>
          <w:sz w:val="24"/>
          <w:szCs w:val="24"/>
          <w:highlight w:val="white"/>
          <w:lang w:val="en-GB"/>
        </w:rPr>
        <w:t>, B., (2021).</w:t>
      </w:r>
      <w:proofErr w:type="gramEnd"/>
      <w:r w:rsidRPr="00C8727F">
        <w:rPr>
          <w:rFonts w:ascii="Times New Roman" w:eastAsia="Times New Roman" w:hAnsi="Times New Roman" w:cs="Times New Roman"/>
          <w:color w:val="222222"/>
          <w:sz w:val="24"/>
          <w:szCs w:val="24"/>
          <w:highlight w:val="white"/>
          <w:lang w:val="en-GB"/>
        </w:rPr>
        <w:t xml:space="preserve"> EU values are law, after all: Enforcing EU values through systemic infringement actions by the European Commission and the member states of the European Union. </w:t>
      </w:r>
      <w:r w:rsidRPr="00C8727F">
        <w:rPr>
          <w:rFonts w:ascii="Times New Roman" w:eastAsia="Times New Roman" w:hAnsi="Times New Roman" w:cs="Times New Roman"/>
          <w:i/>
          <w:color w:val="222222"/>
          <w:sz w:val="24"/>
          <w:szCs w:val="24"/>
          <w:highlight w:val="white"/>
          <w:lang w:val="en-GB"/>
        </w:rPr>
        <w:t>Yearbook of European law</w:t>
      </w:r>
      <w:r w:rsidRPr="00C8727F">
        <w:rPr>
          <w:rFonts w:ascii="Times New Roman" w:eastAsia="Times New Roman" w:hAnsi="Times New Roman" w:cs="Times New Roman"/>
          <w:color w:val="222222"/>
          <w:sz w:val="24"/>
          <w:szCs w:val="24"/>
          <w:highlight w:val="white"/>
          <w:lang w:val="en-GB"/>
        </w:rPr>
        <w:t xml:space="preserve">, </w:t>
      </w:r>
      <w:r w:rsidRPr="00C8727F">
        <w:rPr>
          <w:rFonts w:ascii="Times New Roman" w:eastAsia="Times New Roman" w:hAnsi="Times New Roman" w:cs="Times New Roman"/>
          <w:i/>
          <w:color w:val="222222"/>
          <w:sz w:val="24"/>
          <w:szCs w:val="24"/>
          <w:highlight w:val="white"/>
          <w:lang w:val="en-GB"/>
        </w:rPr>
        <w:t>39</w:t>
      </w:r>
      <w:r w:rsidRPr="00C8727F">
        <w:rPr>
          <w:rFonts w:ascii="Times New Roman" w:eastAsia="Times New Roman" w:hAnsi="Times New Roman" w:cs="Times New Roman"/>
          <w:color w:val="222222"/>
          <w:sz w:val="24"/>
          <w:szCs w:val="24"/>
          <w:highlight w:val="white"/>
          <w:lang w:val="en-GB"/>
        </w:rPr>
        <w:t>, pp.3-121.</w:t>
      </w:r>
    </w:p>
    <w:p w:rsidR="00C8727F" w:rsidRPr="00C8727F" w:rsidRDefault="00C8727F" w:rsidP="00C8727F">
      <w:pPr>
        <w:spacing w:line="360" w:lineRule="auto"/>
        <w:jc w:val="both"/>
        <w:rPr>
          <w:rFonts w:ascii="Times New Roman" w:hAnsi="Times New Roman" w:cs="Times New Roman"/>
          <w:sz w:val="24"/>
          <w:szCs w:val="24"/>
          <w:lang w:val="en-GB"/>
        </w:rPr>
      </w:pPr>
      <w:r w:rsidRPr="00C8727F">
        <w:rPr>
          <w:rFonts w:ascii="Times New Roman" w:hAnsi="Times New Roman" w:cs="Times New Roman"/>
          <w:sz w:val="24"/>
          <w:szCs w:val="24"/>
          <w:lang w:val="en-GB"/>
        </w:rPr>
        <w:t xml:space="preserve">TAS, S.N., (2021). </w:t>
      </w:r>
      <w:proofErr w:type="spellStart"/>
      <w:r w:rsidRPr="00C8727F">
        <w:rPr>
          <w:rFonts w:ascii="Times New Roman" w:hAnsi="Times New Roman" w:cs="Times New Roman"/>
          <w:sz w:val="24"/>
          <w:szCs w:val="24"/>
          <w:lang w:val="en-GB"/>
        </w:rPr>
        <w:t>Defrenne</w:t>
      </w:r>
      <w:proofErr w:type="spellEnd"/>
      <w:r w:rsidRPr="00C8727F">
        <w:rPr>
          <w:rFonts w:ascii="Times New Roman" w:hAnsi="Times New Roman" w:cs="Times New Roman"/>
          <w:sz w:val="24"/>
          <w:szCs w:val="24"/>
          <w:lang w:val="en-GB"/>
        </w:rPr>
        <w:t xml:space="preserve"> v SABENA: a landmark case with untapped potential. </w:t>
      </w:r>
      <w:proofErr w:type="gramStart"/>
      <w:r w:rsidRPr="00C8727F">
        <w:rPr>
          <w:rFonts w:ascii="Times New Roman" w:hAnsi="Times New Roman" w:cs="Times New Roman"/>
          <w:i/>
          <w:iCs/>
          <w:sz w:val="24"/>
          <w:szCs w:val="24"/>
          <w:lang w:val="en-GB"/>
        </w:rPr>
        <w:t>European Papers</w:t>
      </w:r>
      <w:r w:rsidRPr="00C8727F">
        <w:rPr>
          <w:rFonts w:ascii="Times New Roman" w:hAnsi="Times New Roman" w:cs="Times New Roman"/>
          <w:sz w:val="24"/>
          <w:szCs w:val="24"/>
          <w:lang w:val="en-GB"/>
        </w:rPr>
        <w:t>, </w:t>
      </w:r>
      <w:r w:rsidRPr="00C8727F">
        <w:rPr>
          <w:rFonts w:ascii="Times New Roman" w:hAnsi="Times New Roman" w:cs="Times New Roman"/>
          <w:i/>
          <w:iCs/>
          <w:sz w:val="24"/>
          <w:szCs w:val="24"/>
          <w:lang w:val="en-GB"/>
        </w:rPr>
        <w:t>6</w:t>
      </w:r>
      <w:r w:rsidRPr="00C8727F">
        <w:rPr>
          <w:rFonts w:ascii="Times New Roman" w:hAnsi="Times New Roman" w:cs="Times New Roman"/>
          <w:sz w:val="24"/>
          <w:szCs w:val="24"/>
          <w:lang w:val="en-GB"/>
        </w:rPr>
        <w:t>, pp.881-890.</w:t>
      </w:r>
      <w:proofErr w:type="gramEnd"/>
    </w:p>
    <w:p w:rsidR="00C8727F" w:rsidRPr="00C8727F" w:rsidRDefault="00C8727F" w:rsidP="00C8727F">
      <w:pPr>
        <w:spacing w:line="360" w:lineRule="auto"/>
        <w:jc w:val="both"/>
        <w:rPr>
          <w:rFonts w:ascii="Times New Roman" w:hAnsi="Times New Roman" w:cs="Times New Roman"/>
          <w:sz w:val="24"/>
          <w:szCs w:val="24"/>
          <w:lang w:val="en-GB"/>
        </w:rPr>
      </w:pPr>
      <w:proofErr w:type="spellStart"/>
      <w:proofErr w:type="gramStart"/>
      <w:r w:rsidRPr="00C8727F">
        <w:rPr>
          <w:rFonts w:ascii="Times New Roman" w:hAnsi="Times New Roman" w:cs="Times New Roman"/>
          <w:sz w:val="24"/>
          <w:szCs w:val="24"/>
          <w:lang w:val="en-GB"/>
        </w:rPr>
        <w:t>Verhulst</w:t>
      </w:r>
      <w:proofErr w:type="spellEnd"/>
      <w:r w:rsidRPr="00C8727F">
        <w:rPr>
          <w:rFonts w:ascii="Times New Roman" w:hAnsi="Times New Roman" w:cs="Times New Roman"/>
          <w:sz w:val="24"/>
          <w:szCs w:val="24"/>
          <w:lang w:val="en-GB"/>
        </w:rPr>
        <w:t>, M., (2021).</w:t>
      </w:r>
      <w:proofErr w:type="gramEnd"/>
      <w:r w:rsidRPr="00C8727F">
        <w:rPr>
          <w:rFonts w:ascii="Times New Roman" w:hAnsi="Times New Roman" w:cs="Times New Roman"/>
          <w:sz w:val="24"/>
          <w:szCs w:val="24"/>
          <w:lang w:val="en-GB"/>
        </w:rPr>
        <w:t xml:space="preserve"> EU right to damages: all praise and glory to the Advocates General. </w:t>
      </w:r>
      <w:proofErr w:type="gramStart"/>
      <w:r w:rsidRPr="00C8727F">
        <w:rPr>
          <w:rFonts w:ascii="Times New Roman" w:hAnsi="Times New Roman" w:cs="Times New Roman"/>
          <w:i/>
          <w:iCs/>
          <w:sz w:val="24"/>
          <w:szCs w:val="24"/>
          <w:lang w:val="en-GB"/>
        </w:rPr>
        <w:t>CCM Blog</w:t>
      </w:r>
      <w:r w:rsidRPr="00C8727F">
        <w:rPr>
          <w:rFonts w:ascii="Times New Roman" w:hAnsi="Times New Roman" w:cs="Times New Roman"/>
          <w:sz w:val="24"/>
          <w:szCs w:val="24"/>
          <w:lang w:val="en-GB"/>
        </w:rPr>
        <w:t>.</w:t>
      </w:r>
      <w:proofErr w:type="gramEnd"/>
    </w:p>
    <w:p w:rsidR="00C8727F" w:rsidRPr="00C8727F" w:rsidRDefault="00C8727F" w:rsidP="00C8727F">
      <w:pPr>
        <w:spacing w:line="360" w:lineRule="auto"/>
        <w:jc w:val="both"/>
        <w:rPr>
          <w:rFonts w:ascii="Times New Roman" w:hAnsi="Times New Roman" w:cs="Times New Roman"/>
          <w:sz w:val="24"/>
          <w:szCs w:val="24"/>
          <w:lang w:val="en-GB"/>
        </w:rPr>
      </w:pPr>
      <w:proofErr w:type="spellStart"/>
      <w:r w:rsidRPr="00C8727F">
        <w:rPr>
          <w:rFonts w:ascii="Times New Roman" w:hAnsi="Times New Roman" w:cs="Times New Roman"/>
          <w:sz w:val="24"/>
          <w:szCs w:val="24"/>
          <w:lang w:val="en-GB"/>
        </w:rPr>
        <w:t>Zaccaroni</w:t>
      </w:r>
      <w:proofErr w:type="spellEnd"/>
      <w:r w:rsidRPr="00C8727F">
        <w:rPr>
          <w:rFonts w:ascii="Times New Roman" w:hAnsi="Times New Roman" w:cs="Times New Roman"/>
          <w:sz w:val="24"/>
          <w:szCs w:val="24"/>
          <w:lang w:val="en-GB"/>
        </w:rPr>
        <w:t xml:space="preserve">, G., (2018). Is the horizontal application of general principles ultra </w:t>
      </w:r>
      <w:proofErr w:type="spellStart"/>
      <w:r w:rsidRPr="00C8727F">
        <w:rPr>
          <w:rFonts w:ascii="Times New Roman" w:hAnsi="Times New Roman" w:cs="Times New Roman"/>
          <w:sz w:val="24"/>
          <w:szCs w:val="24"/>
          <w:lang w:val="en-GB"/>
        </w:rPr>
        <w:t>vires</w:t>
      </w:r>
      <w:proofErr w:type="spellEnd"/>
      <w:r w:rsidRPr="00C8727F">
        <w:rPr>
          <w:rFonts w:ascii="Times New Roman" w:hAnsi="Times New Roman" w:cs="Times New Roman"/>
          <w:sz w:val="24"/>
          <w:szCs w:val="24"/>
          <w:lang w:val="en-GB"/>
        </w:rPr>
        <w:t xml:space="preserve">? </w:t>
      </w:r>
      <w:proofErr w:type="gramStart"/>
      <w:r w:rsidRPr="00C8727F">
        <w:rPr>
          <w:rFonts w:ascii="Times New Roman" w:hAnsi="Times New Roman" w:cs="Times New Roman"/>
          <w:sz w:val="24"/>
          <w:szCs w:val="24"/>
          <w:lang w:val="en-GB"/>
        </w:rPr>
        <w:t xml:space="preserve">Dialogue and conflict between supreme European courts in Dansk </w:t>
      </w:r>
      <w:proofErr w:type="spellStart"/>
      <w:r w:rsidRPr="00C8727F">
        <w:rPr>
          <w:rFonts w:ascii="Times New Roman" w:hAnsi="Times New Roman" w:cs="Times New Roman"/>
          <w:sz w:val="24"/>
          <w:szCs w:val="24"/>
          <w:lang w:val="en-GB"/>
        </w:rPr>
        <w:t>Industri</w:t>
      </w:r>
      <w:proofErr w:type="spellEnd"/>
      <w:r w:rsidRPr="00C8727F">
        <w:rPr>
          <w:rFonts w:ascii="Times New Roman" w:hAnsi="Times New Roman" w:cs="Times New Roman"/>
          <w:sz w:val="24"/>
          <w:szCs w:val="24"/>
          <w:lang w:val="en-GB"/>
        </w:rPr>
        <w:t>.</w:t>
      </w:r>
      <w:proofErr w:type="gramEnd"/>
      <w:r w:rsidRPr="00C8727F">
        <w:rPr>
          <w:rFonts w:ascii="Times New Roman" w:hAnsi="Times New Roman" w:cs="Times New Roman"/>
          <w:sz w:val="24"/>
          <w:szCs w:val="24"/>
          <w:lang w:val="en-GB"/>
        </w:rPr>
        <w:t> </w:t>
      </w:r>
      <w:proofErr w:type="spellStart"/>
      <w:proofErr w:type="gramStart"/>
      <w:r w:rsidRPr="00C8727F">
        <w:rPr>
          <w:rFonts w:ascii="Times New Roman" w:hAnsi="Times New Roman" w:cs="Times New Roman"/>
          <w:i/>
          <w:iCs/>
          <w:sz w:val="24"/>
          <w:szCs w:val="24"/>
          <w:lang w:val="en-GB"/>
        </w:rPr>
        <w:t>Federalismi</w:t>
      </w:r>
      <w:proofErr w:type="spellEnd"/>
      <w:r w:rsidRPr="00C8727F">
        <w:rPr>
          <w:rFonts w:ascii="Times New Roman" w:hAnsi="Times New Roman" w:cs="Times New Roman"/>
          <w:sz w:val="24"/>
          <w:szCs w:val="24"/>
          <w:lang w:val="en-GB"/>
        </w:rPr>
        <w:t>.</w:t>
      </w:r>
      <w:proofErr w:type="gramEnd"/>
    </w:p>
    <w:p w:rsidR="00C8727F" w:rsidRPr="00C8727F" w:rsidRDefault="00C8727F" w:rsidP="005733BB">
      <w:pPr>
        <w:pStyle w:val="Normal1"/>
        <w:spacing w:after="0" w:line="360" w:lineRule="auto"/>
        <w:contextualSpacing/>
        <w:mirrorIndents/>
        <w:jc w:val="both"/>
        <w:rPr>
          <w:rFonts w:ascii="Times New Roman" w:eastAsia="Times New Roman" w:hAnsi="Times New Roman" w:cs="Times New Roman"/>
          <w:sz w:val="24"/>
          <w:szCs w:val="24"/>
          <w:lang w:val="en-GB"/>
        </w:rPr>
      </w:pPr>
    </w:p>
    <w:sectPr w:rsidR="00C8727F" w:rsidRPr="00C8727F" w:rsidSect="00245CB6">
      <w:footerReference w:type="default" r:id="rId10"/>
      <w:pgSz w:w="12240" w:h="15840"/>
      <w:pgMar w:top="1440" w:right="1440" w:bottom="1440" w:left="1440" w:header="720" w:footer="720" w:gutter="0"/>
      <w:pgNumType w:start="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7A0" w:rsidRDefault="00F877A0">
      <w:pPr>
        <w:spacing w:after="0" w:line="240" w:lineRule="auto"/>
      </w:pPr>
      <w:r>
        <w:separator/>
      </w:r>
    </w:p>
  </w:endnote>
  <w:endnote w:type="continuationSeparator" w:id="0">
    <w:p w:rsidR="00F877A0" w:rsidRDefault="00F877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szCs w:val="20"/>
      </w:rPr>
      <w:id w:val="18765475"/>
      <w:docPartObj>
        <w:docPartGallery w:val="Page Numbers (Bottom of Page)"/>
        <w:docPartUnique/>
      </w:docPartObj>
    </w:sdtPr>
    <w:sdtContent>
      <w:p w:rsidR="00245CB6" w:rsidRPr="00E12B31" w:rsidRDefault="00B21A7D" w:rsidP="00E12B31">
        <w:pPr>
          <w:pStyle w:val="Footer"/>
          <w:jc w:val="right"/>
          <w:rPr>
            <w:rFonts w:ascii="Times New Roman" w:hAnsi="Times New Roman" w:cs="Times New Roman"/>
            <w:sz w:val="20"/>
            <w:szCs w:val="20"/>
          </w:rPr>
        </w:pPr>
        <w:r w:rsidRPr="00E12B31">
          <w:rPr>
            <w:rFonts w:ascii="Times New Roman" w:hAnsi="Times New Roman" w:cs="Times New Roman"/>
            <w:sz w:val="20"/>
            <w:szCs w:val="20"/>
          </w:rPr>
          <w:fldChar w:fldCharType="begin"/>
        </w:r>
        <w:r w:rsidR="00852996" w:rsidRPr="00E12B31">
          <w:rPr>
            <w:rFonts w:ascii="Times New Roman" w:hAnsi="Times New Roman" w:cs="Times New Roman"/>
            <w:sz w:val="20"/>
            <w:szCs w:val="20"/>
          </w:rPr>
          <w:instrText xml:space="preserve"> PAGE   \* MERGEFORMAT </w:instrText>
        </w:r>
        <w:r w:rsidRPr="00E12B31">
          <w:rPr>
            <w:rFonts w:ascii="Times New Roman" w:hAnsi="Times New Roman" w:cs="Times New Roman"/>
            <w:sz w:val="20"/>
            <w:szCs w:val="20"/>
          </w:rPr>
          <w:fldChar w:fldCharType="separate"/>
        </w:r>
        <w:r w:rsidR="00C8727F">
          <w:rPr>
            <w:rFonts w:ascii="Times New Roman" w:hAnsi="Times New Roman" w:cs="Times New Roman"/>
            <w:noProof/>
            <w:sz w:val="20"/>
            <w:szCs w:val="20"/>
          </w:rPr>
          <w:t>0</w:t>
        </w:r>
        <w:r w:rsidRPr="00E12B31">
          <w:rPr>
            <w:rFonts w:ascii="Times New Roman" w:hAnsi="Times New Roman" w:cs="Times New Roman"/>
            <w:noProof/>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7A0" w:rsidRDefault="00F877A0">
      <w:pPr>
        <w:spacing w:after="0" w:line="240" w:lineRule="auto"/>
      </w:pPr>
      <w:r>
        <w:separator/>
      </w:r>
    </w:p>
  </w:footnote>
  <w:footnote w:type="continuationSeparator" w:id="0">
    <w:p w:rsidR="00F877A0" w:rsidRDefault="00F877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359D45"/>
    <w:multiLevelType w:val="hybridMultilevel"/>
    <w:tmpl w:val="00000000"/>
    <w:lvl w:ilvl="0" w:tplc="345C1390">
      <w:start w:val="1"/>
      <w:numFmt w:val="bullet"/>
      <w:lvlText w:val="●"/>
      <w:lvlJc w:val="left"/>
      <w:pPr>
        <w:ind w:left="720" w:hanging="360"/>
      </w:pPr>
      <w:rPr>
        <w:u w:val="none"/>
      </w:rPr>
    </w:lvl>
    <w:lvl w:ilvl="1" w:tplc="DDFC9FDA">
      <w:start w:val="1"/>
      <w:numFmt w:val="bullet"/>
      <w:lvlText w:val="○"/>
      <w:lvlJc w:val="left"/>
      <w:pPr>
        <w:ind w:left="1440" w:hanging="360"/>
      </w:pPr>
      <w:rPr>
        <w:u w:val="none"/>
      </w:rPr>
    </w:lvl>
    <w:lvl w:ilvl="2" w:tplc="F7C00C22">
      <w:start w:val="1"/>
      <w:numFmt w:val="bullet"/>
      <w:lvlText w:val="■"/>
      <w:lvlJc w:val="left"/>
      <w:pPr>
        <w:ind w:left="2160" w:hanging="360"/>
      </w:pPr>
      <w:rPr>
        <w:u w:val="none"/>
      </w:rPr>
    </w:lvl>
    <w:lvl w:ilvl="3" w:tplc="D96EE466">
      <w:start w:val="1"/>
      <w:numFmt w:val="bullet"/>
      <w:lvlText w:val="●"/>
      <w:lvlJc w:val="left"/>
      <w:pPr>
        <w:ind w:left="2880" w:hanging="360"/>
      </w:pPr>
      <w:rPr>
        <w:u w:val="none"/>
      </w:rPr>
    </w:lvl>
    <w:lvl w:ilvl="4" w:tplc="CE263168">
      <w:start w:val="1"/>
      <w:numFmt w:val="bullet"/>
      <w:lvlText w:val="○"/>
      <w:lvlJc w:val="left"/>
      <w:pPr>
        <w:ind w:left="3600" w:hanging="360"/>
      </w:pPr>
      <w:rPr>
        <w:u w:val="none"/>
      </w:rPr>
    </w:lvl>
    <w:lvl w:ilvl="5" w:tplc="CC54291E">
      <w:start w:val="1"/>
      <w:numFmt w:val="bullet"/>
      <w:lvlText w:val="■"/>
      <w:lvlJc w:val="left"/>
      <w:pPr>
        <w:ind w:left="4320" w:hanging="360"/>
      </w:pPr>
      <w:rPr>
        <w:u w:val="none"/>
      </w:rPr>
    </w:lvl>
    <w:lvl w:ilvl="6" w:tplc="C89ED7F6">
      <w:start w:val="1"/>
      <w:numFmt w:val="bullet"/>
      <w:lvlText w:val="●"/>
      <w:lvlJc w:val="left"/>
      <w:pPr>
        <w:ind w:left="5040" w:hanging="360"/>
      </w:pPr>
      <w:rPr>
        <w:u w:val="none"/>
      </w:rPr>
    </w:lvl>
    <w:lvl w:ilvl="7" w:tplc="B500588E">
      <w:start w:val="1"/>
      <w:numFmt w:val="bullet"/>
      <w:lvlText w:val="○"/>
      <w:lvlJc w:val="left"/>
      <w:pPr>
        <w:ind w:left="5760" w:hanging="360"/>
      </w:pPr>
      <w:rPr>
        <w:u w:val="none"/>
      </w:rPr>
    </w:lvl>
    <w:lvl w:ilvl="8" w:tplc="94E48C22">
      <w:start w:val="1"/>
      <w:numFmt w:val="bullet"/>
      <w:lvlText w:val="■"/>
      <w:lvlJc w:val="left"/>
      <w:pPr>
        <w:ind w:left="6480" w:hanging="360"/>
      </w:pPr>
      <w:rPr>
        <w:u w:val="none"/>
      </w:rPr>
    </w:lvl>
  </w:abstractNum>
  <w:abstractNum w:abstractNumId="1">
    <w:nsid w:val="6B34BA61"/>
    <w:multiLevelType w:val="hybridMultilevel"/>
    <w:tmpl w:val="00000000"/>
    <w:lvl w:ilvl="0" w:tplc="5FAE17BA">
      <w:start w:val="1"/>
      <w:numFmt w:val="bullet"/>
      <w:lvlText w:val="●"/>
      <w:lvlJc w:val="left"/>
      <w:pPr>
        <w:ind w:left="720" w:hanging="360"/>
      </w:pPr>
      <w:rPr>
        <w:u w:val="none"/>
      </w:rPr>
    </w:lvl>
    <w:lvl w:ilvl="1" w:tplc="BFBE8920">
      <w:start w:val="1"/>
      <w:numFmt w:val="bullet"/>
      <w:lvlText w:val="○"/>
      <w:lvlJc w:val="left"/>
      <w:pPr>
        <w:ind w:left="1440" w:hanging="360"/>
      </w:pPr>
      <w:rPr>
        <w:u w:val="none"/>
      </w:rPr>
    </w:lvl>
    <w:lvl w:ilvl="2" w:tplc="3ABCCC0A">
      <w:start w:val="1"/>
      <w:numFmt w:val="bullet"/>
      <w:lvlText w:val="■"/>
      <w:lvlJc w:val="left"/>
      <w:pPr>
        <w:ind w:left="2160" w:hanging="360"/>
      </w:pPr>
      <w:rPr>
        <w:u w:val="none"/>
      </w:rPr>
    </w:lvl>
    <w:lvl w:ilvl="3" w:tplc="41E0BAC0">
      <w:start w:val="1"/>
      <w:numFmt w:val="bullet"/>
      <w:lvlText w:val="●"/>
      <w:lvlJc w:val="left"/>
      <w:pPr>
        <w:ind w:left="2880" w:hanging="360"/>
      </w:pPr>
      <w:rPr>
        <w:u w:val="none"/>
      </w:rPr>
    </w:lvl>
    <w:lvl w:ilvl="4" w:tplc="09625DEC">
      <w:start w:val="1"/>
      <w:numFmt w:val="bullet"/>
      <w:lvlText w:val="○"/>
      <w:lvlJc w:val="left"/>
      <w:pPr>
        <w:ind w:left="3600" w:hanging="360"/>
      </w:pPr>
      <w:rPr>
        <w:u w:val="none"/>
      </w:rPr>
    </w:lvl>
    <w:lvl w:ilvl="5" w:tplc="8E861054">
      <w:start w:val="1"/>
      <w:numFmt w:val="bullet"/>
      <w:lvlText w:val="■"/>
      <w:lvlJc w:val="left"/>
      <w:pPr>
        <w:ind w:left="4320" w:hanging="360"/>
      </w:pPr>
      <w:rPr>
        <w:u w:val="none"/>
      </w:rPr>
    </w:lvl>
    <w:lvl w:ilvl="6" w:tplc="C9B84FA6">
      <w:start w:val="1"/>
      <w:numFmt w:val="bullet"/>
      <w:lvlText w:val="●"/>
      <w:lvlJc w:val="left"/>
      <w:pPr>
        <w:ind w:left="5040" w:hanging="360"/>
      </w:pPr>
      <w:rPr>
        <w:u w:val="none"/>
      </w:rPr>
    </w:lvl>
    <w:lvl w:ilvl="7" w:tplc="FB326AF0">
      <w:start w:val="1"/>
      <w:numFmt w:val="bullet"/>
      <w:lvlText w:val="○"/>
      <w:lvlJc w:val="left"/>
      <w:pPr>
        <w:ind w:left="5760" w:hanging="360"/>
      </w:pPr>
      <w:rPr>
        <w:u w:val="none"/>
      </w:rPr>
    </w:lvl>
    <w:lvl w:ilvl="8" w:tplc="E2800AB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C41627"/>
    <w:rsid w:val="00024AB1"/>
    <w:rsid w:val="000350F9"/>
    <w:rsid w:val="0007189F"/>
    <w:rsid w:val="001270F4"/>
    <w:rsid w:val="00147475"/>
    <w:rsid w:val="001524EA"/>
    <w:rsid w:val="001850C6"/>
    <w:rsid w:val="001C437B"/>
    <w:rsid w:val="00212A55"/>
    <w:rsid w:val="00245CB6"/>
    <w:rsid w:val="00291050"/>
    <w:rsid w:val="002E13B4"/>
    <w:rsid w:val="004239F5"/>
    <w:rsid w:val="00456B86"/>
    <w:rsid w:val="004F23A3"/>
    <w:rsid w:val="0051557F"/>
    <w:rsid w:val="005733BB"/>
    <w:rsid w:val="00573512"/>
    <w:rsid w:val="005B3E51"/>
    <w:rsid w:val="005E5EEE"/>
    <w:rsid w:val="00620889"/>
    <w:rsid w:val="006A66FC"/>
    <w:rsid w:val="006B638E"/>
    <w:rsid w:val="006D5472"/>
    <w:rsid w:val="00730405"/>
    <w:rsid w:val="00852996"/>
    <w:rsid w:val="00876E6F"/>
    <w:rsid w:val="00925D50"/>
    <w:rsid w:val="009C04AA"/>
    <w:rsid w:val="009C1924"/>
    <w:rsid w:val="009D6CCF"/>
    <w:rsid w:val="00A178CC"/>
    <w:rsid w:val="00A80D58"/>
    <w:rsid w:val="00AC03AD"/>
    <w:rsid w:val="00AC68EC"/>
    <w:rsid w:val="00B07E54"/>
    <w:rsid w:val="00B21507"/>
    <w:rsid w:val="00B21A7D"/>
    <w:rsid w:val="00BD435C"/>
    <w:rsid w:val="00BF630E"/>
    <w:rsid w:val="00C0587F"/>
    <w:rsid w:val="00C10309"/>
    <w:rsid w:val="00C41627"/>
    <w:rsid w:val="00C8727F"/>
    <w:rsid w:val="00CA0C5C"/>
    <w:rsid w:val="00D60E34"/>
    <w:rsid w:val="00DF54F1"/>
    <w:rsid w:val="00E12B31"/>
    <w:rsid w:val="00E43E39"/>
    <w:rsid w:val="00EF0431"/>
    <w:rsid w:val="00F62840"/>
    <w:rsid w:val="00F806E9"/>
    <w:rsid w:val="00F877A0"/>
    <w:rsid w:val="00F946B6"/>
    <w:rsid w:val="00F97E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472"/>
  </w:style>
  <w:style w:type="paragraph" w:styleId="Heading1">
    <w:name w:val="heading 1"/>
    <w:basedOn w:val="Normal"/>
    <w:next w:val="Normal"/>
    <w:link w:val="Heading1Char"/>
    <w:uiPriority w:val="9"/>
    <w:qFormat/>
    <w:rsid w:val="006D5472"/>
    <w:pPr>
      <w:keepNext/>
      <w:keepLines/>
      <w:pBdr>
        <w:bottom w:val="single" w:sz="4" w:space="2" w:color="48A1FA"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6D5472"/>
    <w:pPr>
      <w:keepNext/>
      <w:keepLines/>
      <w:spacing w:before="120" w:after="0" w:line="240" w:lineRule="auto"/>
      <w:outlineLvl w:val="1"/>
    </w:pPr>
    <w:rPr>
      <w:rFonts w:asciiTheme="majorHAnsi" w:eastAsiaTheme="majorEastAsia" w:hAnsiTheme="majorHAnsi" w:cstheme="majorBidi"/>
      <w:color w:val="48A1FA" w:themeColor="accent2"/>
      <w:sz w:val="36"/>
      <w:szCs w:val="36"/>
    </w:rPr>
  </w:style>
  <w:style w:type="paragraph" w:styleId="Heading3">
    <w:name w:val="heading 3"/>
    <w:basedOn w:val="Normal"/>
    <w:next w:val="Normal"/>
    <w:link w:val="Heading3Char"/>
    <w:uiPriority w:val="9"/>
    <w:unhideWhenUsed/>
    <w:qFormat/>
    <w:rsid w:val="006D5472"/>
    <w:pPr>
      <w:keepNext/>
      <w:keepLines/>
      <w:spacing w:before="80" w:after="0" w:line="240" w:lineRule="auto"/>
      <w:outlineLvl w:val="2"/>
    </w:pPr>
    <w:rPr>
      <w:rFonts w:asciiTheme="majorHAnsi" w:eastAsiaTheme="majorEastAsia" w:hAnsiTheme="majorHAnsi" w:cstheme="majorBidi"/>
      <w:color w:val="0678EA" w:themeColor="accent2" w:themeShade="BF"/>
      <w:sz w:val="32"/>
      <w:szCs w:val="32"/>
    </w:rPr>
  </w:style>
  <w:style w:type="paragraph" w:styleId="Heading4">
    <w:name w:val="heading 4"/>
    <w:basedOn w:val="Normal"/>
    <w:next w:val="Normal"/>
    <w:link w:val="Heading4Char"/>
    <w:uiPriority w:val="9"/>
    <w:unhideWhenUsed/>
    <w:qFormat/>
    <w:rsid w:val="006D5472"/>
    <w:pPr>
      <w:keepNext/>
      <w:keepLines/>
      <w:spacing w:before="80" w:after="0" w:line="240" w:lineRule="auto"/>
      <w:outlineLvl w:val="3"/>
    </w:pPr>
    <w:rPr>
      <w:rFonts w:asciiTheme="majorHAnsi" w:eastAsiaTheme="majorEastAsia" w:hAnsiTheme="majorHAnsi" w:cstheme="majorBidi"/>
      <w:i/>
      <w:iCs/>
      <w:color w:val="04509D" w:themeColor="accent2" w:themeShade="80"/>
      <w:sz w:val="28"/>
      <w:szCs w:val="28"/>
    </w:rPr>
  </w:style>
  <w:style w:type="paragraph" w:styleId="Heading5">
    <w:name w:val="heading 5"/>
    <w:basedOn w:val="Normal"/>
    <w:next w:val="Normal"/>
    <w:link w:val="Heading5Char"/>
    <w:uiPriority w:val="9"/>
    <w:unhideWhenUsed/>
    <w:qFormat/>
    <w:rsid w:val="006D5472"/>
    <w:pPr>
      <w:keepNext/>
      <w:keepLines/>
      <w:spacing w:before="80" w:after="0" w:line="240" w:lineRule="auto"/>
      <w:outlineLvl w:val="4"/>
    </w:pPr>
    <w:rPr>
      <w:rFonts w:asciiTheme="majorHAnsi" w:eastAsiaTheme="majorEastAsia" w:hAnsiTheme="majorHAnsi" w:cstheme="majorBidi"/>
      <w:color w:val="0678EA" w:themeColor="accent2" w:themeShade="BF"/>
      <w:sz w:val="24"/>
      <w:szCs w:val="24"/>
    </w:rPr>
  </w:style>
  <w:style w:type="paragraph" w:styleId="Heading6">
    <w:name w:val="heading 6"/>
    <w:basedOn w:val="Normal"/>
    <w:next w:val="Normal"/>
    <w:link w:val="Heading6Char"/>
    <w:uiPriority w:val="9"/>
    <w:unhideWhenUsed/>
    <w:qFormat/>
    <w:rsid w:val="006D5472"/>
    <w:pPr>
      <w:keepNext/>
      <w:keepLines/>
      <w:spacing w:before="80" w:after="0" w:line="240" w:lineRule="auto"/>
      <w:outlineLvl w:val="5"/>
    </w:pPr>
    <w:rPr>
      <w:rFonts w:asciiTheme="majorHAnsi" w:eastAsiaTheme="majorEastAsia" w:hAnsiTheme="majorHAnsi" w:cstheme="majorBidi"/>
      <w:i/>
      <w:iCs/>
      <w:color w:val="04509D" w:themeColor="accent2" w:themeShade="80"/>
      <w:sz w:val="24"/>
      <w:szCs w:val="24"/>
    </w:rPr>
  </w:style>
  <w:style w:type="paragraph" w:styleId="Heading7">
    <w:name w:val="heading 7"/>
    <w:basedOn w:val="Normal"/>
    <w:next w:val="Normal"/>
    <w:link w:val="Heading7Char"/>
    <w:uiPriority w:val="9"/>
    <w:semiHidden/>
    <w:unhideWhenUsed/>
    <w:qFormat/>
    <w:rsid w:val="006D5472"/>
    <w:pPr>
      <w:keepNext/>
      <w:keepLines/>
      <w:spacing w:before="80" w:after="0" w:line="240" w:lineRule="auto"/>
      <w:outlineLvl w:val="6"/>
    </w:pPr>
    <w:rPr>
      <w:rFonts w:asciiTheme="majorHAnsi" w:eastAsiaTheme="majorEastAsia" w:hAnsiTheme="majorHAnsi" w:cstheme="majorBidi"/>
      <w:b/>
      <w:bCs/>
      <w:color w:val="04509D" w:themeColor="accent2" w:themeShade="80"/>
      <w:sz w:val="22"/>
      <w:szCs w:val="22"/>
    </w:rPr>
  </w:style>
  <w:style w:type="paragraph" w:styleId="Heading8">
    <w:name w:val="heading 8"/>
    <w:basedOn w:val="Normal"/>
    <w:next w:val="Normal"/>
    <w:link w:val="Heading8Char"/>
    <w:uiPriority w:val="9"/>
    <w:semiHidden/>
    <w:unhideWhenUsed/>
    <w:qFormat/>
    <w:rsid w:val="006D5472"/>
    <w:pPr>
      <w:keepNext/>
      <w:keepLines/>
      <w:spacing w:before="80" w:after="0" w:line="240" w:lineRule="auto"/>
      <w:outlineLvl w:val="7"/>
    </w:pPr>
    <w:rPr>
      <w:rFonts w:asciiTheme="majorHAnsi" w:eastAsiaTheme="majorEastAsia" w:hAnsiTheme="majorHAnsi" w:cstheme="majorBidi"/>
      <w:color w:val="04509D" w:themeColor="accent2" w:themeShade="80"/>
      <w:sz w:val="22"/>
      <w:szCs w:val="22"/>
    </w:rPr>
  </w:style>
  <w:style w:type="paragraph" w:styleId="Heading9">
    <w:name w:val="heading 9"/>
    <w:basedOn w:val="Normal"/>
    <w:next w:val="Normal"/>
    <w:link w:val="Heading9Char"/>
    <w:uiPriority w:val="9"/>
    <w:semiHidden/>
    <w:unhideWhenUsed/>
    <w:qFormat/>
    <w:rsid w:val="006D5472"/>
    <w:pPr>
      <w:keepNext/>
      <w:keepLines/>
      <w:spacing w:before="80" w:after="0" w:line="240" w:lineRule="auto"/>
      <w:outlineLvl w:val="8"/>
    </w:pPr>
    <w:rPr>
      <w:rFonts w:asciiTheme="majorHAnsi" w:eastAsiaTheme="majorEastAsia" w:hAnsiTheme="majorHAnsi" w:cstheme="majorBidi"/>
      <w:i/>
      <w:iCs/>
      <w:color w:val="04509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5472"/>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6D5472"/>
    <w:pPr>
      <w:numPr>
        <w:ilvl w:val="1"/>
      </w:numPr>
      <w:spacing w:after="240"/>
    </w:pPr>
    <w:rPr>
      <w:caps/>
      <w:color w:val="404040" w:themeColor="text1" w:themeTint="BF"/>
      <w:spacing w:val="20"/>
      <w:sz w:val="28"/>
      <w:szCs w:val="28"/>
    </w:rPr>
  </w:style>
  <w:style w:type="paragraph" w:styleId="TOCHeading">
    <w:name w:val="TOC Heading"/>
    <w:basedOn w:val="Heading1"/>
    <w:next w:val="Normal"/>
    <w:uiPriority w:val="39"/>
    <w:semiHidden/>
    <w:unhideWhenUsed/>
    <w:qFormat/>
    <w:rsid w:val="006D5472"/>
    <w:pPr>
      <w:outlineLvl w:val="9"/>
    </w:pPr>
  </w:style>
  <w:style w:type="paragraph" w:styleId="TOC1">
    <w:name w:val="toc 1"/>
    <w:basedOn w:val="Normal"/>
    <w:next w:val="Normal"/>
    <w:autoRedefine/>
    <w:uiPriority w:val="39"/>
    <w:unhideWhenUsed/>
    <w:rsid w:val="00245CB6"/>
    <w:pPr>
      <w:spacing w:after="100"/>
    </w:pPr>
  </w:style>
  <w:style w:type="character" w:styleId="Hyperlink">
    <w:name w:val="Hyperlink"/>
    <w:basedOn w:val="DefaultParagraphFont"/>
    <w:uiPriority w:val="99"/>
    <w:unhideWhenUsed/>
    <w:rsid w:val="00245CB6"/>
    <w:rPr>
      <w:color w:val="0563C1" w:themeColor="hyperlink"/>
      <w:u w:val="single"/>
    </w:rPr>
  </w:style>
  <w:style w:type="paragraph" w:styleId="BalloonText">
    <w:name w:val="Balloon Text"/>
    <w:basedOn w:val="Normal"/>
    <w:link w:val="BalloonTextChar"/>
    <w:uiPriority w:val="99"/>
    <w:semiHidden/>
    <w:unhideWhenUsed/>
    <w:rsid w:val="00245C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CB6"/>
    <w:rPr>
      <w:rFonts w:ascii="Tahoma" w:hAnsi="Tahoma" w:cs="Tahoma"/>
      <w:sz w:val="16"/>
      <w:szCs w:val="16"/>
    </w:rPr>
  </w:style>
  <w:style w:type="paragraph" w:styleId="Header">
    <w:name w:val="header"/>
    <w:basedOn w:val="Normal"/>
    <w:link w:val="HeaderChar"/>
    <w:uiPriority w:val="99"/>
    <w:unhideWhenUsed/>
    <w:rsid w:val="00245CB6"/>
    <w:pPr>
      <w:tabs>
        <w:tab w:val="center" w:pos="4680"/>
        <w:tab w:val="right" w:pos="9360"/>
      </w:tabs>
      <w:spacing w:line="240" w:lineRule="auto"/>
    </w:pPr>
  </w:style>
  <w:style w:type="character" w:customStyle="1" w:styleId="HeaderChar">
    <w:name w:val="Header Char"/>
    <w:basedOn w:val="DefaultParagraphFont"/>
    <w:link w:val="Header"/>
    <w:uiPriority w:val="99"/>
    <w:rsid w:val="00245CB6"/>
  </w:style>
  <w:style w:type="paragraph" w:styleId="Footer">
    <w:name w:val="footer"/>
    <w:basedOn w:val="Normal"/>
    <w:link w:val="FooterChar"/>
    <w:uiPriority w:val="99"/>
    <w:unhideWhenUsed/>
    <w:rsid w:val="00245CB6"/>
    <w:pPr>
      <w:tabs>
        <w:tab w:val="center" w:pos="4680"/>
        <w:tab w:val="right" w:pos="9360"/>
      </w:tabs>
      <w:spacing w:line="240" w:lineRule="auto"/>
    </w:pPr>
  </w:style>
  <w:style w:type="character" w:customStyle="1" w:styleId="FooterChar">
    <w:name w:val="Footer Char"/>
    <w:basedOn w:val="DefaultParagraphFont"/>
    <w:link w:val="Footer"/>
    <w:uiPriority w:val="99"/>
    <w:rsid w:val="00245CB6"/>
  </w:style>
  <w:style w:type="paragraph" w:customStyle="1" w:styleId="Normal1">
    <w:name w:val="Normal1"/>
    <w:rsid w:val="00B21507"/>
  </w:style>
  <w:style w:type="paragraph" w:styleId="ListParagraph">
    <w:name w:val="List Paragraph"/>
    <w:basedOn w:val="Normal"/>
    <w:uiPriority w:val="34"/>
    <w:qFormat/>
    <w:rsid w:val="00E12B31"/>
    <w:pPr>
      <w:ind w:left="720"/>
      <w:contextualSpacing/>
    </w:pPr>
  </w:style>
  <w:style w:type="character" w:customStyle="1" w:styleId="Heading1Char">
    <w:name w:val="Heading 1 Char"/>
    <w:basedOn w:val="DefaultParagraphFont"/>
    <w:link w:val="Heading1"/>
    <w:uiPriority w:val="9"/>
    <w:rsid w:val="006D5472"/>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6D5472"/>
    <w:rPr>
      <w:rFonts w:asciiTheme="majorHAnsi" w:eastAsiaTheme="majorEastAsia" w:hAnsiTheme="majorHAnsi" w:cstheme="majorBidi"/>
      <w:color w:val="48A1FA" w:themeColor="accent2"/>
      <w:sz w:val="36"/>
      <w:szCs w:val="36"/>
    </w:rPr>
  </w:style>
  <w:style w:type="character" w:customStyle="1" w:styleId="Heading3Char">
    <w:name w:val="Heading 3 Char"/>
    <w:basedOn w:val="DefaultParagraphFont"/>
    <w:link w:val="Heading3"/>
    <w:uiPriority w:val="9"/>
    <w:rsid w:val="006D5472"/>
    <w:rPr>
      <w:rFonts w:asciiTheme="majorHAnsi" w:eastAsiaTheme="majorEastAsia" w:hAnsiTheme="majorHAnsi" w:cstheme="majorBidi"/>
      <w:color w:val="0678EA" w:themeColor="accent2" w:themeShade="BF"/>
      <w:sz w:val="32"/>
      <w:szCs w:val="32"/>
    </w:rPr>
  </w:style>
  <w:style w:type="character" w:customStyle="1" w:styleId="Heading4Char">
    <w:name w:val="Heading 4 Char"/>
    <w:basedOn w:val="DefaultParagraphFont"/>
    <w:link w:val="Heading4"/>
    <w:uiPriority w:val="9"/>
    <w:rsid w:val="006D5472"/>
    <w:rPr>
      <w:rFonts w:asciiTheme="majorHAnsi" w:eastAsiaTheme="majorEastAsia" w:hAnsiTheme="majorHAnsi" w:cstheme="majorBidi"/>
      <w:i/>
      <w:iCs/>
      <w:color w:val="04509D" w:themeColor="accent2" w:themeShade="80"/>
      <w:sz w:val="28"/>
      <w:szCs w:val="28"/>
    </w:rPr>
  </w:style>
  <w:style w:type="character" w:customStyle="1" w:styleId="Heading5Char">
    <w:name w:val="Heading 5 Char"/>
    <w:basedOn w:val="DefaultParagraphFont"/>
    <w:link w:val="Heading5"/>
    <w:uiPriority w:val="9"/>
    <w:rsid w:val="006D5472"/>
    <w:rPr>
      <w:rFonts w:asciiTheme="majorHAnsi" w:eastAsiaTheme="majorEastAsia" w:hAnsiTheme="majorHAnsi" w:cstheme="majorBidi"/>
      <w:color w:val="0678EA" w:themeColor="accent2" w:themeShade="BF"/>
      <w:sz w:val="24"/>
      <w:szCs w:val="24"/>
    </w:rPr>
  </w:style>
  <w:style w:type="character" w:customStyle="1" w:styleId="Heading6Char">
    <w:name w:val="Heading 6 Char"/>
    <w:basedOn w:val="DefaultParagraphFont"/>
    <w:link w:val="Heading6"/>
    <w:uiPriority w:val="9"/>
    <w:rsid w:val="006D5472"/>
    <w:rPr>
      <w:rFonts w:asciiTheme="majorHAnsi" w:eastAsiaTheme="majorEastAsia" w:hAnsiTheme="majorHAnsi" w:cstheme="majorBidi"/>
      <w:i/>
      <w:iCs/>
      <w:color w:val="04509D" w:themeColor="accent2" w:themeShade="80"/>
      <w:sz w:val="24"/>
      <w:szCs w:val="24"/>
    </w:rPr>
  </w:style>
  <w:style w:type="character" w:customStyle="1" w:styleId="Heading7Char">
    <w:name w:val="Heading 7 Char"/>
    <w:basedOn w:val="DefaultParagraphFont"/>
    <w:link w:val="Heading7"/>
    <w:uiPriority w:val="9"/>
    <w:semiHidden/>
    <w:rsid w:val="006D5472"/>
    <w:rPr>
      <w:rFonts w:asciiTheme="majorHAnsi" w:eastAsiaTheme="majorEastAsia" w:hAnsiTheme="majorHAnsi" w:cstheme="majorBidi"/>
      <w:b/>
      <w:bCs/>
      <w:color w:val="04509D" w:themeColor="accent2" w:themeShade="80"/>
      <w:sz w:val="22"/>
      <w:szCs w:val="22"/>
    </w:rPr>
  </w:style>
  <w:style w:type="character" w:customStyle="1" w:styleId="Heading8Char">
    <w:name w:val="Heading 8 Char"/>
    <w:basedOn w:val="DefaultParagraphFont"/>
    <w:link w:val="Heading8"/>
    <w:uiPriority w:val="9"/>
    <w:semiHidden/>
    <w:rsid w:val="006D5472"/>
    <w:rPr>
      <w:rFonts w:asciiTheme="majorHAnsi" w:eastAsiaTheme="majorEastAsia" w:hAnsiTheme="majorHAnsi" w:cstheme="majorBidi"/>
      <w:color w:val="04509D" w:themeColor="accent2" w:themeShade="80"/>
      <w:sz w:val="22"/>
      <w:szCs w:val="22"/>
    </w:rPr>
  </w:style>
  <w:style w:type="character" w:customStyle="1" w:styleId="Heading9Char">
    <w:name w:val="Heading 9 Char"/>
    <w:basedOn w:val="DefaultParagraphFont"/>
    <w:link w:val="Heading9"/>
    <w:uiPriority w:val="9"/>
    <w:semiHidden/>
    <w:rsid w:val="006D5472"/>
    <w:rPr>
      <w:rFonts w:asciiTheme="majorHAnsi" w:eastAsiaTheme="majorEastAsia" w:hAnsiTheme="majorHAnsi" w:cstheme="majorBidi"/>
      <w:i/>
      <w:iCs/>
      <w:color w:val="04509D" w:themeColor="accent2" w:themeShade="80"/>
      <w:sz w:val="22"/>
      <w:szCs w:val="22"/>
    </w:rPr>
  </w:style>
  <w:style w:type="paragraph" w:styleId="Caption">
    <w:name w:val="caption"/>
    <w:basedOn w:val="Normal"/>
    <w:next w:val="Normal"/>
    <w:uiPriority w:val="35"/>
    <w:semiHidden/>
    <w:unhideWhenUsed/>
    <w:qFormat/>
    <w:rsid w:val="006D5472"/>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6D5472"/>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6D5472"/>
    <w:rPr>
      <w:caps/>
      <w:color w:val="404040" w:themeColor="text1" w:themeTint="BF"/>
      <w:spacing w:val="20"/>
      <w:sz w:val="28"/>
      <w:szCs w:val="28"/>
    </w:rPr>
  </w:style>
  <w:style w:type="character" w:styleId="Strong">
    <w:name w:val="Strong"/>
    <w:basedOn w:val="DefaultParagraphFont"/>
    <w:uiPriority w:val="22"/>
    <w:qFormat/>
    <w:rsid w:val="006D5472"/>
    <w:rPr>
      <w:b/>
      <w:bCs/>
    </w:rPr>
  </w:style>
  <w:style w:type="character" w:styleId="Emphasis">
    <w:name w:val="Emphasis"/>
    <w:basedOn w:val="DefaultParagraphFont"/>
    <w:uiPriority w:val="20"/>
    <w:qFormat/>
    <w:rsid w:val="006D5472"/>
    <w:rPr>
      <w:i/>
      <w:iCs/>
      <w:color w:val="000000" w:themeColor="text1"/>
    </w:rPr>
  </w:style>
  <w:style w:type="paragraph" w:styleId="NoSpacing">
    <w:name w:val="No Spacing"/>
    <w:uiPriority w:val="1"/>
    <w:qFormat/>
    <w:rsid w:val="006D5472"/>
    <w:pPr>
      <w:spacing w:after="0" w:line="240" w:lineRule="auto"/>
    </w:pPr>
  </w:style>
  <w:style w:type="paragraph" w:styleId="Quote">
    <w:name w:val="Quote"/>
    <w:basedOn w:val="Normal"/>
    <w:next w:val="Normal"/>
    <w:link w:val="QuoteChar"/>
    <w:uiPriority w:val="29"/>
    <w:qFormat/>
    <w:rsid w:val="006D5472"/>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6D5472"/>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6D5472"/>
    <w:pPr>
      <w:pBdr>
        <w:top w:val="single" w:sz="24" w:space="4" w:color="48A1FA"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6D5472"/>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6D5472"/>
    <w:rPr>
      <w:i/>
      <w:iCs/>
      <w:color w:val="595959" w:themeColor="text1" w:themeTint="A6"/>
    </w:rPr>
  </w:style>
  <w:style w:type="character" w:styleId="IntenseEmphasis">
    <w:name w:val="Intense Emphasis"/>
    <w:basedOn w:val="DefaultParagraphFont"/>
    <w:uiPriority w:val="21"/>
    <w:qFormat/>
    <w:rsid w:val="006D5472"/>
    <w:rPr>
      <w:b/>
      <w:bCs/>
      <w:i/>
      <w:iCs/>
      <w:caps w:val="0"/>
      <w:smallCaps w:val="0"/>
      <w:strike w:val="0"/>
      <w:dstrike w:val="0"/>
      <w:color w:val="48A1FA" w:themeColor="accent2"/>
    </w:rPr>
  </w:style>
  <w:style w:type="character" w:styleId="SubtleReference">
    <w:name w:val="Subtle Reference"/>
    <w:basedOn w:val="DefaultParagraphFont"/>
    <w:uiPriority w:val="31"/>
    <w:qFormat/>
    <w:rsid w:val="006D547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D5472"/>
    <w:rPr>
      <w:b/>
      <w:bCs/>
      <w:caps w:val="0"/>
      <w:smallCaps/>
      <w:color w:val="auto"/>
      <w:spacing w:val="0"/>
      <w:u w:val="single"/>
    </w:rPr>
  </w:style>
  <w:style w:type="character" w:styleId="BookTitle">
    <w:name w:val="Book Title"/>
    <w:basedOn w:val="DefaultParagraphFont"/>
    <w:uiPriority w:val="33"/>
    <w:qFormat/>
    <w:rsid w:val="006D5472"/>
    <w:rPr>
      <w:b/>
      <w:bCs/>
      <w:caps w:val="0"/>
      <w:smallCaps/>
      <w:spacing w:val="0"/>
    </w:rPr>
  </w:style>
  <w:style w:type="character" w:customStyle="1" w:styleId="UnresolvedMention1">
    <w:name w:val="Unresolved Mention1"/>
    <w:basedOn w:val="DefaultParagraphFont"/>
    <w:uiPriority w:val="99"/>
    <w:rsid w:val="006D5472"/>
    <w:rPr>
      <w:color w:val="605E5C"/>
      <w:shd w:val="clear" w:color="auto" w:fill="E1DFDD"/>
    </w:rPr>
  </w:style>
  <w:style w:type="character" w:styleId="CommentReference">
    <w:name w:val="annotation reference"/>
    <w:basedOn w:val="DefaultParagraphFont"/>
    <w:uiPriority w:val="99"/>
    <w:semiHidden/>
    <w:unhideWhenUsed/>
    <w:rsid w:val="00F97EAA"/>
    <w:rPr>
      <w:sz w:val="16"/>
      <w:szCs w:val="16"/>
    </w:rPr>
  </w:style>
  <w:style w:type="paragraph" w:styleId="CommentText">
    <w:name w:val="annotation text"/>
    <w:basedOn w:val="Normal"/>
    <w:link w:val="CommentTextChar"/>
    <w:uiPriority w:val="99"/>
    <w:semiHidden/>
    <w:unhideWhenUsed/>
    <w:rsid w:val="00F97EAA"/>
    <w:pPr>
      <w:spacing w:line="240" w:lineRule="auto"/>
    </w:pPr>
    <w:rPr>
      <w:sz w:val="20"/>
      <w:szCs w:val="20"/>
    </w:rPr>
  </w:style>
  <w:style w:type="character" w:customStyle="1" w:styleId="CommentTextChar">
    <w:name w:val="Comment Text Char"/>
    <w:basedOn w:val="DefaultParagraphFont"/>
    <w:link w:val="CommentText"/>
    <w:uiPriority w:val="99"/>
    <w:semiHidden/>
    <w:rsid w:val="00F97EAA"/>
    <w:rPr>
      <w:sz w:val="20"/>
      <w:szCs w:val="20"/>
    </w:rPr>
  </w:style>
  <w:style w:type="paragraph" w:styleId="CommentSubject">
    <w:name w:val="annotation subject"/>
    <w:basedOn w:val="CommentText"/>
    <w:next w:val="CommentText"/>
    <w:link w:val="CommentSubjectChar"/>
    <w:uiPriority w:val="99"/>
    <w:semiHidden/>
    <w:unhideWhenUsed/>
    <w:rsid w:val="00F97EAA"/>
    <w:rPr>
      <w:b/>
      <w:bCs/>
    </w:rPr>
  </w:style>
  <w:style w:type="character" w:customStyle="1" w:styleId="CommentSubjectChar">
    <w:name w:val="Comment Subject Char"/>
    <w:basedOn w:val="CommentTextChar"/>
    <w:link w:val="CommentSubject"/>
    <w:uiPriority w:val="99"/>
    <w:semiHidden/>
    <w:rsid w:val="00F97EAA"/>
    <w:rPr>
      <w:b/>
      <w:bCs/>
      <w:sz w:val="20"/>
      <w:szCs w:val="20"/>
    </w:rPr>
  </w:style>
</w:styles>
</file>

<file path=word/webSettings.xml><?xml version="1.0" encoding="utf-8"?>
<w:webSettings xmlns:r="http://schemas.openxmlformats.org/officeDocument/2006/relationships" xmlns:w="http://schemas.openxmlformats.org/wordprocessingml/2006/main">
  <w:divs>
    <w:div w:id="1115442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discrimination-and-the-law/direct-and-indirect-discrimin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sser.nl/upload/eel-webroot/www/documents/cms_eel_id182_1_The%20Principle%20of%20State%20Liability.pdf" TargetMode="External"/></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44546A"/>
      </a:dk2>
      <a:lt2>
        <a:srgbClr val="E7E6E6"/>
      </a:lt2>
      <a:accent1>
        <a:srgbClr val="55B3B3"/>
      </a:accent1>
      <a:accent2>
        <a:srgbClr val="48A1FA"/>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F0066-E09B-4D63-A1C2-F236918BA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3005</Words>
  <Characters>17132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lorena hazaparu</dc:creator>
  <cp:lastModifiedBy>agheo</cp:lastModifiedBy>
  <cp:revision>4</cp:revision>
  <dcterms:created xsi:type="dcterms:W3CDTF">2022-05-02T08:19:00Z</dcterms:created>
  <dcterms:modified xsi:type="dcterms:W3CDTF">2022-05-05T20:39:00Z</dcterms:modified>
</cp:coreProperties>
</file>