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1522475554"/>
        <w:docPartObj>
          <w:docPartGallery w:val="Cover Pages"/>
          <w:docPartUnique/>
        </w:docPartObj>
        <w:rPr>
          <w:rFonts w:eastAsia="Calibri" w:eastAsiaTheme="minorAscii"/>
          <w:color w:val="5B9BD5" w:themeColor="accent1"/>
          <w:lang w:val="en-GB"/>
        </w:rPr>
      </w:sdtPr>
      <w:sdtEndPr>
        <w:rPr>
          <w:rFonts w:eastAsia="Calibri" w:eastAsiaTheme="minorAscii"/>
          <w:color w:val="auto"/>
          <w:lang w:val="en-GB"/>
        </w:rPr>
      </w:sdtEndPr>
      <w:sdtContent>
        <w:p w:rsidR="007D1947" w:rsidRDefault="007D1947" w14:paraId="5384490A" w14:textId="7777777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eastAsia="SimSun"/>
              <w:b/>
              <w:bCs/>
              <w:sz w:val="24"/>
              <w:szCs w:val="2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rsidR="007D1947" w:rsidRDefault="00F953DE" w14:paraId="14F2F2DB" w14:textId="7E0E297D">
              <w:pPr>
                <w:pStyle w:val="NoSpacing"/>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rPr>
              </w:pPr>
              <w:r>
                <w:rPr>
                  <w:rFonts w:ascii="Arial" w:hAnsi="Arial" w:eastAsia="SimSun"/>
                  <w:b/>
                  <w:bCs/>
                  <w:sz w:val="24"/>
                  <w:szCs w:val="24"/>
                </w:rPr>
                <w:t>Cost Management Techniques in a Dynamic Business Environment assignment</w:t>
              </w:r>
            </w:p>
          </w:sdtContent>
        </w:sdt>
        <w:sdt>
          <w:sdt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Default="00CB5809" w14:paraId="475B7674" w14:textId="152E831E">
              <w:pPr>
                <w:pStyle w:val="NoSpacing"/>
                <w:jc w:val="center"/>
                <w:rPr>
                  <w:color w:val="5B9BD5" w:themeColor="accent1"/>
                  <w:sz w:val="28"/>
                  <w:szCs w:val="28"/>
                </w:rPr>
              </w:pPr>
              <w:r w:rsidRPr="00CB5809">
                <w:t>A Critical Evaluation of ABC, EVM, and Costing Methods</w:t>
              </w:r>
            </w:p>
          </w:sdtContent>
        </w:sdt>
        <w:p w:rsidR="007D1947" w:rsidRDefault="007D1947" w14:paraId="1ADC1124" w14:textId="7777777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5B9BD5" w:themeColor="accent1"/>
                                    <w:sz w:val="24"/>
                                    <w:szCs w:val="24"/>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Pr="00292EDA" w:rsidR="007D1947" w:rsidRDefault="00F953DE" w14:paraId="52BAF8D9" w14:textId="0A985406">
                                    <w:pPr>
                                      <w:pStyle w:val="NoSpacing"/>
                                      <w:spacing w:after="40"/>
                                      <w:jc w:val="center"/>
                                      <w:rPr>
                                        <w:rFonts w:ascii="Arial" w:hAnsi="Arial" w:cs="Arial"/>
                                        <w:caps/>
                                        <w:color w:val="5B9BD5" w:themeColor="accent1"/>
                                        <w:sz w:val="24"/>
                                        <w:szCs w:val="24"/>
                                      </w:rPr>
                                    </w:pPr>
                                    <w:r>
                                      <w:rPr>
                                        <w:rFonts w:ascii="Arial" w:hAnsi="Arial" w:cs="Arial"/>
                                        <w:caps/>
                                        <w:color w:val="5B9BD5" w:themeColor="accent1"/>
                                        <w:sz w:val="24"/>
                                        <w:szCs w:val="24"/>
                                      </w:rPr>
                                      <w:t xml:space="preserve">     </w:t>
                                    </w:r>
                                  </w:p>
                                </w:sdtContent>
                              </w:sdt>
                              <w:p w:rsidR="007D1947" w:rsidRDefault="00262A37" w14:paraId="69E98CB3" w14:textId="7777777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262A37" w14:paraId="3FC79022"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w14:anchorId="32C4729D">
                  <v:shapetype id="_x0000_t202" coordsize="21600,21600" o:spt="202" path="m,l,21600r21600,l21600,xe" w14:anchorId="4A6131BB">
                    <v:stroke joinstyle="miter"/>
                    <v:path gradientshapeok="t" o:connecttype="rect"/>
                  </v:shapetype>
                  <v:shape id="Text Box 14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v:textbox style="mso-fit-shape-to-text:t" inset="0,0,0,0">
                      <w:txbxContent>
                        <w:sdt>
                          <w:sdtPr>
                            <w:id w:val="108545433"/>
                            <w:rPr>
                              <w:rFonts w:ascii="Arial" w:hAnsi="Arial" w:cs="Arial"/>
                              <w:caps/>
                              <w:color w:val="5B9BD5" w:themeColor="accent1"/>
                              <w:sz w:val="24"/>
                              <w:szCs w:val="24"/>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Pr="00292EDA" w:rsidR="007D1947" w:rsidRDefault="00F953DE" w14:paraId="207CCF61" w14:textId="0A985406">
                              <w:pPr>
                                <w:pStyle w:val="NoSpacing"/>
                                <w:spacing w:after="40"/>
                                <w:jc w:val="center"/>
                                <w:rPr>
                                  <w:rFonts w:ascii="Arial" w:hAnsi="Arial" w:cs="Arial"/>
                                  <w:caps/>
                                  <w:color w:val="5B9BD5" w:themeColor="accent1"/>
                                  <w:sz w:val="24"/>
                                  <w:szCs w:val="24"/>
                                </w:rPr>
                              </w:pPr>
                              <w:r>
                                <w:rPr>
                                  <w:rFonts w:ascii="Arial" w:hAnsi="Arial" w:cs="Arial"/>
                                  <w:caps/>
                                  <w:color w:val="5B9BD5" w:themeColor="accent1"/>
                                  <w:sz w:val="24"/>
                                  <w:szCs w:val="24"/>
                                </w:rPr>
                                <w:t xml:space="preserve">     </w:t>
                              </w:r>
                            </w:p>
                          </w:sdtContent>
                        </w:sdt>
                        <w:p w:rsidR="007D1947" w:rsidRDefault="00262A37" w14:paraId="32DFA9BB" w14:textId="77777777">
                          <w:pPr>
                            <w:pStyle w:val="NoSpacing"/>
                            <w:jc w:val="center"/>
                            <w:rPr>
                              <w:color w:val="5B9BD5" w:themeColor="accent1"/>
                            </w:rPr>
                          </w:pPr>
                          <w:sdt>
                            <w:sdtPr>
                              <w:id w:val="584674967"/>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262A37" w14:paraId="05C2A4D3" w14:textId="77777777">
                          <w:pPr>
                            <w:pStyle w:val="NoSpacing"/>
                            <w:jc w:val="center"/>
                            <w:rPr>
                              <w:color w:val="5B9BD5" w:themeColor="accent1"/>
                            </w:rPr>
                          </w:pPr>
                          <w:sdt>
                            <w:sdtPr>
                              <w:id w:val="1280047230"/>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P="007D1947" w:rsidRDefault="007D1947" w14:paraId="078A531F" w14:textId="77777777">
          <w:pPr>
            <w:pStyle w:val="Heading1"/>
          </w:pPr>
          <w:r>
            <w:br w:type="page"/>
          </w:r>
          <w:bookmarkStart w:name="_Toc115682910" w:id="0"/>
          <w:r>
            <w:t>Executive Summary</w:t>
          </w:r>
          <w:bookmarkEnd w:id="0"/>
        </w:p>
        <w:p w:rsidRPr="002B0CC3" w:rsidR="00292EDA" w:rsidP="00292EDA" w:rsidRDefault="00292EDA" w14:paraId="0D007980" w14:textId="40127310">
          <w:pPr>
            <w:rPr>
              <w:rFonts w:ascii="Arial" w:hAnsi="Arial" w:cs="Arial"/>
              <w:sz w:val="24"/>
              <w:szCs w:val="24"/>
            </w:rPr>
          </w:pPr>
          <w:r w:rsidRPr="002B0CC3">
            <w:rPr>
              <w:rFonts w:ascii="Arial" w:hAnsi="Arial" w:cs="Arial"/>
              <w:sz w:val="24"/>
              <w:szCs w:val="24"/>
            </w:rPr>
            <w:t>This report examines cost management techniques in the context of a fast-changing business environment, where organisations face challenges such as globalisation, technological disruption, and economic uncertainty. The analysis focuses on two widely adopted approaches</w:t>
          </w:r>
          <w:r w:rsidR="003B4DB9">
            <w:rPr>
              <w:rFonts w:ascii="Arial" w:hAnsi="Arial" w:cs="Arial"/>
              <w:sz w:val="24"/>
              <w:szCs w:val="24"/>
            </w:rPr>
            <w:t xml:space="preserve"> </w:t>
          </w:r>
          <w:r w:rsidRPr="00847F92">
            <w:rPr>
              <w:rStyle w:val="Strong"/>
              <w:rFonts w:ascii="Arial" w:hAnsi="Arial" w:cs="Arial"/>
              <w:b w:val="0"/>
              <w:bCs w:val="0"/>
            </w:rPr>
            <w:t>Activity-Based Costing (ABC)</w:t>
          </w:r>
          <w:r w:rsidRPr="00847F92">
            <w:rPr>
              <w:rFonts w:ascii="Arial" w:hAnsi="Arial" w:cs="Arial"/>
              <w:b/>
              <w:bCs/>
              <w:sz w:val="24"/>
              <w:szCs w:val="24"/>
            </w:rPr>
            <w:t xml:space="preserve"> </w:t>
          </w:r>
          <w:r w:rsidRPr="00847F92">
            <w:rPr>
              <w:rFonts w:ascii="Arial" w:hAnsi="Arial" w:cs="Arial"/>
              <w:sz w:val="24"/>
              <w:szCs w:val="24"/>
            </w:rPr>
            <w:t>and</w:t>
          </w:r>
          <w:r w:rsidRPr="00847F92">
            <w:rPr>
              <w:rFonts w:ascii="Arial" w:hAnsi="Arial" w:cs="Arial"/>
              <w:b/>
              <w:bCs/>
              <w:sz w:val="24"/>
              <w:szCs w:val="24"/>
            </w:rPr>
            <w:t xml:space="preserve"> </w:t>
          </w:r>
          <w:r w:rsidRPr="00847F92">
            <w:rPr>
              <w:rStyle w:val="Strong"/>
              <w:rFonts w:ascii="Arial" w:hAnsi="Arial" w:cs="Arial"/>
              <w:b w:val="0"/>
              <w:bCs w:val="0"/>
            </w:rPr>
            <w:t>Earned Value Management (EVM)</w:t>
          </w:r>
          <w:r w:rsidR="003B4DB9">
            <w:rPr>
              <w:rFonts w:ascii="Arial" w:hAnsi="Arial" w:cs="Arial"/>
              <w:sz w:val="24"/>
              <w:szCs w:val="24"/>
            </w:rPr>
            <w:t xml:space="preserve"> </w:t>
          </w:r>
          <w:r w:rsidRPr="002B0CC3">
            <w:rPr>
              <w:rFonts w:ascii="Arial" w:hAnsi="Arial" w:cs="Arial"/>
              <w:sz w:val="24"/>
              <w:szCs w:val="24"/>
            </w:rPr>
            <w:t xml:space="preserve">evaluating their effectiveness, strengths, and limitations in dynamic settings. While ABC provides accurate cost allocation </w:t>
          </w:r>
          <w:r>
            <w:rPr>
              <w:rFonts w:ascii="Arial" w:hAnsi="Arial" w:cs="Arial"/>
              <w:sz w:val="24"/>
              <w:szCs w:val="24"/>
            </w:rPr>
            <w:t xml:space="preserve">based on activities, improving pricing and resource decisions </w:t>
          </w:r>
          <w:r w:rsidRPr="002B0CC3">
            <w:rPr>
              <w:rFonts w:ascii="Arial" w:hAnsi="Arial" w:cs="Arial"/>
              <w:sz w:val="24"/>
              <w:szCs w:val="24"/>
            </w:rPr>
            <w:t xml:space="preserve">and strategic insights, its complexity and maintenance requirements reduce adaptability. Similarly, EVM offers comprehensive project control and forecasting but struggles with rigid assumptions and data intensity in volatile markets. Recommendations include integrating lean principles with ABC and adopting Agile-compatible EVM frameworks to enhance </w:t>
          </w:r>
          <w:r w:rsidRPr="009849A9">
            <w:rPr>
              <w:rFonts w:ascii="Arial" w:hAnsi="Arial" w:eastAsia="Times New Roman" w:cs="Arial"/>
              <w:sz w:val="24"/>
              <w:szCs w:val="24"/>
              <w:lang w:eastAsia="en-GB"/>
            </w:rPr>
            <w:t>responsiveness in dynamic projects</w:t>
          </w:r>
          <w:r>
            <w:rPr>
              <w:rFonts w:ascii="Arial" w:hAnsi="Arial" w:eastAsia="Times New Roman" w:cs="Arial"/>
              <w:sz w:val="24"/>
              <w:szCs w:val="24"/>
              <w:lang w:eastAsia="en-GB"/>
            </w:rPr>
            <w:t>.</w:t>
          </w:r>
        </w:p>
        <w:p w:rsidRPr="002B0CC3" w:rsidR="00292EDA" w:rsidP="00292EDA" w:rsidRDefault="00292EDA" w14:paraId="6641E98E" w14:textId="05951DA3">
          <w:pPr>
            <w:rPr>
              <w:rFonts w:ascii="Arial" w:hAnsi="Arial" w:cs="Arial"/>
              <w:sz w:val="24"/>
              <w:szCs w:val="24"/>
            </w:rPr>
          </w:pPr>
          <w:r w:rsidRPr="002B0CC3">
            <w:rPr>
              <w:rFonts w:ascii="Arial" w:hAnsi="Arial" w:cs="Arial"/>
              <w:sz w:val="24"/>
              <w:szCs w:val="24"/>
            </w:rPr>
            <w:t xml:space="preserve">The report also compares </w:t>
          </w:r>
          <w:r w:rsidRPr="003B4DB9">
            <w:rPr>
              <w:rStyle w:val="Strong"/>
              <w:rFonts w:ascii="Arial" w:hAnsi="Arial" w:cs="Arial"/>
              <w:b w:val="0"/>
              <w:bCs w:val="0"/>
              <w:sz w:val="24"/>
              <w:szCs w:val="24"/>
            </w:rPr>
            <w:t>Marginal Costing</w:t>
          </w:r>
          <w:r w:rsidRPr="003B4DB9">
            <w:rPr>
              <w:rFonts w:ascii="Arial" w:hAnsi="Arial" w:cs="Arial"/>
              <w:sz w:val="24"/>
              <w:szCs w:val="24"/>
            </w:rPr>
            <w:t xml:space="preserve"> and </w:t>
          </w:r>
          <w:r w:rsidRPr="003B4DB9">
            <w:rPr>
              <w:rStyle w:val="Strong"/>
              <w:rFonts w:ascii="Arial" w:hAnsi="Arial" w:cs="Arial"/>
              <w:b w:val="0"/>
              <w:bCs w:val="0"/>
              <w:sz w:val="24"/>
              <w:szCs w:val="24"/>
            </w:rPr>
            <w:t>Absorption Costing</w:t>
          </w:r>
          <w:r w:rsidRPr="003B4DB9">
            <w:rPr>
              <w:rFonts w:ascii="Arial" w:hAnsi="Arial" w:cs="Arial"/>
              <w:b/>
              <w:bCs/>
              <w:sz w:val="24"/>
              <w:szCs w:val="24"/>
            </w:rPr>
            <w:t>,</w:t>
          </w:r>
          <w:r w:rsidRPr="002B0CC3">
            <w:rPr>
              <w:rFonts w:ascii="Arial" w:hAnsi="Arial" w:cs="Arial"/>
              <w:sz w:val="24"/>
              <w:szCs w:val="24"/>
            </w:rPr>
            <w:t xml:space="preserve"> highlighting their impact on profit measurement and inventory valuation. Marginal costing supports short-term decision-making by focusing on variable costs, whereas absorption costing ensures compliance and long-term analysis but can distort profits when inventory fluctuates. A blended approach is suggested to balance </w:t>
          </w:r>
          <w:r w:rsidR="003B4DB9">
            <w:rPr>
              <w:rFonts w:ascii="Arial" w:hAnsi="Arial" w:cs="Arial"/>
              <w:sz w:val="24"/>
              <w:szCs w:val="24"/>
            </w:rPr>
            <w:t>stability</w:t>
          </w:r>
          <w:r w:rsidRPr="002B0CC3">
            <w:rPr>
              <w:rFonts w:ascii="Arial" w:hAnsi="Arial" w:cs="Arial"/>
              <w:sz w:val="24"/>
              <w:szCs w:val="24"/>
            </w:rPr>
            <w:t xml:space="preserve"> and statutory requirements.</w:t>
          </w:r>
        </w:p>
        <w:p w:rsidRPr="002B0CC3" w:rsidR="00292EDA" w:rsidP="00292EDA" w:rsidRDefault="00292EDA" w14:paraId="55F97E0C" w14:textId="77777777">
          <w:pPr>
            <w:rPr>
              <w:rFonts w:ascii="Arial" w:hAnsi="Arial" w:cs="Arial"/>
              <w:sz w:val="24"/>
              <w:szCs w:val="24"/>
            </w:rPr>
          </w:pPr>
          <w:r w:rsidRPr="002B0CC3">
            <w:rPr>
              <w:rFonts w:ascii="Arial" w:hAnsi="Arial" w:cs="Arial"/>
              <w:sz w:val="24"/>
              <w:szCs w:val="24"/>
            </w:rPr>
            <w:t>Overall, the findings emphasise that cost management is not static but a dynamic capability. Organisations should adopt hybrid strategies that combine traditional and modern techniques to maintain competitiveness and achieve sustainable financial performance.</w:t>
          </w:r>
        </w:p>
        <w:p w:rsidR="007D1947" w:rsidRDefault="007D1947" w14:paraId="62AB7F7D" w14:textId="77777777"/>
        <w:p w:rsidR="007D1947" w:rsidRDefault="007D1947" w14:paraId="6846CF66" w14:textId="77777777"/>
        <w:p w:rsidR="007D1947" w:rsidRDefault="007D1947" w14:paraId="7F8F78F5" w14:textId="77777777"/>
        <w:p w:rsidR="007D1947" w:rsidRDefault="007D1947" w14:paraId="3E204757" w14:textId="77777777"/>
        <w:p w:rsidR="007D1947" w:rsidRDefault="007D1947" w14:paraId="775DA3A7" w14:textId="77777777"/>
        <w:p w:rsidR="007D1947" w:rsidRDefault="007D1947" w14:paraId="5E5C2FB5" w14:textId="77777777"/>
        <w:p w:rsidR="007D1947" w:rsidRDefault="007D1947" w14:paraId="119F1E47" w14:textId="77777777"/>
        <w:p w:rsidR="007D1947" w:rsidRDefault="007D1947" w14:paraId="2059565F" w14:textId="77777777"/>
        <w:p w:rsidR="007D1947" w:rsidRDefault="007D1947" w14:paraId="1E53466B" w14:textId="77777777"/>
        <w:p w:rsidR="007D1947" w:rsidRDefault="007D1947" w14:paraId="7BC12A6B" w14:textId="77777777"/>
        <w:p w:rsidR="007D1947" w:rsidRDefault="007D1947" w14:paraId="50292428" w14:textId="449EBBF9"/>
        <w:p w:rsidR="003B4DB9" w:rsidRDefault="003B4DB9" w14:paraId="189E1D6B" w14:textId="77777777"/>
        <w:p w:rsidR="007D1947" w:rsidRDefault="007D1947" w14:paraId="0EAD00A7" w14:textId="77777777"/>
        <w:sdt>
          <w:sdtPr>
            <w:id w:val="-1297214018"/>
            <w:docPartObj>
              <w:docPartGallery w:val="Table of Contents"/>
              <w:docPartUnique/>
            </w:docPartObj>
            <w:rPr>
              <w:rFonts w:ascii="Calibri" w:hAnsi="Calibri" w:eastAsia="Calibri" w:cs="Arial" w:asciiTheme="minorAscii" w:hAnsiTheme="minorAscii" w:eastAsiaTheme="minorAscii" w:cstheme="minorBidi"/>
              <w:color w:val="auto"/>
              <w:sz w:val="22"/>
              <w:szCs w:val="22"/>
              <w:lang w:val="en-GB"/>
            </w:rPr>
          </w:sdtPr>
          <w:sdtEndPr>
            <w:rPr>
              <w:rFonts w:ascii="Calibri" w:hAnsi="Calibri" w:eastAsia="Calibri" w:cs="Arial" w:asciiTheme="minorAscii" w:hAnsiTheme="minorAscii" w:eastAsiaTheme="minorAscii" w:cstheme="minorBidi"/>
              <w:b w:val="1"/>
              <w:bCs w:val="1"/>
              <w:noProof/>
              <w:color w:val="auto"/>
              <w:sz w:val="22"/>
              <w:szCs w:val="22"/>
              <w:lang w:val="en-GB"/>
            </w:rPr>
          </w:sdtEndPr>
          <w:sdtContent>
            <w:p w:rsidR="007D1947" w:rsidRDefault="007D1947" w14:paraId="1DFECD67" w14:textId="77777777">
              <w:pPr>
                <w:pStyle w:val="TOCHeading"/>
              </w:pPr>
              <w:r>
                <w:t>Table of Contents</w:t>
              </w:r>
            </w:p>
            <w:p w:rsidRPr="002A52E7" w:rsidR="002A52E7" w:rsidP="002A52E7" w:rsidRDefault="002A52E7" w14:paraId="386C7D94" w14:textId="282A90F6">
              <w:pPr>
                <w:spacing w:after="0" w:line="240" w:lineRule="auto"/>
                <w:rPr>
                  <w:rFonts w:eastAsia="Times New Roman" w:cstheme="minorHAnsi"/>
                  <w:lang w:eastAsia="en-GB"/>
                </w:rPr>
              </w:pPr>
              <w:r w:rsidRPr="002A52E7">
                <w:rPr>
                  <w:rFonts w:eastAsia="Times New Roman" w:cstheme="minorHAnsi"/>
                  <w:lang w:eastAsia="en-GB"/>
                </w:rPr>
                <w:t xml:space="preserve">Executive Summary .................................................. 1 </w:t>
              </w:r>
            </w:p>
            <w:p w:rsidRPr="002A52E7" w:rsidR="002A52E7" w:rsidP="002A52E7" w:rsidRDefault="002A52E7" w14:paraId="351A61B2" w14:textId="19DC17F3">
              <w:pPr>
                <w:spacing w:after="0" w:line="240" w:lineRule="auto"/>
                <w:rPr>
                  <w:rFonts w:eastAsia="Times New Roman" w:cstheme="minorHAnsi"/>
                  <w:lang w:eastAsia="en-GB"/>
                </w:rPr>
              </w:pPr>
              <w:r w:rsidRPr="002A52E7">
                <w:rPr>
                  <w:rFonts w:eastAsia="Times New Roman" w:cstheme="minorHAnsi"/>
                  <w:lang w:eastAsia="en-GB"/>
                </w:rPr>
                <w:t xml:space="preserve">Introduction ............................................................... 2 </w:t>
              </w:r>
            </w:p>
            <w:p w:rsidRPr="002A52E7" w:rsidR="002A52E7" w:rsidP="002A52E7" w:rsidRDefault="002A52E7" w14:paraId="5022C41A" w14:textId="77777777">
              <w:pPr>
                <w:numPr>
                  <w:ilvl w:val="0"/>
                  <w:numId w:val="21"/>
                </w:numPr>
                <w:spacing w:before="100" w:beforeAutospacing="1" w:after="100" w:afterAutospacing="1" w:line="240" w:lineRule="auto"/>
                <w:rPr>
                  <w:rFonts w:eastAsia="Times New Roman" w:cstheme="minorHAnsi"/>
                  <w:lang w:eastAsia="en-GB"/>
                </w:rPr>
              </w:pPr>
              <w:r w:rsidRPr="002A52E7">
                <w:rPr>
                  <w:rFonts w:eastAsia="Times New Roman" w:cstheme="minorHAnsi"/>
                  <w:lang w:eastAsia="en-GB"/>
                </w:rPr>
                <w:t>Importance of Cost Management in Dynamic Environments</w:t>
              </w:r>
            </w:p>
            <w:p w:rsidRPr="002A52E7" w:rsidR="002A52E7" w:rsidP="002A52E7" w:rsidRDefault="002A52E7" w14:paraId="60C9FC80" w14:textId="77777777">
              <w:pPr>
                <w:numPr>
                  <w:ilvl w:val="0"/>
                  <w:numId w:val="21"/>
                </w:numPr>
                <w:spacing w:before="100" w:beforeAutospacing="1" w:after="100" w:afterAutospacing="1" w:line="240" w:lineRule="auto"/>
                <w:rPr>
                  <w:rFonts w:eastAsia="Times New Roman" w:cstheme="minorHAnsi"/>
                  <w:lang w:eastAsia="en-GB"/>
                </w:rPr>
              </w:pPr>
              <w:r w:rsidRPr="002A52E7">
                <w:rPr>
                  <w:rFonts w:eastAsia="Times New Roman" w:cstheme="minorHAnsi"/>
                  <w:lang w:eastAsia="en-GB"/>
                </w:rPr>
                <w:t>Challenges in Modern Business Context</w:t>
              </w:r>
            </w:p>
            <w:p w:rsidRPr="002A52E7" w:rsidR="002A52E7" w:rsidP="002A52E7" w:rsidRDefault="002A52E7" w14:paraId="3FE89949" w14:textId="77777777">
              <w:pPr>
                <w:numPr>
                  <w:ilvl w:val="0"/>
                  <w:numId w:val="21"/>
                </w:numPr>
                <w:spacing w:before="100" w:beforeAutospacing="1" w:after="100" w:afterAutospacing="1" w:line="240" w:lineRule="auto"/>
                <w:rPr>
                  <w:rFonts w:eastAsia="Times New Roman" w:cstheme="minorHAnsi"/>
                  <w:lang w:eastAsia="en-GB"/>
                </w:rPr>
              </w:pPr>
              <w:r w:rsidRPr="002A52E7">
                <w:rPr>
                  <w:rFonts w:eastAsia="Times New Roman" w:cstheme="minorHAnsi"/>
                  <w:lang w:eastAsia="en-GB"/>
                </w:rPr>
                <w:t>Purpose and Structure of the Report</w:t>
              </w:r>
            </w:p>
            <w:p w:rsidRPr="002A52E7" w:rsidR="002A52E7" w:rsidP="002A52E7" w:rsidRDefault="002A52E7" w14:paraId="594D56BE" w14:textId="417C9FC6">
              <w:pPr>
                <w:spacing w:after="0" w:line="240" w:lineRule="auto"/>
                <w:rPr>
                  <w:rFonts w:eastAsia="Times New Roman" w:cstheme="minorHAnsi"/>
                  <w:lang w:eastAsia="en-GB"/>
                </w:rPr>
              </w:pPr>
              <w:r w:rsidRPr="002A52E7">
                <w:rPr>
                  <w:rFonts w:eastAsia="Times New Roman" w:cstheme="minorHAnsi"/>
                  <w:lang w:eastAsia="en-GB"/>
                </w:rPr>
                <w:t xml:space="preserve"> Main Findings ............................................................ 4</w:t>
              </w:r>
              <w:r w:rsidRPr="002A52E7">
                <w:rPr>
                  <w:rFonts w:eastAsia="Times New Roman" w:cstheme="minorHAnsi"/>
                  <w:lang w:eastAsia="en-GB"/>
                </w:rPr>
                <w:br/>
              </w:r>
              <w:r w:rsidRPr="002A52E7">
                <w:rPr>
                  <w:rFonts w:eastAsia="Times New Roman" w:cstheme="minorHAnsi"/>
                  <w:lang w:eastAsia="en-GB"/>
                </w:rPr>
                <w:t>3.1 Critical Evaluation of ABC and EVM</w:t>
              </w:r>
              <w:r w:rsidRPr="002A52E7">
                <w:rPr>
                  <w:rFonts w:eastAsia="Times New Roman" w:cstheme="minorHAnsi"/>
                  <w:lang w:eastAsia="en-GB"/>
                </w:rPr>
                <w:br/>
              </w:r>
              <w:r w:rsidRPr="002A52E7">
                <w:rPr>
                  <w:rFonts w:eastAsia="Times New Roman" w:cstheme="minorHAnsi"/>
                  <w:lang w:eastAsia="en-GB"/>
                </w:rPr>
                <w:t>- Principles and Applications</w:t>
              </w:r>
              <w:r w:rsidRPr="002A52E7">
                <w:rPr>
                  <w:rFonts w:eastAsia="Times New Roman" w:cstheme="minorHAnsi"/>
                  <w:lang w:eastAsia="en-GB"/>
                </w:rPr>
                <w:br/>
              </w:r>
              <w:r w:rsidRPr="002A52E7">
                <w:rPr>
                  <w:rFonts w:eastAsia="Times New Roman" w:cstheme="minorHAnsi"/>
                  <w:lang w:eastAsia="en-GB"/>
                </w:rPr>
                <w:t>- Evaluation in Dynamic Environments</w:t>
              </w:r>
              <w:r w:rsidRPr="002A52E7">
                <w:rPr>
                  <w:rFonts w:eastAsia="Times New Roman" w:cstheme="minorHAnsi"/>
                  <w:lang w:eastAsia="en-GB"/>
                </w:rPr>
                <w:br/>
              </w:r>
              <w:r w:rsidRPr="002A52E7">
                <w:rPr>
                  <w:rFonts w:eastAsia="Times New Roman" w:cstheme="minorHAnsi"/>
                  <w:lang w:eastAsia="en-GB"/>
                </w:rPr>
                <w:t>- Inherent Flaws and Implications</w:t>
              </w:r>
              <w:r w:rsidRPr="002A52E7">
                <w:rPr>
                  <w:rFonts w:eastAsia="Times New Roman" w:cstheme="minorHAnsi"/>
                  <w:lang w:eastAsia="en-GB"/>
                </w:rPr>
                <w:br/>
              </w:r>
              <w:r w:rsidRPr="002A52E7">
                <w:rPr>
                  <w:rFonts w:eastAsia="Times New Roman" w:cstheme="minorHAnsi"/>
                  <w:lang w:eastAsia="en-GB"/>
                </w:rPr>
                <w:t>- Real-World Examples and Recommendations</w:t>
              </w:r>
              <w:r w:rsidRPr="002A52E7">
                <w:rPr>
                  <w:rFonts w:eastAsia="Times New Roman" w:cstheme="minorHAnsi"/>
                  <w:lang w:eastAsia="en-GB"/>
                </w:rPr>
                <w:br/>
              </w:r>
              <w:r w:rsidRPr="002A52E7">
                <w:rPr>
                  <w:rFonts w:eastAsia="Times New Roman" w:cstheme="minorHAnsi"/>
                  <w:lang w:eastAsia="en-GB"/>
                </w:rPr>
                <w:t>3.2 Comparison of Marginal and Absorption Costing</w:t>
              </w:r>
              <w:r w:rsidRPr="002A52E7">
                <w:rPr>
                  <w:rFonts w:eastAsia="Times New Roman" w:cstheme="minorHAnsi"/>
                  <w:lang w:eastAsia="en-GB"/>
                </w:rPr>
                <w:br/>
              </w:r>
              <w:r w:rsidRPr="002A52E7">
                <w:rPr>
                  <w:rFonts w:eastAsia="Times New Roman" w:cstheme="minorHAnsi"/>
                  <w:lang w:eastAsia="en-GB"/>
                </w:rPr>
                <w:t>- Definitions</w:t>
              </w:r>
              <w:r w:rsidRPr="002A52E7">
                <w:rPr>
                  <w:rFonts w:eastAsia="Times New Roman" w:cstheme="minorHAnsi"/>
                  <w:lang w:eastAsia="en-GB"/>
                </w:rPr>
                <w:br/>
              </w:r>
              <w:r w:rsidRPr="002A52E7">
                <w:rPr>
                  <w:rFonts w:eastAsia="Times New Roman" w:cstheme="minorHAnsi"/>
                  <w:lang w:eastAsia="en-GB"/>
                </w:rPr>
                <w:t>- Benefits and Limitations</w:t>
              </w:r>
              <w:r w:rsidRPr="002A52E7">
                <w:rPr>
                  <w:rFonts w:eastAsia="Times New Roman" w:cstheme="minorHAnsi"/>
                  <w:lang w:eastAsia="en-GB"/>
                </w:rPr>
                <w:br/>
              </w:r>
              <w:r w:rsidRPr="002A52E7">
                <w:rPr>
                  <w:rFonts w:eastAsia="Times New Roman" w:cstheme="minorHAnsi"/>
                  <w:lang w:eastAsia="en-GB"/>
                </w:rPr>
                <w:t>- Key Differences and Impact</w:t>
              </w:r>
              <w:r w:rsidRPr="002A52E7">
                <w:rPr>
                  <w:rFonts w:eastAsia="Times New Roman" w:cstheme="minorHAnsi"/>
                  <w:lang w:eastAsia="en-GB"/>
                </w:rPr>
                <w:br/>
              </w:r>
              <w:r w:rsidRPr="002A52E7">
                <w:rPr>
                  <w:rFonts w:eastAsia="Times New Roman" w:cstheme="minorHAnsi"/>
                  <w:lang w:eastAsia="en-GB"/>
                </w:rPr>
                <w:t>- Numerical Example and Interpretation</w:t>
              </w:r>
              <w:r w:rsidRPr="002A52E7">
                <w:rPr>
                  <w:rFonts w:eastAsia="Times New Roman" w:cstheme="minorHAnsi"/>
                  <w:lang w:eastAsia="en-GB"/>
                </w:rPr>
                <w:br/>
              </w:r>
              <w:r w:rsidRPr="002A52E7">
                <w:rPr>
                  <w:rFonts w:eastAsia="Times New Roman" w:cstheme="minorHAnsi"/>
                  <w:lang w:eastAsia="en-GB"/>
                </w:rPr>
                <w:t>- Real-World Examples</w:t>
              </w:r>
              <w:r w:rsidRPr="002A52E7">
                <w:rPr>
                  <w:rFonts w:eastAsia="Times New Roman" w:cstheme="minorHAnsi"/>
                  <w:lang w:eastAsia="en-GB"/>
                </w:rPr>
                <w:br/>
              </w:r>
              <w:r w:rsidRPr="002A52E7">
                <w:rPr>
                  <w:rFonts w:eastAsia="Times New Roman" w:cstheme="minorHAnsi"/>
                  <w:lang w:eastAsia="en-GB"/>
                </w:rPr>
                <w:t xml:space="preserve">- Critical Discussion of Impact </w:t>
              </w:r>
            </w:p>
            <w:p w:rsidRPr="002A52E7" w:rsidR="002A52E7" w:rsidP="002A52E7" w:rsidRDefault="002A52E7" w14:paraId="07058CF8" w14:textId="55828BA7">
              <w:pPr>
                <w:spacing w:after="0" w:line="240" w:lineRule="auto"/>
                <w:rPr>
                  <w:rFonts w:eastAsia="Times New Roman" w:cstheme="minorHAnsi"/>
                  <w:lang w:eastAsia="en-GB"/>
                </w:rPr>
              </w:pPr>
              <w:r w:rsidRPr="002A52E7">
                <w:rPr>
                  <w:rFonts w:eastAsia="Times New Roman" w:cstheme="minorHAnsi"/>
                  <w:lang w:eastAsia="en-GB"/>
                </w:rPr>
                <w:t xml:space="preserve"> Conclusion ................................................................ 5 </w:t>
              </w:r>
            </w:p>
            <w:p w:rsidRPr="002A52E7" w:rsidR="00084E65" w:rsidP="002A52E7" w:rsidRDefault="002A52E7" w14:paraId="2060D9C0" w14:textId="37D0371B">
              <w:pPr>
                <w:pStyle w:val="TOC1"/>
                <w:tabs>
                  <w:tab w:val="right" w:leader="dot" w:pos="9016"/>
                </w:tabs>
                <w:rPr>
                  <w:rFonts w:eastAsiaTheme="minorEastAsia" w:cstheme="minorHAnsi"/>
                  <w:noProof/>
                  <w:lang w:eastAsia="zh-CN"/>
                </w:rPr>
              </w:pPr>
              <w:r w:rsidRPr="002A52E7">
                <w:rPr>
                  <w:rFonts w:eastAsia="Times New Roman" w:cstheme="minorHAnsi"/>
                  <w:lang w:eastAsia="en-GB"/>
                </w:rPr>
                <w:t>Bibliography ................................................................. 6</w:t>
              </w:r>
              <w:r w:rsidRPr="002A52E7">
                <w:rPr>
                  <w:rFonts w:cstheme="minorHAnsi"/>
                </w:rPr>
                <w:t xml:space="preserve"> </w:t>
              </w:r>
              <w:r w:rsidRPr="002A52E7" w:rsidR="007D1947">
                <w:rPr>
                  <w:rFonts w:cstheme="minorHAnsi"/>
                </w:rPr>
                <w:fldChar w:fldCharType="begin"/>
              </w:r>
              <w:r w:rsidRPr="002A52E7" w:rsidR="007D1947">
                <w:rPr>
                  <w:rFonts w:cstheme="minorHAnsi"/>
                </w:rPr>
                <w:instrText xml:space="preserve"> TOC \o "1-3" \h \z \u </w:instrText>
              </w:r>
              <w:r w:rsidRPr="002A52E7" w:rsidR="007D1947">
                <w:rPr>
                  <w:rFonts w:cstheme="minorHAnsi"/>
                </w:rPr>
                <w:fldChar w:fldCharType="separate"/>
              </w:r>
            </w:p>
            <w:p w:rsidR="007D1947" w:rsidRDefault="007D1947" w14:paraId="05194699" w14:textId="0B0F322C">
              <w:r w:rsidRPr="002A52E7">
                <w:rPr>
                  <w:rFonts w:cstheme="minorHAnsi"/>
                  <w:noProof/>
                </w:rPr>
                <w:fldChar w:fldCharType="end"/>
              </w:r>
            </w:p>
          </w:sdtContent>
        </w:sdt>
        <w:p w:rsidR="007D1947" w:rsidRDefault="007D1947" w14:paraId="35B6052B" w14:textId="77777777"/>
        <w:p w:rsidR="007D1947" w:rsidRDefault="007D1947" w14:paraId="22F11532" w14:textId="77777777"/>
        <w:p w:rsidR="007D1947" w:rsidRDefault="007D1947" w14:paraId="15C6D916" w14:textId="77777777"/>
        <w:p w:rsidR="007D1947" w:rsidRDefault="007D1947" w14:paraId="0882E422" w14:textId="77777777"/>
        <w:p w:rsidR="007D1947" w:rsidRDefault="007D1947" w14:paraId="655F29CA" w14:textId="27D9BC93"/>
        <w:p w:rsidR="00806F25" w:rsidRDefault="00806F25" w14:paraId="67240D3F" w14:textId="04DB632C"/>
        <w:p w:rsidR="003B4DB9" w:rsidRDefault="003B4DB9" w14:paraId="6F784588" w14:textId="7410553C"/>
        <w:p w:rsidR="003B4DB9" w:rsidRDefault="003B4DB9" w14:paraId="31A2CF1E" w14:textId="0CA79582"/>
        <w:p w:rsidR="003B4DB9" w:rsidRDefault="003B4DB9" w14:paraId="141F53AD" w14:textId="013704DE"/>
        <w:p w:rsidR="003B4DB9" w:rsidRDefault="003B4DB9" w14:paraId="36C26335" w14:textId="6410DC4F"/>
        <w:p w:rsidR="003B4DB9" w:rsidRDefault="003B4DB9" w14:paraId="75E0A12E" w14:textId="681586DD"/>
        <w:p w:rsidR="003B4DB9" w:rsidRDefault="003B4DB9" w14:paraId="1CE3CA3E" w14:textId="62777BF5"/>
        <w:p w:rsidR="003B4DB9" w:rsidRDefault="003B4DB9" w14:paraId="1CDB4EAE" w14:textId="7C6442F7"/>
        <w:p w:rsidR="003B4DB9" w:rsidRDefault="003B4DB9" w14:paraId="2D69E91B" w14:textId="3761EDF4"/>
        <w:p w:rsidR="003B4DB9" w:rsidRDefault="003B4DB9" w14:paraId="42F276AB" w14:textId="0A095255"/>
        <w:p w:rsidR="003B4DB9" w:rsidRDefault="003B4DB9" w14:paraId="22A84705" w14:textId="7B6F69A4"/>
        <w:p w:rsidR="003B4DB9" w:rsidRDefault="003B4DB9" w14:paraId="7C34BD59" w14:textId="699B13BE"/>
        <w:p w:rsidR="003B4DB9" w:rsidRDefault="003B4DB9" w14:paraId="7D515D60" w14:textId="666B8507"/>
        <w:p w:rsidR="003B4DB9" w:rsidRDefault="003B4DB9" w14:paraId="45DB3C07" w14:textId="00FB4D17"/>
        <w:p w:rsidR="003B4DB9" w:rsidRDefault="003B4DB9" w14:paraId="43C91CBC" w14:textId="541F444C"/>
        <w:p w:rsidR="003B4DB9" w:rsidRDefault="003B4DB9" w14:paraId="29D595C0" w14:textId="77777777"/>
        <w:p w:rsidR="007D1947" w:rsidP="00A12B58" w:rsidRDefault="007D1947" w14:paraId="0ED321E6" w14:textId="14B146CF">
          <w:pPr>
            <w:pStyle w:val="Heading1"/>
          </w:pPr>
          <w:bookmarkStart w:name="_Toc115682911" w:id="1"/>
          <w:r>
            <w:t>Introduction</w:t>
          </w:r>
          <w:r w:rsidR="00480872">
            <w:t xml:space="preserve"> (average of 10% of the word count)</w:t>
          </w:r>
          <w:bookmarkEnd w:id="1"/>
        </w:p>
        <w:p w:rsidRPr="004F60FC" w:rsidR="004F60FC" w:rsidP="004F60FC" w:rsidRDefault="004F60FC" w14:paraId="59C7EB8A" w14:textId="1DF323C6">
          <w:pPr>
            <w:pStyle w:val="NormalWeb"/>
            <w:rPr>
              <w:rFonts w:ascii="Arial" w:hAnsi="Arial" w:cs="Arial"/>
            </w:rPr>
          </w:pPr>
          <w:r w:rsidRPr="004F60FC">
            <w:rPr>
              <w:rFonts w:ascii="Arial" w:hAnsi="Arial" w:cs="Arial"/>
            </w:rPr>
            <w:t>Cost management is a fundamental capability for organisations seeking to maintain competitiveness and financial sustainability in an increasingly volatile global economy</w:t>
          </w:r>
          <w:r w:rsidRPr="00E51914" w:rsidR="00E51914">
            <w:t xml:space="preserve"> </w:t>
          </w:r>
          <w:r w:rsidRPr="00E51914" w:rsidR="00E51914">
            <w:rPr>
              <w:rFonts w:ascii="Arial" w:hAnsi="Arial" w:cs="Arial"/>
            </w:rPr>
            <w:t>(Sánchez-</w:t>
          </w:r>
          <w:proofErr w:type="spellStart"/>
          <w:r w:rsidRPr="00E51914" w:rsidR="00E51914">
            <w:rPr>
              <w:rFonts w:ascii="Arial" w:hAnsi="Arial" w:cs="Arial"/>
            </w:rPr>
            <w:t>Rebull</w:t>
          </w:r>
          <w:proofErr w:type="spellEnd"/>
          <w:r w:rsidRPr="00E51914" w:rsidR="00E51914">
            <w:rPr>
              <w:rFonts w:ascii="Arial" w:hAnsi="Arial" w:cs="Arial"/>
            </w:rPr>
            <w:t xml:space="preserve"> et </w:t>
          </w:r>
          <w:r w:rsidRPr="003B4DB9" w:rsidR="00E51914">
            <w:rPr>
              <w:rFonts w:ascii="Arial" w:hAnsi="Arial" w:cs="Arial"/>
            </w:rPr>
            <w:t xml:space="preserve">al., </w:t>
          </w:r>
          <w:hyperlink w:history="1" r:id="rId10">
            <w:r w:rsidRPr="003B4DB9" w:rsidR="00E51914">
              <w:rPr>
                <w:rStyle w:val="Hyperlink"/>
                <w:rFonts w:ascii="Arial" w:hAnsi="Arial" w:cs="Arial"/>
                <w:color w:val="auto"/>
                <w:u w:val="none"/>
              </w:rPr>
              <w:t>2023</w:t>
            </w:r>
          </w:hyperlink>
          <w:r w:rsidRPr="003B4DB9" w:rsidR="00E51914">
            <w:rPr>
              <w:rFonts w:ascii="Arial" w:hAnsi="Arial" w:cs="Arial"/>
            </w:rPr>
            <w:t>)</w:t>
          </w:r>
          <w:r w:rsidRPr="003B4DB9">
            <w:rPr>
              <w:rFonts w:ascii="Arial" w:hAnsi="Arial" w:cs="Arial"/>
            </w:rPr>
            <w:t xml:space="preserve">. </w:t>
          </w:r>
          <w:r w:rsidRPr="004F60FC">
            <w:rPr>
              <w:rFonts w:ascii="Arial" w:hAnsi="Arial" w:cs="Arial"/>
            </w:rPr>
            <w:t>Modern businesses operate in environments characterised by rapid technological change, globalisation, and economic uncertainty, where traditional cost control methods often fail to deliver the agility required for survival. These challenges are compounded by inflationary pressures, supply chain disruptions, and heightened customer expectations, all of which demand adaptive and data-driven approaches to financial planning and control.</w:t>
          </w:r>
        </w:p>
        <w:p w:rsidRPr="004F60FC" w:rsidR="004F60FC" w:rsidP="004F60FC" w:rsidRDefault="004F60FC" w14:paraId="65A40145" w14:textId="30CE44FB">
          <w:pPr>
            <w:pStyle w:val="NormalWeb"/>
            <w:rPr>
              <w:rFonts w:ascii="Arial" w:hAnsi="Arial" w:cs="Arial"/>
            </w:rPr>
          </w:pPr>
          <w:r w:rsidRPr="004F60FC">
            <w:rPr>
              <w:rFonts w:ascii="Arial" w:hAnsi="Arial" w:cs="Arial"/>
            </w:rPr>
            <w:t xml:space="preserve">Effective cost management extends beyond expenditure control; it underpins strategic decision-making </w:t>
          </w:r>
          <w:r w:rsidRPr="00E51914" w:rsidR="00E51914">
            <w:rPr>
              <w:rFonts w:ascii="Arial" w:hAnsi="Arial" w:cs="Arial"/>
            </w:rPr>
            <w:t>(</w:t>
          </w:r>
          <w:r w:rsidRPr="00E95B34" w:rsidR="00E51914">
            <w:rPr>
              <w:rFonts w:ascii="Arial" w:hAnsi="Arial" w:cs="Arial"/>
            </w:rPr>
            <w:t xml:space="preserve">Drury, </w:t>
          </w:r>
          <w:hyperlink w:history="1" r:id="rId11">
            <w:r w:rsidRPr="00E95B34" w:rsidR="00E51914">
              <w:rPr>
                <w:rStyle w:val="Hyperlink"/>
                <w:rFonts w:ascii="Arial" w:hAnsi="Arial" w:cs="Arial"/>
                <w:color w:val="auto"/>
                <w:u w:val="none"/>
              </w:rPr>
              <w:t>2024</w:t>
            </w:r>
          </w:hyperlink>
          <w:r w:rsidRPr="00E95B34" w:rsidR="00E51914">
            <w:rPr>
              <w:rFonts w:ascii="Arial" w:hAnsi="Arial" w:cs="Arial"/>
            </w:rPr>
            <w:t>)</w:t>
          </w:r>
          <w:r w:rsidRPr="00E95B34" w:rsidR="00E51914">
            <w:t xml:space="preserve"> </w:t>
          </w:r>
          <w:r w:rsidRPr="004F60FC">
            <w:rPr>
              <w:rFonts w:ascii="Arial" w:hAnsi="Arial" w:cs="Arial"/>
            </w:rPr>
            <w:t xml:space="preserve">by providing accurate insights into resource allocation, profitability, and operational efficiency. </w:t>
          </w:r>
          <w:r w:rsidRPr="005C4BFB">
            <w:rPr>
              <w:rFonts w:ascii="Arial" w:hAnsi="Arial" w:cs="Arial"/>
            </w:rPr>
            <w:t>In dynamic markets, organisations must not only monitor costs but also anticipate fluctuations and respond swiftly to maintain profitability. Conventional techniques, while historically effective, tend to rely on static assumptions and rigid structures</w:t>
          </w:r>
          <w:r w:rsidRPr="005C4BFB" w:rsidR="00E51914">
            <w:t xml:space="preserve"> </w:t>
          </w:r>
          <w:r w:rsidRPr="005C4BFB">
            <w:rPr>
              <w:rFonts w:ascii="Arial" w:hAnsi="Arial" w:cs="Arial"/>
            </w:rPr>
            <w:t>limiting their relevance in fast-changing contexts</w:t>
          </w:r>
          <w:r w:rsidR="005C4BFB">
            <w:rPr>
              <w:rFonts w:ascii="Arial" w:hAnsi="Arial" w:cs="Arial"/>
            </w:rPr>
            <w:t xml:space="preserve"> (</w:t>
          </w:r>
          <w:proofErr w:type="spellStart"/>
          <w:r w:rsidRPr="005C4BFB" w:rsidR="005C4BFB">
            <w:rPr>
              <w:rFonts w:ascii="Arial" w:hAnsi="Arial" w:cs="Arial"/>
            </w:rPr>
            <w:t>Ojra</w:t>
          </w:r>
          <w:proofErr w:type="spellEnd"/>
          <w:r w:rsidRPr="005C4BFB" w:rsidR="005C4BFB">
            <w:rPr>
              <w:rFonts w:ascii="Arial" w:hAnsi="Arial" w:cs="Arial"/>
            </w:rPr>
            <w:t xml:space="preserve">, J., </w:t>
          </w:r>
          <w:proofErr w:type="spellStart"/>
          <w:r w:rsidRPr="005C4BFB" w:rsidR="005C4BFB">
            <w:rPr>
              <w:rFonts w:ascii="Arial" w:hAnsi="Arial" w:cs="Arial"/>
            </w:rPr>
            <w:t>Opute</w:t>
          </w:r>
          <w:proofErr w:type="spellEnd"/>
          <w:r w:rsidRPr="005C4BFB" w:rsidR="005C4BFB">
            <w:rPr>
              <w:rFonts w:ascii="Arial" w:hAnsi="Arial" w:cs="Arial"/>
            </w:rPr>
            <w:t xml:space="preserve">, A.P., &amp; </w:t>
          </w:r>
          <w:proofErr w:type="spellStart"/>
          <w:r w:rsidRPr="005C4BFB" w:rsidR="005C4BFB">
            <w:rPr>
              <w:rFonts w:ascii="Arial" w:hAnsi="Arial" w:cs="Arial"/>
            </w:rPr>
            <w:t>Alsolmi</w:t>
          </w:r>
          <w:proofErr w:type="spellEnd"/>
          <w:r w:rsidRPr="005C4BFB" w:rsidR="005C4BFB">
            <w:rPr>
              <w:rFonts w:ascii="Arial" w:hAnsi="Arial" w:cs="Arial"/>
            </w:rPr>
            <w:t>, M.M.</w:t>
          </w:r>
          <w:r w:rsidR="005C4BFB">
            <w:rPr>
              <w:rFonts w:ascii="Arial" w:hAnsi="Arial" w:cs="Arial"/>
            </w:rPr>
            <w:t xml:space="preserve">, </w:t>
          </w:r>
          <w:hyperlink w:history="1" r:id="rId12">
            <w:r w:rsidRPr="005C4BFB" w:rsidR="005C4BFB">
              <w:rPr>
                <w:rStyle w:val="Hyperlink"/>
                <w:rFonts w:ascii="Arial" w:hAnsi="Arial" w:cs="Arial"/>
                <w:color w:val="auto"/>
                <w:u w:val="none"/>
              </w:rPr>
              <w:t>2021</w:t>
            </w:r>
          </w:hyperlink>
          <w:r w:rsidRPr="005C4BFB" w:rsidR="005C4BFB">
            <w:rPr>
              <w:rFonts w:ascii="Arial" w:hAnsi="Arial" w:cs="Arial"/>
            </w:rPr>
            <w:t>).</w:t>
          </w:r>
        </w:p>
        <w:p w:rsidRPr="004F60FC" w:rsidR="004F60FC" w:rsidP="004F60FC" w:rsidRDefault="004F60FC" w14:paraId="5FD1A2BC" w14:textId="77777777">
          <w:pPr>
            <w:pStyle w:val="NormalWeb"/>
            <w:rPr>
              <w:rFonts w:ascii="Arial" w:hAnsi="Arial" w:cs="Arial"/>
            </w:rPr>
          </w:pPr>
          <w:r w:rsidRPr="004F60FC">
            <w:rPr>
              <w:rFonts w:ascii="Arial" w:hAnsi="Arial" w:cs="Arial"/>
            </w:rPr>
            <w:t>This report is organised into two main sections. The first critically evaluates Activity-Based Costing (ABC) and Earned Value Management (EVM), assessing their effectiveness, inherent limitations, and adaptability in volatile environments. The second compares Marginal and Absorption costing methods, examining their benefits, drawbacks, and implications for profit measurement and inventory valuation. By integrating recent academic research and practical insights, the report addresses two key learning outcomes: developing a critical understanding of cost and management accounting principles and applying an analytical approach to cost data.</w:t>
          </w:r>
        </w:p>
        <w:p w:rsidR="007D1947" w:rsidP="007D1947" w:rsidRDefault="007D1947" w14:paraId="54C81D2A" w14:textId="77777777"/>
        <w:p w:rsidRPr="000425E1" w:rsidR="00292EDA" w:rsidP="00292EDA" w:rsidRDefault="00292EDA" w14:paraId="1224C1DA" w14:textId="6A1AA1F2">
          <w:pPr>
            <w:rPr>
              <w:rFonts w:ascii="Arial" w:hAnsi="Arial" w:cs="Arial"/>
              <w:sz w:val="24"/>
              <w:szCs w:val="24"/>
              <w:lang w:eastAsia="en-GB"/>
            </w:rPr>
          </w:pPr>
        </w:p>
        <w:p w:rsidR="00AA2A91" w:rsidP="004D519C" w:rsidRDefault="00AA2A91" w14:paraId="7C657C89" w14:textId="77777777"/>
        <w:p w:rsidR="00480872" w:rsidP="00AA2A91" w:rsidRDefault="00480872" w14:paraId="2E293EB9" w14:textId="77777777">
          <w:pPr>
            <w:pStyle w:val="Heading1"/>
          </w:pPr>
          <w:bookmarkStart w:name="_Toc115682912" w:id="2"/>
          <w:r>
            <w:t>Main Findings</w:t>
          </w:r>
          <w:bookmarkEnd w:id="2"/>
        </w:p>
        <w:p w:rsidRPr="004F60FC" w:rsidR="00292EDA" w:rsidP="004F60FC" w:rsidRDefault="00292EDA" w14:paraId="29B4A496" w14:textId="65D0E802">
          <w:pPr>
            <w:pStyle w:val="ListParagraph"/>
            <w:numPr>
              <w:ilvl w:val="0"/>
              <w:numId w:val="9"/>
            </w:numPr>
            <w:rPr>
              <w:rFonts w:ascii="Arial" w:hAnsi="Arial" w:cs="Arial"/>
              <w:b/>
              <w:bCs/>
              <w:sz w:val="24"/>
              <w:szCs w:val="24"/>
            </w:rPr>
          </w:pPr>
          <w:r w:rsidRPr="004F60FC">
            <w:rPr>
              <w:rFonts w:ascii="Arial" w:hAnsi="Arial" w:cs="Arial"/>
              <w:b/>
              <w:bCs/>
              <w:sz w:val="24"/>
              <w:szCs w:val="24"/>
            </w:rPr>
            <w:t>Critical Evaluation of ABC and EVM</w:t>
          </w:r>
          <w:r w:rsidR="004F60FC">
            <w:rPr>
              <w:rFonts w:ascii="Arial" w:hAnsi="Arial" w:cs="Arial"/>
              <w:b/>
              <w:bCs/>
              <w:sz w:val="24"/>
              <w:szCs w:val="24"/>
            </w:rPr>
            <w:t xml:space="preserve"> for cost management</w:t>
          </w:r>
          <w:r w:rsidRPr="004F60FC">
            <w:rPr>
              <w:rFonts w:ascii="Arial" w:hAnsi="Arial" w:cs="Arial"/>
              <w:b/>
              <w:bCs/>
              <w:sz w:val="24"/>
              <w:szCs w:val="24"/>
            </w:rPr>
            <w:t xml:space="preserve"> in a Fast-Changing Business Environment</w:t>
          </w:r>
        </w:p>
        <w:p w:rsidRPr="004F60FC" w:rsidR="004F60FC" w:rsidP="004F60FC" w:rsidRDefault="004F60FC" w14:paraId="30C3A8DA" w14:textId="77777777">
          <w:pPr>
            <w:rPr>
              <w:sz w:val="24"/>
              <w:szCs w:val="24"/>
            </w:rPr>
          </w:pPr>
          <w:r w:rsidRPr="004F60FC">
            <w:rPr>
              <w:rStyle w:val="Strong"/>
              <w:rFonts w:ascii="Arial" w:hAnsi="Arial" w:cs="Arial"/>
              <w:sz w:val="24"/>
              <w:szCs w:val="24"/>
            </w:rPr>
            <w:t>Principles and Applications of ABC and EVM</w:t>
          </w:r>
        </w:p>
        <w:p w:rsidRPr="004F60FC" w:rsidR="004F60FC" w:rsidP="004F60FC" w:rsidRDefault="004F60FC" w14:paraId="5D316F5C" w14:textId="3D44BDD3">
          <w:pPr>
            <w:pStyle w:val="NormalWeb"/>
            <w:rPr>
              <w:rFonts w:ascii="Arial" w:hAnsi="Arial" w:cs="Arial"/>
            </w:rPr>
          </w:pPr>
          <w:r w:rsidRPr="004F60FC">
            <w:rPr>
              <w:rFonts w:ascii="Arial" w:hAnsi="Arial" w:cs="Arial"/>
            </w:rPr>
            <w:t>Activity-Based Costing (ABC) is an advanced costing methodology that allocates overhead costs based on activities</w:t>
          </w:r>
          <w:r w:rsidRPr="00E51914" w:rsidR="00E51914">
            <w:t xml:space="preserve"> </w:t>
          </w:r>
          <w:r w:rsidRPr="00E51914" w:rsidR="00E51914">
            <w:rPr>
              <w:rFonts w:ascii="Arial" w:hAnsi="Arial" w:cs="Arial"/>
            </w:rPr>
            <w:t>(Sánchez-</w:t>
          </w:r>
          <w:proofErr w:type="spellStart"/>
          <w:r w:rsidRPr="00E51914" w:rsidR="00E51914">
            <w:rPr>
              <w:rFonts w:ascii="Arial" w:hAnsi="Arial" w:cs="Arial"/>
            </w:rPr>
            <w:t>Rebull</w:t>
          </w:r>
          <w:proofErr w:type="spellEnd"/>
          <w:r w:rsidRPr="00E51914" w:rsidR="00E51914">
            <w:rPr>
              <w:rFonts w:ascii="Arial" w:hAnsi="Arial" w:cs="Arial"/>
            </w:rPr>
            <w:t xml:space="preserve"> et al., </w:t>
          </w:r>
          <w:hyperlink w:history="1" r:id="rId13">
            <w:r w:rsidRPr="003B4DB9" w:rsidR="00E51914">
              <w:rPr>
                <w:rStyle w:val="Hyperlink"/>
                <w:rFonts w:ascii="Arial" w:hAnsi="Arial" w:cs="Arial"/>
                <w:color w:val="auto"/>
                <w:u w:val="none"/>
              </w:rPr>
              <w:t>2023</w:t>
            </w:r>
          </w:hyperlink>
          <w:r w:rsidRPr="003B4DB9" w:rsidR="00E51914">
            <w:rPr>
              <w:rFonts w:ascii="Arial" w:hAnsi="Arial" w:cs="Arial"/>
            </w:rPr>
            <w:t>)</w:t>
          </w:r>
          <w:r w:rsidRPr="004F60FC">
            <w:rPr>
              <w:rFonts w:ascii="Arial" w:hAnsi="Arial" w:cs="Arial"/>
            </w:rPr>
            <w:t xml:space="preserve"> rather than traditional volume-based measures. Developed by </w:t>
          </w:r>
          <w:r w:rsidRPr="00E706DE">
            <w:rPr>
              <w:rFonts w:ascii="Arial" w:hAnsi="Arial" w:cs="Arial"/>
            </w:rPr>
            <w:t>Kaplan and Cooper,</w:t>
          </w:r>
          <w:r w:rsidRPr="004F60FC">
            <w:rPr>
              <w:rFonts w:ascii="Arial" w:hAnsi="Arial" w:cs="Arial"/>
            </w:rPr>
            <w:t xml:space="preserve"> ABC aims to improve cost accuracy by identifying cost drivers and linking them to products, services, or customers. This approach provides granular insights into resource consumption, enabling managers to make informed decisions on pricing, product mix, and process improvements. </w:t>
          </w:r>
          <w:r w:rsidRPr="00973181">
            <w:rPr>
              <w:rFonts w:ascii="Arial" w:hAnsi="Arial" w:cs="Arial"/>
            </w:rPr>
            <w:t>ABC is particularly useful in complex manufacturing environments where indirect costs represent a significant proportion of total costs</w:t>
          </w:r>
          <w:r w:rsidRPr="00973181" w:rsidR="00973181">
            <w:t xml:space="preserve"> </w:t>
          </w:r>
          <w:r w:rsidRPr="00973181" w:rsidR="00973181">
            <w:rPr>
              <w:rFonts w:ascii="Arial" w:hAnsi="Arial" w:cs="Arial"/>
            </w:rPr>
            <w:t>(</w:t>
          </w:r>
          <w:proofErr w:type="spellStart"/>
          <w:r w:rsidRPr="00973181" w:rsidR="00973181">
            <w:rPr>
              <w:rFonts w:ascii="Arial" w:hAnsi="Arial" w:cs="Arial"/>
            </w:rPr>
            <w:t>Udeh</w:t>
          </w:r>
          <w:proofErr w:type="spellEnd"/>
          <w:r w:rsidRPr="00973181" w:rsidR="00973181">
            <w:rPr>
              <w:rFonts w:ascii="Arial" w:hAnsi="Arial" w:cs="Arial"/>
            </w:rPr>
            <w:t xml:space="preserve">, Eze &amp; </w:t>
          </w:r>
          <w:proofErr w:type="spellStart"/>
          <w:r w:rsidRPr="00217DA4" w:rsidR="00973181">
            <w:rPr>
              <w:rFonts w:ascii="Arial" w:hAnsi="Arial" w:cs="Arial"/>
            </w:rPr>
            <w:t>Enujioke</w:t>
          </w:r>
          <w:proofErr w:type="spellEnd"/>
          <w:r w:rsidRPr="00217DA4" w:rsidR="00973181">
            <w:rPr>
              <w:rFonts w:ascii="Arial" w:hAnsi="Arial" w:cs="Arial"/>
            </w:rPr>
            <w:t xml:space="preserve">, </w:t>
          </w:r>
          <w:hyperlink w:history="1" r:id="rId14">
            <w:r w:rsidRPr="00217DA4" w:rsidR="00973181">
              <w:rPr>
                <w:rStyle w:val="Hyperlink"/>
                <w:rFonts w:ascii="Arial" w:hAnsi="Arial" w:cs="Arial"/>
                <w:color w:val="auto"/>
              </w:rPr>
              <w:t>2024</w:t>
            </w:r>
          </w:hyperlink>
          <w:r w:rsidRPr="00217DA4" w:rsidR="00973181">
            <w:rPr>
              <w:rFonts w:ascii="Arial" w:hAnsi="Arial" w:cs="Arial"/>
            </w:rPr>
            <w:t>)</w:t>
          </w:r>
          <w:r w:rsidRPr="00217DA4">
            <w:rPr>
              <w:rFonts w:ascii="Arial" w:hAnsi="Arial" w:cs="Arial"/>
            </w:rPr>
            <w:t>.</w:t>
          </w:r>
        </w:p>
        <w:p w:rsidRPr="004F60FC" w:rsidR="004F60FC" w:rsidP="004F60FC" w:rsidRDefault="004F60FC" w14:paraId="4C8A1727" w14:textId="5D92A734">
          <w:pPr>
            <w:pStyle w:val="NormalWeb"/>
            <w:rPr>
              <w:rFonts w:ascii="Arial" w:hAnsi="Arial" w:cs="Arial"/>
            </w:rPr>
          </w:pPr>
          <w:r w:rsidRPr="7489BC33" w:rsidR="004F60FC">
            <w:rPr>
              <w:rFonts w:ascii="Arial" w:hAnsi="Arial" w:cs="Arial"/>
            </w:rPr>
            <w:t xml:space="preserve">Earned Value Management (EVM), on the other hand, is a </w:t>
          </w:r>
          <w:r w:rsidRPr="7489BC33" w:rsidR="004F60FC">
            <w:rPr>
              <w:rFonts w:ascii="Arial" w:hAnsi="Arial" w:cs="Arial"/>
            </w:rPr>
            <w:t>project performance measurement technique that integrates scope, schedule, and cost metrics</w:t>
          </w:r>
          <w:r w:rsidR="00C806FD">
            <w:rPr/>
            <w:t xml:space="preserve">. </w:t>
          </w:r>
          <w:r w:rsidRPr="7489BC33" w:rsidR="004F60FC">
            <w:rPr>
              <w:rFonts w:ascii="Arial" w:hAnsi="Arial" w:cs="Arial"/>
            </w:rPr>
            <w:t xml:space="preserve">By comparing planned value, earned value, and actual cost, EVM </w:t>
          </w:r>
          <w:r w:rsidRPr="7489BC33" w:rsidR="004F60FC">
            <w:rPr>
              <w:rFonts w:ascii="Arial" w:hAnsi="Arial" w:cs="Arial"/>
            </w:rPr>
            <w:t>provides</w:t>
          </w:r>
          <w:r w:rsidRPr="7489BC33" w:rsidR="004F60FC">
            <w:rPr>
              <w:rFonts w:ascii="Arial" w:hAnsi="Arial" w:cs="Arial"/>
            </w:rPr>
            <w:t xml:space="preserve"> a comprehensive view of project health and forecasts future performance. Its predictive capability supports proactive decision-making, making it a cornerstone of project management in industries such as construction, aerospace, and IT. </w:t>
          </w:r>
          <w:r w:rsidRPr="7489BC33" w:rsidR="004F60FC">
            <w:rPr>
              <w:rFonts w:ascii="Arial" w:hAnsi="Arial" w:cs="Arial"/>
            </w:rPr>
            <w:t xml:space="preserve">Both ABC and EVM share a common goal: enhancing cost visibility and control to support strategic and operational </w:t>
          </w:r>
          <w:r w:rsidRPr="7489BC33" w:rsidR="004F60FC">
            <w:rPr>
              <w:rFonts w:ascii="Arial" w:hAnsi="Arial" w:cs="Arial"/>
            </w:rPr>
            <w:t>objectives</w:t>
          </w:r>
          <w:r w:rsidR="00973181">
            <w:rPr/>
            <w:t xml:space="preserve"> </w:t>
          </w:r>
          <w:r w:rsidRPr="7489BC33" w:rsidR="00973181">
            <w:rPr>
              <w:rFonts w:ascii="Arial" w:hAnsi="Arial" w:cs="Arial"/>
            </w:rPr>
            <w:t>(</w:t>
          </w:r>
          <w:r w:rsidRPr="7489BC33" w:rsidR="00973181">
            <w:rPr>
              <w:rFonts w:ascii="Arial" w:hAnsi="Arial" w:cs="Arial"/>
            </w:rPr>
            <w:t>Elghaish</w:t>
          </w:r>
          <w:r w:rsidRPr="7489BC33" w:rsidR="00973181">
            <w:rPr>
              <w:rFonts w:ascii="Arial" w:hAnsi="Arial" w:cs="Arial"/>
            </w:rPr>
            <w:t xml:space="preserve"> &amp; </w:t>
          </w:r>
          <w:r w:rsidRPr="7489BC33" w:rsidR="00973181">
            <w:rPr>
              <w:rFonts w:ascii="Arial" w:hAnsi="Arial" w:cs="Arial"/>
            </w:rPr>
            <w:t>Abrishami</w:t>
          </w:r>
          <w:r w:rsidRPr="7489BC33" w:rsidR="00973181">
            <w:rPr>
              <w:rFonts w:ascii="Arial" w:hAnsi="Arial" w:cs="Arial"/>
            </w:rPr>
            <w:t xml:space="preserve">, </w:t>
          </w:r>
          <w:hyperlink r:id="Rf2abe12a983c4014">
            <w:r w:rsidRPr="7489BC33" w:rsidR="00973181">
              <w:rPr>
                <w:rStyle w:val="Hyperlink"/>
                <w:rFonts w:ascii="Arial" w:hAnsi="Arial" w:cs="Arial"/>
                <w:color w:val="auto"/>
                <w:u w:val="none"/>
              </w:rPr>
              <w:t>2021</w:t>
            </w:r>
          </w:hyperlink>
          <w:r w:rsidRPr="7489BC33" w:rsidR="00973181">
            <w:rPr>
              <w:rFonts w:ascii="Arial" w:hAnsi="Arial" w:cs="Arial"/>
            </w:rPr>
            <w:t>)</w:t>
          </w:r>
          <w:r w:rsidRPr="7489BC33" w:rsidR="004F60FC">
            <w:rPr>
              <w:rFonts w:ascii="Arial" w:hAnsi="Arial" w:cs="Arial"/>
            </w:rPr>
            <w:t>.</w:t>
          </w:r>
        </w:p>
        <w:p w:rsidR="7489BC33" w:rsidP="7489BC33" w:rsidRDefault="7489BC33" w14:paraId="175C4109" w14:textId="3D33C7A6">
          <w:pPr>
            <w:pStyle w:val="NormalWeb"/>
            <w:rPr>
              <w:rFonts w:ascii="Arial" w:hAnsi="Arial" w:cs="Arial"/>
            </w:rPr>
          </w:pPr>
        </w:p>
        <w:p w:rsidR="7489BC33" w:rsidP="7489BC33" w:rsidRDefault="7489BC33" w14:paraId="0BF5A58F" w14:textId="593ACB79">
          <w:pPr>
            <w:pStyle w:val="NormalWeb"/>
            <w:rPr>
              <w:rFonts w:ascii="Arial" w:hAnsi="Arial" w:cs="Arial"/>
            </w:rPr>
          </w:pPr>
        </w:p>
        <w:p w:rsidR="7489BC33" w:rsidP="7489BC33" w:rsidRDefault="7489BC33" w14:paraId="11E0026D" w14:textId="454C5270">
          <w:pPr>
            <w:rPr>
              <w:rFonts w:ascii="Arial" w:hAnsi="Arial" w:cs="Arial"/>
              <w:b w:val="1"/>
              <w:bCs w:val="1"/>
              <w:sz w:val="24"/>
              <w:szCs w:val="24"/>
              <w:lang w:eastAsia="en-GB"/>
            </w:rPr>
          </w:pPr>
        </w:p>
        <w:p w:rsidRPr="004F60FC" w:rsidR="004F60FC" w:rsidP="7489BC33" w:rsidRDefault="004F60FC" w14:paraId="5B724E0B" w14:textId="448EBF68">
          <w:pPr>
            <w:rPr>
              <w:rFonts w:ascii="Arial" w:hAnsi="Arial" w:cs="Arial"/>
              <w:sz w:val="24"/>
              <w:szCs w:val="24"/>
              <w:lang w:eastAsia="en-GB"/>
            </w:rPr>
          </w:pPr>
          <w:r w:rsidRPr="7489BC33" w:rsidR="004F60FC">
            <w:rPr>
              <w:rFonts w:ascii="Arial" w:hAnsi="Arial" w:cs="Arial"/>
              <w:b w:val="1"/>
              <w:bCs w:val="1"/>
              <w:sz w:val="24"/>
              <w:szCs w:val="24"/>
              <w:lang w:eastAsia="en-GB"/>
            </w:rPr>
            <w:t>Critical Evaluation in Dynamic Environments</w:t>
          </w:r>
          <w:proofErr w:type="spellStart"/>
          <w:proofErr w:type="spellEnd"/>
          <w:proofErr w:type="spellStart"/>
          <w:proofErr w:type="spellEnd"/>
          <w:proofErr w:type="spellStart"/>
          <w:proofErr w:type="spellEnd"/>
        </w:p>
        <w:p w:rsidRPr="004F60FC" w:rsidR="004F60FC" w:rsidP="004F60FC" w:rsidRDefault="004F60FC" w14:paraId="2A4D36B0" w14:textId="2BE722F7">
          <w:pPr>
            <w:rPr>
              <w:rFonts w:ascii="Arial" w:hAnsi="Arial" w:cs="Arial"/>
              <w:sz w:val="24"/>
              <w:szCs w:val="24"/>
              <w:lang w:eastAsia="en-GB"/>
            </w:rPr>
          </w:pPr>
          <w:r w:rsidRPr="7489BC33" w:rsidR="004F60FC">
            <w:rPr>
              <w:rFonts w:ascii="Arial" w:hAnsi="Arial" w:cs="Arial"/>
              <w:sz w:val="24"/>
              <w:szCs w:val="24"/>
              <w:lang w:eastAsia="en-GB"/>
            </w:rPr>
            <w:t>While ABC and EVM offer significant advantages, their effectiveness in fast-changing business environments is subject to debate. ABC’s reliance on detailed activity analysis and cost driver identification can be resource-intensive</w:t>
          </w:r>
          <w:r w:rsidRPr="7489BC33" w:rsidR="00B53AB5">
            <w:rPr>
              <w:rFonts w:ascii="Arial" w:hAnsi="Arial" w:cs="Arial"/>
              <w:sz w:val="24"/>
              <w:szCs w:val="24"/>
            </w:rPr>
            <w:t xml:space="preserve"> </w:t>
          </w:r>
          <w:r w:rsidRPr="7489BC33" w:rsidR="004F60FC">
            <w:rPr>
              <w:rFonts w:ascii="Arial" w:hAnsi="Arial" w:cs="Arial"/>
              <w:sz w:val="24"/>
              <w:szCs w:val="24"/>
              <w:lang w:eastAsia="en-GB"/>
            </w:rPr>
            <w:t xml:space="preserve">limiting its adaptability in volatile markets. Frequent changes in processes or product lines </w:t>
          </w:r>
          <w:r w:rsidRPr="7489BC33" w:rsidR="004F60FC">
            <w:rPr>
              <w:rFonts w:ascii="Arial" w:hAnsi="Arial" w:cs="Arial"/>
              <w:sz w:val="24"/>
              <w:szCs w:val="24"/>
              <w:lang w:eastAsia="en-GB"/>
            </w:rPr>
            <w:t>necessitate</w:t>
          </w:r>
          <w:r w:rsidRPr="7489BC33" w:rsidR="004F60FC">
            <w:rPr>
              <w:rFonts w:ascii="Arial" w:hAnsi="Arial" w:cs="Arial"/>
              <w:sz w:val="24"/>
              <w:szCs w:val="24"/>
              <w:lang w:eastAsia="en-GB"/>
            </w:rPr>
            <w:t xml:space="preserve"> continuous updates to the ABC model, increasing administrative burden and implementation costs </w:t>
          </w:r>
          <w:r w:rsidRPr="7489BC33" w:rsidR="00B53AB5">
            <w:rPr>
              <w:rFonts w:ascii="Arial" w:hAnsi="Arial" w:cs="Arial"/>
              <w:sz w:val="24"/>
              <w:szCs w:val="24"/>
            </w:rPr>
            <w:t>(Saleh, Al-</w:t>
          </w:r>
          <w:r w:rsidRPr="7489BC33" w:rsidR="00B53AB5">
            <w:rPr>
              <w:rFonts w:ascii="Arial" w:hAnsi="Arial" w:cs="Arial"/>
              <w:sz w:val="24"/>
              <w:szCs w:val="24"/>
            </w:rPr>
            <w:t>Nimer</w:t>
          </w:r>
          <w:r w:rsidRPr="7489BC33" w:rsidR="00B53AB5">
            <w:rPr>
              <w:rFonts w:ascii="Arial" w:hAnsi="Arial" w:cs="Arial"/>
              <w:sz w:val="24"/>
              <w:szCs w:val="24"/>
            </w:rPr>
            <w:t xml:space="preserve"> and </w:t>
          </w:r>
          <w:r w:rsidRPr="7489BC33" w:rsidR="00B53AB5">
            <w:rPr>
              <w:rFonts w:ascii="Arial" w:hAnsi="Arial" w:cs="Arial"/>
              <w:sz w:val="24"/>
              <w:szCs w:val="24"/>
            </w:rPr>
            <w:t>Abbadi</w:t>
          </w:r>
          <w:r w:rsidRPr="7489BC33" w:rsidR="00B53AB5">
            <w:rPr>
              <w:rFonts w:ascii="Arial" w:hAnsi="Arial" w:cs="Arial"/>
              <w:sz w:val="24"/>
              <w:szCs w:val="24"/>
            </w:rPr>
            <w:t xml:space="preserve">, </w:t>
          </w:r>
          <w:hyperlink w:anchor="abstract" r:id="R6a88190298104f7e">
            <w:r w:rsidRPr="7489BC33" w:rsidR="00B53AB5">
              <w:rPr>
                <w:rStyle w:val="Hyperlink"/>
                <w:rFonts w:ascii="Arial" w:hAnsi="Arial" w:cs="Arial"/>
                <w:color w:val="auto"/>
                <w:sz w:val="24"/>
                <w:szCs w:val="24"/>
                <w:u w:val="none"/>
              </w:rPr>
              <w:t>2023</w:t>
            </w:r>
          </w:hyperlink>
          <w:r w:rsidRPr="7489BC33" w:rsidR="00B53AB5">
            <w:rPr>
              <w:rFonts w:ascii="Arial" w:hAnsi="Arial" w:cs="Arial"/>
              <w:sz w:val="24"/>
              <w:szCs w:val="24"/>
            </w:rPr>
            <w:t>).</w:t>
          </w:r>
          <w:r w:rsidR="00B53AB5">
            <w:rPr/>
            <w:t xml:space="preserve"> </w:t>
          </w:r>
          <w:r w:rsidRPr="7489BC33" w:rsidR="004F60FC">
            <w:rPr>
              <w:rFonts w:ascii="Arial" w:hAnsi="Arial" w:cs="Arial"/>
              <w:sz w:val="24"/>
              <w:szCs w:val="24"/>
              <w:lang w:eastAsia="en-GB"/>
            </w:rPr>
            <w:t xml:space="preserve">Similarly, EVM assumes stable baselines for scope, schedule, and cost, which rarely hold true in agile or rapidly evolving projects. </w:t>
          </w:r>
          <w:r w:rsidRPr="7489BC33" w:rsidR="000F6670">
            <w:rPr>
              <w:rFonts w:ascii="Arial" w:hAnsi="Arial" w:cs="Arial"/>
              <w:sz w:val="24"/>
              <w:szCs w:val="24"/>
            </w:rPr>
            <w:t xml:space="preserve">Research by </w:t>
          </w:r>
          <w:r w:rsidRPr="7489BC33" w:rsidR="000F6670">
            <w:rPr>
              <w:rFonts w:ascii="Arial" w:hAnsi="Arial" w:cs="Arial"/>
              <w:sz w:val="24"/>
              <w:szCs w:val="24"/>
            </w:rPr>
            <w:t>(</w:t>
          </w:r>
          <w:r w:rsidRPr="7489BC33" w:rsidR="000F6670">
            <w:rPr>
              <w:rFonts w:ascii="Arial" w:hAnsi="Arial" w:cs="Arial"/>
              <w:sz w:val="24"/>
              <w:szCs w:val="24"/>
            </w:rPr>
            <w:t>Elsaid</w:t>
          </w:r>
          <w:r w:rsidRPr="7489BC33" w:rsidR="000F6670">
            <w:rPr>
              <w:rFonts w:ascii="Arial" w:hAnsi="Arial" w:cs="Arial"/>
              <w:sz w:val="24"/>
              <w:szCs w:val="24"/>
            </w:rPr>
            <w:t>, Nassar and Abotaleb</w:t>
          </w:r>
          <w:r w:rsidRPr="7489BC33" w:rsidR="000F6670">
            <w:rPr>
              <w:rFonts w:ascii="Arial" w:hAnsi="Arial" w:cs="Arial"/>
              <w:sz w:val="24"/>
              <w:szCs w:val="24"/>
            </w:rPr>
            <w:t>,</w:t>
          </w:r>
          <w:r w:rsidRPr="7489BC33" w:rsidR="000F6670">
            <w:rPr>
              <w:rFonts w:ascii="Arial" w:hAnsi="Arial" w:cs="Arial"/>
              <w:sz w:val="24"/>
              <w:szCs w:val="24"/>
            </w:rPr>
            <w:t xml:space="preserve">2024) </w:t>
          </w:r>
          <w:r w:rsidRPr="7489BC33" w:rsidR="000F6670">
            <w:rPr>
              <w:rFonts w:ascii="Arial" w:hAnsi="Arial" w:cs="Arial"/>
              <w:sz w:val="24"/>
              <w:szCs w:val="24"/>
            </w:rPr>
            <w:t>indicates</w:t>
          </w:r>
          <w:r w:rsidRPr="7489BC33" w:rsidR="000F6670">
            <w:rPr>
              <w:rFonts w:ascii="Arial" w:hAnsi="Arial" w:cs="Arial"/>
              <w:sz w:val="24"/>
              <w:szCs w:val="24"/>
            </w:rPr>
            <w:t xml:space="preserve"> that EVM’s predictive accuracy can decline significantly when frequent scope changes occur, often resulting in misleading performance indicators and unreliable forecasts.</w:t>
          </w:r>
        </w:p>
        <w:p w:rsidRPr="004F60FC" w:rsidR="004F60FC" w:rsidP="004F60FC" w:rsidRDefault="004F60FC" w14:paraId="4A9A7345" w14:textId="1BD8634A">
          <w:pPr>
            <w:rPr>
              <w:rFonts w:ascii="Arial" w:hAnsi="Arial" w:cs="Arial"/>
              <w:sz w:val="24"/>
              <w:szCs w:val="24"/>
              <w:lang w:eastAsia="en-GB"/>
            </w:rPr>
          </w:pPr>
          <w:r w:rsidRPr="004F60FC">
            <w:rPr>
              <w:rFonts w:ascii="Arial" w:hAnsi="Arial" w:cs="Arial"/>
              <w:sz w:val="24"/>
              <w:szCs w:val="24"/>
              <w:lang w:eastAsia="en-GB"/>
            </w:rPr>
            <w:t>Despite these limitations, both methods contribute to structured cost control. ABC enhances transparency in resource allocation, while EVM supports integrated performance monitoring. Organi</w:t>
          </w:r>
          <w:r w:rsidR="009C00D0">
            <w:rPr>
              <w:rFonts w:ascii="Arial" w:hAnsi="Arial" w:cs="Arial"/>
              <w:sz w:val="24"/>
              <w:szCs w:val="24"/>
              <w:lang w:eastAsia="en-GB"/>
            </w:rPr>
            <w:t>s</w:t>
          </w:r>
          <w:r w:rsidRPr="004F60FC">
            <w:rPr>
              <w:rFonts w:ascii="Arial" w:hAnsi="Arial" w:cs="Arial"/>
              <w:sz w:val="24"/>
              <w:szCs w:val="24"/>
              <w:lang w:eastAsia="en-GB"/>
            </w:rPr>
            <w:t>ations operating in dynamic environments can leverage these tools by adopting adaptive models</w:t>
          </w:r>
          <w:r w:rsidR="009C00D0">
            <w:rPr>
              <w:rFonts w:ascii="Arial" w:hAnsi="Arial" w:cs="Arial"/>
              <w:sz w:val="24"/>
              <w:szCs w:val="24"/>
              <w:lang w:eastAsia="en-GB"/>
            </w:rPr>
            <w:t xml:space="preserve"> </w:t>
          </w:r>
          <w:r w:rsidRPr="004F60FC">
            <w:rPr>
              <w:rFonts w:ascii="Arial" w:hAnsi="Arial" w:cs="Arial"/>
              <w:sz w:val="24"/>
              <w:szCs w:val="24"/>
              <w:lang w:eastAsia="en-GB"/>
            </w:rPr>
            <w:t>such as lean ABC and Agile EVM</w:t>
          </w:r>
          <w:r w:rsidR="009C00D0">
            <w:rPr>
              <w:rFonts w:ascii="Arial" w:hAnsi="Arial" w:cs="Arial"/>
              <w:sz w:val="24"/>
              <w:szCs w:val="24"/>
              <w:lang w:eastAsia="en-GB"/>
            </w:rPr>
            <w:t xml:space="preserve"> </w:t>
          </w:r>
          <w:r w:rsidRPr="004F60FC">
            <w:rPr>
              <w:rFonts w:ascii="Arial" w:hAnsi="Arial" w:cs="Arial"/>
              <w:sz w:val="24"/>
              <w:szCs w:val="24"/>
              <w:lang w:eastAsia="en-GB"/>
            </w:rPr>
            <w:t>that reduce complexity and improve responsiveness.</w:t>
          </w:r>
        </w:p>
        <w:p w:rsidRPr="004F60FC" w:rsidR="004F60FC" w:rsidP="004F60FC" w:rsidRDefault="004F60FC" w14:paraId="2244F25D" w14:textId="77777777">
          <w:pPr>
            <w:rPr>
              <w:rFonts w:ascii="Arial" w:hAnsi="Arial" w:cs="Arial"/>
              <w:b/>
              <w:bCs/>
              <w:sz w:val="24"/>
              <w:szCs w:val="24"/>
              <w:lang w:eastAsia="en-GB"/>
            </w:rPr>
          </w:pPr>
          <w:r w:rsidRPr="004F60FC">
            <w:rPr>
              <w:rFonts w:ascii="Arial" w:hAnsi="Arial" w:cs="Arial"/>
              <w:b/>
              <w:bCs/>
              <w:sz w:val="24"/>
              <w:szCs w:val="24"/>
              <w:lang w:eastAsia="en-GB"/>
            </w:rPr>
            <w:t>Inherent Flaws and Implications</w:t>
          </w:r>
        </w:p>
        <w:p w:rsidRPr="004F60FC" w:rsidR="004F60FC" w:rsidP="004F60FC" w:rsidRDefault="004F60FC" w14:paraId="4A129A86" w14:textId="2C579B35">
          <w:pPr>
            <w:rPr>
              <w:rFonts w:ascii="Arial" w:hAnsi="Arial" w:cs="Arial"/>
              <w:sz w:val="24"/>
              <w:szCs w:val="24"/>
              <w:lang w:eastAsia="en-GB"/>
            </w:rPr>
          </w:pPr>
          <w:r w:rsidRPr="004F60FC">
            <w:rPr>
              <w:rFonts w:ascii="Arial" w:hAnsi="Arial" w:cs="Arial"/>
              <w:sz w:val="24"/>
              <w:szCs w:val="24"/>
              <w:lang w:eastAsia="en-GB"/>
            </w:rPr>
            <w:t>ABC’s primary flaw lies in its complexity and data dependency</w:t>
          </w:r>
          <w:r w:rsidRPr="003D7022" w:rsidR="003D7022">
            <w:t xml:space="preserve"> </w:t>
          </w:r>
          <w:r w:rsidRPr="003D7022" w:rsidR="003D7022">
            <w:rPr>
              <w:rFonts w:ascii="Arial" w:hAnsi="Arial" w:cs="Arial"/>
              <w:sz w:val="24"/>
              <w:szCs w:val="24"/>
            </w:rPr>
            <w:t>(</w:t>
          </w:r>
          <w:r w:rsidRPr="00E95B34" w:rsidR="003D7022">
            <w:rPr>
              <w:rFonts w:ascii="Arial" w:hAnsi="Arial" w:cs="Arial"/>
              <w:sz w:val="24"/>
              <w:szCs w:val="24"/>
            </w:rPr>
            <w:t xml:space="preserve">Drury, </w:t>
          </w:r>
          <w:hyperlink w:history="1" r:id="rId17">
            <w:r w:rsidRPr="00E95B34" w:rsidR="003D7022">
              <w:rPr>
                <w:rStyle w:val="Hyperlink"/>
                <w:rFonts w:ascii="Arial" w:hAnsi="Arial" w:cs="Arial"/>
                <w:color w:val="auto"/>
                <w:sz w:val="24"/>
                <w:szCs w:val="24"/>
                <w:u w:val="none"/>
              </w:rPr>
              <w:t>2024</w:t>
            </w:r>
          </w:hyperlink>
          <w:r w:rsidRPr="00E95B34" w:rsidR="003D7022">
            <w:rPr>
              <w:rFonts w:ascii="Arial" w:hAnsi="Arial" w:cs="Arial"/>
              <w:sz w:val="24"/>
              <w:szCs w:val="24"/>
            </w:rPr>
            <w:t>)</w:t>
          </w:r>
          <w:r w:rsidRPr="00E95B34">
            <w:rPr>
              <w:rFonts w:ascii="Arial" w:hAnsi="Arial" w:cs="Arial"/>
              <w:sz w:val="24"/>
              <w:szCs w:val="24"/>
              <w:lang w:eastAsia="en-GB"/>
            </w:rPr>
            <w:t xml:space="preserve">. </w:t>
          </w:r>
          <w:r w:rsidRPr="004F60FC">
            <w:rPr>
              <w:rFonts w:ascii="Arial" w:hAnsi="Arial" w:cs="Arial"/>
              <w:sz w:val="24"/>
              <w:szCs w:val="24"/>
              <w:lang w:eastAsia="en-GB"/>
            </w:rPr>
            <w:t xml:space="preserve">Implementing ABC requires extensive data collection and analysis, which can be costly and time-consuming. </w:t>
          </w:r>
          <w:r w:rsidRPr="006C740E">
            <w:rPr>
              <w:rFonts w:ascii="Arial" w:hAnsi="Arial" w:cs="Arial"/>
              <w:sz w:val="24"/>
              <w:szCs w:val="24"/>
              <w:lang w:eastAsia="en-GB"/>
            </w:rPr>
            <w:t>Small and medium-sized enterprises often struggle to justify these investments, limiting ABC’s applicability beyond large organi</w:t>
          </w:r>
          <w:r w:rsidRPr="006C740E" w:rsidR="009C00D0">
            <w:rPr>
              <w:rFonts w:ascii="Arial" w:hAnsi="Arial" w:cs="Arial"/>
              <w:sz w:val="24"/>
              <w:szCs w:val="24"/>
              <w:lang w:eastAsia="en-GB"/>
            </w:rPr>
            <w:t>s</w:t>
          </w:r>
          <w:r w:rsidRPr="006C740E">
            <w:rPr>
              <w:rFonts w:ascii="Arial" w:hAnsi="Arial" w:cs="Arial"/>
              <w:sz w:val="24"/>
              <w:szCs w:val="24"/>
              <w:lang w:eastAsia="en-GB"/>
            </w:rPr>
            <w:t>ations</w:t>
          </w:r>
          <w:r w:rsidRPr="006C740E" w:rsidR="006C740E">
            <w:t xml:space="preserve"> </w:t>
          </w:r>
          <w:proofErr w:type="spellStart"/>
          <w:r w:rsidRPr="006C740E" w:rsidR="006C740E">
            <w:rPr>
              <w:rFonts w:ascii="Arial" w:hAnsi="Arial" w:cs="Arial"/>
              <w:sz w:val="24"/>
              <w:szCs w:val="24"/>
            </w:rPr>
            <w:t>Qerimi</w:t>
          </w:r>
          <w:proofErr w:type="spellEnd"/>
          <w:r w:rsidRPr="006C740E" w:rsidR="006C740E">
            <w:rPr>
              <w:rFonts w:ascii="Arial" w:hAnsi="Arial" w:cs="Arial"/>
              <w:sz w:val="24"/>
              <w:szCs w:val="24"/>
            </w:rPr>
            <w:t xml:space="preserve"> et al., </w:t>
          </w:r>
          <w:hyperlink w:history="1" r:id="rId18">
            <w:r w:rsidRPr="006C740E" w:rsidR="006C740E">
              <w:rPr>
                <w:rStyle w:val="Hyperlink"/>
                <w:rFonts w:ascii="Arial" w:hAnsi="Arial" w:cs="Arial"/>
                <w:color w:val="auto"/>
                <w:sz w:val="24"/>
                <w:szCs w:val="24"/>
                <w:u w:val="none"/>
              </w:rPr>
              <w:t>2023</w:t>
            </w:r>
          </w:hyperlink>
          <w:r w:rsidRPr="006C740E" w:rsidR="006C740E">
            <w:rPr>
              <w:rFonts w:ascii="Arial" w:hAnsi="Arial" w:cs="Arial"/>
              <w:sz w:val="24"/>
              <w:szCs w:val="24"/>
            </w:rPr>
            <w:t>)</w:t>
          </w:r>
          <w:r w:rsidRPr="006C740E">
            <w:rPr>
              <w:rFonts w:ascii="Arial" w:hAnsi="Arial" w:cs="Arial"/>
              <w:sz w:val="24"/>
              <w:szCs w:val="24"/>
              <w:lang w:eastAsia="en-GB"/>
            </w:rPr>
            <w:t xml:space="preserve">. </w:t>
          </w:r>
          <w:r w:rsidRPr="004F60FC">
            <w:rPr>
              <w:rFonts w:ascii="Arial" w:hAnsi="Arial" w:cs="Arial"/>
              <w:sz w:val="24"/>
              <w:szCs w:val="24"/>
              <w:lang w:eastAsia="en-GB"/>
            </w:rPr>
            <w:t>Furthermore, ABC models may become obsolete quickly in industries characteri</w:t>
          </w:r>
          <w:r w:rsidR="009C00D0">
            <w:rPr>
              <w:rFonts w:ascii="Arial" w:hAnsi="Arial" w:cs="Arial"/>
              <w:sz w:val="24"/>
              <w:szCs w:val="24"/>
              <w:lang w:eastAsia="en-GB"/>
            </w:rPr>
            <w:t>s</w:t>
          </w:r>
          <w:r w:rsidRPr="004F60FC">
            <w:rPr>
              <w:rFonts w:ascii="Arial" w:hAnsi="Arial" w:cs="Arial"/>
              <w:sz w:val="24"/>
              <w:szCs w:val="24"/>
              <w:lang w:eastAsia="en-GB"/>
            </w:rPr>
            <w:t xml:space="preserve">ed by rapid innovation, </w:t>
          </w:r>
          <w:r w:rsidR="009C00D0">
            <w:rPr>
              <w:rFonts w:ascii="Arial" w:hAnsi="Arial" w:cs="Arial"/>
              <w:sz w:val="24"/>
              <w:szCs w:val="24"/>
              <w:lang w:eastAsia="en-GB"/>
            </w:rPr>
            <w:t>requiring</w:t>
          </w:r>
          <w:r w:rsidRPr="004F60FC">
            <w:rPr>
              <w:rFonts w:ascii="Arial" w:hAnsi="Arial" w:cs="Arial"/>
              <w:sz w:val="24"/>
              <w:szCs w:val="24"/>
              <w:lang w:eastAsia="en-GB"/>
            </w:rPr>
            <w:t xml:space="preserve"> frequent </w:t>
          </w:r>
          <w:r w:rsidR="009C00D0">
            <w:rPr>
              <w:rFonts w:ascii="Arial" w:hAnsi="Arial" w:cs="Arial"/>
              <w:sz w:val="24"/>
              <w:szCs w:val="24"/>
              <w:lang w:eastAsia="en-GB"/>
            </w:rPr>
            <w:t>adjustment</w:t>
          </w:r>
          <w:r w:rsidRPr="004F60FC">
            <w:rPr>
              <w:rFonts w:ascii="Arial" w:hAnsi="Arial" w:cs="Arial"/>
              <w:sz w:val="24"/>
              <w:szCs w:val="24"/>
              <w:lang w:eastAsia="en-GB"/>
            </w:rPr>
            <w:t>.</w:t>
          </w:r>
        </w:p>
        <w:p w:rsidRPr="004F60FC" w:rsidR="004F60FC" w:rsidP="004F60FC" w:rsidRDefault="004F60FC" w14:paraId="235C2421" w14:textId="4D904582">
          <w:pPr>
            <w:rPr>
              <w:rFonts w:ascii="Arial" w:hAnsi="Arial" w:cs="Arial"/>
              <w:sz w:val="24"/>
              <w:szCs w:val="24"/>
              <w:lang w:eastAsia="en-GB"/>
            </w:rPr>
          </w:pPr>
          <w:r w:rsidRPr="004F60FC">
            <w:rPr>
              <w:rFonts w:ascii="Arial" w:hAnsi="Arial" w:cs="Arial"/>
              <w:sz w:val="24"/>
              <w:szCs w:val="24"/>
              <w:lang w:eastAsia="en-GB"/>
            </w:rPr>
            <w:t>EVM’s limitations stem from its rigidity and reliance on baseline integrity</w:t>
          </w:r>
          <w:r w:rsidR="00C806FD">
            <w:rPr>
              <w:rFonts w:ascii="Arial" w:hAnsi="Arial" w:cs="Arial"/>
              <w:sz w:val="24"/>
              <w:szCs w:val="24"/>
              <w:lang w:eastAsia="en-GB"/>
            </w:rPr>
            <w:t>.</w:t>
          </w:r>
          <w:r w:rsidRPr="003D7022">
            <w:rPr>
              <w:rFonts w:ascii="Arial" w:hAnsi="Arial" w:cs="Arial"/>
              <w:sz w:val="24"/>
              <w:szCs w:val="24"/>
            </w:rPr>
            <w:t xml:space="preserve"> </w:t>
          </w:r>
          <w:r w:rsidRPr="004F60FC">
            <w:rPr>
              <w:rFonts w:ascii="Arial" w:hAnsi="Arial" w:cs="Arial"/>
              <w:sz w:val="24"/>
              <w:szCs w:val="24"/>
              <w:lang w:eastAsia="en-GB"/>
            </w:rPr>
            <w:t xml:space="preserve">In projects with high uncertainty or iterative development cycles, EVM metrics can misrepresent progress, leading to flawed decision-making. For instance, in software development projects adopting agile methodologies, EVM’s traditional metrics fail to capture incremental value delivery, reducing its relevance. These flaws underscore the need for hybrid approaches that combine traditional </w:t>
          </w:r>
          <w:r w:rsidR="009C00D0">
            <w:rPr>
              <w:rFonts w:ascii="Arial" w:hAnsi="Arial" w:cs="Arial"/>
              <w:sz w:val="24"/>
              <w:szCs w:val="24"/>
              <w:lang w:eastAsia="en-GB"/>
            </w:rPr>
            <w:t>thoroughness</w:t>
          </w:r>
          <w:r w:rsidRPr="004F60FC">
            <w:rPr>
              <w:rFonts w:ascii="Arial" w:hAnsi="Arial" w:cs="Arial"/>
              <w:sz w:val="24"/>
              <w:szCs w:val="24"/>
              <w:lang w:eastAsia="en-GB"/>
            </w:rPr>
            <w:t xml:space="preserve"> with adaptive flexibility</w:t>
          </w:r>
          <w:r w:rsidRPr="00C806FD" w:rsidR="00C806FD">
            <w:t xml:space="preserve"> </w:t>
          </w:r>
          <w:r w:rsidRPr="00C806FD" w:rsidR="00C806FD">
            <w:rPr>
              <w:rFonts w:ascii="Arial" w:hAnsi="Arial" w:cs="Arial"/>
              <w:sz w:val="24"/>
              <w:szCs w:val="24"/>
            </w:rPr>
            <w:t>(Santos and de Carvalho, 2022).</w:t>
          </w:r>
        </w:p>
        <w:p w:rsidRPr="009C00D0" w:rsidR="004F60FC" w:rsidP="004F60FC" w:rsidRDefault="004F60FC" w14:paraId="20E2C9CD" w14:textId="77777777">
          <w:pPr>
            <w:rPr>
              <w:rFonts w:ascii="Arial" w:hAnsi="Arial" w:cs="Arial"/>
              <w:b/>
              <w:bCs/>
              <w:sz w:val="24"/>
              <w:szCs w:val="24"/>
              <w:lang w:eastAsia="en-GB"/>
            </w:rPr>
          </w:pPr>
          <w:r w:rsidRPr="009C00D0">
            <w:rPr>
              <w:rFonts w:ascii="Arial" w:hAnsi="Arial" w:cs="Arial"/>
              <w:b/>
              <w:bCs/>
              <w:sz w:val="24"/>
              <w:szCs w:val="24"/>
              <w:lang w:eastAsia="en-GB"/>
            </w:rPr>
            <w:t>Real-World Examples and Recommendations</w:t>
          </w:r>
        </w:p>
        <w:p w:rsidRPr="004F60FC" w:rsidR="004F60FC" w:rsidP="004F60FC" w:rsidRDefault="004F60FC" w14:paraId="37647FB6" w14:textId="3CFE994E">
          <w:pPr>
            <w:rPr>
              <w:rFonts w:ascii="Arial" w:hAnsi="Arial" w:cs="Arial"/>
              <w:sz w:val="24"/>
              <w:szCs w:val="24"/>
              <w:lang w:eastAsia="en-GB"/>
            </w:rPr>
          </w:pPr>
          <w:r w:rsidRPr="7489BC33" w:rsidR="004F60FC">
            <w:rPr>
              <w:rFonts w:ascii="Arial" w:hAnsi="Arial" w:cs="Arial"/>
              <w:sz w:val="24"/>
              <w:szCs w:val="24"/>
              <w:lang w:eastAsia="en-GB"/>
            </w:rPr>
            <w:t>Manufacturing firms such as Toyota have successfully implemented ABC</w:t>
          </w:r>
          <w:r w:rsidRPr="7489BC33" w:rsidR="003D7022">
            <w:rPr>
              <w:rFonts w:ascii="Arial" w:hAnsi="Arial" w:cs="Arial"/>
              <w:sz w:val="24"/>
              <w:szCs w:val="24"/>
            </w:rPr>
            <w:t xml:space="preserve"> </w:t>
          </w:r>
          <w:r w:rsidRPr="7489BC33" w:rsidR="003D7022">
            <w:rPr>
              <w:rFonts w:ascii="Arial" w:hAnsi="Arial" w:cs="Arial"/>
              <w:sz w:val="24"/>
              <w:szCs w:val="24"/>
            </w:rPr>
            <w:t xml:space="preserve">(Toyota Sustainability Report, </w:t>
          </w:r>
          <w:hyperlink r:id="Ra73481d0154a4020">
            <w:r w:rsidRPr="7489BC33" w:rsidR="003D7022">
              <w:rPr>
                <w:rStyle w:val="Hyperlink"/>
                <w:rFonts w:ascii="Arial" w:hAnsi="Arial" w:cs="Arial"/>
                <w:color w:val="auto"/>
                <w:sz w:val="24"/>
                <w:szCs w:val="24"/>
                <w:u w:val="none"/>
              </w:rPr>
              <w:t>2024</w:t>
            </w:r>
          </w:hyperlink>
          <w:r w:rsidRPr="7489BC33" w:rsidR="003D7022">
            <w:rPr>
              <w:rFonts w:ascii="Arial" w:hAnsi="Arial" w:cs="Arial"/>
              <w:sz w:val="24"/>
              <w:szCs w:val="24"/>
            </w:rPr>
            <w:t>)</w:t>
          </w:r>
          <w:r w:rsidRPr="7489BC33" w:rsidR="004F60FC">
            <w:rPr>
              <w:rFonts w:ascii="Arial" w:hAnsi="Arial" w:cs="Arial"/>
              <w:sz w:val="24"/>
              <w:szCs w:val="24"/>
              <w:lang w:eastAsia="en-GB"/>
            </w:rPr>
            <w:t xml:space="preserve"> </w:t>
          </w:r>
          <w:r w:rsidRPr="7489BC33" w:rsidR="004F60FC">
            <w:rPr>
              <w:rFonts w:ascii="Arial" w:hAnsi="Arial" w:cs="Arial"/>
              <w:sz w:val="24"/>
              <w:szCs w:val="24"/>
              <w:lang w:eastAsia="en-GB"/>
            </w:rPr>
            <w:t>to optimi</w:t>
          </w:r>
          <w:r w:rsidRPr="7489BC33" w:rsidR="009C00D0">
            <w:rPr>
              <w:rFonts w:ascii="Arial" w:hAnsi="Arial" w:cs="Arial"/>
              <w:sz w:val="24"/>
              <w:szCs w:val="24"/>
              <w:lang w:eastAsia="en-GB"/>
            </w:rPr>
            <w:t>s</w:t>
          </w:r>
          <w:r w:rsidRPr="7489BC33" w:rsidR="004F60FC">
            <w:rPr>
              <w:rFonts w:ascii="Arial" w:hAnsi="Arial" w:cs="Arial"/>
              <w:sz w:val="24"/>
              <w:szCs w:val="24"/>
              <w:lang w:eastAsia="en-GB"/>
            </w:rPr>
            <w:t xml:space="preserve">e product costing and </w:t>
          </w:r>
          <w:r w:rsidRPr="7489BC33" w:rsidR="004F60FC">
            <w:rPr>
              <w:rFonts w:ascii="Arial" w:hAnsi="Arial" w:cs="Arial"/>
              <w:sz w:val="24"/>
              <w:szCs w:val="24"/>
              <w:lang w:eastAsia="en-GB"/>
            </w:rPr>
            <w:t>eliminate</w:t>
          </w:r>
          <w:r w:rsidRPr="7489BC33" w:rsidR="004F60FC">
            <w:rPr>
              <w:rFonts w:ascii="Arial" w:hAnsi="Arial" w:cs="Arial"/>
              <w:sz w:val="24"/>
              <w:szCs w:val="24"/>
              <w:lang w:eastAsia="en-GB"/>
            </w:rPr>
            <w:t xml:space="preserve"> non-value-added activities, resulting in significant cost savings.</w:t>
          </w:r>
          <w:r w:rsidRPr="7489BC33" w:rsidR="004F60FC">
            <w:rPr>
              <w:rFonts w:ascii="Arial" w:hAnsi="Arial" w:cs="Arial"/>
              <w:sz w:val="24"/>
              <w:szCs w:val="24"/>
              <w:lang w:eastAsia="en-GB"/>
            </w:rPr>
            <w:t xml:space="preserve"> Conversely, companies </w:t>
          </w:r>
          <w:r w:rsidRPr="7489BC33" w:rsidR="004F60FC">
            <w:rPr>
              <w:rFonts w:ascii="Arial" w:hAnsi="Arial" w:cs="Arial"/>
              <w:sz w:val="24"/>
              <w:szCs w:val="24"/>
              <w:lang w:eastAsia="en-GB"/>
            </w:rPr>
            <w:t>like</w:t>
          </w:r>
          <w:r w:rsidRPr="7489BC33" w:rsidR="5B75B8A9">
            <w:rPr>
              <w:rFonts w:ascii="Arial" w:hAnsi="Arial" w:cs="Arial"/>
              <w:sz w:val="24"/>
              <w:szCs w:val="24"/>
              <w:lang w:eastAsia="en-GB"/>
            </w:rPr>
            <w:t xml:space="preserve"> </w:t>
          </w:r>
          <w:r w:rsidRPr="7489BC33" w:rsidR="004F60FC">
            <w:rPr>
              <w:rFonts w:ascii="Arial" w:hAnsi="Arial" w:cs="Arial"/>
              <w:sz w:val="24"/>
              <w:szCs w:val="24"/>
              <w:lang w:eastAsia="en-GB"/>
            </w:rPr>
            <w:t>Boeing rely on EVM</w:t>
          </w:r>
          <w:r w:rsidR="003D7022">
            <w:rPr/>
            <w:t xml:space="preserve"> </w:t>
          </w:r>
          <w:r w:rsidRPr="7489BC33" w:rsidR="00EE1D21">
            <w:rPr>
              <w:rFonts w:ascii="Arial" w:hAnsi="Arial" w:cs="Arial"/>
              <w:sz w:val="24"/>
              <w:szCs w:val="24"/>
            </w:rPr>
            <w:t xml:space="preserve">(Humphreys &amp; Associates, </w:t>
          </w:r>
          <w:hyperlink r:id="Rbb1ee6201bc74848">
            <w:r w:rsidRPr="7489BC33" w:rsidR="00EE1D21">
              <w:rPr>
                <w:rStyle w:val="Hyperlink"/>
                <w:rFonts w:ascii="Arial" w:hAnsi="Arial" w:cs="Arial"/>
                <w:color w:val="auto"/>
                <w:sz w:val="24"/>
                <w:szCs w:val="24"/>
                <w:u w:val="none"/>
              </w:rPr>
              <w:t>2024</w:t>
            </w:r>
          </w:hyperlink>
          <w:r w:rsidRPr="7489BC33" w:rsidR="00EE1D21">
            <w:rPr>
              <w:rFonts w:ascii="Arial" w:hAnsi="Arial" w:cs="Arial"/>
              <w:sz w:val="24"/>
              <w:szCs w:val="24"/>
            </w:rPr>
            <w:t>)</w:t>
          </w:r>
          <w:r w:rsidR="00EE1D21">
            <w:rPr/>
            <w:t xml:space="preserve"> </w:t>
          </w:r>
          <w:r w:rsidRPr="7489BC33" w:rsidR="004F60FC">
            <w:rPr>
              <w:rFonts w:ascii="Arial" w:hAnsi="Arial" w:cs="Arial"/>
              <w:sz w:val="24"/>
              <w:szCs w:val="24"/>
              <w:lang w:eastAsia="en-GB"/>
            </w:rPr>
            <w:t>to manage complex</w:t>
          </w:r>
          <w:r w:rsidRPr="7489BC33" w:rsidR="004F60FC">
            <w:rPr>
              <w:rFonts w:ascii="Arial" w:hAnsi="Arial" w:cs="Arial"/>
              <w:sz w:val="24"/>
              <w:szCs w:val="24"/>
              <w:lang w:eastAsia="en-GB"/>
            </w:rPr>
            <w:t xml:space="preserve"> aerospace projects, ensuring alignment between cost, schedule, and scope. However, both cases illustrate the importance of contextual adaptation. Toyota’s ABC model incorporates lean principles to reduce complexity, while Boeing integrates EVM with risk management frameworks to address uncertainty.</w:t>
          </w:r>
        </w:p>
        <w:p w:rsidRPr="004F60FC" w:rsidR="004F60FC" w:rsidP="004F60FC" w:rsidRDefault="004F60FC" w14:paraId="25843279" w14:textId="0EAEF5B1">
          <w:pPr>
            <w:rPr>
              <w:rFonts w:ascii="Arial" w:hAnsi="Arial" w:cs="Arial"/>
              <w:sz w:val="24"/>
              <w:szCs w:val="24"/>
              <w:lang w:eastAsia="en-GB"/>
            </w:rPr>
          </w:pPr>
          <w:r w:rsidRPr="004F60FC">
            <w:rPr>
              <w:rFonts w:ascii="Arial" w:hAnsi="Arial" w:cs="Arial"/>
              <w:sz w:val="24"/>
              <w:szCs w:val="24"/>
              <w:lang w:eastAsia="en-GB"/>
            </w:rPr>
            <w:t>Recommendations for organi</w:t>
          </w:r>
          <w:r w:rsidR="009C00D0">
            <w:rPr>
              <w:rFonts w:ascii="Arial" w:hAnsi="Arial" w:cs="Arial"/>
              <w:sz w:val="24"/>
              <w:szCs w:val="24"/>
              <w:lang w:eastAsia="en-GB"/>
            </w:rPr>
            <w:t>s</w:t>
          </w:r>
          <w:r w:rsidRPr="004F60FC">
            <w:rPr>
              <w:rFonts w:ascii="Arial" w:hAnsi="Arial" w:cs="Arial"/>
              <w:sz w:val="24"/>
              <w:szCs w:val="24"/>
              <w:lang w:eastAsia="en-GB"/>
            </w:rPr>
            <w:t xml:space="preserve">ations include adopting simplified ABC models that focus on high-impact activities and integrating EVM with </w:t>
          </w:r>
          <w:r w:rsidR="009C00D0">
            <w:rPr>
              <w:rFonts w:ascii="Arial" w:hAnsi="Arial" w:cs="Arial"/>
              <w:sz w:val="24"/>
              <w:szCs w:val="24"/>
              <w:lang w:eastAsia="en-GB"/>
            </w:rPr>
            <w:t>flexible methods</w:t>
          </w:r>
          <w:r w:rsidRPr="004F60FC">
            <w:rPr>
              <w:rFonts w:ascii="Arial" w:hAnsi="Arial" w:cs="Arial"/>
              <w:sz w:val="24"/>
              <w:szCs w:val="24"/>
              <w:lang w:eastAsia="en-GB"/>
            </w:rPr>
            <w:t xml:space="preserve"> to enhance flexibility. Investing in digital tools for real-time data collection and analysis can further improve the responsiveness of these methods, ensuring their continued relevance in dynamic environments.</w:t>
          </w:r>
        </w:p>
        <w:p w:rsidRPr="009C00D0" w:rsidR="004F60FC" w:rsidP="00292EDA" w:rsidRDefault="009C00D0" w14:paraId="744B902E" w14:textId="67BAE237">
          <w:pPr>
            <w:spacing w:after="200" w:line="276" w:lineRule="auto"/>
            <w:rPr>
              <w:rFonts w:ascii="Arial" w:hAnsi="Arial" w:cs="Arial"/>
              <w:b/>
              <w:bCs/>
              <w:sz w:val="24"/>
              <w:szCs w:val="24"/>
            </w:rPr>
          </w:pPr>
          <w:r w:rsidRPr="009C00D0">
            <w:rPr>
              <w:rFonts w:ascii="Arial" w:hAnsi="Arial" w:cs="Arial"/>
              <w:b/>
              <w:bCs/>
              <w:sz w:val="24"/>
              <w:szCs w:val="24"/>
            </w:rPr>
            <w:t>(b) Compare and Contrast Marginal and Absorption Costing</w:t>
          </w:r>
        </w:p>
        <w:p w:rsidRPr="00551917" w:rsidR="00551917" w:rsidP="00551917" w:rsidRDefault="00551917" w14:paraId="45B6A6AC" w14:textId="77777777">
          <w:pPr>
            <w:rPr>
              <w:rFonts w:ascii="Arial" w:hAnsi="Arial" w:cs="Arial"/>
              <w:b/>
              <w:bCs/>
              <w:sz w:val="24"/>
              <w:szCs w:val="24"/>
              <w:lang w:eastAsia="en-GB"/>
            </w:rPr>
          </w:pPr>
          <w:r w:rsidRPr="00551917">
            <w:rPr>
              <w:rFonts w:ascii="Arial" w:hAnsi="Arial" w:cs="Arial"/>
              <w:b/>
              <w:bCs/>
              <w:sz w:val="24"/>
              <w:szCs w:val="24"/>
              <w:lang w:eastAsia="en-GB"/>
            </w:rPr>
            <w:t>Definition of Both Methods</w:t>
          </w:r>
        </w:p>
        <w:p w:rsidRPr="00551917" w:rsidR="00551917" w:rsidP="00551917" w:rsidRDefault="00551917" w14:paraId="0B24F645" w14:textId="7831DB0E">
          <w:pPr>
            <w:rPr>
              <w:rFonts w:ascii="Arial" w:hAnsi="Arial" w:cs="Arial"/>
              <w:sz w:val="24"/>
              <w:szCs w:val="24"/>
              <w:lang w:eastAsia="en-GB"/>
            </w:rPr>
          </w:pPr>
          <w:r w:rsidRPr="00551917">
            <w:rPr>
              <w:rFonts w:ascii="Arial" w:hAnsi="Arial" w:cs="Arial"/>
              <w:sz w:val="24"/>
              <w:szCs w:val="24"/>
              <w:lang w:eastAsia="en-GB"/>
            </w:rPr>
            <w:t>Marginal Costing is a costing technique that considers only variable costs</w:t>
          </w:r>
          <w:r w:rsidRPr="002C78AB" w:rsidR="002C78AB">
            <w:t xml:space="preserve"> </w:t>
          </w:r>
          <w:r w:rsidRPr="00EE1D21" w:rsidR="002C78AB">
            <w:rPr>
              <w:rFonts w:ascii="Arial" w:hAnsi="Arial" w:cs="Arial"/>
              <w:sz w:val="24"/>
              <w:szCs w:val="24"/>
            </w:rPr>
            <w:t xml:space="preserve">(CIMA, </w:t>
          </w:r>
          <w:hyperlink w:history="1" r:id="rId21">
            <w:r w:rsidRPr="00EE1D21" w:rsidR="002C78AB">
              <w:rPr>
                <w:rStyle w:val="Hyperlink"/>
                <w:rFonts w:ascii="Arial" w:hAnsi="Arial" w:cs="Arial"/>
                <w:color w:val="auto"/>
                <w:sz w:val="24"/>
                <w:szCs w:val="24"/>
                <w:u w:val="none"/>
              </w:rPr>
              <w:t>2024</w:t>
            </w:r>
          </w:hyperlink>
          <w:r w:rsidRPr="00EE1D21" w:rsidR="002C78AB">
            <w:rPr>
              <w:rFonts w:ascii="Arial" w:hAnsi="Arial" w:cs="Arial"/>
              <w:sz w:val="24"/>
              <w:szCs w:val="24"/>
            </w:rPr>
            <w:t>)</w:t>
          </w:r>
          <w:r w:rsidRPr="00EE1D21">
            <w:rPr>
              <w:rFonts w:ascii="Arial" w:hAnsi="Arial" w:cs="Arial"/>
              <w:sz w:val="24"/>
              <w:szCs w:val="24"/>
              <w:lang w:eastAsia="en-GB"/>
            </w:rPr>
            <w:t xml:space="preserve"> </w:t>
          </w:r>
          <w:r w:rsidRPr="00551917">
            <w:rPr>
              <w:rFonts w:ascii="Arial" w:hAnsi="Arial" w:cs="Arial"/>
              <w:sz w:val="24"/>
              <w:szCs w:val="24"/>
              <w:lang w:eastAsia="en-GB"/>
            </w:rPr>
            <w:t>such as direct materials, direct labour, and variable overheads</w:t>
          </w:r>
          <w:r>
            <w:rPr>
              <w:rFonts w:ascii="Arial" w:hAnsi="Arial" w:cs="Arial"/>
              <w:sz w:val="24"/>
              <w:szCs w:val="24"/>
              <w:lang w:eastAsia="en-GB"/>
            </w:rPr>
            <w:t xml:space="preserve"> </w:t>
          </w:r>
          <w:r w:rsidRPr="00551917">
            <w:rPr>
              <w:rFonts w:ascii="Arial" w:hAnsi="Arial" w:cs="Arial"/>
              <w:sz w:val="24"/>
              <w:szCs w:val="24"/>
              <w:lang w:eastAsia="en-GB"/>
            </w:rPr>
            <w:t>in product cost calculations. Fixed costs are treated as period expenses and charged directly to the income statement. This method is widely used for internal decision-making, particularly for short-term pricing and break-even analysis.</w:t>
          </w:r>
          <w:r w:rsidRPr="00FA109B" w:rsidR="00FA109B">
            <w:t xml:space="preserve"> </w:t>
          </w:r>
        </w:p>
        <w:p w:rsidRPr="00551917" w:rsidR="00551917" w:rsidP="00551917" w:rsidRDefault="00551917" w14:paraId="24086A1E" w14:textId="18E9125B">
          <w:pPr>
            <w:rPr>
              <w:rFonts w:ascii="Arial" w:hAnsi="Arial" w:cs="Arial"/>
              <w:sz w:val="24"/>
              <w:szCs w:val="24"/>
              <w:lang w:eastAsia="en-GB"/>
            </w:rPr>
          </w:pPr>
          <w:r w:rsidRPr="00551917">
            <w:rPr>
              <w:rFonts w:ascii="Arial" w:hAnsi="Arial" w:cs="Arial"/>
              <w:sz w:val="24"/>
              <w:szCs w:val="24"/>
              <w:lang w:eastAsia="en-GB"/>
            </w:rPr>
            <w:t>Absorption Costing, in contrast, allocates both variable and fixed production costs to products</w:t>
          </w:r>
          <w:r w:rsidRPr="002C78AB" w:rsidR="002C78AB">
            <w:t xml:space="preserve"> </w:t>
          </w:r>
          <w:r w:rsidRPr="00EE1D21" w:rsidR="002C78AB">
            <w:rPr>
              <w:rFonts w:ascii="Arial" w:hAnsi="Arial" w:cs="Arial"/>
              <w:sz w:val="24"/>
              <w:szCs w:val="24"/>
            </w:rPr>
            <w:t xml:space="preserve">(Horngren et al., </w:t>
          </w:r>
          <w:hyperlink w:history="1" r:id="rId22">
            <w:r w:rsidRPr="00EE1D21" w:rsidR="002C78AB">
              <w:rPr>
                <w:rStyle w:val="Hyperlink"/>
                <w:rFonts w:ascii="Arial" w:hAnsi="Arial" w:cs="Arial"/>
                <w:color w:val="auto"/>
                <w:sz w:val="24"/>
                <w:szCs w:val="24"/>
                <w:u w:val="none"/>
              </w:rPr>
              <w:t>2023</w:t>
            </w:r>
          </w:hyperlink>
          <w:r w:rsidRPr="00EE1D21" w:rsidR="002C78AB">
            <w:rPr>
              <w:rFonts w:ascii="Arial" w:hAnsi="Arial" w:cs="Arial"/>
              <w:sz w:val="24"/>
              <w:szCs w:val="24"/>
            </w:rPr>
            <w:t>)</w:t>
          </w:r>
          <w:r w:rsidRPr="00EE1D21">
            <w:rPr>
              <w:rFonts w:ascii="Arial" w:hAnsi="Arial" w:cs="Arial"/>
              <w:sz w:val="24"/>
              <w:szCs w:val="24"/>
              <w:lang w:eastAsia="en-GB"/>
            </w:rPr>
            <w:t>.</w:t>
          </w:r>
          <w:r w:rsidRPr="00551917">
            <w:rPr>
              <w:rFonts w:ascii="Arial" w:hAnsi="Arial" w:cs="Arial"/>
              <w:sz w:val="24"/>
              <w:szCs w:val="24"/>
              <w:lang w:eastAsia="en-GB"/>
            </w:rPr>
            <w:t xml:space="preserve"> This approach ensures that each unit produced carries a share of fixed overheads, aligning with external reporting standards such as IFRS and GAAP. Absorption costing is mandatory for statutory financial statements and provides a comprehensive view of production costs.</w:t>
          </w:r>
          <w:r w:rsidRPr="00FA109B" w:rsidR="00FA109B">
            <w:t xml:space="preserve"> </w:t>
          </w:r>
        </w:p>
        <w:p w:rsidRPr="00551917" w:rsidR="00551917" w:rsidP="00551917" w:rsidRDefault="00551917" w14:paraId="71DBCB73" w14:textId="469D96E0">
          <w:pPr>
            <w:rPr>
              <w:rFonts w:ascii="Arial" w:hAnsi="Arial" w:cs="Arial"/>
              <w:sz w:val="24"/>
              <w:szCs w:val="24"/>
              <w:lang w:eastAsia="en-GB"/>
            </w:rPr>
          </w:pPr>
        </w:p>
        <w:p w:rsidRPr="00551917" w:rsidR="00551917" w:rsidP="00551917" w:rsidRDefault="00551917" w14:paraId="1818F0B8" w14:textId="77777777">
          <w:pPr>
            <w:rPr>
              <w:rFonts w:ascii="Arial" w:hAnsi="Arial" w:cs="Arial"/>
              <w:b/>
              <w:bCs/>
              <w:sz w:val="24"/>
              <w:szCs w:val="24"/>
              <w:lang w:eastAsia="en-GB"/>
            </w:rPr>
          </w:pPr>
          <w:r w:rsidRPr="00551917">
            <w:rPr>
              <w:rFonts w:ascii="Arial" w:hAnsi="Arial" w:cs="Arial"/>
              <w:b/>
              <w:bCs/>
              <w:sz w:val="24"/>
              <w:szCs w:val="24"/>
              <w:lang w:eastAsia="en-GB"/>
            </w:rPr>
            <w:t>Benefits and Limitations</w:t>
          </w:r>
        </w:p>
        <w:p w:rsidRPr="00551917" w:rsidR="00551917" w:rsidP="00551917" w:rsidRDefault="00551917" w14:paraId="0FD772BA" w14:textId="77777777">
          <w:pPr>
            <w:rPr>
              <w:rFonts w:ascii="Arial" w:hAnsi="Arial" w:cs="Arial"/>
              <w:sz w:val="24"/>
              <w:szCs w:val="24"/>
              <w:lang w:eastAsia="en-GB"/>
            </w:rPr>
          </w:pPr>
          <w:r w:rsidRPr="00551917">
            <w:rPr>
              <w:rFonts w:ascii="Arial" w:hAnsi="Arial" w:cs="Arial"/>
              <w:sz w:val="24"/>
              <w:szCs w:val="24"/>
              <w:lang w:eastAsia="en-GB"/>
            </w:rPr>
            <w:t>Marginal Costing Benefits:</w:t>
          </w:r>
        </w:p>
        <w:p w:rsidRPr="00551917" w:rsidR="00551917" w:rsidP="00551917" w:rsidRDefault="00551917" w14:paraId="5758FFAB" w14:textId="05F9F712">
          <w:pPr>
            <w:pStyle w:val="ListParagraph"/>
            <w:numPr>
              <w:ilvl w:val="0"/>
              <w:numId w:val="14"/>
            </w:numPr>
            <w:rPr>
              <w:rFonts w:ascii="Arial" w:hAnsi="Arial" w:cs="Arial"/>
              <w:sz w:val="24"/>
              <w:szCs w:val="24"/>
              <w:lang w:eastAsia="en-GB"/>
            </w:rPr>
          </w:pPr>
          <w:r w:rsidRPr="00551917">
            <w:rPr>
              <w:rFonts w:ascii="Arial" w:hAnsi="Arial" w:cs="Arial"/>
              <w:sz w:val="24"/>
              <w:szCs w:val="24"/>
              <w:lang w:eastAsia="en-GB"/>
            </w:rPr>
            <w:t>Facilitates short-term decision-making by focusing on contribution margin</w:t>
          </w:r>
          <w:r w:rsidRPr="002C78AB" w:rsidR="002C78AB">
            <w:t xml:space="preserve"> </w:t>
          </w:r>
          <w:r w:rsidRPr="00E706DE" w:rsidR="002C78AB">
            <w:rPr>
              <w:rFonts w:ascii="Arial" w:hAnsi="Arial" w:cs="Arial"/>
              <w:sz w:val="24"/>
              <w:szCs w:val="24"/>
            </w:rPr>
            <w:t xml:space="preserve">(Strategic Finance, </w:t>
          </w:r>
          <w:hyperlink w:history="1" r:id="rId23">
            <w:r w:rsidRPr="00E706DE" w:rsidR="002C78AB">
              <w:rPr>
                <w:rStyle w:val="Hyperlink"/>
                <w:rFonts w:ascii="Arial" w:hAnsi="Arial" w:cs="Arial"/>
                <w:color w:val="auto"/>
                <w:sz w:val="24"/>
                <w:szCs w:val="24"/>
                <w:u w:val="none"/>
              </w:rPr>
              <w:t>2024</w:t>
            </w:r>
          </w:hyperlink>
          <w:r w:rsidRPr="00E706DE" w:rsidR="002C78AB">
            <w:rPr>
              <w:rFonts w:ascii="Arial" w:hAnsi="Arial" w:cs="Arial"/>
              <w:sz w:val="24"/>
              <w:szCs w:val="24"/>
            </w:rPr>
            <w:t>)</w:t>
          </w:r>
          <w:r w:rsidRPr="00E706DE">
            <w:rPr>
              <w:rFonts w:ascii="Arial" w:hAnsi="Arial" w:cs="Arial"/>
              <w:sz w:val="24"/>
              <w:szCs w:val="24"/>
              <w:lang w:eastAsia="en-GB"/>
            </w:rPr>
            <w:t>.</w:t>
          </w:r>
        </w:p>
        <w:p w:rsidRPr="00551917" w:rsidR="00551917" w:rsidP="00551917" w:rsidRDefault="00551917" w14:paraId="0C552282" w14:textId="77777777">
          <w:pPr>
            <w:pStyle w:val="ListParagraph"/>
            <w:numPr>
              <w:ilvl w:val="0"/>
              <w:numId w:val="14"/>
            </w:numPr>
            <w:rPr>
              <w:rFonts w:ascii="Arial" w:hAnsi="Arial" w:cs="Arial"/>
              <w:sz w:val="24"/>
              <w:szCs w:val="24"/>
              <w:lang w:eastAsia="en-GB"/>
            </w:rPr>
          </w:pPr>
          <w:r w:rsidRPr="00551917">
            <w:rPr>
              <w:rFonts w:ascii="Arial" w:hAnsi="Arial" w:cs="Arial"/>
              <w:sz w:val="24"/>
              <w:szCs w:val="24"/>
              <w:lang w:eastAsia="en-GB"/>
            </w:rPr>
            <w:t>Useful for evaluating special orders and pricing strategies.</w:t>
          </w:r>
        </w:p>
        <w:p w:rsidRPr="00551917" w:rsidR="00551917" w:rsidP="00551917" w:rsidRDefault="00551917" w14:paraId="39199178" w14:textId="77777777">
          <w:pPr>
            <w:pStyle w:val="ListParagraph"/>
            <w:numPr>
              <w:ilvl w:val="0"/>
              <w:numId w:val="14"/>
            </w:numPr>
            <w:rPr>
              <w:rFonts w:ascii="Arial" w:hAnsi="Arial" w:cs="Arial"/>
              <w:sz w:val="24"/>
              <w:szCs w:val="24"/>
              <w:lang w:eastAsia="en-GB"/>
            </w:rPr>
          </w:pPr>
          <w:r w:rsidRPr="00551917">
            <w:rPr>
              <w:rFonts w:ascii="Arial" w:hAnsi="Arial" w:cs="Arial"/>
              <w:sz w:val="24"/>
              <w:szCs w:val="24"/>
              <w:lang w:eastAsia="en-GB"/>
            </w:rPr>
            <w:t>Simplifies cost analysis in dynamic environments.</w:t>
          </w:r>
        </w:p>
        <w:p w:rsidRPr="00551917" w:rsidR="00551917" w:rsidP="00551917" w:rsidRDefault="00551917" w14:paraId="24EE83EF" w14:textId="77777777">
          <w:pPr>
            <w:rPr>
              <w:rFonts w:ascii="Arial" w:hAnsi="Arial" w:cs="Arial"/>
              <w:sz w:val="24"/>
              <w:szCs w:val="24"/>
              <w:lang w:eastAsia="en-GB"/>
            </w:rPr>
          </w:pPr>
          <w:r w:rsidRPr="00551917">
            <w:rPr>
              <w:rFonts w:ascii="Arial" w:hAnsi="Arial" w:cs="Arial"/>
              <w:sz w:val="24"/>
              <w:szCs w:val="24"/>
              <w:lang w:eastAsia="en-GB"/>
            </w:rPr>
            <w:t>Marginal Costing Limitations:</w:t>
          </w:r>
        </w:p>
        <w:p w:rsidRPr="00551917" w:rsidR="00551917" w:rsidP="00551917" w:rsidRDefault="00551917" w14:paraId="6D482B68" w14:textId="77777777">
          <w:pPr>
            <w:pStyle w:val="ListParagraph"/>
            <w:numPr>
              <w:ilvl w:val="0"/>
              <w:numId w:val="15"/>
            </w:numPr>
            <w:rPr>
              <w:rFonts w:ascii="Arial" w:hAnsi="Arial" w:cs="Arial"/>
              <w:sz w:val="24"/>
              <w:szCs w:val="24"/>
              <w:lang w:eastAsia="en-GB"/>
            </w:rPr>
          </w:pPr>
          <w:r w:rsidRPr="00551917">
            <w:rPr>
              <w:rFonts w:ascii="Arial" w:hAnsi="Arial" w:cs="Arial"/>
              <w:sz w:val="24"/>
              <w:szCs w:val="24"/>
              <w:lang w:eastAsia="en-GB"/>
            </w:rPr>
            <w:t>Ignores fixed costs in product costing, limiting long-term profitability analysis.</w:t>
          </w:r>
        </w:p>
        <w:p w:rsidRPr="00551917" w:rsidR="00551917" w:rsidP="00551917" w:rsidRDefault="00551917" w14:paraId="04B62ED8" w14:textId="77777777">
          <w:pPr>
            <w:pStyle w:val="ListParagraph"/>
            <w:numPr>
              <w:ilvl w:val="0"/>
              <w:numId w:val="15"/>
            </w:numPr>
            <w:rPr>
              <w:rFonts w:ascii="Arial" w:hAnsi="Arial" w:cs="Arial"/>
              <w:sz w:val="24"/>
              <w:szCs w:val="24"/>
              <w:lang w:eastAsia="en-GB"/>
            </w:rPr>
          </w:pPr>
          <w:r w:rsidRPr="00551917">
            <w:rPr>
              <w:rFonts w:ascii="Arial" w:hAnsi="Arial" w:cs="Arial"/>
              <w:sz w:val="24"/>
              <w:szCs w:val="24"/>
              <w:lang w:eastAsia="en-GB"/>
            </w:rPr>
            <w:t>Not acceptable for external reporting under accounting standards.</w:t>
          </w:r>
        </w:p>
        <w:p w:rsidRPr="00551917" w:rsidR="00551917" w:rsidP="00551917" w:rsidRDefault="00551917" w14:paraId="5C2FC3E6" w14:textId="77777777">
          <w:pPr>
            <w:rPr>
              <w:rFonts w:ascii="Arial" w:hAnsi="Arial" w:cs="Arial"/>
              <w:sz w:val="24"/>
              <w:szCs w:val="24"/>
              <w:lang w:eastAsia="en-GB"/>
            </w:rPr>
          </w:pPr>
          <w:r w:rsidRPr="00551917">
            <w:rPr>
              <w:rFonts w:ascii="Arial" w:hAnsi="Arial" w:cs="Arial"/>
              <w:sz w:val="24"/>
              <w:szCs w:val="24"/>
              <w:lang w:eastAsia="en-GB"/>
            </w:rPr>
            <w:t>Absorption Costing Benefits:</w:t>
          </w:r>
        </w:p>
        <w:p w:rsidRPr="00551917" w:rsidR="00551917" w:rsidP="00551917" w:rsidRDefault="00551917" w14:paraId="2F7B2792" w14:textId="77777777">
          <w:pPr>
            <w:pStyle w:val="ListParagraph"/>
            <w:numPr>
              <w:ilvl w:val="0"/>
              <w:numId w:val="16"/>
            </w:numPr>
            <w:rPr>
              <w:rFonts w:ascii="Arial" w:hAnsi="Arial" w:cs="Arial"/>
              <w:sz w:val="24"/>
              <w:szCs w:val="24"/>
              <w:lang w:eastAsia="en-GB"/>
            </w:rPr>
          </w:pPr>
          <w:r w:rsidRPr="00551917">
            <w:rPr>
              <w:rFonts w:ascii="Arial" w:hAnsi="Arial" w:cs="Arial"/>
              <w:sz w:val="24"/>
              <w:szCs w:val="24"/>
              <w:lang w:eastAsia="en-GB"/>
            </w:rPr>
            <w:t>Provides a complete view of production costs, supporting long-term planning.</w:t>
          </w:r>
        </w:p>
        <w:p w:rsidRPr="00551917" w:rsidR="00551917" w:rsidP="00551917" w:rsidRDefault="00551917" w14:paraId="22A9DDCA" w14:textId="77777777">
          <w:pPr>
            <w:pStyle w:val="ListParagraph"/>
            <w:numPr>
              <w:ilvl w:val="0"/>
              <w:numId w:val="16"/>
            </w:numPr>
            <w:rPr>
              <w:rFonts w:ascii="Arial" w:hAnsi="Arial" w:cs="Arial"/>
              <w:sz w:val="24"/>
              <w:szCs w:val="24"/>
              <w:lang w:eastAsia="en-GB"/>
            </w:rPr>
          </w:pPr>
          <w:r w:rsidRPr="00551917">
            <w:rPr>
              <w:rFonts w:ascii="Arial" w:hAnsi="Arial" w:cs="Arial"/>
              <w:sz w:val="24"/>
              <w:szCs w:val="24"/>
              <w:lang w:eastAsia="en-GB"/>
            </w:rPr>
            <w:t>Required for statutory reporting and compliance.</w:t>
          </w:r>
        </w:p>
        <w:p w:rsidRPr="00551917" w:rsidR="00551917" w:rsidP="00551917" w:rsidRDefault="00551917" w14:paraId="69AE4860" w14:textId="77777777">
          <w:pPr>
            <w:pStyle w:val="ListParagraph"/>
            <w:numPr>
              <w:ilvl w:val="0"/>
              <w:numId w:val="16"/>
            </w:numPr>
            <w:rPr>
              <w:rFonts w:ascii="Arial" w:hAnsi="Arial" w:cs="Arial"/>
              <w:sz w:val="24"/>
              <w:szCs w:val="24"/>
              <w:lang w:eastAsia="en-GB"/>
            </w:rPr>
          </w:pPr>
          <w:r w:rsidRPr="00551917">
            <w:rPr>
              <w:rFonts w:ascii="Arial" w:hAnsi="Arial" w:cs="Arial"/>
              <w:sz w:val="24"/>
              <w:szCs w:val="24"/>
              <w:lang w:eastAsia="en-GB"/>
            </w:rPr>
            <w:t>Useful for inventory valuation and profitability analysis.</w:t>
          </w:r>
        </w:p>
        <w:p w:rsidRPr="00551917" w:rsidR="00551917" w:rsidP="00551917" w:rsidRDefault="00551917" w14:paraId="5E1B7B57" w14:textId="77777777">
          <w:pPr>
            <w:rPr>
              <w:rFonts w:ascii="Arial" w:hAnsi="Arial" w:cs="Arial"/>
              <w:sz w:val="24"/>
              <w:szCs w:val="24"/>
              <w:lang w:eastAsia="en-GB"/>
            </w:rPr>
          </w:pPr>
          <w:r w:rsidRPr="00551917">
            <w:rPr>
              <w:rFonts w:ascii="Arial" w:hAnsi="Arial" w:cs="Arial"/>
              <w:sz w:val="24"/>
              <w:szCs w:val="24"/>
              <w:lang w:eastAsia="en-GB"/>
            </w:rPr>
            <w:t>Absorption Costing Limitations:</w:t>
          </w:r>
        </w:p>
        <w:p w:rsidRPr="00551917" w:rsidR="00551917" w:rsidP="00551917" w:rsidRDefault="00551917" w14:paraId="5F57AB18" w14:textId="1A93CA1C">
          <w:pPr>
            <w:pStyle w:val="ListParagraph"/>
            <w:numPr>
              <w:ilvl w:val="0"/>
              <w:numId w:val="17"/>
            </w:numPr>
            <w:rPr>
              <w:rFonts w:ascii="Arial" w:hAnsi="Arial" w:cs="Arial"/>
              <w:sz w:val="24"/>
              <w:szCs w:val="24"/>
              <w:lang w:eastAsia="en-GB"/>
            </w:rPr>
          </w:pPr>
          <w:r w:rsidRPr="00551917">
            <w:rPr>
              <w:rFonts w:ascii="Arial" w:hAnsi="Arial" w:cs="Arial"/>
              <w:sz w:val="24"/>
              <w:szCs w:val="24"/>
              <w:lang w:eastAsia="en-GB"/>
            </w:rPr>
            <w:t>Can distort profits when inventory levels fluctuate</w:t>
          </w:r>
          <w:r w:rsidRPr="002C78AB" w:rsidR="002C78AB">
            <w:t xml:space="preserve"> </w:t>
          </w:r>
          <w:r w:rsidRPr="00DE71ED" w:rsidR="002C78AB">
            <w:rPr>
              <w:rFonts w:ascii="Arial" w:hAnsi="Arial" w:cs="Arial"/>
              <w:sz w:val="24"/>
              <w:szCs w:val="24"/>
            </w:rPr>
            <w:t xml:space="preserve">(European Accounting Review, </w:t>
          </w:r>
          <w:hyperlink w:history="1" r:id="rId24">
            <w:r w:rsidRPr="00DE71ED" w:rsidR="002C78AB">
              <w:rPr>
                <w:rStyle w:val="Hyperlink"/>
                <w:rFonts w:ascii="Arial" w:hAnsi="Arial" w:cs="Arial"/>
                <w:color w:val="auto"/>
                <w:sz w:val="24"/>
                <w:szCs w:val="24"/>
                <w:u w:val="none"/>
              </w:rPr>
              <w:t>2023</w:t>
            </w:r>
          </w:hyperlink>
          <w:r w:rsidRPr="00DE71ED" w:rsidR="002C78AB">
            <w:rPr>
              <w:rFonts w:ascii="Arial" w:hAnsi="Arial" w:cs="Arial"/>
              <w:sz w:val="24"/>
              <w:szCs w:val="24"/>
            </w:rPr>
            <w:t>)</w:t>
          </w:r>
          <w:r w:rsidRPr="00DE71ED">
            <w:rPr>
              <w:rFonts w:ascii="Arial" w:hAnsi="Arial" w:cs="Arial"/>
              <w:sz w:val="24"/>
              <w:szCs w:val="24"/>
              <w:lang w:eastAsia="en-GB"/>
            </w:rPr>
            <w:t>.</w:t>
          </w:r>
        </w:p>
        <w:p w:rsidRPr="00551917" w:rsidR="00551917" w:rsidP="00551917" w:rsidRDefault="00551917" w14:paraId="414BA68A" w14:textId="77777777">
          <w:pPr>
            <w:pStyle w:val="ListParagraph"/>
            <w:numPr>
              <w:ilvl w:val="0"/>
              <w:numId w:val="17"/>
            </w:numPr>
            <w:rPr>
              <w:rFonts w:ascii="Arial" w:hAnsi="Arial" w:cs="Arial"/>
              <w:sz w:val="24"/>
              <w:szCs w:val="24"/>
              <w:lang w:eastAsia="en-GB"/>
            </w:rPr>
          </w:pPr>
          <w:r w:rsidRPr="7489BC33" w:rsidR="00551917">
            <w:rPr>
              <w:rFonts w:ascii="Arial" w:hAnsi="Arial" w:cs="Arial"/>
              <w:sz w:val="24"/>
              <w:szCs w:val="24"/>
              <w:lang w:eastAsia="en-GB"/>
            </w:rPr>
            <w:t>Less effective for short-term decision-making due to inclusion of fixed costs.</w:t>
          </w:r>
        </w:p>
        <w:p w:rsidR="7489BC33" w:rsidP="7489BC33" w:rsidRDefault="7489BC33" w14:paraId="7CFC401B" w14:textId="654BF288">
          <w:pPr>
            <w:rPr>
              <w:rStyle w:val="Strong"/>
              <w:rFonts w:ascii="Arial" w:hAnsi="Arial" w:cs="Arial"/>
              <w:sz w:val="24"/>
              <w:szCs w:val="24"/>
            </w:rPr>
          </w:pPr>
        </w:p>
        <w:p w:rsidRPr="001E7B12" w:rsidR="001E7B12" w:rsidP="001E7B12" w:rsidRDefault="001E7B12" w14:paraId="75D2DC11" w14:textId="77777777" w14:noSpellErr="1">
          <w:pPr>
            <w:rPr>
              <w:rFonts w:ascii="Arial" w:hAnsi="Arial" w:cs="Arial"/>
              <w:sz w:val="24"/>
              <w:szCs w:val="24"/>
            </w:rPr>
          </w:pPr>
          <w:r w:rsidRPr="7489BC33" w:rsidR="001E7B12">
            <w:rPr>
              <w:rStyle w:val="Strong"/>
              <w:rFonts w:ascii="Arial" w:hAnsi="Arial" w:cs="Arial"/>
              <w:sz w:val="24"/>
              <w:szCs w:val="24"/>
            </w:rPr>
            <w:t>Impact on Decision-Making Across Sectors</w:t>
          </w:r>
        </w:p>
        <w:p w:rsidRPr="001E7B12" w:rsidR="001E7B12" w:rsidP="001E7B12" w:rsidRDefault="001E7B12" w14:paraId="355166B2" w14:textId="3DFAE818">
          <w:pPr>
            <w:rPr>
              <w:rFonts w:ascii="Arial" w:hAnsi="Arial" w:cs="Arial"/>
              <w:sz w:val="24"/>
              <w:szCs w:val="24"/>
            </w:rPr>
          </w:pPr>
          <w:r w:rsidRPr="001E7B12">
            <w:rPr>
              <w:rFonts w:ascii="Arial" w:hAnsi="Arial" w:cs="Arial"/>
              <w:sz w:val="24"/>
              <w:szCs w:val="24"/>
            </w:rPr>
            <w:t xml:space="preserve">The choice between marginal and absorption costing significantly influences decision-making in different industries. In </w:t>
          </w:r>
          <w:r w:rsidRPr="001E7B12">
            <w:rPr>
              <w:rStyle w:val="Strong"/>
              <w:rFonts w:ascii="Arial" w:hAnsi="Arial" w:cs="Arial"/>
              <w:b w:val="0"/>
              <w:bCs w:val="0"/>
              <w:sz w:val="24"/>
              <w:szCs w:val="24"/>
            </w:rPr>
            <w:t>manufacturing</w:t>
          </w:r>
          <w:r w:rsidRPr="001E7B12">
            <w:rPr>
              <w:rFonts w:ascii="Arial" w:hAnsi="Arial" w:cs="Arial"/>
              <w:sz w:val="24"/>
              <w:szCs w:val="24"/>
            </w:rPr>
            <w:t xml:space="preserve">, absorption costing is often preferred for statutory reporting and long-term planning because it captures the full cost of production, including fixed overheads. However, during periods of fluctuating demand, marginal costing provides clearer insights for short-term pricing and special orders. In </w:t>
          </w:r>
          <w:r w:rsidRPr="001E7B12">
            <w:rPr>
              <w:rStyle w:val="Strong"/>
              <w:rFonts w:ascii="Arial" w:hAnsi="Arial" w:cs="Arial"/>
              <w:b w:val="0"/>
              <w:bCs w:val="0"/>
              <w:sz w:val="24"/>
              <w:szCs w:val="24"/>
            </w:rPr>
            <w:t>service industries</w:t>
          </w:r>
          <w:r w:rsidRPr="001E7B12">
            <w:rPr>
              <w:rFonts w:ascii="Arial" w:hAnsi="Arial" w:cs="Arial"/>
              <w:sz w:val="24"/>
              <w:szCs w:val="24"/>
            </w:rPr>
            <w:t xml:space="preserve">, where fixed costs are relatively high and capacity utilisation is critical, marginal costing helps managers evaluate whether accepting additional work at discounted rates will cover variable costs without eroding profitability. For </w:t>
          </w:r>
          <w:r w:rsidRPr="001E7B12">
            <w:rPr>
              <w:rStyle w:val="Strong"/>
              <w:rFonts w:ascii="Arial" w:hAnsi="Arial" w:cs="Arial"/>
              <w:b w:val="0"/>
              <w:bCs w:val="0"/>
              <w:sz w:val="24"/>
              <w:szCs w:val="24"/>
            </w:rPr>
            <w:t>technology firms</w:t>
          </w:r>
          <w:r w:rsidRPr="001E7B12">
            <w:rPr>
              <w:rFonts w:ascii="Arial" w:hAnsi="Arial" w:cs="Arial"/>
              <w:sz w:val="24"/>
              <w:szCs w:val="24"/>
            </w:rPr>
            <w:t>, particularly SaaS businesses, marginal costing supports agile decision-making by focusing on incremental costs for onboarding new clients, while absorption costing remains essential for external reporting and investor transparency. This sector-specific impact underscores the importance of using both methods strategically to balance compliance with operational flexibility</w:t>
          </w:r>
          <w:r>
            <w:rPr>
              <w:rFonts w:ascii="Arial" w:hAnsi="Arial" w:cs="Arial"/>
              <w:sz w:val="24"/>
              <w:szCs w:val="24"/>
            </w:rPr>
            <w:t xml:space="preserve"> </w:t>
          </w:r>
          <w:r w:rsidRPr="001E7B12">
            <w:rPr>
              <w:rFonts w:ascii="Arial" w:hAnsi="Arial" w:cs="Arial"/>
              <w:sz w:val="24"/>
              <w:szCs w:val="24"/>
            </w:rPr>
            <w:t>(</w:t>
          </w:r>
          <w:proofErr w:type="spellStart"/>
          <w:r w:rsidRPr="001E7B12">
            <w:rPr>
              <w:rFonts w:ascii="Arial" w:hAnsi="Arial" w:cs="Arial"/>
              <w:sz w:val="24"/>
              <w:szCs w:val="24"/>
            </w:rPr>
            <w:t>FasterCapital</w:t>
          </w:r>
          <w:proofErr w:type="spellEnd"/>
          <w:r w:rsidRPr="001E7B12">
            <w:rPr>
              <w:rFonts w:ascii="Arial" w:hAnsi="Arial" w:cs="Arial"/>
              <w:sz w:val="24"/>
              <w:szCs w:val="24"/>
            </w:rPr>
            <w:t xml:space="preserve"> </w:t>
          </w:r>
          <w:hyperlink w:history="1" r:id="rId25">
            <w:r w:rsidRPr="001E7B12">
              <w:rPr>
                <w:rStyle w:val="Hyperlink"/>
                <w:rFonts w:ascii="Arial" w:hAnsi="Arial" w:cs="Arial"/>
                <w:color w:val="auto"/>
                <w:sz w:val="24"/>
                <w:szCs w:val="24"/>
                <w:u w:val="none"/>
              </w:rPr>
              <w:t>2025</w:t>
            </w:r>
          </w:hyperlink>
          <w:r w:rsidRPr="001E7B12">
            <w:rPr>
              <w:rFonts w:ascii="Arial" w:hAnsi="Arial" w:cs="Arial"/>
              <w:sz w:val="24"/>
              <w:szCs w:val="24"/>
            </w:rPr>
            <w:t>)</w:t>
          </w:r>
          <w:r w:rsidRPr="001E7B12">
            <w:rPr>
              <w:rFonts w:ascii="Arial" w:hAnsi="Arial" w:cs="Arial"/>
              <w:sz w:val="24"/>
              <w:szCs w:val="24"/>
            </w:rPr>
            <w:t>.</w:t>
          </w:r>
        </w:p>
        <w:p w:rsidR="00551917" w:rsidP="00551917" w:rsidRDefault="00551917" w14:paraId="2F19C85E" w14:textId="77777777">
          <w:pPr>
            <w:ind w:left="360"/>
            <w:rPr>
              <w:rFonts w:ascii="Arial" w:hAnsi="Arial" w:cs="Arial"/>
              <w:b/>
              <w:bCs/>
              <w:sz w:val="24"/>
              <w:szCs w:val="24"/>
              <w:lang w:eastAsia="en-GB"/>
            </w:rPr>
          </w:pPr>
        </w:p>
        <w:p w:rsidRPr="00551917" w:rsidR="00551917" w:rsidP="00551917" w:rsidRDefault="00551917" w14:paraId="245BF9BC" w14:textId="08EAB476">
          <w:pPr>
            <w:rPr>
              <w:rFonts w:ascii="Arial" w:hAnsi="Arial" w:cs="Arial"/>
              <w:b/>
              <w:bCs/>
              <w:sz w:val="24"/>
              <w:szCs w:val="24"/>
              <w:lang w:eastAsia="en-GB"/>
            </w:rPr>
          </w:pPr>
          <w:r w:rsidRPr="00551917">
            <w:rPr>
              <w:rFonts w:ascii="Arial" w:hAnsi="Arial" w:cs="Arial"/>
              <w:b/>
              <w:bCs/>
              <w:sz w:val="24"/>
              <w:szCs w:val="24"/>
              <w:lang w:eastAsia="en-GB"/>
            </w:rPr>
            <w:t>Key Differences and Impact</w:t>
          </w:r>
        </w:p>
        <w:tbl>
          <w:tblPr>
            <w:tblStyle w:val="TableGrid"/>
            <w:tblW w:w="0" w:type="auto"/>
            <w:tblLook w:val="04A0" w:firstRow="1" w:lastRow="0" w:firstColumn="1" w:lastColumn="0" w:noHBand="0" w:noVBand="1"/>
          </w:tblPr>
          <w:tblGrid>
            <w:gridCol w:w="3005"/>
            <w:gridCol w:w="3005"/>
            <w:gridCol w:w="3006"/>
          </w:tblGrid>
          <w:tr w:rsidR="00551917" w:rsidTr="002754EC" w14:paraId="583C5237" w14:textId="77777777">
            <w:tc>
              <w:tcPr>
                <w:tcW w:w="3005" w:type="dxa"/>
                <w:shd w:val="clear" w:color="auto" w:fill="F7CAAC" w:themeFill="accent2" w:themeFillTint="66"/>
              </w:tcPr>
              <w:p w:rsidRPr="00080F4B" w:rsidR="00551917" w:rsidP="002754EC" w:rsidRDefault="00551917" w14:paraId="778871EB" w14:textId="77777777">
                <w:pPr>
                  <w:jc w:val="center"/>
                  <w:rPr>
                    <w:rFonts w:ascii="Arial" w:hAnsi="Arial" w:cs="Arial"/>
                    <w:b/>
                    <w:bCs/>
                    <w:sz w:val="24"/>
                    <w:szCs w:val="24"/>
                    <w:lang w:eastAsia="en-GB"/>
                  </w:rPr>
                </w:pPr>
                <w:r w:rsidRPr="00080F4B">
                  <w:rPr>
                    <w:rFonts w:ascii="Arial" w:hAnsi="Arial" w:cs="Arial"/>
                    <w:b/>
                    <w:bCs/>
                    <w:sz w:val="24"/>
                    <w:szCs w:val="24"/>
                    <w:lang w:eastAsia="en-GB"/>
                  </w:rPr>
                  <w:t>Aspect</w:t>
                </w:r>
              </w:p>
            </w:tc>
            <w:tc>
              <w:tcPr>
                <w:tcW w:w="3005" w:type="dxa"/>
                <w:shd w:val="clear" w:color="auto" w:fill="F7CAAC" w:themeFill="accent2" w:themeFillTint="66"/>
              </w:tcPr>
              <w:p w:rsidRPr="00080F4B" w:rsidR="00551917" w:rsidP="002754EC" w:rsidRDefault="00551917" w14:paraId="48872F4B" w14:textId="77777777">
                <w:pPr>
                  <w:jc w:val="center"/>
                  <w:rPr>
                    <w:rFonts w:ascii="Arial" w:hAnsi="Arial" w:cs="Arial"/>
                    <w:b/>
                    <w:bCs/>
                    <w:sz w:val="24"/>
                    <w:szCs w:val="24"/>
                    <w:lang w:eastAsia="en-GB"/>
                  </w:rPr>
                </w:pPr>
                <w:r w:rsidRPr="00080F4B">
                  <w:rPr>
                    <w:rFonts w:ascii="Arial" w:hAnsi="Arial" w:cs="Arial"/>
                    <w:b/>
                    <w:bCs/>
                    <w:sz w:val="24"/>
                    <w:szCs w:val="24"/>
                    <w:lang w:eastAsia="en-GB"/>
                  </w:rPr>
                  <w:t>Marginal Costing</w:t>
                </w:r>
              </w:p>
            </w:tc>
            <w:tc>
              <w:tcPr>
                <w:tcW w:w="3006" w:type="dxa"/>
                <w:shd w:val="clear" w:color="auto" w:fill="F7CAAC" w:themeFill="accent2" w:themeFillTint="66"/>
              </w:tcPr>
              <w:p w:rsidRPr="00080F4B" w:rsidR="00551917" w:rsidP="002754EC" w:rsidRDefault="00551917" w14:paraId="052E31E2" w14:textId="77777777">
                <w:pPr>
                  <w:jc w:val="center"/>
                  <w:rPr>
                    <w:rFonts w:ascii="Arial" w:hAnsi="Arial" w:cs="Arial"/>
                    <w:b/>
                    <w:bCs/>
                    <w:sz w:val="24"/>
                    <w:szCs w:val="24"/>
                    <w:lang w:eastAsia="en-GB"/>
                  </w:rPr>
                </w:pPr>
                <w:r w:rsidRPr="00080F4B">
                  <w:rPr>
                    <w:rFonts w:ascii="Arial" w:hAnsi="Arial" w:cs="Arial"/>
                    <w:b/>
                    <w:bCs/>
                    <w:sz w:val="24"/>
                    <w:szCs w:val="24"/>
                    <w:lang w:eastAsia="en-GB"/>
                  </w:rPr>
                  <w:t>Absorption Costing</w:t>
                </w:r>
              </w:p>
            </w:tc>
          </w:tr>
          <w:tr w:rsidR="00551917" w:rsidTr="002754EC" w14:paraId="2A8041A5" w14:textId="77777777">
            <w:tc>
              <w:tcPr>
                <w:tcW w:w="3005" w:type="dxa"/>
              </w:tcPr>
              <w:p w:rsidR="00551917" w:rsidP="002754EC" w:rsidRDefault="00551917" w14:paraId="1D2ADAC7" w14:textId="77777777">
                <w:pPr>
                  <w:rPr>
                    <w:rFonts w:ascii="Arial" w:hAnsi="Arial" w:cs="Arial"/>
                    <w:sz w:val="24"/>
                    <w:szCs w:val="24"/>
                    <w:lang w:eastAsia="en-GB"/>
                  </w:rPr>
                </w:pPr>
                <w:r w:rsidRPr="00781ABA">
                  <w:rPr>
                    <w:rFonts w:ascii="Arial" w:hAnsi="Arial" w:cs="Arial"/>
                    <w:sz w:val="24"/>
                    <w:szCs w:val="24"/>
                    <w:lang w:eastAsia="en-GB"/>
                  </w:rPr>
                  <w:t>Cost Basis</w:t>
                </w:r>
              </w:p>
            </w:tc>
            <w:tc>
              <w:tcPr>
                <w:tcW w:w="3005" w:type="dxa"/>
                <w:vAlign w:val="center"/>
              </w:tcPr>
              <w:p w:rsidR="00551917" w:rsidP="002754EC" w:rsidRDefault="00551917" w14:paraId="1017D31F" w14:textId="77777777">
                <w:pPr>
                  <w:rPr>
                    <w:rFonts w:ascii="Arial" w:hAnsi="Arial" w:cs="Arial"/>
                    <w:sz w:val="24"/>
                    <w:szCs w:val="24"/>
                    <w:lang w:eastAsia="en-GB"/>
                  </w:rPr>
                </w:pPr>
                <w:r w:rsidRPr="00781ABA">
                  <w:rPr>
                    <w:rFonts w:ascii="Arial" w:hAnsi="Arial" w:cs="Arial"/>
                    <w:sz w:val="24"/>
                    <w:szCs w:val="24"/>
                    <w:lang w:eastAsia="en-GB"/>
                  </w:rPr>
                  <w:t>Variable only</w:t>
                </w:r>
              </w:p>
            </w:tc>
            <w:tc>
              <w:tcPr>
                <w:tcW w:w="3006" w:type="dxa"/>
              </w:tcPr>
              <w:p w:rsidR="00551917" w:rsidP="002754EC" w:rsidRDefault="00551917" w14:paraId="7D0B0308" w14:textId="77777777">
                <w:pPr>
                  <w:rPr>
                    <w:rFonts w:ascii="Arial" w:hAnsi="Arial" w:cs="Arial"/>
                    <w:sz w:val="24"/>
                    <w:szCs w:val="24"/>
                    <w:lang w:eastAsia="en-GB"/>
                  </w:rPr>
                </w:pPr>
                <w:r w:rsidRPr="00781ABA">
                  <w:rPr>
                    <w:rFonts w:ascii="Arial" w:hAnsi="Arial" w:cs="Arial"/>
                    <w:sz w:val="24"/>
                    <w:szCs w:val="24"/>
                    <w:lang w:eastAsia="en-GB"/>
                  </w:rPr>
                  <w:t>Fixed + Variable</w:t>
                </w:r>
              </w:p>
            </w:tc>
          </w:tr>
          <w:tr w:rsidR="00551917" w:rsidTr="002754EC" w14:paraId="7BFBA343" w14:textId="77777777">
            <w:tc>
              <w:tcPr>
                <w:tcW w:w="3005" w:type="dxa"/>
              </w:tcPr>
              <w:p w:rsidR="00551917" w:rsidP="002754EC" w:rsidRDefault="00551917" w14:paraId="1563149C" w14:textId="77777777">
                <w:pPr>
                  <w:rPr>
                    <w:rFonts w:ascii="Arial" w:hAnsi="Arial" w:cs="Arial"/>
                    <w:sz w:val="24"/>
                    <w:szCs w:val="24"/>
                    <w:lang w:eastAsia="en-GB"/>
                  </w:rPr>
                </w:pPr>
                <w:r w:rsidRPr="00781ABA">
                  <w:rPr>
                    <w:rFonts w:ascii="Arial" w:hAnsi="Arial" w:cs="Arial"/>
                    <w:sz w:val="24"/>
                    <w:szCs w:val="24"/>
                    <w:lang w:eastAsia="en-GB"/>
                  </w:rPr>
                  <w:t>Profit Impact</w:t>
                </w:r>
              </w:p>
            </w:tc>
            <w:tc>
              <w:tcPr>
                <w:tcW w:w="3005" w:type="dxa"/>
              </w:tcPr>
              <w:p w:rsidR="00551917" w:rsidP="002754EC" w:rsidRDefault="00551917" w14:paraId="151A6AF5" w14:textId="77777777">
                <w:pPr>
                  <w:rPr>
                    <w:rFonts w:ascii="Arial" w:hAnsi="Arial" w:cs="Arial"/>
                    <w:sz w:val="24"/>
                    <w:szCs w:val="24"/>
                    <w:lang w:eastAsia="en-GB"/>
                  </w:rPr>
                </w:pPr>
                <w:r w:rsidRPr="00781ABA">
                  <w:rPr>
                    <w:rFonts w:ascii="Arial" w:hAnsi="Arial" w:cs="Arial"/>
                    <w:sz w:val="24"/>
                    <w:szCs w:val="24"/>
                    <w:lang w:eastAsia="en-GB"/>
                  </w:rPr>
                  <w:t>Lower in high inventory</w:t>
                </w:r>
              </w:p>
            </w:tc>
            <w:tc>
              <w:tcPr>
                <w:tcW w:w="3006" w:type="dxa"/>
              </w:tcPr>
              <w:p w:rsidR="00551917" w:rsidP="002754EC" w:rsidRDefault="00551917" w14:paraId="3185FB04" w14:textId="77777777">
                <w:pPr>
                  <w:rPr>
                    <w:rFonts w:ascii="Arial" w:hAnsi="Arial" w:cs="Arial"/>
                    <w:sz w:val="24"/>
                    <w:szCs w:val="24"/>
                    <w:lang w:eastAsia="en-GB"/>
                  </w:rPr>
                </w:pPr>
                <w:r w:rsidRPr="00781ABA">
                  <w:rPr>
                    <w:rFonts w:ascii="Arial" w:hAnsi="Arial" w:cs="Arial"/>
                    <w:sz w:val="24"/>
                    <w:szCs w:val="24"/>
                    <w:lang w:eastAsia="en-GB"/>
                  </w:rPr>
                  <w:t>Higher in high inventory</w:t>
                </w:r>
              </w:p>
            </w:tc>
          </w:tr>
          <w:tr w:rsidR="00551917" w:rsidTr="002754EC" w14:paraId="5264347C" w14:textId="77777777">
            <w:tc>
              <w:tcPr>
                <w:tcW w:w="3005" w:type="dxa"/>
              </w:tcPr>
              <w:p w:rsidR="00551917" w:rsidP="002754EC" w:rsidRDefault="00551917" w14:paraId="7FB3473C" w14:textId="77777777">
                <w:pPr>
                  <w:rPr>
                    <w:rFonts w:ascii="Arial" w:hAnsi="Arial" w:cs="Arial"/>
                    <w:sz w:val="24"/>
                    <w:szCs w:val="24"/>
                    <w:lang w:eastAsia="en-GB"/>
                  </w:rPr>
                </w:pPr>
                <w:r w:rsidRPr="00781ABA">
                  <w:rPr>
                    <w:rFonts w:ascii="Arial" w:hAnsi="Arial" w:cs="Arial"/>
                    <w:sz w:val="24"/>
                    <w:szCs w:val="24"/>
                    <w:lang w:eastAsia="en-GB"/>
                  </w:rPr>
                  <w:t>GAAP Compliance</w:t>
                </w:r>
              </w:p>
            </w:tc>
            <w:tc>
              <w:tcPr>
                <w:tcW w:w="3005" w:type="dxa"/>
              </w:tcPr>
              <w:p w:rsidR="00551917" w:rsidP="002754EC" w:rsidRDefault="00551917" w14:paraId="1BC0B96B" w14:textId="77777777">
                <w:pPr>
                  <w:rPr>
                    <w:rFonts w:ascii="Arial" w:hAnsi="Arial" w:cs="Arial"/>
                    <w:sz w:val="24"/>
                    <w:szCs w:val="24"/>
                    <w:lang w:eastAsia="en-GB"/>
                  </w:rPr>
                </w:pPr>
                <w:r>
                  <w:rPr>
                    <w:rFonts w:ascii="Arial" w:hAnsi="Arial" w:cs="Arial"/>
                    <w:sz w:val="24"/>
                    <w:szCs w:val="24"/>
                    <w:lang w:eastAsia="en-GB"/>
                  </w:rPr>
                  <w:t xml:space="preserve">No </w:t>
                </w:r>
              </w:p>
            </w:tc>
            <w:tc>
              <w:tcPr>
                <w:tcW w:w="3006" w:type="dxa"/>
              </w:tcPr>
              <w:p w:rsidR="00551917" w:rsidP="002754EC" w:rsidRDefault="00551917" w14:paraId="4B95F1A5" w14:textId="77777777">
                <w:pPr>
                  <w:rPr>
                    <w:rFonts w:ascii="Arial" w:hAnsi="Arial" w:cs="Arial"/>
                    <w:sz w:val="24"/>
                    <w:szCs w:val="24"/>
                    <w:lang w:eastAsia="en-GB"/>
                  </w:rPr>
                </w:pPr>
                <w:r>
                  <w:rPr>
                    <w:rFonts w:ascii="Arial" w:hAnsi="Arial" w:cs="Arial"/>
                    <w:sz w:val="24"/>
                    <w:szCs w:val="24"/>
                    <w:lang w:eastAsia="en-GB"/>
                  </w:rPr>
                  <w:t xml:space="preserve">Yes </w:t>
                </w:r>
              </w:p>
            </w:tc>
          </w:tr>
          <w:tr w:rsidR="00551917" w:rsidTr="002754EC" w14:paraId="3980CC07" w14:textId="77777777">
            <w:tc>
              <w:tcPr>
                <w:tcW w:w="3005" w:type="dxa"/>
              </w:tcPr>
              <w:p w:rsidR="00551917" w:rsidP="002754EC" w:rsidRDefault="00551917" w14:paraId="693E6850" w14:textId="77777777">
                <w:pPr>
                  <w:rPr>
                    <w:rFonts w:ascii="Arial" w:hAnsi="Arial" w:cs="Arial"/>
                    <w:sz w:val="24"/>
                    <w:szCs w:val="24"/>
                    <w:lang w:eastAsia="en-GB"/>
                  </w:rPr>
                </w:pPr>
                <w:r w:rsidRPr="00781ABA">
                  <w:rPr>
                    <w:rFonts w:ascii="Arial" w:hAnsi="Arial" w:cs="Arial"/>
                    <w:sz w:val="24"/>
                    <w:szCs w:val="24"/>
                    <w:lang w:eastAsia="en-GB"/>
                  </w:rPr>
                  <w:t>Decision Usefulness</w:t>
                </w:r>
              </w:p>
            </w:tc>
            <w:tc>
              <w:tcPr>
                <w:tcW w:w="3005" w:type="dxa"/>
              </w:tcPr>
              <w:p w:rsidR="00551917" w:rsidP="002754EC" w:rsidRDefault="00551917" w14:paraId="1A34BB27" w14:textId="77777777">
                <w:pPr>
                  <w:rPr>
                    <w:rFonts w:ascii="Arial" w:hAnsi="Arial" w:cs="Arial"/>
                    <w:sz w:val="24"/>
                    <w:szCs w:val="24"/>
                    <w:lang w:eastAsia="en-GB"/>
                  </w:rPr>
                </w:pPr>
                <w:r>
                  <w:rPr>
                    <w:rFonts w:ascii="Arial" w:hAnsi="Arial" w:cs="Arial"/>
                    <w:sz w:val="24"/>
                    <w:szCs w:val="24"/>
                    <w:lang w:eastAsia="en-GB"/>
                  </w:rPr>
                  <w:t>Short-term</w:t>
                </w:r>
              </w:p>
            </w:tc>
            <w:tc>
              <w:tcPr>
                <w:tcW w:w="3006" w:type="dxa"/>
              </w:tcPr>
              <w:p w:rsidR="00551917" w:rsidP="002754EC" w:rsidRDefault="00551917" w14:paraId="73FC84D5" w14:textId="77777777">
                <w:pPr>
                  <w:rPr>
                    <w:rFonts w:ascii="Arial" w:hAnsi="Arial" w:cs="Arial"/>
                    <w:sz w:val="24"/>
                    <w:szCs w:val="24"/>
                    <w:lang w:eastAsia="en-GB"/>
                  </w:rPr>
                </w:pPr>
                <w:r>
                  <w:rPr>
                    <w:rFonts w:ascii="Arial" w:hAnsi="Arial" w:cs="Arial"/>
                    <w:sz w:val="24"/>
                    <w:szCs w:val="24"/>
                    <w:lang w:eastAsia="en-GB"/>
                  </w:rPr>
                  <w:t>Long-term</w:t>
                </w:r>
              </w:p>
            </w:tc>
          </w:tr>
        </w:tbl>
        <w:p w:rsidR="00551917" w:rsidP="00292EDA" w:rsidRDefault="00551917" w14:paraId="7425902B" w14:textId="77777777">
          <w:pPr>
            <w:spacing w:after="200" w:line="276" w:lineRule="auto"/>
          </w:pPr>
        </w:p>
        <w:p w:rsidRPr="00CE0A97" w:rsidR="004F60FC" w:rsidP="00292EDA" w:rsidRDefault="00551917" w14:paraId="6EF3FA98" w14:textId="236EFE7C">
          <w:pPr>
            <w:spacing w:after="200" w:line="276" w:lineRule="auto"/>
            <w:rPr>
              <w:rFonts w:ascii="Arial" w:hAnsi="Arial" w:cs="Arial"/>
              <w:b/>
              <w:bCs/>
              <w:sz w:val="24"/>
              <w:szCs w:val="24"/>
            </w:rPr>
          </w:pPr>
          <w:r w:rsidRPr="00CE0A97">
            <w:rPr>
              <w:rFonts w:ascii="Arial" w:hAnsi="Arial" w:cs="Arial"/>
              <w:b/>
              <w:bCs/>
              <w:sz w:val="24"/>
              <w:szCs w:val="24"/>
            </w:rPr>
            <w:t>Numerical Example and Interpretation</w:t>
          </w:r>
        </w:p>
        <w:p w:rsidRPr="00CE0A97" w:rsidR="00CE0A97" w:rsidP="00CE0A97" w:rsidRDefault="00CE0A97" w14:paraId="485A275C" w14:textId="517C5D51">
          <w:pPr>
            <w:spacing w:before="100" w:beforeAutospacing="1" w:after="100" w:afterAutospacing="1" w:line="240" w:lineRule="auto"/>
            <w:rPr>
              <w:rFonts w:ascii="Arial" w:hAnsi="Arial" w:eastAsia="Times New Roman" w:cs="Arial"/>
              <w:sz w:val="24"/>
              <w:szCs w:val="24"/>
              <w:lang w:eastAsia="en-GB"/>
            </w:rPr>
          </w:pPr>
          <w:r w:rsidRPr="00CE0A97">
            <w:rPr>
              <w:rFonts w:ascii="Arial" w:hAnsi="Arial" w:eastAsia="Times New Roman" w:cs="Arial"/>
              <w:sz w:val="24"/>
              <w:szCs w:val="24"/>
              <w:lang w:eastAsia="en-GB"/>
            </w:rPr>
            <w:t xml:space="preserve">Assume a company produces </w:t>
          </w:r>
          <w:r w:rsidRPr="00CE0A97">
            <w:rPr>
              <w:rFonts w:ascii="Arial" w:hAnsi="Arial" w:eastAsia="Times New Roman" w:cs="Arial"/>
              <w:b/>
              <w:bCs/>
              <w:sz w:val="24"/>
              <w:szCs w:val="24"/>
              <w:lang w:eastAsia="en-GB"/>
            </w:rPr>
            <w:t>1,000 units</w:t>
          </w:r>
          <w:r w:rsidRPr="00CE0A97">
            <w:rPr>
              <w:rFonts w:ascii="Arial" w:hAnsi="Arial" w:eastAsia="Times New Roman" w:cs="Arial"/>
              <w:sz w:val="24"/>
              <w:szCs w:val="24"/>
              <w:lang w:eastAsia="en-GB"/>
            </w:rPr>
            <w:t xml:space="preserve">, variable cost per unit = </w:t>
          </w:r>
          <w:r>
            <w:rPr>
              <w:rFonts w:ascii="Arial" w:hAnsi="Arial" w:eastAsia="Times New Roman" w:cs="Arial"/>
              <w:b/>
              <w:bCs/>
              <w:sz w:val="24"/>
              <w:szCs w:val="24"/>
              <w:lang w:eastAsia="en-GB"/>
            </w:rPr>
            <w:t>£</w:t>
          </w:r>
          <w:r w:rsidRPr="00CE0A97">
            <w:rPr>
              <w:rFonts w:ascii="Arial" w:hAnsi="Arial" w:eastAsia="Times New Roman" w:cs="Arial"/>
              <w:b/>
              <w:bCs/>
              <w:sz w:val="24"/>
              <w:szCs w:val="24"/>
              <w:lang w:eastAsia="en-GB"/>
            </w:rPr>
            <w:t>10</w:t>
          </w:r>
          <w:r w:rsidRPr="00CE0A97">
            <w:rPr>
              <w:rFonts w:ascii="Arial" w:hAnsi="Arial" w:eastAsia="Times New Roman" w:cs="Arial"/>
              <w:sz w:val="24"/>
              <w:szCs w:val="24"/>
              <w:lang w:eastAsia="en-GB"/>
            </w:rPr>
            <w:t xml:space="preserve">, fixed overhead = </w:t>
          </w:r>
          <w:r>
            <w:rPr>
              <w:rFonts w:ascii="Arial" w:hAnsi="Arial" w:eastAsia="Times New Roman" w:cs="Arial"/>
              <w:b/>
              <w:bCs/>
              <w:sz w:val="24"/>
              <w:szCs w:val="24"/>
              <w:lang w:eastAsia="en-GB"/>
            </w:rPr>
            <w:t>£</w:t>
          </w:r>
          <w:r w:rsidRPr="00CE0A97">
            <w:rPr>
              <w:rFonts w:ascii="Arial" w:hAnsi="Arial" w:eastAsia="Times New Roman" w:cs="Arial"/>
              <w:b/>
              <w:bCs/>
              <w:sz w:val="24"/>
              <w:szCs w:val="24"/>
              <w:lang w:eastAsia="en-GB"/>
            </w:rPr>
            <w:t>5,000</w:t>
          </w:r>
          <w:r w:rsidRPr="00CE0A97">
            <w:rPr>
              <w:rFonts w:ascii="Arial" w:hAnsi="Arial" w:eastAsia="Times New Roman" w:cs="Arial"/>
              <w:sz w:val="24"/>
              <w:szCs w:val="24"/>
              <w:lang w:eastAsia="en-GB"/>
            </w:rPr>
            <w:t>.</w:t>
          </w:r>
        </w:p>
        <w:p w:rsidRPr="00CE0A97" w:rsidR="00CE0A97" w:rsidP="00CE0A97" w:rsidRDefault="00CE0A97" w14:paraId="45A4D5AE" w14:textId="31F30D95">
          <w:pPr>
            <w:numPr>
              <w:ilvl w:val="0"/>
              <w:numId w:val="18"/>
            </w:numPr>
            <w:spacing w:before="100" w:beforeAutospacing="1" w:after="100" w:afterAutospacing="1" w:line="240" w:lineRule="auto"/>
            <w:rPr>
              <w:rFonts w:ascii="Arial" w:hAnsi="Arial" w:eastAsia="Times New Roman" w:cs="Arial"/>
              <w:sz w:val="24"/>
              <w:szCs w:val="24"/>
              <w:lang w:eastAsia="en-GB"/>
            </w:rPr>
          </w:pPr>
          <w:r w:rsidRPr="00CE0A97">
            <w:rPr>
              <w:rFonts w:ascii="Arial" w:hAnsi="Arial" w:eastAsia="Times New Roman" w:cs="Arial"/>
              <w:b/>
              <w:bCs/>
              <w:sz w:val="24"/>
              <w:szCs w:val="24"/>
              <w:lang w:eastAsia="en-GB"/>
            </w:rPr>
            <w:t>Under Marginal Costing:</w:t>
          </w:r>
          <w:r w:rsidRPr="00CE0A97">
            <w:rPr>
              <w:rFonts w:ascii="Arial" w:hAnsi="Arial" w:eastAsia="Times New Roman" w:cs="Arial"/>
              <w:sz w:val="24"/>
              <w:szCs w:val="24"/>
              <w:lang w:eastAsia="en-GB"/>
            </w:rPr>
            <w:br/>
          </w:r>
          <w:r w:rsidRPr="00CE0A97">
            <w:rPr>
              <w:rFonts w:ascii="Arial" w:hAnsi="Arial" w:eastAsia="Times New Roman" w:cs="Arial"/>
              <w:sz w:val="24"/>
              <w:szCs w:val="24"/>
              <w:lang w:eastAsia="en-GB"/>
            </w:rPr>
            <w:t xml:space="preserve">Total cost = </w:t>
          </w:r>
          <w:r>
            <w:rPr>
              <w:rFonts w:ascii="Arial" w:hAnsi="Arial" w:eastAsia="Times New Roman" w:cs="Arial"/>
              <w:sz w:val="24"/>
              <w:szCs w:val="24"/>
              <w:lang w:eastAsia="en-GB"/>
            </w:rPr>
            <w:t>£</w:t>
          </w:r>
          <w:r w:rsidRPr="00CE0A97">
            <w:rPr>
              <w:rFonts w:ascii="Arial" w:hAnsi="Arial" w:eastAsia="Times New Roman" w:cs="Arial"/>
              <w:sz w:val="24"/>
              <w:szCs w:val="24"/>
              <w:lang w:eastAsia="en-GB"/>
            </w:rPr>
            <w:t xml:space="preserve">10 × 1,000 = </w:t>
          </w:r>
          <w:r>
            <w:rPr>
              <w:rFonts w:ascii="Arial" w:hAnsi="Arial" w:eastAsia="Times New Roman" w:cs="Arial"/>
              <w:b/>
              <w:bCs/>
              <w:sz w:val="24"/>
              <w:szCs w:val="24"/>
              <w:lang w:eastAsia="en-GB"/>
            </w:rPr>
            <w:t>£</w:t>
          </w:r>
          <w:r w:rsidRPr="00CE0A97">
            <w:rPr>
              <w:rFonts w:ascii="Arial" w:hAnsi="Arial" w:eastAsia="Times New Roman" w:cs="Arial"/>
              <w:b/>
              <w:bCs/>
              <w:sz w:val="24"/>
              <w:szCs w:val="24"/>
              <w:lang w:eastAsia="en-GB"/>
            </w:rPr>
            <w:t>10,000</w:t>
          </w:r>
          <w:r w:rsidRPr="00CE0A97">
            <w:rPr>
              <w:rFonts w:ascii="Arial" w:hAnsi="Arial" w:eastAsia="Times New Roman" w:cs="Arial"/>
              <w:sz w:val="24"/>
              <w:szCs w:val="24"/>
              <w:lang w:eastAsia="en-GB"/>
            </w:rPr>
            <w:t>.</w:t>
          </w:r>
          <w:r w:rsidRPr="00CE0A97">
            <w:rPr>
              <w:rFonts w:ascii="Arial" w:hAnsi="Arial" w:eastAsia="Times New Roman" w:cs="Arial"/>
              <w:sz w:val="24"/>
              <w:szCs w:val="24"/>
              <w:lang w:eastAsia="en-GB"/>
            </w:rPr>
            <w:br/>
          </w:r>
          <w:r w:rsidRPr="00CE0A97">
            <w:rPr>
              <w:rFonts w:ascii="Arial" w:hAnsi="Arial" w:eastAsia="Times New Roman" w:cs="Arial"/>
              <w:sz w:val="24"/>
              <w:szCs w:val="24"/>
              <w:lang w:eastAsia="en-GB"/>
            </w:rPr>
            <w:t>Fixed costs are expensed in the current period.</w:t>
          </w:r>
        </w:p>
        <w:p w:rsidRPr="00CE0A97" w:rsidR="00CE0A97" w:rsidP="7489BC33" w:rsidRDefault="00CE0A97" w14:paraId="5FA64535" w14:textId="13F02178" w14:noSpellErr="1">
          <w:pPr>
            <w:numPr>
              <w:ilvl w:val="0"/>
              <w:numId w:val="18"/>
            </w:numPr>
            <w:spacing w:before="100" w:beforeAutospacing="on" w:after="100" w:afterAutospacing="on" w:line="240" w:lineRule="auto"/>
            <w:rPr>
              <w:rFonts w:ascii="Arial" w:hAnsi="Arial" w:eastAsia="Times New Roman" w:cs="Arial"/>
              <w:sz w:val="24"/>
              <w:szCs w:val="24"/>
              <w:lang w:eastAsia="en-GB"/>
            </w:rPr>
          </w:pPr>
          <w:r w:rsidRPr="7489BC33" w:rsidR="00CE0A97">
            <w:rPr>
              <w:rFonts w:ascii="Arial" w:hAnsi="Arial" w:eastAsia="Times New Roman" w:cs="Arial"/>
              <w:b w:val="1"/>
              <w:bCs w:val="1"/>
              <w:sz w:val="24"/>
              <w:szCs w:val="24"/>
              <w:lang w:eastAsia="en-GB"/>
            </w:rPr>
            <w:t>Under Absorption Costing:</w:t>
          </w:r>
          <w:r>
            <w:br/>
          </w:r>
          <w:r w:rsidRPr="7489BC33" w:rsidR="00CE0A97">
            <w:rPr>
              <w:rFonts w:ascii="Arial" w:hAnsi="Arial" w:eastAsia="Times New Roman" w:cs="Arial"/>
              <w:sz w:val="24"/>
              <w:szCs w:val="24"/>
              <w:lang w:eastAsia="en-GB"/>
            </w:rPr>
            <w:t xml:space="preserve">Fixed overhead per unit = </w:t>
          </w:r>
          <w:r w:rsidRPr="7489BC33" w:rsidR="00CE0A97">
            <w:rPr>
              <w:rFonts w:ascii="Arial" w:hAnsi="Arial" w:eastAsia="Times New Roman" w:cs="Arial"/>
              <w:sz w:val="24"/>
              <w:szCs w:val="24"/>
              <w:lang w:eastAsia="en-GB"/>
            </w:rPr>
            <w:t>£</w:t>
          </w:r>
          <w:r w:rsidRPr="7489BC33" w:rsidR="00CE0A97">
            <w:rPr>
              <w:rFonts w:ascii="Arial" w:hAnsi="Arial" w:eastAsia="Times New Roman" w:cs="Arial"/>
              <w:sz w:val="24"/>
              <w:szCs w:val="24"/>
              <w:lang w:eastAsia="en-GB"/>
            </w:rPr>
            <w:t xml:space="preserve">5,000 ÷ 1,000 = </w:t>
          </w:r>
          <w:r w:rsidRPr="7489BC33" w:rsidR="00CE0A97">
            <w:rPr>
              <w:rFonts w:ascii="Arial" w:hAnsi="Arial" w:eastAsia="Times New Roman" w:cs="Arial"/>
              <w:b w:val="1"/>
              <w:bCs w:val="1"/>
              <w:sz w:val="24"/>
              <w:szCs w:val="24"/>
              <w:lang w:eastAsia="en-GB"/>
            </w:rPr>
            <w:t>£</w:t>
          </w:r>
          <w:r w:rsidRPr="7489BC33" w:rsidR="00CE0A97">
            <w:rPr>
              <w:rFonts w:ascii="Arial" w:hAnsi="Arial" w:eastAsia="Times New Roman" w:cs="Arial"/>
              <w:b w:val="1"/>
              <w:bCs w:val="1"/>
              <w:sz w:val="24"/>
              <w:szCs w:val="24"/>
              <w:lang w:eastAsia="en-GB"/>
            </w:rPr>
            <w:t>5</w:t>
          </w:r>
          <w:r w:rsidRPr="7489BC33" w:rsidR="00CE0A97">
            <w:rPr>
              <w:rFonts w:ascii="Arial" w:hAnsi="Arial" w:eastAsia="Times New Roman" w:cs="Arial"/>
              <w:sz w:val="24"/>
              <w:szCs w:val="24"/>
              <w:lang w:eastAsia="en-GB"/>
            </w:rPr>
            <w:t>.</w:t>
          </w:r>
          <w:r>
            <w:br/>
          </w:r>
          <w:r w:rsidRPr="7489BC33" w:rsidR="00CE0A97">
            <w:rPr>
              <w:rFonts w:ascii="Arial" w:hAnsi="Arial" w:eastAsia="Times New Roman" w:cs="Arial"/>
              <w:sz w:val="24"/>
              <w:szCs w:val="24"/>
              <w:lang w:eastAsia="en-GB"/>
            </w:rPr>
            <w:t xml:space="preserve">Total cost per unit = </w:t>
          </w:r>
          <w:r w:rsidRPr="7489BC33" w:rsidR="00CE0A97">
            <w:rPr>
              <w:rFonts w:ascii="Arial" w:hAnsi="Arial" w:eastAsia="Times New Roman" w:cs="Arial"/>
              <w:sz w:val="24"/>
              <w:szCs w:val="24"/>
              <w:lang w:eastAsia="en-GB"/>
            </w:rPr>
            <w:t>£</w:t>
          </w:r>
          <w:r w:rsidRPr="7489BC33" w:rsidR="00CE0A97">
            <w:rPr>
              <w:rFonts w:ascii="Arial" w:hAnsi="Arial" w:eastAsia="Times New Roman" w:cs="Arial"/>
              <w:sz w:val="24"/>
              <w:szCs w:val="24"/>
              <w:lang w:eastAsia="en-GB"/>
            </w:rPr>
            <w:t xml:space="preserve">10 + </w:t>
          </w:r>
          <w:r w:rsidRPr="7489BC33" w:rsidR="00CE0A97">
            <w:rPr>
              <w:rFonts w:ascii="Arial" w:hAnsi="Arial" w:eastAsia="Times New Roman" w:cs="Arial"/>
              <w:sz w:val="24"/>
              <w:szCs w:val="24"/>
              <w:lang w:eastAsia="en-GB"/>
            </w:rPr>
            <w:t>£</w:t>
          </w:r>
          <w:r w:rsidRPr="7489BC33" w:rsidR="00CE0A97">
            <w:rPr>
              <w:rFonts w:ascii="Arial" w:hAnsi="Arial" w:eastAsia="Times New Roman" w:cs="Arial"/>
              <w:sz w:val="24"/>
              <w:szCs w:val="24"/>
              <w:lang w:eastAsia="en-GB"/>
            </w:rPr>
            <w:t xml:space="preserve">5 = </w:t>
          </w:r>
          <w:r w:rsidRPr="7489BC33" w:rsidR="00CE0A97">
            <w:rPr>
              <w:rFonts w:ascii="Arial" w:hAnsi="Arial" w:eastAsia="Times New Roman" w:cs="Arial"/>
              <w:b w:val="1"/>
              <w:bCs w:val="1"/>
              <w:sz w:val="24"/>
              <w:szCs w:val="24"/>
              <w:lang w:eastAsia="en-GB"/>
            </w:rPr>
            <w:t>£</w:t>
          </w:r>
          <w:r w:rsidRPr="7489BC33" w:rsidR="00CE0A97">
            <w:rPr>
              <w:rFonts w:ascii="Arial" w:hAnsi="Arial" w:eastAsia="Times New Roman" w:cs="Arial"/>
              <w:b w:val="1"/>
              <w:bCs w:val="1"/>
              <w:sz w:val="24"/>
              <w:szCs w:val="24"/>
              <w:lang w:eastAsia="en-GB"/>
            </w:rPr>
            <w:t>15</w:t>
          </w:r>
          <w:r w:rsidRPr="7489BC33" w:rsidR="00CE0A97">
            <w:rPr>
              <w:rFonts w:ascii="Arial" w:hAnsi="Arial" w:eastAsia="Times New Roman" w:cs="Arial"/>
              <w:sz w:val="24"/>
              <w:szCs w:val="24"/>
              <w:lang w:eastAsia="en-GB"/>
            </w:rPr>
            <w:t>.</w:t>
          </w:r>
          <w:r>
            <w:br/>
          </w:r>
          <w:r w:rsidRPr="7489BC33" w:rsidR="00CE0A97">
            <w:rPr>
              <w:rFonts w:ascii="Arial" w:hAnsi="Arial" w:eastAsia="Times New Roman" w:cs="Arial"/>
              <w:sz w:val="24"/>
              <w:szCs w:val="24"/>
              <w:lang w:eastAsia="en-GB"/>
            </w:rPr>
            <w:t xml:space="preserve">Total = </w:t>
          </w:r>
          <w:r w:rsidRPr="7489BC33" w:rsidR="00CE0A97">
            <w:rPr>
              <w:rFonts w:ascii="Arial" w:hAnsi="Arial" w:eastAsia="Times New Roman" w:cs="Arial"/>
              <w:sz w:val="24"/>
              <w:szCs w:val="24"/>
              <w:lang w:eastAsia="en-GB"/>
            </w:rPr>
            <w:t>£</w:t>
          </w:r>
          <w:r w:rsidRPr="7489BC33" w:rsidR="00CE0A97">
            <w:rPr>
              <w:rFonts w:ascii="Arial" w:hAnsi="Arial" w:eastAsia="Times New Roman" w:cs="Arial"/>
              <w:sz w:val="24"/>
              <w:szCs w:val="24"/>
              <w:lang w:eastAsia="en-GB"/>
            </w:rPr>
            <w:t>15,000.</w:t>
          </w:r>
        </w:p>
        <w:p w:rsidR="7489BC33" w:rsidP="7489BC33" w:rsidRDefault="7489BC33" w14:paraId="68563FC9" w14:textId="6A22346B">
          <w:pPr>
            <w:spacing w:beforeAutospacing="on" w:afterAutospacing="on" w:line="240" w:lineRule="auto"/>
            <w:ind w:left="720"/>
            <w:rPr>
              <w:rFonts w:ascii="Arial" w:hAnsi="Arial" w:eastAsia="Times New Roman" w:cs="Arial"/>
              <w:sz w:val="24"/>
              <w:szCs w:val="24"/>
              <w:lang w:eastAsia="en-GB"/>
            </w:rPr>
          </w:pPr>
        </w:p>
        <w:p w:rsidR="00CE0A97" w:rsidP="00CE0A97" w:rsidRDefault="00CE0A97" w14:paraId="08B9E9A9" w14:textId="10474C92">
          <w:pPr>
            <w:spacing w:before="100" w:beforeAutospacing="1" w:after="100" w:afterAutospacing="1" w:line="240" w:lineRule="auto"/>
            <w:rPr>
              <w:rFonts w:ascii="Arial" w:hAnsi="Arial" w:eastAsia="Times New Roman" w:cs="Arial"/>
              <w:sz w:val="24"/>
              <w:szCs w:val="24"/>
              <w:lang w:eastAsia="en-GB"/>
            </w:rPr>
          </w:pPr>
          <w:r w:rsidRPr="00CE0A97">
            <w:rPr>
              <w:rFonts w:ascii="Arial" w:hAnsi="Arial" w:eastAsia="Times New Roman" w:cs="Arial"/>
              <w:b/>
              <w:bCs/>
              <w:sz w:val="24"/>
              <w:szCs w:val="24"/>
              <w:lang w:eastAsia="en-GB"/>
            </w:rPr>
            <w:t>Impact:</w:t>
          </w:r>
          <w:r w:rsidRPr="00CE0A97">
            <w:rPr>
              <w:rFonts w:ascii="Arial" w:hAnsi="Arial" w:eastAsia="Times New Roman" w:cs="Arial"/>
              <w:sz w:val="24"/>
              <w:szCs w:val="24"/>
              <w:lang w:eastAsia="en-GB"/>
            </w:rPr>
            <w:br/>
          </w:r>
          <w:r w:rsidRPr="00CE0A97">
            <w:rPr>
              <w:rFonts w:ascii="Arial" w:hAnsi="Arial" w:eastAsia="Times New Roman" w:cs="Arial"/>
              <w:sz w:val="24"/>
              <w:szCs w:val="24"/>
              <w:lang w:eastAsia="en-GB"/>
            </w:rPr>
            <w:t>If only 800 units are sold, absorption costing allocates fixed costs to unsold inventory, inflating reported profi</w:t>
          </w:r>
          <w:r w:rsidR="002C78AB">
            <w:rPr>
              <w:rFonts w:ascii="Arial" w:hAnsi="Arial" w:eastAsia="Times New Roman" w:cs="Arial"/>
              <w:sz w:val="24"/>
              <w:szCs w:val="24"/>
              <w:lang w:eastAsia="en-GB"/>
            </w:rPr>
            <w:t>t</w:t>
          </w:r>
          <w:r w:rsidRPr="002C78AB" w:rsidR="002C78AB">
            <w:t xml:space="preserve"> </w:t>
          </w:r>
          <w:r w:rsidRPr="00DE71ED" w:rsidR="002C78AB">
            <w:rPr>
              <w:rFonts w:ascii="Arial" w:hAnsi="Arial" w:cs="Arial"/>
              <w:sz w:val="24"/>
              <w:szCs w:val="24"/>
            </w:rPr>
            <w:t xml:space="preserve">(Auditing Accounting, </w:t>
          </w:r>
          <w:hyperlink w:history="1" r:id="rId26">
            <w:r w:rsidRPr="00DE71ED" w:rsidR="002C78AB">
              <w:rPr>
                <w:rStyle w:val="Hyperlink"/>
                <w:rFonts w:ascii="Arial" w:hAnsi="Arial" w:cs="Arial"/>
                <w:color w:val="auto"/>
                <w:sz w:val="24"/>
                <w:szCs w:val="24"/>
                <w:u w:val="none"/>
              </w:rPr>
              <w:t>2025</w:t>
            </w:r>
          </w:hyperlink>
          <w:r w:rsidRPr="00DE71ED" w:rsidR="002C78AB">
            <w:rPr>
              <w:rFonts w:ascii="Arial" w:hAnsi="Arial" w:cs="Arial"/>
              <w:sz w:val="24"/>
              <w:szCs w:val="24"/>
            </w:rPr>
            <w:t>).</w:t>
          </w:r>
          <w:r w:rsidRPr="00CE0A97">
            <w:rPr>
              <w:rFonts w:ascii="Arial" w:hAnsi="Arial" w:eastAsia="Times New Roman" w:cs="Arial"/>
              <w:sz w:val="24"/>
              <w:szCs w:val="24"/>
              <w:lang w:eastAsia="en-GB"/>
            </w:rPr>
            <w:t xml:space="preserve"> Marginal costing expenses all fixed costs immediately, showing a more conservative profit figure. This difference is critical in dynamic environments where inventory levels fluctuate.</w:t>
          </w:r>
        </w:p>
        <w:p w:rsidRPr="00FA109B" w:rsidR="00FA109B" w:rsidP="00FA109B" w:rsidRDefault="00FA109B" w14:paraId="176C570B" w14:textId="77777777">
          <w:pPr>
            <w:rPr>
              <w:rFonts w:ascii="Arial" w:hAnsi="Arial" w:cs="Arial"/>
              <w:b/>
              <w:bCs/>
              <w:sz w:val="24"/>
              <w:szCs w:val="24"/>
              <w:lang w:eastAsia="en-GB"/>
            </w:rPr>
          </w:pPr>
          <w:r w:rsidRPr="00FA109B">
            <w:rPr>
              <w:rFonts w:ascii="Arial" w:hAnsi="Arial" w:cs="Arial"/>
              <w:b/>
              <w:bCs/>
              <w:sz w:val="24"/>
              <w:szCs w:val="24"/>
              <w:lang w:eastAsia="en-GB"/>
            </w:rPr>
            <w:t>Real-World Examples</w:t>
          </w:r>
        </w:p>
        <w:p w:rsidRPr="00FA109B" w:rsidR="00FA109B" w:rsidP="00FA109B" w:rsidRDefault="00FA109B" w14:paraId="3253FE24" w14:textId="21C1F8E0">
          <w:pPr>
            <w:spacing w:before="100" w:beforeAutospacing="1" w:after="100" w:afterAutospacing="1" w:line="240" w:lineRule="auto"/>
            <w:rPr>
              <w:rFonts w:ascii="Arial" w:hAnsi="Arial" w:eastAsia="Times New Roman" w:cs="Arial"/>
              <w:sz w:val="24"/>
              <w:szCs w:val="24"/>
              <w:lang w:eastAsia="en-GB"/>
            </w:rPr>
          </w:pPr>
          <w:r w:rsidRPr="00FA109B">
            <w:rPr>
              <w:rFonts w:ascii="Arial" w:hAnsi="Arial" w:eastAsia="Times New Roman" w:cs="Arial"/>
              <w:b/>
              <w:bCs/>
              <w:sz w:val="24"/>
              <w:szCs w:val="24"/>
              <w:lang w:eastAsia="en-GB"/>
            </w:rPr>
            <w:t xml:space="preserve">Example 1: </w:t>
          </w:r>
          <w:r w:rsidRPr="005874B8">
            <w:rPr>
              <w:rFonts w:ascii="Arial" w:hAnsi="Arial" w:eastAsia="Times New Roman" w:cs="Arial"/>
              <w:b/>
              <w:bCs/>
              <w:sz w:val="24"/>
              <w:szCs w:val="24"/>
              <w:lang w:eastAsia="en-GB"/>
            </w:rPr>
            <w:t>Automotive Industry</w:t>
          </w:r>
          <w:r w:rsidRPr="00FA109B">
            <w:rPr>
              <w:rFonts w:ascii="Arial" w:hAnsi="Arial" w:eastAsia="Times New Roman" w:cs="Arial"/>
              <w:sz w:val="24"/>
              <w:szCs w:val="24"/>
              <w:lang w:eastAsia="en-GB"/>
            </w:rPr>
            <w:br/>
          </w:r>
          <w:r w:rsidRPr="00FA109B">
            <w:rPr>
              <w:rFonts w:ascii="Arial" w:hAnsi="Arial" w:eastAsia="Times New Roman" w:cs="Arial"/>
              <w:sz w:val="24"/>
              <w:szCs w:val="24"/>
              <w:lang w:eastAsia="en-GB"/>
            </w:rPr>
            <w:t>Car manufacturers often use absorption costing for statutory reporting because it provides a full cost view and complies with IFRS. However, during periods of low demand, unsold inventory can artificially inflate profits under absorption costing, misleading stakeholders. Marginal costing, used internally, helps managers decide whether to accept special orders at reduced prices to maintain cash flow</w:t>
          </w:r>
          <w:r w:rsidR="005874B8">
            <w:rPr>
              <w:rFonts w:ascii="Arial" w:hAnsi="Arial" w:eastAsia="Times New Roman" w:cs="Arial"/>
              <w:sz w:val="24"/>
              <w:szCs w:val="24"/>
              <w:lang w:eastAsia="en-GB"/>
            </w:rPr>
            <w:t xml:space="preserve"> </w:t>
          </w:r>
          <w:r w:rsidRPr="005874B8" w:rsidR="005874B8">
            <w:rPr>
              <w:rFonts w:ascii="Arial" w:hAnsi="Arial" w:cs="Arial"/>
              <w:sz w:val="24"/>
              <w:szCs w:val="24"/>
            </w:rPr>
            <w:t xml:space="preserve">(Accounting Hub, 2024; PwC, </w:t>
          </w:r>
          <w:hyperlink w:history="1" r:id="rId27">
            <w:r w:rsidRPr="005874B8" w:rsidR="005874B8">
              <w:rPr>
                <w:rStyle w:val="Hyperlink"/>
                <w:rFonts w:ascii="Arial" w:hAnsi="Arial" w:cs="Arial"/>
                <w:color w:val="auto"/>
                <w:sz w:val="24"/>
                <w:szCs w:val="24"/>
                <w:u w:val="none"/>
              </w:rPr>
              <w:t>2024</w:t>
            </w:r>
          </w:hyperlink>
          <w:r w:rsidRPr="005874B8" w:rsidR="005874B8">
            <w:rPr>
              <w:rFonts w:ascii="Arial" w:hAnsi="Arial" w:cs="Arial"/>
              <w:sz w:val="24"/>
              <w:szCs w:val="24"/>
            </w:rPr>
            <w:t>).</w:t>
          </w:r>
        </w:p>
        <w:p w:rsidRPr="00FA109B" w:rsidR="00FA109B" w:rsidP="00FA109B" w:rsidRDefault="00FA109B" w14:paraId="5B4966F2" w14:textId="09ACA337">
          <w:pPr>
            <w:spacing w:before="100" w:beforeAutospacing="1" w:after="100" w:afterAutospacing="1" w:line="240" w:lineRule="auto"/>
            <w:rPr>
              <w:rFonts w:ascii="Arial" w:hAnsi="Arial" w:eastAsia="Times New Roman" w:cs="Arial"/>
              <w:sz w:val="24"/>
              <w:szCs w:val="24"/>
              <w:lang w:eastAsia="en-GB"/>
            </w:rPr>
          </w:pPr>
          <w:r w:rsidRPr="00FA109B">
            <w:rPr>
              <w:rFonts w:ascii="Arial" w:hAnsi="Arial" w:eastAsia="Times New Roman" w:cs="Arial"/>
              <w:b/>
              <w:bCs/>
              <w:sz w:val="24"/>
              <w:szCs w:val="24"/>
              <w:lang w:eastAsia="en-GB"/>
            </w:rPr>
            <w:t>Example 2: FMCG Sector</w:t>
          </w:r>
          <w:r w:rsidRPr="00FA109B">
            <w:rPr>
              <w:rFonts w:ascii="Arial" w:hAnsi="Arial" w:eastAsia="Times New Roman" w:cs="Arial"/>
              <w:sz w:val="24"/>
              <w:szCs w:val="24"/>
              <w:lang w:eastAsia="en-GB"/>
            </w:rPr>
            <w:br/>
          </w:r>
          <w:r w:rsidRPr="00FA109B">
            <w:rPr>
              <w:rFonts w:ascii="Arial" w:hAnsi="Arial" w:eastAsia="Times New Roman" w:cs="Arial"/>
              <w:sz w:val="24"/>
              <w:szCs w:val="24"/>
              <w:lang w:eastAsia="en-GB"/>
            </w:rPr>
            <w:t>Fast-moving consumer goods companies, such as Unilever, rely on marginal costing for tactical decisions like promotional pricing</w:t>
          </w:r>
          <w:r w:rsidRPr="002C78AB" w:rsidR="002C78AB">
            <w:t xml:space="preserve"> </w:t>
          </w:r>
          <w:r w:rsidRPr="008C5233" w:rsidR="002C78AB">
            <w:rPr>
              <w:rFonts w:ascii="Arial" w:hAnsi="Arial" w:cs="Arial"/>
              <w:sz w:val="24"/>
              <w:szCs w:val="24"/>
            </w:rPr>
            <w:t xml:space="preserve">(Unilever Annual Report, </w:t>
          </w:r>
          <w:hyperlink w:history="1" r:id="rId28">
            <w:r w:rsidRPr="008C5233" w:rsidR="002C78AB">
              <w:rPr>
                <w:rStyle w:val="Hyperlink"/>
                <w:rFonts w:ascii="Arial" w:hAnsi="Arial" w:cs="Arial"/>
                <w:color w:val="auto"/>
                <w:sz w:val="24"/>
                <w:szCs w:val="24"/>
                <w:u w:val="none"/>
              </w:rPr>
              <w:t>2024</w:t>
            </w:r>
          </w:hyperlink>
          <w:r w:rsidRPr="008C5233" w:rsidR="002C78AB">
            <w:rPr>
              <w:rFonts w:ascii="Arial" w:hAnsi="Arial" w:cs="Arial"/>
              <w:sz w:val="24"/>
              <w:szCs w:val="24"/>
            </w:rPr>
            <w:t>)</w:t>
          </w:r>
          <w:r w:rsidRPr="00FA109B">
            <w:rPr>
              <w:rFonts w:ascii="Arial" w:hAnsi="Arial" w:eastAsia="Times New Roman" w:cs="Arial"/>
              <w:sz w:val="24"/>
              <w:szCs w:val="24"/>
              <w:lang w:eastAsia="en-GB"/>
            </w:rPr>
            <w:t>. By focusing on contribution margins, managers can quickly assess whether discounts will cover variable costs. Absorption costing remains essential for external reporting and long-term profitability analysis.</w:t>
          </w:r>
        </w:p>
        <w:p w:rsidR="00FA109B" w:rsidP="00FA109B" w:rsidRDefault="00FA109B" w14:paraId="01DF5F39" w14:textId="7CFA8A7A">
          <w:pPr>
            <w:spacing w:before="100" w:beforeAutospacing="1" w:after="100" w:afterAutospacing="1" w:line="240" w:lineRule="auto"/>
            <w:rPr>
              <w:rFonts w:ascii="Arial" w:hAnsi="Arial" w:eastAsia="Times New Roman" w:cs="Arial"/>
              <w:sz w:val="24"/>
              <w:szCs w:val="24"/>
              <w:lang w:eastAsia="en-GB"/>
            </w:rPr>
          </w:pPr>
          <w:r w:rsidRPr="00FA109B">
            <w:rPr>
              <w:rFonts w:ascii="Arial" w:hAnsi="Arial" w:eastAsia="Times New Roman" w:cs="Arial"/>
              <w:b/>
              <w:bCs/>
              <w:sz w:val="24"/>
              <w:szCs w:val="24"/>
              <w:lang w:eastAsia="en-GB"/>
            </w:rPr>
            <w:t xml:space="preserve">Example 3: Tech </w:t>
          </w:r>
          <w:r w:rsidRPr="008C5233">
            <w:rPr>
              <w:rFonts w:ascii="Arial" w:hAnsi="Arial" w:eastAsia="Times New Roman" w:cs="Arial"/>
              <w:b/>
              <w:bCs/>
              <w:sz w:val="24"/>
              <w:szCs w:val="24"/>
              <w:lang w:eastAsia="en-GB"/>
            </w:rPr>
            <w:t>Start-ups</w:t>
          </w:r>
          <w:r w:rsidRPr="00FA109B">
            <w:rPr>
              <w:rFonts w:ascii="Arial" w:hAnsi="Arial" w:eastAsia="Times New Roman" w:cs="Arial"/>
              <w:sz w:val="24"/>
              <w:szCs w:val="24"/>
              <w:lang w:eastAsia="en-GB"/>
            </w:rPr>
            <w:br/>
          </w:r>
          <w:r w:rsidRPr="00FA109B">
            <w:rPr>
              <w:rFonts w:ascii="Arial" w:hAnsi="Arial" w:eastAsia="Times New Roman" w:cs="Arial"/>
              <w:sz w:val="24"/>
              <w:szCs w:val="24"/>
              <w:lang w:eastAsia="en-GB"/>
            </w:rPr>
            <w:t>Technology firms often prefer marginal costing for internal decision-making due to its simplicity and relevance in fast-changing markets. For example, a SaaS company evaluating whether to onboard a client at a discounted rate can use marginal costing to ensure variable costs are covered, while absorption costing is applied for financial statements</w:t>
          </w:r>
          <w:r w:rsidR="008C5233">
            <w:rPr>
              <w:rFonts w:ascii="Arial" w:hAnsi="Arial" w:eastAsia="Times New Roman" w:cs="Arial"/>
              <w:sz w:val="24"/>
              <w:szCs w:val="24"/>
              <w:lang w:eastAsia="en-GB"/>
            </w:rPr>
            <w:t xml:space="preserve"> </w:t>
          </w:r>
          <w:r w:rsidRPr="008C5233" w:rsidR="008C5233">
            <w:rPr>
              <w:rFonts w:ascii="Arial" w:hAnsi="Arial" w:cs="Arial"/>
              <w:sz w:val="24"/>
              <w:szCs w:val="24"/>
            </w:rPr>
            <w:t xml:space="preserve">(Agarwal, Krishnan &amp; </w:t>
          </w:r>
          <w:proofErr w:type="spellStart"/>
          <w:r w:rsidRPr="008C5233" w:rsidR="008C5233">
            <w:rPr>
              <w:rFonts w:ascii="Arial" w:hAnsi="Arial" w:cs="Arial"/>
              <w:sz w:val="24"/>
              <w:szCs w:val="24"/>
            </w:rPr>
            <w:t>Weiler</w:t>
          </w:r>
          <w:proofErr w:type="spellEnd"/>
          <w:r w:rsidRPr="008C5233" w:rsidR="008C5233">
            <w:rPr>
              <w:rFonts w:ascii="Arial" w:hAnsi="Arial" w:cs="Arial"/>
              <w:sz w:val="24"/>
              <w:szCs w:val="24"/>
            </w:rPr>
            <w:t>,</w:t>
          </w:r>
          <w:r w:rsidRPr="00B418EE" w:rsidR="008C5233">
            <w:rPr>
              <w:rFonts w:ascii="Arial" w:hAnsi="Arial" w:cs="Arial"/>
              <w:sz w:val="24"/>
              <w:szCs w:val="24"/>
            </w:rPr>
            <w:t xml:space="preserve"> </w:t>
          </w:r>
          <w:hyperlink w:history="1" r:id="rId29">
            <w:r w:rsidRPr="00B418EE" w:rsidR="008C5233">
              <w:rPr>
                <w:rStyle w:val="Hyperlink"/>
                <w:rFonts w:ascii="Arial" w:hAnsi="Arial" w:cs="Arial"/>
                <w:color w:val="auto"/>
                <w:sz w:val="24"/>
                <w:szCs w:val="24"/>
                <w:u w:val="none"/>
              </w:rPr>
              <w:t>2024</w:t>
            </w:r>
          </w:hyperlink>
          <w:r w:rsidRPr="00B418EE" w:rsidR="008C5233">
            <w:rPr>
              <w:rFonts w:ascii="Arial" w:hAnsi="Arial" w:cs="Arial"/>
              <w:sz w:val="24"/>
              <w:szCs w:val="24"/>
            </w:rPr>
            <w:t>)</w:t>
          </w:r>
          <w:r w:rsidRPr="00B418EE">
            <w:rPr>
              <w:rFonts w:ascii="Arial" w:hAnsi="Arial" w:eastAsia="Times New Roman" w:cs="Arial"/>
              <w:sz w:val="24"/>
              <w:szCs w:val="24"/>
              <w:lang w:eastAsia="en-GB"/>
            </w:rPr>
            <w:t>.</w:t>
          </w:r>
          <w:r w:rsidRPr="00B418EE" w:rsidR="002C78AB">
            <w:t xml:space="preserve"> </w:t>
          </w:r>
        </w:p>
        <w:p w:rsidRPr="00FA109B" w:rsidR="00CE0A97" w:rsidP="00FA109B" w:rsidRDefault="00CE0A97" w14:paraId="0CF0F1EE" w14:textId="62AF8071">
          <w:pPr>
            <w:spacing w:before="100" w:beforeAutospacing="1" w:after="100" w:afterAutospacing="1" w:line="240" w:lineRule="auto"/>
            <w:rPr>
              <w:rFonts w:ascii="Arial" w:hAnsi="Arial" w:eastAsia="Times New Roman" w:cs="Arial"/>
              <w:sz w:val="24"/>
              <w:szCs w:val="24"/>
              <w:lang w:eastAsia="en-GB"/>
            </w:rPr>
          </w:pPr>
          <w:r w:rsidRPr="00CE0A97">
            <w:rPr>
              <w:rFonts w:ascii="Arial" w:hAnsi="Arial" w:cs="Arial"/>
              <w:b/>
              <w:bCs/>
              <w:sz w:val="24"/>
              <w:szCs w:val="24"/>
              <w:lang w:eastAsia="en-GB"/>
            </w:rPr>
            <w:t>Critical Discussion of Impact</w:t>
          </w:r>
        </w:p>
        <w:p w:rsidRPr="00CE0A97" w:rsidR="00CE0A97" w:rsidP="00CE0A97" w:rsidRDefault="00CE0A97" w14:paraId="127DFCC6" w14:textId="00A0582C">
          <w:pPr>
            <w:spacing w:before="100" w:beforeAutospacing="1" w:after="100" w:afterAutospacing="1" w:line="240" w:lineRule="auto"/>
            <w:rPr>
              <w:rFonts w:ascii="Arial" w:hAnsi="Arial" w:eastAsia="Times New Roman" w:cs="Arial"/>
              <w:sz w:val="24"/>
              <w:szCs w:val="24"/>
              <w:lang w:eastAsia="en-GB"/>
            </w:rPr>
          </w:pPr>
          <w:r w:rsidRPr="00CE0A97">
            <w:rPr>
              <w:rFonts w:ascii="Arial" w:hAnsi="Arial" w:eastAsia="Times New Roman" w:cs="Arial"/>
              <w:sz w:val="24"/>
              <w:szCs w:val="24"/>
              <w:lang w:eastAsia="en-GB"/>
            </w:rPr>
            <w:t>In volatile markets, marginal costing offers agility by emphasi</w:t>
          </w:r>
          <w:r>
            <w:rPr>
              <w:rFonts w:ascii="Arial" w:hAnsi="Arial" w:eastAsia="Times New Roman" w:cs="Arial"/>
              <w:sz w:val="24"/>
              <w:szCs w:val="24"/>
              <w:lang w:eastAsia="en-GB"/>
            </w:rPr>
            <w:t>s</w:t>
          </w:r>
          <w:r w:rsidRPr="00CE0A97">
            <w:rPr>
              <w:rFonts w:ascii="Arial" w:hAnsi="Arial" w:eastAsia="Times New Roman" w:cs="Arial"/>
              <w:sz w:val="24"/>
              <w:szCs w:val="24"/>
              <w:lang w:eastAsia="en-GB"/>
            </w:rPr>
            <w:t>ing variable costs, making it ideal for tactical decisions such as pricing during demand fluctuations. Absorption costing, while essential for compliance, can mislead managers by overstating profits when inventory accumulates. For example, during economic downturns, absorption costing may present an artificially healthy financial position due to unsold stock carrying fixed costs</w:t>
          </w:r>
          <w:r w:rsidRPr="006C740E" w:rsidR="006C740E">
            <w:t xml:space="preserve"> </w:t>
          </w:r>
          <w:r w:rsidRPr="006C740E" w:rsidR="006C740E">
            <w:rPr>
              <w:rFonts w:ascii="Arial" w:hAnsi="Arial" w:cs="Arial"/>
              <w:sz w:val="24"/>
              <w:szCs w:val="24"/>
            </w:rPr>
            <w:t>(</w:t>
          </w:r>
          <w:proofErr w:type="spellStart"/>
          <w:r w:rsidRPr="006C740E" w:rsidR="006C740E">
            <w:rPr>
              <w:rFonts w:ascii="Arial" w:hAnsi="Arial" w:cs="Arial"/>
              <w:sz w:val="24"/>
              <w:szCs w:val="24"/>
            </w:rPr>
            <w:t>Ponciano</w:t>
          </w:r>
          <w:proofErr w:type="spellEnd"/>
          <w:r w:rsidRPr="006C740E" w:rsidR="006C740E">
            <w:rPr>
              <w:rFonts w:ascii="Arial" w:hAnsi="Arial" w:cs="Arial"/>
              <w:sz w:val="24"/>
              <w:szCs w:val="24"/>
            </w:rPr>
            <w:t xml:space="preserve">, </w:t>
          </w:r>
          <w:hyperlink w:history="1" r:id="rId30">
            <w:r w:rsidRPr="006C740E" w:rsidR="006C740E">
              <w:rPr>
                <w:rStyle w:val="Hyperlink"/>
                <w:rFonts w:ascii="Arial" w:hAnsi="Arial" w:cs="Arial"/>
                <w:color w:val="auto"/>
                <w:sz w:val="24"/>
                <w:szCs w:val="24"/>
                <w:u w:val="none"/>
              </w:rPr>
              <w:t>2025</w:t>
            </w:r>
          </w:hyperlink>
          <w:r w:rsidRPr="006C740E" w:rsidR="006C740E">
            <w:rPr>
              <w:rFonts w:ascii="Arial" w:hAnsi="Arial" w:cs="Arial"/>
              <w:sz w:val="24"/>
              <w:szCs w:val="24"/>
            </w:rPr>
            <w:t>)</w:t>
          </w:r>
          <w:r w:rsidRPr="00CE0A97">
            <w:rPr>
              <w:rFonts w:ascii="Arial" w:hAnsi="Arial" w:eastAsia="Times New Roman" w:cs="Arial"/>
              <w:sz w:val="24"/>
              <w:szCs w:val="24"/>
              <w:lang w:eastAsia="en-GB"/>
            </w:rPr>
            <w:t>.</w:t>
          </w:r>
        </w:p>
        <w:p w:rsidR="00CE0A97" w:rsidP="7489BC33" w:rsidRDefault="00CE0A97" w14:paraId="0656EC15" w14:textId="66C4F1E7" w14:noSpellErr="1">
          <w:pPr>
            <w:spacing w:before="100" w:beforeAutospacing="on" w:after="100" w:afterAutospacing="on" w:line="240" w:lineRule="auto"/>
            <w:rPr>
              <w:rFonts w:ascii="Arial" w:hAnsi="Arial" w:eastAsia="Times New Roman" w:cs="Arial"/>
              <w:sz w:val="24"/>
              <w:szCs w:val="24"/>
              <w:lang w:eastAsia="en-GB"/>
            </w:rPr>
          </w:pPr>
          <w:r w:rsidRPr="7489BC33" w:rsidR="00CE0A97">
            <w:rPr>
              <w:rFonts w:ascii="Arial" w:hAnsi="Arial" w:eastAsia="Times New Roman" w:cs="Arial"/>
              <w:sz w:val="24"/>
              <w:szCs w:val="24"/>
              <w:lang w:eastAsia="en-GB"/>
            </w:rPr>
            <w:t xml:space="preserve">A blended approach is often recommended: use marginal costing for internal decision-making and absorption costing for external reporting. This dual strategy balances flexibility with regulatory compliance, ensuring </w:t>
          </w:r>
          <w:r w:rsidRPr="7489BC33" w:rsidR="00CE0A97">
            <w:rPr>
              <w:rFonts w:ascii="Arial" w:hAnsi="Arial" w:eastAsia="Times New Roman" w:cs="Arial"/>
              <w:sz w:val="24"/>
              <w:szCs w:val="24"/>
              <w:lang w:eastAsia="en-GB"/>
            </w:rPr>
            <w:t>accurate</w:t>
          </w:r>
          <w:r w:rsidRPr="7489BC33" w:rsidR="00CE0A97">
            <w:rPr>
              <w:rFonts w:ascii="Arial" w:hAnsi="Arial" w:eastAsia="Times New Roman" w:cs="Arial"/>
              <w:sz w:val="24"/>
              <w:szCs w:val="24"/>
              <w:lang w:eastAsia="en-GB"/>
            </w:rPr>
            <w:t xml:space="preserve"> performance evaluation and strategic alignment</w:t>
          </w:r>
          <w:r w:rsidR="006C740E">
            <w:rPr/>
            <w:t xml:space="preserve"> </w:t>
          </w:r>
          <w:r w:rsidRPr="7489BC33" w:rsidR="006C740E">
            <w:rPr>
              <w:rFonts w:ascii="Arial" w:hAnsi="Arial" w:cs="Arial"/>
              <w:sz w:val="24"/>
              <w:szCs w:val="24"/>
            </w:rPr>
            <w:t xml:space="preserve">(Auditing Accounting, </w:t>
          </w:r>
          <w:hyperlink r:id="R50d5fa7635e447f8">
            <w:r w:rsidRPr="7489BC33" w:rsidR="006C740E">
              <w:rPr>
                <w:rStyle w:val="Hyperlink"/>
                <w:rFonts w:ascii="Arial" w:hAnsi="Arial" w:cs="Arial"/>
                <w:color w:val="auto"/>
                <w:sz w:val="24"/>
                <w:szCs w:val="24"/>
                <w:u w:val="none"/>
              </w:rPr>
              <w:t>2025</w:t>
            </w:r>
          </w:hyperlink>
          <w:r w:rsidRPr="7489BC33" w:rsidR="006C740E">
            <w:rPr>
              <w:rFonts w:ascii="Arial" w:hAnsi="Arial" w:cs="Arial"/>
              <w:sz w:val="24"/>
              <w:szCs w:val="24"/>
            </w:rPr>
            <w:t>)</w:t>
          </w:r>
          <w:r w:rsidRPr="7489BC33" w:rsidR="00CE0A97">
            <w:rPr>
              <w:rFonts w:ascii="Arial" w:hAnsi="Arial" w:eastAsia="Times New Roman" w:cs="Arial"/>
              <w:sz w:val="24"/>
              <w:szCs w:val="24"/>
              <w:lang w:eastAsia="en-GB"/>
            </w:rPr>
            <w:t>.</w:t>
          </w:r>
        </w:p>
        <w:p w:rsidR="7489BC33" w:rsidP="7489BC33" w:rsidRDefault="7489BC33" w14:paraId="7835E167" w14:textId="2F6440D0">
          <w:pPr>
            <w:spacing w:beforeAutospacing="on" w:afterAutospacing="on" w:line="240" w:lineRule="auto"/>
            <w:rPr>
              <w:rFonts w:ascii="Arial" w:hAnsi="Arial" w:eastAsia="Times New Roman" w:cs="Arial"/>
              <w:sz w:val="24"/>
              <w:szCs w:val="24"/>
              <w:lang w:eastAsia="en-GB"/>
            </w:rPr>
          </w:pPr>
        </w:p>
        <w:p w:rsidRPr="00760034" w:rsidR="00760034" w:rsidP="00760034" w:rsidRDefault="00760034" w14:paraId="259DDC39" w14:textId="77777777">
          <w:pPr>
            <w:rPr>
              <w:rFonts w:ascii="Arial" w:hAnsi="Arial" w:cs="Arial"/>
              <w:b/>
              <w:bCs/>
              <w:sz w:val="24"/>
              <w:szCs w:val="24"/>
              <w:lang w:eastAsia="en-GB"/>
            </w:rPr>
          </w:pPr>
          <w:r w:rsidRPr="00760034">
            <w:rPr>
              <w:rFonts w:ascii="Arial" w:hAnsi="Arial" w:cs="Arial"/>
              <w:b/>
              <w:bCs/>
              <w:sz w:val="24"/>
              <w:szCs w:val="24"/>
              <w:lang w:eastAsia="en-GB"/>
            </w:rPr>
            <w:t>Emerging Trends in Cost Management</w:t>
          </w:r>
        </w:p>
        <w:p w:rsidR="00760034" w:rsidP="7489BC33" w:rsidRDefault="00760034" w14:paraId="55B0D222" w14:textId="18C16569">
          <w:pPr>
            <w:rPr>
              <w:rFonts w:ascii="Arial" w:hAnsi="Arial" w:cs="Arial"/>
              <w:sz w:val="24"/>
              <w:szCs w:val="24"/>
              <w:lang w:eastAsia="en-GB"/>
            </w:rPr>
          </w:pPr>
          <w:r w:rsidRPr="7489BC33" w:rsidR="00760034">
            <w:rPr>
              <w:rFonts w:ascii="Arial" w:hAnsi="Arial" w:cs="Arial"/>
              <w:sz w:val="24"/>
              <w:szCs w:val="24"/>
              <w:lang w:eastAsia="en-GB"/>
            </w:rPr>
            <w:t>In today’s dynamic business environment, cost management techniques are evolving to address challenges such as rapid technological change and global competition. Digital transformation is a key trend, with organisations increasingly adopting cloud-based costing systems and AI-driven analytics to improve accuracy and responsiveness. These tools enable real-time data collection, automated cost allocation, and predictive insights, reducing the complexity associated with traditional methods like ABC and EVM.</w:t>
          </w:r>
        </w:p>
        <w:p w:rsidR="00760034" w:rsidP="7489BC33" w:rsidRDefault="00760034" w14:paraId="22214C5B" w14:textId="1C0C7C17">
          <w:pPr>
            <w:rPr>
              <w:rFonts w:ascii="Arial" w:hAnsi="Arial" w:cs="Arial"/>
              <w:sz w:val="24"/>
              <w:szCs w:val="24"/>
              <w:lang w:eastAsia="en-GB"/>
            </w:rPr>
          </w:pPr>
          <w:r>
            <w:br/>
          </w:r>
          <w:r w:rsidRPr="7489BC33" w:rsidR="00760034">
            <w:rPr>
              <w:rFonts w:ascii="Arial" w:hAnsi="Arial" w:cs="Arial"/>
              <w:sz w:val="24"/>
              <w:szCs w:val="24"/>
              <w:lang w:eastAsia="en-GB"/>
            </w:rPr>
            <w:t xml:space="preserve">Another significant development is the integration of Agile principles into cost management frameworks. Agile-compatible EVM models, for example, allow for flexible baselines and iterative forecasting, making them more suitable for projects with high uncertainty. Similarly, lean adaptations of ABC focus on high-impact activities and </w:t>
          </w:r>
          <w:r w:rsidRPr="7489BC33" w:rsidR="00760034">
            <w:rPr>
              <w:rFonts w:ascii="Arial" w:hAnsi="Arial" w:cs="Arial"/>
              <w:sz w:val="24"/>
              <w:szCs w:val="24"/>
              <w:lang w:eastAsia="en-GB"/>
            </w:rPr>
            <w:t>eliminate</w:t>
          </w:r>
          <w:r w:rsidRPr="7489BC33" w:rsidR="00760034">
            <w:rPr>
              <w:rFonts w:ascii="Arial" w:hAnsi="Arial" w:cs="Arial"/>
              <w:sz w:val="24"/>
              <w:szCs w:val="24"/>
              <w:lang w:eastAsia="en-GB"/>
            </w:rPr>
            <w:t xml:space="preserve"> non-value-added processes, improving efficiency without sacrificing accuracy.</w:t>
          </w:r>
        </w:p>
        <w:p w:rsidR="00760034" w:rsidP="00760034" w:rsidRDefault="00760034" w14:paraId="34163FB0" w14:textId="35B65CD8">
          <w:pPr>
            <w:rPr>
              <w:rFonts w:ascii="Arial" w:hAnsi="Arial" w:cs="Arial"/>
              <w:sz w:val="24"/>
              <w:szCs w:val="24"/>
              <w:lang w:eastAsia="en-GB"/>
            </w:rPr>
          </w:pPr>
          <w:r>
            <w:br/>
          </w:r>
          <w:r w:rsidRPr="7489BC33" w:rsidR="00760034">
            <w:rPr>
              <w:rFonts w:ascii="Arial" w:hAnsi="Arial" w:cs="Arial"/>
              <w:sz w:val="24"/>
              <w:szCs w:val="24"/>
              <w:lang w:eastAsia="en-GB"/>
            </w:rPr>
            <w:t>These innovations highlight a shift from static, resource-intensive models toward adaptive, technology-enabled approaches that support faster decision-making and enhance competitiveness in volatile markets.</w:t>
          </w:r>
        </w:p>
        <w:p w:rsidR="00760034" w:rsidP="00760034" w:rsidRDefault="00760034" w14:paraId="19E02013" w14:textId="463B29C1">
          <w:pPr>
            <w:rPr>
              <w:rFonts w:ascii="Arial" w:hAnsi="Arial" w:cs="Arial"/>
              <w:sz w:val="24"/>
              <w:szCs w:val="24"/>
              <w:lang w:eastAsia="en-GB"/>
            </w:rPr>
          </w:pPr>
        </w:p>
        <w:p w:rsidRPr="00760034" w:rsidR="00760034" w:rsidP="00760034" w:rsidRDefault="00760034" w14:paraId="66BDBB6F" w14:textId="77777777">
          <w:pPr>
            <w:rPr>
              <w:rFonts w:ascii="Arial" w:hAnsi="Arial" w:cs="Arial"/>
              <w:sz w:val="24"/>
              <w:szCs w:val="24"/>
              <w:lang w:eastAsia="en-GB"/>
            </w:rPr>
          </w:pPr>
        </w:p>
        <w:p w:rsidRPr="00CE0A97" w:rsidR="00760034" w:rsidP="00CE0A97" w:rsidRDefault="00760034" w14:paraId="2C811EE9" w14:textId="77777777">
          <w:pPr>
            <w:spacing w:before="100" w:beforeAutospacing="1" w:after="100" w:afterAutospacing="1" w:line="240" w:lineRule="auto"/>
            <w:rPr>
              <w:rFonts w:ascii="Arial" w:hAnsi="Arial" w:eastAsia="Times New Roman" w:cs="Arial"/>
              <w:sz w:val="24"/>
              <w:szCs w:val="24"/>
              <w:lang w:eastAsia="en-GB"/>
            </w:rPr>
          </w:pPr>
        </w:p>
        <w:p w:rsidR="00AA2A91" w:rsidP="00AA2A91" w:rsidRDefault="00AA2A91" w14:paraId="5C67928C" w14:textId="31BC33DD">
          <w:pPr>
            <w:pStyle w:val="Heading1"/>
          </w:pPr>
          <w:bookmarkStart w:name="_Toc115682914" w:id="3"/>
          <w:r>
            <w:t>Conclusion</w:t>
          </w:r>
          <w:r w:rsidR="00D854A5">
            <w:t xml:space="preserve"> </w:t>
          </w:r>
          <w:r w:rsidRPr="00D854A5" w:rsidR="00D854A5">
            <w:t>(average of 10% of word count)</w:t>
          </w:r>
          <w:bookmarkEnd w:id="3"/>
        </w:p>
        <w:p w:rsidRPr="00992608" w:rsidR="00992608" w:rsidP="00992608" w:rsidRDefault="00992608" w14:paraId="3BA97271" w14:textId="2F47E625">
          <w:pPr>
            <w:pStyle w:val="NormalWeb"/>
            <w:rPr>
              <w:rFonts w:ascii="Arial" w:hAnsi="Arial" w:cs="Arial"/>
            </w:rPr>
          </w:pPr>
          <w:r w:rsidRPr="00992608">
            <w:rPr>
              <w:rFonts w:ascii="Arial" w:hAnsi="Arial" w:cs="Arial"/>
            </w:rPr>
            <w:t>Cost management techniques are essential for sustaining competitiveness in dynamic business environments. This report critically evaluated Activity-Based Costing (ABC) and Earned Value Management (EVM), highlighting their strengths in improving cost visibility and project control, as well as their limitations in volatile contexts. While ABC offers detailed cost insights, its complexity and maintenance requirements can hinder adaptability. Similarly, EVM provides integrated performance metrics but struggles with rigid assumptions in agile projects. Organi</w:t>
          </w:r>
          <w:r>
            <w:rPr>
              <w:rFonts w:ascii="Arial" w:hAnsi="Arial" w:cs="Arial"/>
            </w:rPr>
            <w:t>s</w:t>
          </w:r>
          <w:r w:rsidRPr="00992608">
            <w:rPr>
              <w:rFonts w:ascii="Arial" w:hAnsi="Arial" w:cs="Arial"/>
            </w:rPr>
            <w:t>ations can overcome these challenges by adopting lean ABC models and Agile EVM frameworks supported by real-time analytics.</w:t>
          </w:r>
        </w:p>
        <w:p w:rsidRPr="00992608" w:rsidR="00992608" w:rsidP="00992608" w:rsidRDefault="00992608" w14:paraId="6E981AE9" w14:textId="10881F70">
          <w:pPr>
            <w:pStyle w:val="NormalWeb"/>
            <w:rPr>
              <w:rFonts w:ascii="Arial" w:hAnsi="Arial" w:cs="Arial"/>
            </w:rPr>
          </w:pPr>
          <w:r w:rsidRPr="00992608">
            <w:rPr>
              <w:rFonts w:ascii="Arial" w:hAnsi="Arial" w:cs="Arial"/>
            </w:rPr>
            <w:t>The comparison of Marginal and Absorption costing methods revealed distinct roles in decision-making and compliance. Marginal costing facilitates short-term tactical decisions by focusing on variable costs, whereas absorption costing ensures statutory compliance and comprehensive cost allocation. However, absorption costing can distort profitability when inventory levels fluctuate, making marginal costing more suitable for dynamic environments. A blended approach</w:t>
          </w:r>
          <w:r>
            <w:rPr>
              <w:rFonts w:ascii="Arial" w:hAnsi="Arial" w:cs="Arial"/>
            </w:rPr>
            <w:t xml:space="preserve"> </w:t>
          </w:r>
          <w:r w:rsidRPr="00992608">
            <w:rPr>
              <w:rFonts w:ascii="Arial" w:hAnsi="Arial" w:cs="Arial"/>
            </w:rPr>
            <w:t>using marginal costing for internal decisions and absorption costing for external reporting</w:t>
          </w:r>
          <w:r>
            <w:rPr>
              <w:rFonts w:ascii="Arial" w:hAnsi="Arial" w:cs="Arial"/>
            </w:rPr>
            <w:t xml:space="preserve"> </w:t>
          </w:r>
          <w:r w:rsidRPr="00992608">
            <w:rPr>
              <w:rFonts w:ascii="Arial" w:hAnsi="Arial" w:cs="Arial"/>
            </w:rPr>
            <w:t>offers a balanced solution.</w:t>
          </w:r>
        </w:p>
        <w:p w:rsidRPr="00EC568E" w:rsidR="00AA2A91" w:rsidP="00EC568E" w:rsidRDefault="00992608" w14:paraId="7C924378" w14:textId="0CEC19BE">
          <w:pPr>
            <w:pStyle w:val="NormalWeb"/>
            <w:rPr>
              <w:rFonts w:ascii="Arial" w:hAnsi="Arial" w:cs="Arial"/>
            </w:rPr>
          </w:pPr>
          <w:r w:rsidRPr="00992608">
            <w:rPr>
              <w:rFonts w:ascii="Arial" w:hAnsi="Arial" w:cs="Arial"/>
            </w:rPr>
            <w:t>Ultimately, developing a critical understanding of these principles and applying an analytical approach to cost data enables organi</w:t>
          </w:r>
          <w:r>
            <w:rPr>
              <w:rFonts w:ascii="Arial" w:hAnsi="Arial" w:cs="Arial"/>
            </w:rPr>
            <w:t>s</w:t>
          </w:r>
          <w:r w:rsidRPr="00992608">
            <w:rPr>
              <w:rFonts w:ascii="Arial" w:hAnsi="Arial" w:cs="Arial"/>
            </w:rPr>
            <w:t>ations to select and adapt methods that align with strategic objectives. In fast-changing markets, flexibility, technological integration, and contextual adaptation are key to effective cost management</w:t>
          </w:r>
          <w:r w:rsidRPr="002C78AB" w:rsidR="002C78AB">
            <w:t xml:space="preserve"> </w:t>
          </w:r>
          <w:r w:rsidRPr="008C5233" w:rsidR="008C5233">
            <w:rPr>
              <w:rFonts w:ascii="Arial" w:hAnsi="Arial" w:cs="Arial"/>
            </w:rPr>
            <w:t xml:space="preserve">(PwC, </w:t>
          </w:r>
          <w:hyperlink w:history="1" r:id="rId32">
            <w:r w:rsidRPr="008C5233" w:rsidR="008C5233">
              <w:rPr>
                <w:rStyle w:val="Hyperlink"/>
                <w:rFonts w:ascii="Arial" w:hAnsi="Arial" w:cs="Arial"/>
                <w:color w:val="auto"/>
                <w:u w:val="none"/>
              </w:rPr>
              <w:t>2023</w:t>
            </w:r>
          </w:hyperlink>
          <w:r w:rsidRPr="008C5233" w:rsidR="008C5233">
            <w:rPr>
              <w:rFonts w:ascii="Arial" w:hAnsi="Arial" w:cs="Arial"/>
            </w:rPr>
            <w:t>).</w:t>
          </w:r>
        </w:p>
        <w:p w:rsidR="00AA2A91" w:rsidP="00AA2A91" w:rsidRDefault="00AA2A91" w14:paraId="12335BCA" w14:textId="77777777"/>
        <w:p w:rsidRPr="00AA2A91" w:rsidR="00AA2A91" w:rsidP="00AA2A91" w:rsidRDefault="00AA2A91" w14:paraId="7202FDFC" w14:textId="77777777">
          <w:pPr>
            <w:pStyle w:val="Heading1"/>
          </w:pPr>
          <w:bookmarkStart w:name="_Toc115682915" w:id="4"/>
          <w:r>
            <w:t>Bibliography</w:t>
          </w:r>
          <w:bookmarkEnd w:id="4"/>
        </w:p>
        <w:p w:rsidRPr="00BE1B4F" w:rsidR="000F6670" w:rsidP="00BE1B4F" w:rsidRDefault="00262A37" w14:paraId="5EDA6484" w14:textId="566A312F">
          <w:pPr>
            <w:rPr>
              <w:rFonts w:ascii="Arial" w:hAnsi="Arial" w:cs="Arial"/>
            </w:rPr>
          </w:pPr>
        </w:p>
      </w:sdtContent>
    </w:sdt>
    <w:p w:rsidR="00CB5809" w:rsidP="00CB5809" w:rsidRDefault="00CB5809" w14:paraId="3F06F064" w14:textId="03269FE1">
      <w:pPr>
        <w:spacing w:after="0" w:line="240" w:lineRule="auto"/>
        <w:ind w:left="360"/>
        <w:rPr>
          <w:rFonts w:ascii="Arial" w:hAnsi="Arial" w:cs="Arial"/>
          <w:sz w:val="24"/>
          <w:szCs w:val="24"/>
        </w:rPr>
      </w:pPr>
      <w:r w:rsidRPr="005874B8">
        <w:rPr>
          <w:rFonts w:ascii="Arial" w:hAnsi="Arial" w:cs="Arial"/>
          <w:sz w:val="24"/>
          <w:szCs w:val="24"/>
        </w:rPr>
        <w:t xml:space="preserve">Accounting Hub (2024) </w:t>
      </w:r>
      <w:r w:rsidRPr="005874B8">
        <w:rPr>
          <w:rFonts w:ascii="Arial" w:hAnsi="Arial" w:cs="Arial"/>
          <w:i/>
          <w:iCs/>
          <w:sz w:val="24"/>
          <w:szCs w:val="24"/>
        </w:rPr>
        <w:t>Marginal Costing vs Absorption Costing</w:t>
      </w:r>
      <w:r w:rsidRPr="005874B8">
        <w:rPr>
          <w:rFonts w:ascii="Arial" w:hAnsi="Arial" w:cs="Arial"/>
          <w:sz w:val="24"/>
          <w:szCs w:val="24"/>
        </w:rPr>
        <w:t xml:space="preserve">. Available at: </w:t>
      </w:r>
      <w:hyperlink w:history="1" w:anchor="google_vignette" r:id="rId33">
        <w:r w:rsidRPr="005874B8">
          <w:rPr>
            <w:rFonts w:ascii="Arial" w:hAnsi="Arial" w:cs="Arial"/>
            <w:sz w:val="24"/>
            <w:szCs w:val="24"/>
          </w:rPr>
          <w:t>Marginal Costing vs Absorption Costing - Accounting Hub</w:t>
        </w:r>
      </w:hyperlink>
      <w:r w:rsidRPr="005874B8">
        <w:rPr>
          <w:rFonts w:ascii="Arial" w:hAnsi="Arial" w:cs="Arial"/>
          <w:sz w:val="24"/>
          <w:szCs w:val="24"/>
        </w:rPr>
        <w:t xml:space="preserve"> (Accessed: 2</w:t>
      </w:r>
      <w:r w:rsidR="00276338">
        <w:rPr>
          <w:rFonts w:ascii="Arial" w:hAnsi="Arial" w:cs="Arial"/>
          <w:sz w:val="24"/>
          <w:szCs w:val="24"/>
        </w:rPr>
        <w:t>6</w:t>
      </w:r>
      <w:r w:rsidRPr="005874B8">
        <w:rPr>
          <w:rFonts w:ascii="Arial" w:hAnsi="Arial" w:cs="Arial"/>
          <w:sz w:val="24"/>
          <w:szCs w:val="24"/>
        </w:rPr>
        <w:t xml:space="preserve"> November 2025).</w:t>
      </w:r>
    </w:p>
    <w:p w:rsidR="00CB5809" w:rsidP="00CB5809" w:rsidRDefault="00CB5809" w14:paraId="0E9331D5" w14:textId="77777777">
      <w:pPr>
        <w:spacing w:after="0" w:line="240" w:lineRule="auto"/>
        <w:ind w:left="360"/>
        <w:rPr>
          <w:rFonts w:ascii="Arial" w:hAnsi="Arial" w:cs="Arial"/>
          <w:sz w:val="24"/>
          <w:szCs w:val="24"/>
        </w:rPr>
      </w:pPr>
    </w:p>
    <w:p w:rsidR="00CB5809" w:rsidP="00CB5809" w:rsidRDefault="00CB5809" w14:paraId="030BC95E" w14:textId="4467AFCF">
      <w:pPr>
        <w:spacing w:after="0" w:line="240" w:lineRule="auto"/>
        <w:ind w:left="360"/>
        <w:rPr>
          <w:rFonts w:ascii="Arial" w:hAnsi="Arial" w:cs="Arial"/>
          <w:sz w:val="24"/>
          <w:szCs w:val="24"/>
        </w:rPr>
      </w:pPr>
      <w:r w:rsidRPr="005874B8">
        <w:rPr>
          <w:rFonts w:ascii="Arial" w:hAnsi="Arial" w:cs="Arial"/>
          <w:sz w:val="24"/>
          <w:szCs w:val="24"/>
        </w:rPr>
        <w:t xml:space="preserve">Agarwal, R., Krishnan, V. and </w:t>
      </w:r>
      <w:proofErr w:type="spellStart"/>
      <w:r w:rsidRPr="005874B8">
        <w:rPr>
          <w:rFonts w:ascii="Arial" w:hAnsi="Arial" w:cs="Arial"/>
          <w:sz w:val="24"/>
          <w:szCs w:val="24"/>
        </w:rPr>
        <w:t>Weiler</w:t>
      </w:r>
      <w:proofErr w:type="spellEnd"/>
      <w:r w:rsidRPr="005874B8">
        <w:rPr>
          <w:rFonts w:ascii="Arial" w:hAnsi="Arial" w:cs="Arial"/>
          <w:sz w:val="24"/>
          <w:szCs w:val="24"/>
        </w:rPr>
        <w:t xml:space="preserve">, J. (2024) </w:t>
      </w:r>
      <w:r w:rsidRPr="005874B8">
        <w:rPr>
          <w:rStyle w:val="Emphasis"/>
          <w:rFonts w:ascii="Arial" w:hAnsi="Arial" w:cs="Arial"/>
          <w:sz w:val="24"/>
          <w:szCs w:val="24"/>
        </w:rPr>
        <w:t>Managerial Accounting for Technology Firms: Costing Approaches and Decision-Making</w:t>
      </w:r>
      <w:r w:rsidRPr="005874B8">
        <w:rPr>
          <w:rFonts w:ascii="Arial" w:hAnsi="Arial" w:cs="Arial"/>
          <w:sz w:val="24"/>
          <w:szCs w:val="24"/>
        </w:rPr>
        <w:t>. New York: McGraw-Hill Education.</w:t>
      </w:r>
      <w:r>
        <w:rPr>
          <w:rFonts w:ascii="Arial" w:hAnsi="Arial" w:cs="Arial"/>
          <w:sz w:val="24"/>
          <w:szCs w:val="24"/>
        </w:rPr>
        <w:t xml:space="preserve"> Available at: </w:t>
      </w:r>
      <w:hyperlink w:history="1" r:id="rId34">
        <w:r w:rsidRPr="00B418EE">
          <w:rPr>
            <w:rFonts w:ascii="Arial" w:hAnsi="Arial" w:cs="Arial"/>
            <w:sz w:val="24"/>
            <w:szCs w:val="24"/>
          </w:rPr>
          <w:t>JETIR2212670.pdf</w:t>
        </w:r>
      </w:hyperlink>
    </w:p>
    <w:p w:rsidR="00CB5809" w:rsidP="00CB5809" w:rsidRDefault="00CB5809" w14:paraId="58D07C4D" w14:textId="77777777">
      <w:pPr>
        <w:spacing w:after="0" w:line="240" w:lineRule="auto"/>
        <w:ind w:left="360"/>
        <w:rPr>
          <w:rFonts w:ascii="Arial" w:hAnsi="Arial" w:cs="Arial"/>
          <w:sz w:val="24"/>
          <w:szCs w:val="24"/>
        </w:rPr>
      </w:pPr>
    </w:p>
    <w:p w:rsidR="00CB5809" w:rsidP="00CB5809" w:rsidRDefault="00CB5809" w14:paraId="513D8996" w14:textId="0A761C68">
      <w:pPr>
        <w:spacing w:after="0" w:line="240" w:lineRule="auto"/>
        <w:ind w:left="360"/>
        <w:rPr>
          <w:rFonts w:ascii="Arial" w:hAnsi="Arial" w:cs="Arial"/>
          <w:sz w:val="24"/>
          <w:szCs w:val="24"/>
        </w:rPr>
      </w:pPr>
      <w:r w:rsidRPr="00DE71ED">
        <w:rPr>
          <w:rFonts w:ascii="Arial" w:hAnsi="Arial" w:cs="Arial"/>
          <w:sz w:val="24"/>
          <w:szCs w:val="24"/>
        </w:rPr>
        <w:t xml:space="preserve">Auditing Accounting (2025) ‘Comparison of Profit Under Absorption Costing and Marginal Costing’, </w:t>
      </w:r>
      <w:r w:rsidRPr="00DE71ED">
        <w:rPr>
          <w:rFonts w:ascii="Arial" w:hAnsi="Arial" w:cs="Arial"/>
          <w:i/>
          <w:iCs/>
          <w:sz w:val="24"/>
          <w:szCs w:val="24"/>
        </w:rPr>
        <w:t>Auditing Accounting</w:t>
      </w:r>
      <w:r w:rsidRPr="00DE71ED">
        <w:rPr>
          <w:rFonts w:ascii="Arial" w:hAnsi="Arial" w:cs="Arial"/>
          <w:sz w:val="24"/>
          <w:szCs w:val="24"/>
        </w:rPr>
        <w:t xml:space="preserve">. Available at: </w:t>
      </w:r>
      <w:hyperlink w:tgtFrame="_blank" w:history="1" r:id="rId35">
        <w:r w:rsidRPr="00DE71ED">
          <w:rPr>
            <w:rFonts w:ascii="Arial" w:hAnsi="Arial" w:cs="Arial"/>
            <w:sz w:val="24"/>
            <w:szCs w:val="24"/>
          </w:rPr>
          <w:t>https://auditingaccounting.com/comparison-of-profit-under-absorption-costing-and-marginal-costing</w:t>
        </w:r>
      </w:hyperlink>
      <w:r w:rsidRPr="00DE71ED">
        <w:rPr>
          <w:rFonts w:ascii="Arial" w:hAnsi="Arial" w:cs="Arial"/>
          <w:sz w:val="24"/>
          <w:szCs w:val="24"/>
        </w:rPr>
        <w:t xml:space="preserve"> (Accessed: 27 November 2025).</w:t>
      </w:r>
    </w:p>
    <w:p w:rsidR="00CB5809" w:rsidP="00CB5809" w:rsidRDefault="00CB5809" w14:paraId="702C6CF0" w14:textId="77777777">
      <w:pPr>
        <w:spacing w:after="0" w:line="240" w:lineRule="auto"/>
        <w:ind w:left="360"/>
        <w:rPr>
          <w:rFonts w:ascii="Arial" w:hAnsi="Arial" w:cs="Arial"/>
          <w:sz w:val="24"/>
          <w:szCs w:val="24"/>
        </w:rPr>
      </w:pPr>
    </w:p>
    <w:p w:rsidRPr="006C740E" w:rsidR="00CB5809" w:rsidP="00CB5809" w:rsidRDefault="00CB5809" w14:paraId="686F21F1" w14:textId="77777777">
      <w:pPr>
        <w:spacing w:line="240" w:lineRule="auto"/>
        <w:ind w:left="360"/>
        <w:rPr>
          <w:rFonts w:ascii="Arial" w:hAnsi="Arial" w:cs="Arial"/>
          <w:sz w:val="24"/>
          <w:szCs w:val="24"/>
        </w:rPr>
      </w:pPr>
      <w:r w:rsidRPr="006C740E">
        <w:rPr>
          <w:rFonts w:ascii="Arial" w:hAnsi="Arial" w:cs="Arial"/>
          <w:sz w:val="24"/>
          <w:szCs w:val="24"/>
        </w:rPr>
        <w:t xml:space="preserve">Auditing Accounting (2025) ‘Absorption Costing vs Marginal Costing: Key Differences Explained’, </w:t>
      </w:r>
      <w:r w:rsidRPr="006C740E">
        <w:rPr>
          <w:rFonts w:ascii="Arial" w:hAnsi="Arial" w:cs="Arial"/>
          <w:i/>
          <w:iCs/>
          <w:sz w:val="24"/>
          <w:szCs w:val="24"/>
        </w:rPr>
        <w:t>Auditing Accounting</w:t>
      </w:r>
      <w:r w:rsidRPr="006C740E">
        <w:rPr>
          <w:rFonts w:ascii="Arial" w:hAnsi="Arial" w:cs="Arial"/>
          <w:sz w:val="24"/>
          <w:szCs w:val="24"/>
        </w:rPr>
        <w:t xml:space="preserve">. Available at: </w:t>
      </w:r>
      <w:hyperlink w:tgtFrame="_blank" w:history="1" r:id="rId36">
        <w:r w:rsidRPr="006C740E">
          <w:rPr>
            <w:rFonts w:ascii="Arial" w:hAnsi="Arial" w:cs="Arial"/>
            <w:sz w:val="24"/>
            <w:szCs w:val="24"/>
          </w:rPr>
          <w:t>https://auditingaccounting.com/absorption-costing-vs-marginal-costing-key-differences-explained</w:t>
        </w:r>
      </w:hyperlink>
      <w:r w:rsidRPr="006C740E">
        <w:rPr>
          <w:rFonts w:ascii="Arial" w:hAnsi="Arial" w:cs="Arial"/>
          <w:sz w:val="24"/>
          <w:szCs w:val="24"/>
        </w:rPr>
        <w:t xml:space="preserve"> (Accessed: 27 November 2025).</w:t>
      </w:r>
    </w:p>
    <w:p w:rsidRPr="00DE71ED" w:rsidR="00CB5809" w:rsidP="00CB5809" w:rsidRDefault="00CB5809" w14:paraId="067F9B22" w14:textId="77777777">
      <w:pPr>
        <w:spacing w:after="0" w:line="240" w:lineRule="auto"/>
        <w:ind w:left="360"/>
        <w:rPr>
          <w:rFonts w:ascii="Arial" w:hAnsi="Arial" w:cs="Arial"/>
          <w:sz w:val="24"/>
          <w:szCs w:val="24"/>
        </w:rPr>
      </w:pPr>
    </w:p>
    <w:p w:rsidRPr="005874B8" w:rsidR="00CB5809" w:rsidP="00CB5809" w:rsidRDefault="00CB5809" w14:paraId="1456F1D2" w14:textId="77777777">
      <w:pPr>
        <w:spacing w:after="0" w:line="240" w:lineRule="auto"/>
        <w:ind w:left="360"/>
        <w:rPr>
          <w:rFonts w:ascii="Arial" w:hAnsi="Arial" w:cs="Arial"/>
          <w:sz w:val="24"/>
          <w:szCs w:val="24"/>
        </w:rPr>
      </w:pPr>
    </w:p>
    <w:p w:rsidR="00CB5809" w:rsidP="00CB5809" w:rsidRDefault="00CB5809" w14:paraId="6687CE58" w14:textId="08B2CCE6">
      <w:pPr>
        <w:spacing w:after="0" w:line="240" w:lineRule="auto"/>
        <w:ind w:left="360"/>
        <w:rPr>
          <w:rFonts w:ascii="Arial" w:hAnsi="Arial" w:cs="Arial"/>
          <w:sz w:val="24"/>
          <w:szCs w:val="24"/>
        </w:rPr>
      </w:pPr>
      <w:r w:rsidRPr="005874B8">
        <w:rPr>
          <w:rFonts w:ascii="Arial" w:hAnsi="Arial" w:cs="Arial"/>
          <w:sz w:val="24"/>
          <w:szCs w:val="24"/>
        </w:rPr>
        <w:t xml:space="preserve">CIMA (2024) </w:t>
      </w:r>
      <w:r w:rsidRPr="005874B8">
        <w:rPr>
          <w:rFonts w:ascii="Arial" w:hAnsi="Arial" w:cs="Arial"/>
          <w:i/>
          <w:iCs/>
          <w:sz w:val="24"/>
          <w:szCs w:val="24"/>
        </w:rPr>
        <w:t>Marginal costing is the ascertainment of marginal cost and of the effect on profit of changes in volume or type of output by differentiating between fixed costs and variable costs.</w:t>
      </w:r>
      <w:r w:rsidRPr="005874B8">
        <w:rPr>
          <w:rFonts w:ascii="Arial" w:hAnsi="Arial" w:cs="Arial"/>
          <w:sz w:val="24"/>
          <w:szCs w:val="24"/>
        </w:rPr>
        <w:t xml:space="preserve"> Available at: </w:t>
      </w:r>
      <w:hyperlink w:tgtFrame="_blank" w:history="1" r:id="rId37">
        <w:r w:rsidRPr="005874B8">
          <w:rPr>
            <w:rFonts w:ascii="Arial" w:hAnsi="Arial" w:cs="Arial"/>
            <w:sz w:val="24"/>
            <w:szCs w:val="24"/>
          </w:rPr>
          <w:t>https://www.chittaranjancollege.ac.in/wp-content/uploads/2024/08/MARGINAL-COSTING.pdf</w:t>
        </w:r>
      </w:hyperlink>
      <w:r w:rsidRPr="005874B8">
        <w:rPr>
          <w:rFonts w:ascii="Arial" w:hAnsi="Arial" w:cs="Arial"/>
          <w:sz w:val="24"/>
          <w:szCs w:val="24"/>
        </w:rPr>
        <w:t xml:space="preserve"> (Accessed: 2</w:t>
      </w:r>
      <w:r w:rsidR="00276338">
        <w:rPr>
          <w:rFonts w:ascii="Arial" w:hAnsi="Arial" w:cs="Arial"/>
          <w:sz w:val="24"/>
          <w:szCs w:val="24"/>
        </w:rPr>
        <w:t>5</w:t>
      </w:r>
      <w:r w:rsidRPr="005874B8">
        <w:rPr>
          <w:rFonts w:ascii="Arial" w:hAnsi="Arial" w:cs="Arial"/>
          <w:sz w:val="24"/>
          <w:szCs w:val="24"/>
        </w:rPr>
        <w:t xml:space="preserve"> November 2025).</w:t>
      </w:r>
    </w:p>
    <w:p w:rsidRPr="00EC568E" w:rsidR="00CB5809" w:rsidP="00EC568E" w:rsidRDefault="00CB5809" w14:paraId="6411342F" w14:textId="77777777">
      <w:pPr>
        <w:ind w:left="360"/>
        <w:rPr>
          <w:rFonts w:ascii="Arial" w:hAnsi="Arial" w:eastAsia="Times New Roman" w:cs="Arial"/>
          <w:sz w:val="24"/>
          <w:szCs w:val="24"/>
          <w:lang w:eastAsia="en-GB"/>
        </w:rPr>
      </w:pPr>
    </w:p>
    <w:p w:rsidR="00EC568E" w:rsidP="00EC568E" w:rsidRDefault="003B4DB9" w14:paraId="3D76A7E5" w14:textId="48104BDB">
      <w:pPr>
        <w:spacing w:after="0" w:line="240" w:lineRule="auto"/>
        <w:ind w:left="360"/>
        <w:rPr>
          <w:rFonts w:ascii="Arial" w:hAnsi="Arial" w:cs="Arial"/>
          <w:sz w:val="24"/>
          <w:szCs w:val="24"/>
        </w:rPr>
      </w:pPr>
      <w:r w:rsidRPr="003B4DB9">
        <w:rPr>
          <w:rFonts w:ascii="Arial" w:hAnsi="Arial" w:cs="Arial"/>
          <w:sz w:val="24"/>
          <w:szCs w:val="24"/>
        </w:rPr>
        <w:t xml:space="preserve">Drury, C. (2024). </w:t>
      </w:r>
      <w:r w:rsidRPr="003B4DB9">
        <w:rPr>
          <w:rStyle w:val="Emphasis"/>
          <w:rFonts w:ascii="Arial" w:hAnsi="Arial" w:cs="Arial"/>
          <w:sz w:val="24"/>
          <w:szCs w:val="24"/>
        </w:rPr>
        <w:t>Management and cost accounting</w:t>
      </w:r>
      <w:r w:rsidRPr="003B4DB9">
        <w:rPr>
          <w:rFonts w:ascii="Arial" w:hAnsi="Arial" w:cs="Arial"/>
          <w:sz w:val="24"/>
          <w:szCs w:val="24"/>
        </w:rPr>
        <w:t>. Cengage Learning.</w:t>
      </w:r>
      <w:r w:rsidR="00E95B34">
        <w:rPr>
          <w:rFonts w:ascii="Arial" w:hAnsi="Arial" w:cs="Arial"/>
          <w:sz w:val="24"/>
          <w:szCs w:val="24"/>
        </w:rPr>
        <w:t xml:space="preserve"> Available at:</w:t>
      </w:r>
      <w:r w:rsidRPr="00E95B34" w:rsidR="00E95B34">
        <w:t xml:space="preserve"> </w:t>
      </w:r>
      <w:hyperlink w:history="1" r:id="rId38">
        <w:proofErr w:type="spellStart"/>
        <w:r w:rsidRPr="00E95B34" w:rsidR="00E95B34">
          <w:rPr>
            <w:rFonts w:ascii="Arial" w:hAnsi="Arial" w:cs="Arial"/>
            <w:sz w:val="24"/>
            <w:szCs w:val="24"/>
          </w:rPr>
          <w:t>Kortext</w:t>
        </w:r>
        <w:proofErr w:type="spellEnd"/>
        <w:r w:rsidRPr="00E95B34" w:rsidR="00E95B34">
          <w:rPr>
            <w:rFonts w:ascii="Arial" w:hAnsi="Arial" w:cs="Arial"/>
            <w:sz w:val="24"/>
            <w:szCs w:val="24"/>
          </w:rPr>
          <w:t xml:space="preserve"> | EPUB Reader</w:t>
        </w:r>
      </w:hyperlink>
      <w:r w:rsidR="00E95B34">
        <w:rPr>
          <w:rFonts w:ascii="Arial" w:hAnsi="Arial" w:cs="Arial"/>
          <w:sz w:val="24"/>
          <w:szCs w:val="24"/>
        </w:rPr>
        <w:t xml:space="preserve"> </w:t>
      </w:r>
    </w:p>
    <w:p w:rsidR="00CB5809" w:rsidP="00EC568E" w:rsidRDefault="00CB5809" w14:paraId="343AFDF4" w14:textId="77777777">
      <w:pPr>
        <w:spacing w:after="0" w:line="240" w:lineRule="auto"/>
        <w:ind w:left="360"/>
        <w:rPr>
          <w:rFonts w:ascii="Arial" w:hAnsi="Arial" w:cs="Arial"/>
          <w:sz w:val="24"/>
          <w:szCs w:val="24"/>
        </w:rPr>
      </w:pPr>
    </w:p>
    <w:p w:rsidR="00CB5809" w:rsidP="00CB5809" w:rsidRDefault="00CB5809" w14:paraId="422A0EE3" w14:textId="14D9E4C2">
      <w:pPr>
        <w:spacing w:line="240" w:lineRule="auto"/>
        <w:ind w:left="360"/>
        <w:rPr>
          <w:rFonts w:ascii="Arial" w:hAnsi="Arial" w:cs="Arial"/>
          <w:sz w:val="24"/>
          <w:szCs w:val="24"/>
        </w:rPr>
      </w:pPr>
      <w:proofErr w:type="spellStart"/>
      <w:r w:rsidRPr="00217DA4">
        <w:rPr>
          <w:rFonts w:ascii="Arial" w:hAnsi="Arial" w:cs="Arial"/>
          <w:sz w:val="24"/>
          <w:szCs w:val="24"/>
        </w:rPr>
        <w:t>Elghaish</w:t>
      </w:r>
      <w:proofErr w:type="spellEnd"/>
      <w:r w:rsidRPr="00217DA4">
        <w:rPr>
          <w:rFonts w:ascii="Arial" w:hAnsi="Arial" w:cs="Arial"/>
          <w:sz w:val="24"/>
          <w:szCs w:val="24"/>
        </w:rPr>
        <w:t xml:space="preserve">, F. &amp; </w:t>
      </w:r>
      <w:proofErr w:type="spellStart"/>
      <w:r w:rsidRPr="00217DA4">
        <w:rPr>
          <w:rFonts w:ascii="Arial" w:hAnsi="Arial" w:cs="Arial"/>
          <w:sz w:val="24"/>
          <w:szCs w:val="24"/>
        </w:rPr>
        <w:t>Abrishami</w:t>
      </w:r>
      <w:proofErr w:type="spellEnd"/>
      <w:r w:rsidRPr="00217DA4">
        <w:rPr>
          <w:rFonts w:ascii="Arial" w:hAnsi="Arial" w:cs="Arial"/>
          <w:sz w:val="24"/>
          <w:szCs w:val="24"/>
        </w:rPr>
        <w:t xml:space="preserve">, S. (2021) ‘A centralised cost management system: exploiting EVM and ABC within IPD’, </w:t>
      </w:r>
      <w:r w:rsidRPr="00217DA4">
        <w:rPr>
          <w:rFonts w:ascii="Arial" w:hAnsi="Arial" w:cs="Arial"/>
          <w:i/>
          <w:iCs/>
          <w:sz w:val="24"/>
          <w:szCs w:val="24"/>
        </w:rPr>
        <w:t>Engineering, Construction and Architectural Management</w:t>
      </w:r>
      <w:r w:rsidRPr="00217DA4">
        <w:rPr>
          <w:rFonts w:ascii="Arial" w:hAnsi="Arial" w:cs="Arial"/>
          <w:sz w:val="24"/>
          <w:szCs w:val="24"/>
        </w:rPr>
        <w:t xml:space="preserve">, 28(2), pp. 549–569. Emerald Publishing. Available at: </w:t>
      </w:r>
      <w:hyperlink w:tgtFrame="_blank" w:history="1" r:id="rId39">
        <w:r w:rsidRPr="00217DA4">
          <w:rPr>
            <w:rFonts w:ascii="Arial" w:hAnsi="Arial" w:cs="Arial"/>
            <w:sz w:val="24"/>
            <w:szCs w:val="24"/>
          </w:rPr>
          <w:t>https://www.emerald.com/ecam/article/28/2/549/71028/A-centralised-cost-management-system-exploiting</w:t>
        </w:r>
      </w:hyperlink>
      <w:r w:rsidRPr="00217DA4">
        <w:rPr>
          <w:rFonts w:ascii="Arial" w:hAnsi="Arial" w:cs="Arial"/>
          <w:sz w:val="24"/>
          <w:szCs w:val="24"/>
        </w:rPr>
        <w:t xml:space="preserve"> (Accessed: 2</w:t>
      </w:r>
      <w:r w:rsidR="00276338">
        <w:rPr>
          <w:rFonts w:ascii="Arial" w:hAnsi="Arial" w:cs="Arial"/>
          <w:sz w:val="24"/>
          <w:szCs w:val="24"/>
        </w:rPr>
        <w:t>2</w:t>
      </w:r>
      <w:r w:rsidRPr="00217DA4">
        <w:rPr>
          <w:rFonts w:ascii="Arial" w:hAnsi="Arial" w:cs="Arial"/>
          <w:sz w:val="24"/>
          <w:szCs w:val="24"/>
        </w:rPr>
        <w:t xml:space="preserve"> November 2025).</w:t>
      </w:r>
    </w:p>
    <w:p w:rsidR="00CB5809" w:rsidP="00CB5809" w:rsidRDefault="00CB5809" w14:paraId="7FBEF70F" w14:textId="75D44DF6">
      <w:pPr>
        <w:ind w:left="360"/>
        <w:rPr>
          <w:rFonts w:ascii="Arial" w:hAnsi="Arial" w:cs="Arial"/>
          <w:sz w:val="24"/>
          <w:szCs w:val="24"/>
        </w:rPr>
      </w:pPr>
      <w:proofErr w:type="spellStart"/>
      <w:r w:rsidRPr="000F6670">
        <w:rPr>
          <w:rFonts w:ascii="Arial" w:hAnsi="Arial" w:cs="Arial"/>
          <w:sz w:val="24"/>
          <w:szCs w:val="24"/>
        </w:rPr>
        <w:t>Elsaid</w:t>
      </w:r>
      <w:proofErr w:type="spellEnd"/>
      <w:r w:rsidRPr="000F6670">
        <w:rPr>
          <w:rFonts w:ascii="Arial" w:hAnsi="Arial" w:cs="Arial"/>
          <w:sz w:val="24"/>
          <w:szCs w:val="24"/>
        </w:rPr>
        <w:t xml:space="preserve">, M., Nassar, K. and </w:t>
      </w:r>
      <w:proofErr w:type="spellStart"/>
      <w:r w:rsidRPr="000F6670">
        <w:rPr>
          <w:rFonts w:ascii="Arial" w:hAnsi="Arial" w:cs="Arial"/>
          <w:sz w:val="24"/>
          <w:szCs w:val="24"/>
        </w:rPr>
        <w:t>Abotaleb</w:t>
      </w:r>
      <w:proofErr w:type="spellEnd"/>
      <w:r w:rsidRPr="000F6670">
        <w:rPr>
          <w:rFonts w:ascii="Arial" w:hAnsi="Arial" w:cs="Arial"/>
          <w:sz w:val="24"/>
          <w:szCs w:val="24"/>
        </w:rPr>
        <w:t xml:space="preserve">, I., 2024. Exploring the capability of earned value management in construction: A comparative analysis. </w:t>
      </w:r>
      <w:r w:rsidRPr="000F6670">
        <w:rPr>
          <w:rStyle w:val="Emphasis"/>
          <w:rFonts w:ascii="Arial" w:hAnsi="Arial" w:cs="Arial"/>
          <w:sz w:val="24"/>
          <w:szCs w:val="24"/>
        </w:rPr>
        <w:t>Proceedings of the Canadian Society for Civil Engineering Annual Conference 2024</w:t>
      </w:r>
      <w:r w:rsidRPr="000F6670">
        <w:rPr>
          <w:rFonts w:ascii="Arial" w:hAnsi="Arial" w:cs="Arial"/>
          <w:sz w:val="24"/>
          <w:szCs w:val="24"/>
        </w:rPr>
        <w:t xml:space="preserve">. Available at: &lt;https://doi.org/10.1007/978-3-031-97697-1_23&gt; </w:t>
      </w:r>
      <w:r>
        <w:rPr>
          <w:rFonts w:ascii="Arial" w:hAnsi="Arial" w:cs="Arial"/>
          <w:sz w:val="24"/>
          <w:szCs w:val="24"/>
        </w:rPr>
        <w:t>(</w:t>
      </w:r>
      <w:r w:rsidRPr="000F6670">
        <w:rPr>
          <w:rFonts w:ascii="Arial" w:hAnsi="Arial" w:cs="Arial"/>
          <w:sz w:val="24"/>
          <w:szCs w:val="24"/>
        </w:rPr>
        <w:t>Accessed 2</w:t>
      </w:r>
      <w:r w:rsidR="00276338">
        <w:rPr>
          <w:rFonts w:ascii="Arial" w:hAnsi="Arial" w:cs="Arial"/>
          <w:sz w:val="24"/>
          <w:szCs w:val="24"/>
        </w:rPr>
        <w:t>2</w:t>
      </w:r>
      <w:r w:rsidRPr="000F6670">
        <w:rPr>
          <w:rFonts w:ascii="Arial" w:hAnsi="Arial" w:cs="Arial"/>
          <w:sz w:val="24"/>
          <w:szCs w:val="24"/>
        </w:rPr>
        <w:t xml:space="preserve"> November 2025</w:t>
      </w:r>
      <w:r>
        <w:rPr>
          <w:rFonts w:ascii="Arial" w:hAnsi="Arial" w:cs="Arial"/>
          <w:sz w:val="24"/>
          <w:szCs w:val="24"/>
        </w:rPr>
        <w:t>)</w:t>
      </w:r>
      <w:r w:rsidRPr="000F6670">
        <w:rPr>
          <w:rFonts w:ascii="Arial" w:hAnsi="Arial" w:cs="Arial"/>
          <w:sz w:val="24"/>
          <w:szCs w:val="24"/>
        </w:rPr>
        <w:t>.</w:t>
      </w:r>
    </w:p>
    <w:p w:rsidR="00CB5809" w:rsidP="00CB5809" w:rsidRDefault="00CB5809" w14:paraId="771B1E83" w14:textId="12277423">
      <w:pPr>
        <w:spacing w:after="0" w:line="240" w:lineRule="auto"/>
        <w:ind w:left="360"/>
        <w:rPr>
          <w:rFonts w:ascii="Arial" w:hAnsi="Arial" w:cs="Arial"/>
          <w:sz w:val="24"/>
          <w:szCs w:val="24"/>
        </w:rPr>
      </w:pPr>
      <w:r w:rsidRPr="00DE71ED">
        <w:rPr>
          <w:rFonts w:ascii="Arial" w:hAnsi="Arial" w:cs="Arial"/>
          <w:sz w:val="24"/>
          <w:szCs w:val="24"/>
        </w:rPr>
        <w:t xml:space="preserve">European Accounting Review (2023) ‘Inventory valuation considerations in the forecasted economy’, </w:t>
      </w:r>
      <w:r w:rsidRPr="00DE71ED">
        <w:rPr>
          <w:rFonts w:ascii="Arial" w:hAnsi="Arial" w:cs="Arial"/>
          <w:i/>
          <w:iCs/>
          <w:sz w:val="24"/>
          <w:szCs w:val="24"/>
        </w:rPr>
        <w:t>European Accounting Review</w:t>
      </w:r>
      <w:r w:rsidRPr="00DE71ED">
        <w:rPr>
          <w:rFonts w:ascii="Arial" w:hAnsi="Arial" w:cs="Arial"/>
          <w:sz w:val="24"/>
          <w:szCs w:val="24"/>
        </w:rPr>
        <w:t xml:space="preserve">. Available at: </w:t>
      </w:r>
      <w:hyperlink w:tgtFrame="_blank" w:history="1" r:id="rId40">
        <w:r w:rsidRPr="00DE71ED">
          <w:rPr>
            <w:rFonts w:ascii="Arial" w:hAnsi="Arial" w:cs="Arial"/>
            <w:sz w:val="24"/>
            <w:szCs w:val="24"/>
          </w:rPr>
          <w:t>https://rsmus.com/content/dam/rsm/insights/financial-reporting/1pdf/Inventory-valuation-considerations-in-the-forecasted-economy.pdf</w:t>
        </w:r>
      </w:hyperlink>
      <w:r w:rsidRPr="00DE71ED">
        <w:rPr>
          <w:rFonts w:ascii="Arial" w:hAnsi="Arial" w:cs="Arial"/>
          <w:sz w:val="24"/>
          <w:szCs w:val="24"/>
        </w:rPr>
        <w:t xml:space="preserve"> (Accessed: 27 November 2025).</w:t>
      </w:r>
    </w:p>
    <w:p w:rsidR="001E7B12" w:rsidP="00CB5809" w:rsidRDefault="001E7B12" w14:paraId="0E9F1B5D" w14:textId="00A8B0CE">
      <w:pPr>
        <w:spacing w:after="0" w:line="240" w:lineRule="auto"/>
        <w:ind w:left="360"/>
        <w:rPr>
          <w:rFonts w:ascii="Arial" w:hAnsi="Arial" w:cs="Arial"/>
          <w:sz w:val="24"/>
          <w:szCs w:val="24"/>
        </w:rPr>
      </w:pPr>
    </w:p>
    <w:p w:rsidRPr="001E7B12" w:rsidR="001E7B12" w:rsidP="00CB5809" w:rsidRDefault="001E7B12" w14:paraId="5D3DA4F4" w14:textId="79CC6535">
      <w:pPr>
        <w:spacing w:after="0" w:line="240" w:lineRule="auto"/>
        <w:ind w:left="360"/>
        <w:rPr>
          <w:rFonts w:ascii="Arial" w:hAnsi="Arial" w:cs="Arial"/>
          <w:sz w:val="24"/>
          <w:szCs w:val="24"/>
        </w:rPr>
      </w:pPr>
      <w:proofErr w:type="spellStart"/>
      <w:r w:rsidRPr="001E7B12">
        <w:rPr>
          <w:rFonts w:ascii="Arial" w:hAnsi="Arial" w:cs="Arial"/>
          <w:sz w:val="24"/>
          <w:szCs w:val="24"/>
        </w:rPr>
        <w:t>FasterCapital</w:t>
      </w:r>
      <w:proofErr w:type="spellEnd"/>
      <w:r w:rsidRPr="001E7B12">
        <w:rPr>
          <w:rFonts w:ascii="Arial" w:hAnsi="Arial" w:cs="Arial"/>
          <w:sz w:val="24"/>
          <w:szCs w:val="24"/>
        </w:rPr>
        <w:t xml:space="preserve"> (2025) </w:t>
      </w:r>
      <w:r w:rsidRPr="001E7B12">
        <w:rPr>
          <w:rFonts w:ascii="Arial" w:hAnsi="Arial" w:cs="Arial"/>
          <w:i/>
          <w:iCs/>
          <w:sz w:val="24"/>
          <w:szCs w:val="24"/>
        </w:rPr>
        <w:t>Cost Structure: Cost Structure Clarity: Choosing Between Marginal and Absorption Costing</w:t>
      </w:r>
      <w:r w:rsidRPr="001E7B12">
        <w:rPr>
          <w:rFonts w:ascii="Arial" w:hAnsi="Arial" w:cs="Arial"/>
          <w:sz w:val="24"/>
          <w:szCs w:val="24"/>
        </w:rPr>
        <w:t xml:space="preserve">. Available at: </w:t>
      </w:r>
      <w:hyperlink w:history="1" r:id="rId41">
        <w:r w:rsidRPr="001E7B12">
          <w:rPr>
            <w:rFonts w:ascii="Arial" w:hAnsi="Arial" w:cs="Arial"/>
            <w:sz w:val="24"/>
            <w:szCs w:val="24"/>
          </w:rPr>
          <w:t xml:space="preserve">Cost Structure: Cost Structure Clarity: Choosing Between Marginal and Absorption Costing - </w:t>
        </w:r>
        <w:proofErr w:type="spellStart"/>
        <w:r w:rsidRPr="001E7B12">
          <w:rPr>
            <w:rFonts w:ascii="Arial" w:hAnsi="Arial" w:cs="Arial"/>
            <w:sz w:val="24"/>
            <w:szCs w:val="24"/>
          </w:rPr>
          <w:t>FasterCapital</w:t>
        </w:r>
        <w:proofErr w:type="spellEnd"/>
      </w:hyperlink>
      <w:r w:rsidRPr="001E7B12">
        <w:rPr>
          <w:rFonts w:ascii="Arial" w:hAnsi="Arial" w:cs="Arial"/>
          <w:sz w:val="24"/>
          <w:szCs w:val="24"/>
        </w:rPr>
        <w:t xml:space="preserve"> </w:t>
      </w:r>
      <w:r w:rsidRPr="001E7B12">
        <w:rPr>
          <w:rFonts w:ascii="Arial" w:hAnsi="Arial" w:cs="Arial"/>
          <w:sz w:val="24"/>
          <w:szCs w:val="24"/>
        </w:rPr>
        <w:t>(Accessed: 2</w:t>
      </w:r>
      <w:r w:rsidR="00276338">
        <w:rPr>
          <w:rFonts w:ascii="Arial" w:hAnsi="Arial" w:cs="Arial"/>
          <w:sz w:val="24"/>
          <w:szCs w:val="24"/>
        </w:rPr>
        <w:t>7</w:t>
      </w:r>
      <w:r w:rsidRPr="001E7B12">
        <w:rPr>
          <w:rFonts w:ascii="Arial" w:hAnsi="Arial" w:cs="Arial"/>
          <w:sz w:val="24"/>
          <w:szCs w:val="24"/>
        </w:rPr>
        <w:t xml:space="preserve"> November 2025)</w:t>
      </w:r>
    </w:p>
    <w:p w:rsidR="00CB5809" w:rsidP="00CB5809" w:rsidRDefault="00CB5809" w14:paraId="61162EB4" w14:textId="77777777">
      <w:pPr>
        <w:spacing w:after="0" w:line="240" w:lineRule="auto"/>
        <w:ind w:left="360"/>
        <w:rPr>
          <w:rFonts w:ascii="Arial" w:hAnsi="Arial" w:cs="Arial"/>
          <w:sz w:val="24"/>
          <w:szCs w:val="24"/>
        </w:rPr>
      </w:pPr>
    </w:p>
    <w:p w:rsidR="005874B8" w:rsidP="00CB5809" w:rsidRDefault="00CB5809" w14:paraId="305DC7DA" w14:textId="6F670170">
      <w:pPr>
        <w:spacing w:after="0" w:line="240" w:lineRule="auto"/>
        <w:ind w:left="360"/>
        <w:rPr>
          <w:rFonts w:ascii="Arial" w:hAnsi="Arial" w:cs="Arial"/>
          <w:sz w:val="24"/>
          <w:szCs w:val="24"/>
        </w:rPr>
      </w:pPr>
      <w:r w:rsidRPr="00EE1D21">
        <w:rPr>
          <w:rFonts w:ascii="Arial" w:hAnsi="Arial" w:cs="Arial"/>
          <w:sz w:val="24"/>
          <w:szCs w:val="24"/>
        </w:rPr>
        <w:t xml:space="preserve">Humphreys &amp; Associates, 2024. EVM and Unified Risk Management. Available at: </w:t>
      </w:r>
      <w:hyperlink w:history="1" r:id="rId42">
        <w:r w:rsidRPr="00EE1D21">
          <w:rPr>
            <w:rFonts w:ascii="Arial" w:hAnsi="Arial" w:cs="Arial"/>
            <w:sz w:val="24"/>
            <w:szCs w:val="24"/>
          </w:rPr>
          <w:t>EVM and Unified Risk Management - Humphreys &amp; Associates</w:t>
        </w:r>
      </w:hyperlink>
      <w:r>
        <w:t xml:space="preserve"> (</w:t>
      </w:r>
      <w:r w:rsidRPr="00EE1D21">
        <w:rPr>
          <w:rFonts w:ascii="Arial" w:hAnsi="Arial" w:cs="Arial"/>
          <w:sz w:val="24"/>
          <w:szCs w:val="24"/>
        </w:rPr>
        <w:t>Accessed 2</w:t>
      </w:r>
      <w:r w:rsidR="00276338">
        <w:rPr>
          <w:rFonts w:ascii="Arial" w:hAnsi="Arial" w:cs="Arial"/>
          <w:sz w:val="24"/>
          <w:szCs w:val="24"/>
        </w:rPr>
        <w:t>4</w:t>
      </w:r>
      <w:r w:rsidRPr="00EE1D21">
        <w:rPr>
          <w:rFonts w:ascii="Arial" w:hAnsi="Arial" w:cs="Arial"/>
          <w:sz w:val="24"/>
          <w:szCs w:val="24"/>
        </w:rPr>
        <w:t xml:space="preserve"> November 2025</w:t>
      </w:r>
      <w:r>
        <w:rPr>
          <w:rFonts w:ascii="Arial" w:hAnsi="Arial" w:cs="Arial"/>
          <w:sz w:val="24"/>
          <w:szCs w:val="24"/>
        </w:rPr>
        <w:t>)</w:t>
      </w:r>
      <w:r w:rsidRPr="00EE1D21">
        <w:rPr>
          <w:rFonts w:ascii="Arial" w:hAnsi="Arial" w:cs="Arial"/>
          <w:sz w:val="24"/>
          <w:szCs w:val="24"/>
        </w:rPr>
        <w:t>.</w:t>
      </w:r>
    </w:p>
    <w:p w:rsidR="00CB5809" w:rsidP="00CB5809" w:rsidRDefault="00CB5809" w14:paraId="0DA8D7F4" w14:textId="77777777">
      <w:pPr>
        <w:spacing w:after="0" w:line="240" w:lineRule="auto"/>
        <w:ind w:left="360"/>
        <w:rPr>
          <w:rFonts w:ascii="Arial" w:hAnsi="Arial" w:cs="Arial"/>
          <w:sz w:val="24"/>
          <w:szCs w:val="24"/>
        </w:rPr>
      </w:pPr>
    </w:p>
    <w:p w:rsidRPr="00B418EE" w:rsidR="00CB5809" w:rsidP="00CB5809" w:rsidRDefault="00CB5809" w14:paraId="603370B8" w14:textId="77777777">
      <w:pPr>
        <w:spacing w:after="0" w:line="240" w:lineRule="auto"/>
        <w:ind w:left="360"/>
        <w:rPr>
          <w:rFonts w:ascii="Arial" w:hAnsi="Arial" w:cs="Arial"/>
          <w:sz w:val="24"/>
          <w:szCs w:val="24"/>
        </w:rPr>
      </w:pPr>
      <w:r w:rsidRPr="00B418EE">
        <w:rPr>
          <w:rFonts w:ascii="Arial" w:hAnsi="Arial" w:cs="Arial"/>
          <w:sz w:val="24"/>
          <w:szCs w:val="24"/>
        </w:rPr>
        <w:t xml:space="preserve">Journal of Management Accounting Research (2024) </w:t>
      </w:r>
      <w:r w:rsidRPr="00B418EE">
        <w:rPr>
          <w:rFonts w:ascii="Arial" w:hAnsi="Arial" w:cs="Arial"/>
          <w:i/>
          <w:iCs/>
          <w:sz w:val="24"/>
          <w:szCs w:val="24"/>
        </w:rPr>
        <w:t>Journal of Management Accounting Research</w:t>
      </w:r>
      <w:r w:rsidRPr="00B418EE">
        <w:rPr>
          <w:rFonts w:ascii="Arial" w:hAnsi="Arial" w:cs="Arial"/>
          <w:sz w:val="24"/>
          <w:szCs w:val="24"/>
        </w:rPr>
        <w:t xml:space="preserve">. American Accounting Association. </w:t>
      </w:r>
      <w:hyperlink w:history="1" r:id="rId43">
        <w:r w:rsidRPr="00B418EE">
          <w:rPr>
            <w:rFonts w:ascii="Arial" w:hAnsi="Arial" w:cs="Arial"/>
            <w:sz w:val="24"/>
            <w:szCs w:val="24"/>
          </w:rPr>
          <w:t>Enterprise Risk Management as Part of the Organizational Control Package: Review and Implications for Management Accounting Research. - EBSCO</w:t>
        </w:r>
      </w:hyperlink>
      <w:r w:rsidRPr="00B418EE">
        <w:rPr>
          <w:rFonts w:ascii="Arial" w:hAnsi="Arial" w:cs="Arial"/>
          <w:sz w:val="24"/>
          <w:szCs w:val="24"/>
        </w:rPr>
        <w:t xml:space="preserve"> (Accessed: 2</w:t>
      </w:r>
      <w:r>
        <w:rPr>
          <w:rFonts w:ascii="Arial" w:hAnsi="Arial" w:cs="Arial"/>
          <w:sz w:val="24"/>
          <w:szCs w:val="24"/>
        </w:rPr>
        <w:t>5</w:t>
      </w:r>
      <w:r w:rsidRPr="00B418EE">
        <w:rPr>
          <w:rFonts w:ascii="Arial" w:hAnsi="Arial" w:cs="Arial"/>
          <w:sz w:val="24"/>
          <w:szCs w:val="24"/>
        </w:rPr>
        <w:t xml:space="preserve"> November 2025).</w:t>
      </w:r>
    </w:p>
    <w:p w:rsidR="00CB5809" w:rsidP="00CB5809" w:rsidRDefault="00CB5809" w14:paraId="4370F9FE" w14:textId="77777777">
      <w:pPr>
        <w:spacing w:after="0" w:line="240" w:lineRule="auto"/>
        <w:ind w:left="360"/>
        <w:rPr>
          <w:rFonts w:ascii="Arial" w:hAnsi="Arial" w:cs="Arial"/>
          <w:sz w:val="24"/>
          <w:szCs w:val="24"/>
        </w:rPr>
      </w:pPr>
    </w:p>
    <w:p w:rsidR="00CB5809" w:rsidP="00CB5809" w:rsidRDefault="00CB5809" w14:paraId="098F0DE7" w14:textId="77777777">
      <w:pPr>
        <w:spacing w:after="0" w:line="240" w:lineRule="auto"/>
        <w:ind w:left="360"/>
        <w:rPr>
          <w:rFonts w:ascii="Arial" w:hAnsi="Arial" w:cs="Arial"/>
          <w:sz w:val="24"/>
          <w:szCs w:val="24"/>
        </w:rPr>
      </w:pPr>
    </w:p>
    <w:p w:rsidR="00CB5809" w:rsidP="00CB5809" w:rsidRDefault="00CB5809" w14:paraId="501518DB" w14:textId="54675D67">
      <w:pPr>
        <w:spacing w:after="0" w:line="240" w:lineRule="auto"/>
        <w:ind w:left="360"/>
        <w:rPr>
          <w:rFonts w:ascii="Arial" w:hAnsi="Arial" w:cs="Arial"/>
          <w:sz w:val="24"/>
          <w:szCs w:val="24"/>
        </w:rPr>
      </w:pPr>
      <w:proofErr w:type="spellStart"/>
      <w:r w:rsidRPr="005C4BFB">
        <w:rPr>
          <w:rFonts w:ascii="Arial" w:hAnsi="Arial" w:cs="Arial"/>
          <w:sz w:val="24"/>
          <w:szCs w:val="24"/>
        </w:rPr>
        <w:t>Munna</w:t>
      </w:r>
      <w:proofErr w:type="spellEnd"/>
      <w:r w:rsidRPr="005C4BFB">
        <w:rPr>
          <w:rFonts w:ascii="Arial" w:hAnsi="Arial" w:cs="Arial"/>
          <w:sz w:val="24"/>
          <w:szCs w:val="24"/>
        </w:rPr>
        <w:t xml:space="preserve">, A.S. (2021). </w:t>
      </w:r>
      <w:r w:rsidRPr="005C4BFB">
        <w:rPr>
          <w:rFonts w:ascii="Arial" w:hAnsi="Arial" w:cs="Arial"/>
          <w:i/>
          <w:iCs/>
          <w:sz w:val="24"/>
          <w:szCs w:val="24"/>
        </w:rPr>
        <w:t>Strategic Management, Leadership and Staff Motivation: Literature Review</w:t>
      </w:r>
      <w:r w:rsidRPr="005C4BFB">
        <w:rPr>
          <w:rFonts w:ascii="Arial" w:hAnsi="Arial" w:cs="Arial"/>
          <w:sz w:val="24"/>
          <w:szCs w:val="24"/>
        </w:rPr>
        <w:t>.</w:t>
      </w:r>
      <w:r w:rsidRPr="005C4BFB">
        <w:rPr>
          <w:rFonts w:ascii="Arial" w:hAnsi="Arial" w:cs="Arial"/>
          <w:sz w:val="24"/>
          <w:szCs w:val="24"/>
        </w:rPr>
        <w:br/>
      </w:r>
      <w:r w:rsidRPr="005C4BFB">
        <w:rPr>
          <w:rFonts w:ascii="Arial" w:hAnsi="Arial" w:cs="Arial"/>
          <w:sz w:val="24"/>
          <w:szCs w:val="24"/>
        </w:rPr>
        <w:t xml:space="preserve">Available at: </w:t>
      </w:r>
      <w:hyperlink w:tgtFrame="_blank" w:history="1" r:id="rId44">
        <w:r w:rsidRPr="005C4BFB">
          <w:rPr>
            <w:rFonts w:ascii="Arial" w:hAnsi="Arial" w:cs="Arial"/>
            <w:sz w:val="24"/>
            <w:szCs w:val="24"/>
          </w:rPr>
          <w:t>https://repository.uwtsd.ac.uk/id/eprint/1857/1/Strategic%20Management.pdf</w:t>
        </w:r>
      </w:hyperlink>
    </w:p>
    <w:p w:rsidRPr="005C4BFB" w:rsidR="00CB5809" w:rsidP="00CB5809" w:rsidRDefault="00CB5809" w14:paraId="1C771C13" w14:textId="77777777">
      <w:pPr>
        <w:spacing w:after="0" w:line="240" w:lineRule="auto"/>
        <w:ind w:left="360"/>
        <w:rPr>
          <w:rFonts w:ascii="Arial" w:hAnsi="Arial" w:cs="Arial"/>
          <w:sz w:val="24"/>
          <w:szCs w:val="24"/>
        </w:rPr>
      </w:pPr>
    </w:p>
    <w:p w:rsidR="005C4BFB" w:rsidP="00CB5809" w:rsidRDefault="005C4BFB" w14:paraId="50C96C29" w14:textId="312773E3">
      <w:pPr>
        <w:spacing w:after="0" w:line="240" w:lineRule="auto"/>
        <w:ind w:left="360"/>
        <w:rPr>
          <w:rFonts w:ascii="Arial" w:hAnsi="Arial" w:cs="Arial"/>
          <w:sz w:val="24"/>
          <w:szCs w:val="24"/>
        </w:rPr>
      </w:pPr>
      <w:proofErr w:type="spellStart"/>
      <w:r w:rsidRPr="005C4BFB">
        <w:rPr>
          <w:rFonts w:ascii="Arial" w:hAnsi="Arial" w:cs="Arial"/>
          <w:sz w:val="24"/>
          <w:szCs w:val="24"/>
        </w:rPr>
        <w:t>Ojra</w:t>
      </w:r>
      <w:proofErr w:type="spellEnd"/>
      <w:r w:rsidRPr="005C4BFB">
        <w:rPr>
          <w:rFonts w:ascii="Arial" w:hAnsi="Arial" w:cs="Arial"/>
          <w:sz w:val="24"/>
          <w:szCs w:val="24"/>
        </w:rPr>
        <w:t xml:space="preserve">, J., </w:t>
      </w:r>
      <w:proofErr w:type="spellStart"/>
      <w:r w:rsidRPr="005C4BFB">
        <w:rPr>
          <w:rFonts w:ascii="Arial" w:hAnsi="Arial" w:cs="Arial"/>
          <w:sz w:val="24"/>
          <w:szCs w:val="24"/>
        </w:rPr>
        <w:t>Opute</w:t>
      </w:r>
      <w:proofErr w:type="spellEnd"/>
      <w:r w:rsidRPr="005C4BFB">
        <w:rPr>
          <w:rFonts w:ascii="Arial" w:hAnsi="Arial" w:cs="Arial"/>
          <w:sz w:val="24"/>
          <w:szCs w:val="24"/>
        </w:rPr>
        <w:t xml:space="preserve">, A.P., &amp; </w:t>
      </w:r>
      <w:proofErr w:type="spellStart"/>
      <w:r w:rsidRPr="005C4BFB">
        <w:rPr>
          <w:rFonts w:ascii="Arial" w:hAnsi="Arial" w:cs="Arial"/>
          <w:sz w:val="24"/>
          <w:szCs w:val="24"/>
        </w:rPr>
        <w:t>Alsolmi</w:t>
      </w:r>
      <w:proofErr w:type="spellEnd"/>
      <w:r w:rsidRPr="005C4BFB">
        <w:rPr>
          <w:rFonts w:ascii="Arial" w:hAnsi="Arial" w:cs="Arial"/>
          <w:sz w:val="24"/>
          <w:szCs w:val="24"/>
        </w:rPr>
        <w:t xml:space="preserve">, M.M. (2021). </w:t>
      </w:r>
      <w:r w:rsidRPr="005C4BFB">
        <w:rPr>
          <w:rFonts w:ascii="Arial" w:hAnsi="Arial" w:cs="Arial"/>
          <w:i/>
          <w:iCs/>
          <w:sz w:val="24"/>
          <w:szCs w:val="24"/>
        </w:rPr>
        <w:t>Strategic management accounting and performance implications: a literature review and research agenda</w:t>
      </w:r>
      <w:r w:rsidRPr="005C4BFB">
        <w:rPr>
          <w:rFonts w:ascii="Arial" w:hAnsi="Arial" w:cs="Arial"/>
          <w:sz w:val="24"/>
          <w:szCs w:val="24"/>
        </w:rPr>
        <w:t>. Future Business Journal, 7(1), p.64.</w:t>
      </w:r>
      <w:r w:rsidRPr="005C4BFB">
        <w:rPr>
          <w:rFonts w:ascii="Arial" w:hAnsi="Arial" w:cs="Arial"/>
          <w:sz w:val="24"/>
          <w:szCs w:val="24"/>
        </w:rPr>
        <w:br/>
      </w:r>
      <w:r w:rsidRPr="005C4BFB">
        <w:rPr>
          <w:rFonts w:ascii="Arial" w:hAnsi="Arial" w:cs="Arial"/>
          <w:sz w:val="24"/>
          <w:szCs w:val="24"/>
        </w:rPr>
        <w:t xml:space="preserve">Available at: </w:t>
      </w:r>
      <w:hyperlink w:history="1" r:id="rId45">
        <w:r w:rsidRPr="005C4BFB">
          <w:rPr>
            <w:rFonts w:ascii="Arial" w:hAnsi="Arial" w:cs="Arial"/>
            <w:sz w:val="24"/>
            <w:szCs w:val="24"/>
          </w:rPr>
          <w:t>Strategic management accounting and performance implications: a literature review and research agenda</w:t>
        </w:r>
      </w:hyperlink>
    </w:p>
    <w:p w:rsidR="00CB5809" w:rsidP="00CB5809" w:rsidRDefault="00CB5809" w14:paraId="51958CF4" w14:textId="77777777">
      <w:pPr>
        <w:spacing w:after="0" w:line="240" w:lineRule="auto"/>
        <w:ind w:left="360"/>
        <w:rPr>
          <w:rFonts w:ascii="Arial" w:hAnsi="Arial" w:cs="Arial"/>
          <w:sz w:val="24"/>
          <w:szCs w:val="24"/>
        </w:rPr>
      </w:pPr>
    </w:p>
    <w:p w:rsidR="00B53AB5" w:rsidP="00CB5809" w:rsidRDefault="00CB5809" w14:paraId="10739305" w14:textId="786613BA">
      <w:pPr>
        <w:spacing w:line="240" w:lineRule="auto"/>
        <w:ind w:left="360"/>
        <w:rPr>
          <w:rFonts w:ascii="Arial" w:hAnsi="Arial" w:cs="Arial"/>
          <w:sz w:val="24"/>
          <w:szCs w:val="24"/>
        </w:rPr>
      </w:pPr>
      <w:proofErr w:type="spellStart"/>
      <w:r w:rsidRPr="006C740E">
        <w:rPr>
          <w:rFonts w:ascii="Arial" w:hAnsi="Arial" w:cs="Arial"/>
          <w:sz w:val="24"/>
          <w:szCs w:val="24"/>
        </w:rPr>
        <w:t>Ponciano</w:t>
      </w:r>
      <w:proofErr w:type="spellEnd"/>
      <w:r w:rsidRPr="006C740E">
        <w:rPr>
          <w:rFonts w:ascii="Arial" w:hAnsi="Arial" w:cs="Arial"/>
          <w:sz w:val="24"/>
          <w:szCs w:val="24"/>
        </w:rPr>
        <w:t xml:space="preserve">, J. (2025) ‘Absorption Costing Explained, With Pros and Cons and Example’, </w:t>
      </w:r>
      <w:r w:rsidRPr="006C740E">
        <w:rPr>
          <w:rFonts w:ascii="Arial" w:hAnsi="Arial" w:cs="Arial"/>
          <w:i/>
          <w:iCs/>
          <w:sz w:val="24"/>
          <w:szCs w:val="24"/>
        </w:rPr>
        <w:t>Investopedia</w:t>
      </w:r>
      <w:r w:rsidRPr="006C740E">
        <w:rPr>
          <w:rFonts w:ascii="Arial" w:hAnsi="Arial" w:cs="Arial"/>
          <w:sz w:val="24"/>
          <w:szCs w:val="24"/>
        </w:rPr>
        <w:t xml:space="preserve">. Available at: </w:t>
      </w:r>
      <w:hyperlink w:tgtFrame="_blank" w:history="1" r:id="rId46">
        <w:r w:rsidRPr="006C740E">
          <w:rPr>
            <w:rFonts w:ascii="Arial" w:hAnsi="Arial" w:cs="Arial"/>
            <w:sz w:val="24"/>
            <w:szCs w:val="24"/>
          </w:rPr>
          <w:t>https://www.investopedia.com/terms/a/absorptioncosting.asp</w:t>
        </w:r>
      </w:hyperlink>
      <w:r w:rsidRPr="006C740E">
        <w:rPr>
          <w:rFonts w:ascii="Arial" w:hAnsi="Arial" w:cs="Arial"/>
          <w:sz w:val="24"/>
          <w:szCs w:val="24"/>
        </w:rPr>
        <w:t xml:space="preserve"> (Accessed: 27 November 2025).</w:t>
      </w:r>
    </w:p>
    <w:p w:rsidRPr="00C806FD" w:rsidR="00BE1B4F" w:rsidP="00BE1B4F" w:rsidRDefault="00BE1B4F" w14:paraId="7F0FD05C" w14:textId="0DE99E4A">
      <w:pPr>
        <w:spacing w:line="240" w:lineRule="auto"/>
        <w:ind w:left="360"/>
        <w:rPr>
          <w:rFonts w:ascii="Arial" w:hAnsi="Arial" w:cs="Arial"/>
          <w:sz w:val="24"/>
          <w:szCs w:val="24"/>
        </w:rPr>
      </w:pPr>
      <w:proofErr w:type="spellStart"/>
      <w:r w:rsidRPr="006C740E">
        <w:rPr>
          <w:rFonts w:ascii="Arial" w:hAnsi="Arial" w:cs="Arial"/>
          <w:sz w:val="24"/>
          <w:szCs w:val="24"/>
        </w:rPr>
        <w:t>Qerimi</w:t>
      </w:r>
      <w:proofErr w:type="spellEnd"/>
      <w:r w:rsidRPr="006C740E">
        <w:rPr>
          <w:rFonts w:ascii="Arial" w:hAnsi="Arial" w:cs="Arial"/>
          <w:sz w:val="24"/>
          <w:szCs w:val="24"/>
        </w:rPr>
        <w:t xml:space="preserve">, A., </w:t>
      </w:r>
      <w:proofErr w:type="spellStart"/>
      <w:r w:rsidRPr="006C740E">
        <w:rPr>
          <w:rFonts w:ascii="Arial" w:hAnsi="Arial" w:cs="Arial"/>
          <w:sz w:val="24"/>
          <w:szCs w:val="24"/>
        </w:rPr>
        <w:t>Krasniqi</w:t>
      </w:r>
      <w:proofErr w:type="spellEnd"/>
      <w:r w:rsidRPr="006C740E">
        <w:rPr>
          <w:rFonts w:ascii="Arial" w:hAnsi="Arial" w:cs="Arial"/>
          <w:sz w:val="24"/>
          <w:szCs w:val="24"/>
        </w:rPr>
        <w:t xml:space="preserve">, B.A., </w:t>
      </w:r>
      <w:proofErr w:type="spellStart"/>
      <w:r w:rsidRPr="006C740E">
        <w:rPr>
          <w:rFonts w:ascii="Arial" w:hAnsi="Arial" w:cs="Arial"/>
          <w:sz w:val="24"/>
          <w:szCs w:val="24"/>
        </w:rPr>
        <w:t>Balaj</w:t>
      </w:r>
      <w:proofErr w:type="spellEnd"/>
      <w:r w:rsidRPr="006C740E">
        <w:rPr>
          <w:rFonts w:ascii="Arial" w:hAnsi="Arial" w:cs="Arial"/>
          <w:sz w:val="24"/>
          <w:szCs w:val="24"/>
        </w:rPr>
        <w:t xml:space="preserve">, D., </w:t>
      </w:r>
      <w:proofErr w:type="spellStart"/>
      <w:r w:rsidRPr="006C740E">
        <w:rPr>
          <w:rFonts w:ascii="Arial" w:hAnsi="Arial" w:cs="Arial"/>
          <w:sz w:val="24"/>
          <w:szCs w:val="24"/>
        </w:rPr>
        <w:t>Aliu</w:t>
      </w:r>
      <w:proofErr w:type="spellEnd"/>
      <w:r w:rsidRPr="006C740E">
        <w:rPr>
          <w:rFonts w:ascii="Arial" w:hAnsi="Arial" w:cs="Arial"/>
          <w:sz w:val="24"/>
          <w:szCs w:val="24"/>
        </w:rPr>
        <w:t xml:space="preserve">, M. &amp; </w:t>
      </w:r>
      <w:proofErr w:type="spellStart"/>
      <w:r w:rsidRPr="006C740E">
        <w:rPr>
          <w:rFonts w:ascii="Arial" w:hAnsi="Arial" w:cs="Arial"/>
          <w:sz w:val="24"/>
          <w:szCs w:val="24"/>
        </w:rPr>
        <w:t>Ahmeti</w:t>
      </w:r>
      <w:proofErr w:type="spellEnd"/>
      <w:r w:rsidRPr="006C740E">
        <w:rPr>
          <w:rFonts w:ascii="Arial" w:hAnsi="Arial" w:cs="Arial"/>
          <w:sz w:val="24"/>
          <w:szCs w:val="24"/>
        </w:rPr>
        <w:t xml:space="preserve">, S. (2023) ‘Investment decisions and small and medium-sized enterprise indebtedness: Heckman’s two-stage approach’, </w:t>
      </w:r>
      <w:r w:rsidRPr="006C740E">
        <w:rPr>
          <w:rFonts w:ascii="Arial" w:hAnsi="Arial" w:cs="Arial"/>
          <w:i/>
          <w:iCs/>
          <w:sz w:val="24"/>
          <w:szCs w:val="24"/>
        </w:rPr>
        <w:t>Studies in Economics and Finance</w:t>
      </w:r>
      <w:r w:rsidRPr="006C740E">
        <w:rPr>
          <w:rFonts w:ascii="Arial" w:hAnsi="Arial" w:cs="Arial"/>
          <w:sz w:val="24"/>
          <w:szCs w:val="24"/>
        </w:rPr>
        <w:t xml:space="preserve">, 40(5), pp. 932–949. Emerald Insight. Available at: </w:t>
      </w:r>
      <w:hyperlink w:tgtFrame="_blank" w:history="1" r:id="rId47">
        <w:r w:rsidRPr="006C740E">
          <w:rPr>
            <w:rFonts w:ascii="Arial" w:hAnsi="Arial" w:cs="Arial"/>
            <w:sz w:val="24"/>
            <w:szCs w:val="24"/>
          </w:rPr>
          <w:t>https://www.emerald.com/insight/content/doi/10.1108/sef-06-2023-0331/full/html</w:t>
        </w:r>
      </w:hyperlink>
      <w:r w:rsidRPr="006C740E">
        <w:rPr>
          <w:rFonts w:ascii="Arial" w:hAnsi="Arial" w:cs="Arial"/>
          <w:sz w:val="24"/>
          <w:szCs w:val="24"/>
        </w:rPr>
        <w:t xml:space="preserve"> (Accessed: 27 November 2025).</w:t>
      </w:r>
    </w:p>
    <w:p w:rsidR="00C806FD" w:rsidP="00EC568E" w:rsidRDefault="00B53AB5" w14:paraId="2861230E" w14:textId="2A10E02A">
      <w:pPr>
        <w:spacing w:after="0" w:line="240" w:lineRule="auto"/>
        <w:ind w:left="360"/>
        <w:rPr>
          <w:rFonts w:ascii="Arial" w:hAnsi="Arial" w:cs="Arial"/>
          <w:sz w:val="24"/>
          <w:szCs w:val="24"/>
        </w:rPr>
      </w:pPr>
      <w:r w:rsidRPr="00B53AB5">
        <w:rPr>
          <w:rFonts w:ascii="Arial" w:hAnsi="Arial" w:cs="Arial"/>
          <w:sz w:val="24"/>
          <w:szCs w:val="24"/>
        </w:rPr>
        <w:t>Saleh, Q.Y., Al-</w:t>
      </w:r>
      <w:proofErr w:type="spellStart"/>
      <w:r w:rsidRPr="00B53AB5">
        <w:rPr>
          <w:rFonts w:ascii="Arial" w:hAnsi="Arial" w:cs="Arial"/>
          <w:sz w:val="24"/>
          <w:szCs w:val="24"/>
        </w:rPr>
        <w:t>Nimer</w:t>
      </w:r>
      <w:proofErr w:type="spellEnd"/>
      <w:r w:rsidRPr="00B53AB5">
        <w:rPr>
          <w:rFonts w:ascii="Arial" w:hAnsi="Arial" w:cs="Arial"/>
          <w:sz w:val="24"/>
          <w:szCs w:val="24"/>
        </w:rPr>
        <w:t xml:space="preserve">, M.B. and </w:t>
      </w:r>
      <w:proofErr w:type="spellStart"/>
      <w:r w:rsidRPr="00B53AB5">
        <w:rPr>
          <w:rFonts w:ascii="Arial" w:hAnsi="Arial" w:cs="Arial"/>
          <w:sz w:val="24"/>
          <w:szCs w:val="24"/>
        </w:rPr>
        <w:t>Abbadi</w:t>
      </w:r>
      <w:proofErr w:type="spellEnd"/>
      <w:r w:rsidRPr="00B53AB5">
        <w:rPr>
          <w:rFonts w:ascii="Arial" w:hAnsi="Arial" w:cs="Arial"/>
          <w:sz w:val="24"/>
          <w:szCs w:val="24"/>
        </w:rPr>
        <w:t xml:space="preserve">, S.S., 2023. The quality of cost accounting systems in manufacturing firms: A literature review. </w:t>
      </w:r>
      <w:r w:rsidRPr="00B53AB5">
        <w:rPr>
          <w:rStyle w:val="Emphasis"/>
          <w:rFonts w:ascii="Arial" w:hAnsi="Arial" w:cs="Arial"/>
          <w:sz w:val="24"/>
          <w:szCs w:val="24"/>
        </w:rPr>
        <w:t>Cogent Business &amp; Management</w:t>
      </w:r>
      <w:r w:rsidRPr="00B53AB5">
        <w:rPr>
          <w:rFonts w:ascii="Arial" w:hAnsi="Arial" w:cs="Arial"/>
          <w:sz w:val="24"/>
          <w:szCs w:val="24"/>
        </w:rPr>
        <w:t>. Available at:</w:t>
      </w:r>
      <w:r w:rsidRPr="000F6670" w:rsidR="000F6670">
        <w:t xml:space="preserve"> </w:t>
      </w:r>
      <w:hyperlink w:history="1" w:anchor="abstract" r:id="rId48">
        <w:r w:rsidRPr="000F6670" w:rsidR="000F6670">
          <w:rPr>
            <w:rFonts w:ascii="Arial" w:hAnsi="Arial" w:cs="Arial"/>
            <w:sz w:val="24"/>
            <w:szCs w:val="24"/>
          </w:rPr>
          <w:t>Full article: The quality of cost accounting systems in manufacturing firms: A literature review</w:t>
        </w:r>
      </w:hyperlink>
      <w:r w:rsidRPr="000F6670">
        <w:rPr>
          <w:rFonts w:ascii="Arial" w:hAnsi="Arial" w:cs="Arial"/>
          <w:sz w:val="24"/>
          <w:szCs w:val="24"/>
        </w:rPr>
        <w:t xml:space="preserve">  </w:t>
      </w:r>
      <w:r>
        <w:rPr>
          <w:rFonts w:ascii="Arial" w:hAnsi="Arial" w:cs="Arial"/>
          <w:sz w:val="24"/>
          <w:szCs w:val="24"/>
        </w:rPr>
        <w:t>(</w:t>
      </w:r>
      <w:r w:rsidRPr="00B53AB5">
        <w:rPr>
          <w:rFonts w:ascii="Arial" w:hAnsi="Arial" w:cs="Arial"/>
          <w:sz w:val="24"/>
          <w:szCs w:val="24"/>
        </w:rPr>
        <w:t>Accessed 2</w:t>
      </w:r>
      <w:r>
        <w:rPr>
          <w:rFonts w:ascii="Arial" w:hAnsi="Arial" w:cs="Arial"/>
          <w:sz w:val="24"/>
          <w:szCs w:val="24"/>
        </w:rPr>
        <w:t>6</w:t>
      </w:r>
      <w:r w:rsidRPr="00B53AB5">
        <w:rPr>
          <w:rFonts w:ascii="Arial" w:hAnsi="Arial" w:cs="Arial"/>
          <w:sz w:val="24"/>
          <w:szCs w:val="24"/>
        </w:rPr>
        <w:t xml:space="preserve"> November 2025</w:t>
      </w:r>
      <w:r>
        <w:rPr>
          <w:rFonts w:ascii="Arial" w:hAnsi="Arial" w:cs="Arial"/>
          <w:sz w:val="24"/>
          <w:szCs w:val="24"/>
        </w:rPr>
        <w:t>)</w:t>
      </w:r>
      <w:r w:rsidRPr="00B53AB5">
        <w:rPr>
          <w:rFonts w:ascii="Arial" w:hAnsi="Arial" w:cs="Arial"/>
          <w:sz w:val="24"/>
          <w:szCs w:val="24"/>
        </w:rPr>
        <w:t>.</w:t>
      </w:r>
    </w:p>
    <w:p w:rsidRPr="00B53AB5" w:rsidR="00CB5809" w:rsidP="00EC568E" w:rsidRDefault="00CB5809" w14:paraId="6474829F" w14:textId="77777777">
      <w:pPr>
        <w:spacing w:after="0" w:line="240" w:lineRule="auto"/>
        <w:ind w:left="360"/>
        <w:rPr>
          <w:rFonts w:ascii="Arial" w:hAnsi="Arial" w:eastAsia="Times New Roman" w:cs="Arial"/>
          <w:sz w:val="24"/>
          <w:szCs w:val="24"/>
          <w:lang w:eastAsia="en-GB"/>
        </w:rPr>
      </w:pPr>
    </w:p>
    <w:p w:rsidR="00CB5809" w:rsidP="00CB5809" w:rsidRDefault="00CB5809" w14:paraId="64C40605" w14:textId="47340666">
      <w:pPr>
        <w:ind w:left="360"/>
        <w:rPr>
          <w:rFonts w:ascii="Arial" w:hAnsi="Arial" w:cs="Arial"/>
          <w:sz w:val="24"/>
          <w:szCs w:val="24"/>
        </w:rPr>
      </w:pPr>
      <w:r w:rsidRPr="00EC568E">
        <w:rPr>
          <w:rFonts w:ascii="Arial" w:hAnsi="Arial" w:eastAsia="Times New Roman" w:cs="Arial"/>
          <w:sz w:val="24"/>
          <w:szCs w:val="24"/>
          <w:lang w:eastAsia="en-GB"/>
        </w:rPr>
        <w:t>Sánchez-</w:t>
      </w:r>
      <w:proofErr w:type="spellStart"/>
      <w:r w:rsidRPr="00EC568E">
        <w:rPr>
          <w:rFonts w:ascii="Arial" w:hAnsi="Arial" w:eastAsia="Times New Roman" w:cs="Arial"/>
          <w:sz w:val="24"/>
          <w:szCs w:val="24"/>
          <w:lang w:eastAsia="en-GB"/>
        </w:rPr>
        <w:t>Rebull</w:t>
      </w:r>
      <w:proofErr w:type="spellEnd"/>
      <w:r w:rsidRPr="00EC568E">
        <w:rPr>
          <w:rFonts w:ascii="Arial" w:hAnsi="Arial" w:eastAsia="Times New Roman" w:cs="Arial"/>
          <w:sz w:val="24"/>
          <w:szCs w:val="24"/>
          <w:lang w:eastAsia="en-GB"/>
        </w:rPr>
        <w:t xml:space="preserve">, M.V. et al. (2023) </w:t>
      </w:r>
      <w:r>
        <w:rPr>
          <w:rFonts w:ascii="Arial" w:hAnsi="Arial" w:eastAsia="Times New Roman" w:cs="Arial"/>
          <w:sz w:val="24"/>
          <w:szCs w:val="24"/>
          <w:lang w:eastAsia="en-GB"/>
        </w:rPr>
        <w:t>Available at:</w:t>
      </w:r>
      <w:r w:rsidRPr="003B4DB9">
        <w:rPr>
          <w:rFonts w:ascii="Arial" w:hAnsi="Arial" w:eastAsia="Times New Roman" w:cs="Arial"/>
          <w:sz w:val="24"/>
          <w:szCs w:val="24"/>
          <w:lang w:eastAsia="en-GB"/>
        </w:rPr>
        <w:t xml:space="preserve"> </w:t>
      </w:r>
      <w:hyperlink w:history="1" r:id="rId49">
        <w:r w:rsidRPr="003B4DB9">
          <w:rPr>
            <w:rFonts w:ascii="Arial" w:hAnsi="Arial" w:cs="Arial"/>
            <w:sz w:val="24"/>
            <w:szCs w:val="24"/>
          </w:rPr>
          <w:t>After 30 Years, What Has Happened to Activity-Based Costing? A Systematic Literature Review</w:t>
        </w:r>
      </w:hyperlink>
      <w:r>
        <w:rPr>
          <w:rFonts w:ascii="Arial" w:hAnsi="Arial" w:cs="Arial"/>
          <w:sz w:val="24"/>
          <w:szCs w:val="24"/>
        </w:rPr>
        <w:t xml:space="preserve"> (Accessed 25 November 2025)</w:t>
      </w:r>
    </w:p>
    <w:p w:rsidR="00CB5809" w:rsidP="00CB5809" w:rsidRDefault="00CB5809" w14:paraId="69C8E93C" w14:textId="04B7347A">
      <w:pPr>
        <w:spacing w:after="0" w:line="240" w:lineRule="auto"/>
        <w:ind w:left="360"/>
        <w:rPr>
          <w:rStyle w:val="Hyperlink"/>
          <w:rFonts w:ascii="Arial" w:hAnsi="Arial" w:cs="Arial"/>
          <w:color w:val="auto"/>
          <w:sz w:val="24"/>
          <w:szCs w:val="24"/>
          <w:u w:val="none"/>
        </w:rPr>
      </w:pPr>
      <w:r w:rsidRPr="00C806FD">
        <w:rPr>
          <w:rFonts w:ascii="Arial" w:hAnsi="Arial" w:cs="Arial"/>
          <w:sz w:val="24"/>
          <w:szCs w:val="24"/>
        </w:rPr>
        <w:t xml:space="preserve">Santos, P. O., &amp; de Carvalho, M. M. (2022). Exploring the challenges and benefits for scaling Agile project management to large projects: A review. </w:t>
      </w:r>
      <w:r w:rsidRPr="00C806FD">
        <w:rPr>
          <w:rStyle w:val="Emphasis"/>
          <w:rFonts w:ascii="Arial" w:hAnsi="Arial" w:cs="Arial"/>
          <w:sz w:val="24"/>
          <w:szCs w:val="24"/>
        </w:rPr>
        <w:t>Requirements Engineering</w:t>
      </w:r>
      <w:r w:rsidRPr="00C806FD">
        <w:rPr>
          <w:rFonts w:ascii="Arial" w:hAnsi="Arial" w:cs="Arial"/>
          <w:sz w:val="24"/>
          <w:szCs w:val="24"/>
        </w:rPr>
        <w:t xml:space="preserve">. </w:t>
      </w:r>
      <w:hyperlink w:history="1" r:id="rId50">
        <w:r w:rsidRPr="00C806FD">
          <w:rPr>
            <w:rStyle w:val="Hyperlink"/>
            <w:rFonts w:ascii="Arial" w:hAnsi="Arial" w:cs="Arial"/>
            <w:color w:val="auto"/>
            <w:sz w:val="24"/>
            <w:szCs w:val="24"/>
            <w:u w:val="none"/>
          </w:rPr>
          <w:t>https://doi.org/10.1007/s00766-021-00363-3</w:t>
        </w:r>
      </w:hyperlink>
    </w:p>
    <w:p w:rsidR="00CB5809" w:rsidP="00CB5809" w:rsidRDefault="00CB5809" w14:paraId="0364D130" w14:textId="77777777">
      <w:pPr>
        <w:spacing w:after="0" w:line="240" w:lineRule="auto"/>
        <w:ind w:left="360"/>
        <w:rPr>
          <w:rFonts w:ascii="Arial" w:hAnsi="Arial" w:cs="Arial"/>
          <w:sz w:val="24"/>
          <w:szCs w:val="24"/>
        </w:rPr>
      </w:pPr>
    </w:p>
    <w:p w:rsidR="00CB5809" w:rsidP="00CB5809" w:rsidRDefault="00CB5809" w14:paraId="0E91A6C3" w14:textId="77777777">
      <w:pPr>
        <w:spacing w:after="0" w:line="240" w:lineRule="auto"/>
        <w:ind w:left="360"/>
        <w:rPr>
          <w:rFonts w:ascii="Arial" w:hAnsi="Arial" w:cs="Arial"/>
          <w:sz w:val="24"/>
          <w:szCs w:val="24"/>
        </w:rPr>
      </w:pPr>
      <w:r w:rsidRPr="00E706DE">
        <w:rPr>
          <w:rFonts w:ascii="Arial" w:hAnsi="Arial" w:cs="Arial"/>
          <w:sz w:val="24"/>
          <w:szCs w:val="24"/>
        </w:rPr>
        <w:t xml:space="preserve">Strategic Finance Editorial Staff (2024) ‘The best of Strategic Finance 2024: Leadership’, </w:t>
      </w:r>
      <w:r w:rsidRPr="00E706DE">
        <w:rPr>
          <w:rStyle w:val="Emphasis"/>
          <w:rFonts w:ascii="Arial" w:hAnsi="Arial" w:cs="Arial"/>
          <w:sz w:val="24"/>
          <w:szCs w:val="24"/>
        </w:rPr>
        <w:t>Strategic Finance</w:t>
      </w:r>
      <w:r w:rsidRPr="00E706DE">
        <w:rPr>
          <w:rFonts w:ascii="Arial" w:hAnsi="Arial" w:cs="Arial"/>
          <w:sz w:val="24"/>
          <w:szCs w:val="24"/>
        </w:rPr>
        <w:t>, 3 December. Available at: https://www.sfmagazine.com/articles/2024/december/the-best-of-strategic-finance-2024-leadership (Accessed: 27 November 2025).</w:t>
      </w:r>
    </w:p>
    <w:p w:rsidRPr="00EC568E" w:rsidR="00EC568E" w:rsidP="00CB5809" w:rsidRDefault="00EC568E" w14:paraId="418F5960" w14:textId="77777777">
      <w:pPr>
        <w:spacing w:after="0" w:line="240" w:lineRule="auto"/>
        <w:rPr>
          <w:rFonts w:ascii="Arial" w:hAnsi="Arial" w:eastAsia="Times New Roman" w:cs="Arial"/>
          <w:sz w:val="24"/>
          <w:szCs w:val="24"/>
          <w:lang w:eastAsia="en-GB"/>
        </w:rPr>
      </w:pPr>
    </w:p>
    <w:p w:rsidR="00EC568E" w:rsidP="00EC568E" w:rsidRDefault="00E706DE" w14:paraId="7766F0A3" w14:textId="79EDD17F">
      <w:pPr>
        <w:spacing w:after="0" w:line="240" w:lineRule="auto"/>
        <w:ind w:left="360"/>
        <w:rPr>
          <w:rFonts w:ascii="Arial" w:hAnsi="Arial" w:cs="Arial"/>
          <w:sz w:val="24"/>
          <w:szCs w:val="24"/>
        </w:rPr>
      </w:pPr>
      <w:r w:rsidRPr="00E706DE">
        <w:rPr>
          <w:rFonts w:ascii="Arial" w:hAnsi="Arial" w:cs="Arial"/>
          <w:sz w:val="24"/>
          <w:szCs w:val="24"/>
        </w:rPr>
        <w:t xml:space="preserve">Toyota Motor Corporation (2024) ‘North American Environmental Sustainability Report’, </w:t>
      </w:r>
      <w:r w:rsidRPr="00E706DE">
        <w:rPr>
          <w:rStyle w:val="Emphasis"/>
          <w:rFonts w:ascii="Arial" w:hAnsi="Arial" w:cs="Arial"/>
          <w:sz w:val="24"/>
          <w:szCs w:val="24"/>
        </w:rPr>
        <w:t>Toyota Global</w:t>
      </w:r>
      <w:r w:rsidRPr="00E706DE">
        <w:rPr>
          <w:rFonts w:ascii="Arial" w:hAnsi="Arial" w:cs="Arial"/>
          <w:sz w:val="24"/>
          <w:szCs w:val="24"/>
        </w:rPr>
        <w:t>. Available at: https://jamnewswire.com/toyota-unveils-2024-north-american-environmental-sustainability-report/ (Accessed: 27 November 2025).</w:t>
      </w:r>
    </w:p>
    <w:p w:rsidRPr="00E706DE" w:rsidR="00EE1D21" w:rsidP="00EC568E" w:rsidRDefault="00EE1D21" w14:paraId="338AE096" w14:textId="77777777">
      <w:pPr>
        <w:spacing w:after="0" w:line="240" w:lineRule="auto"/>
        <w:ind w:left="360"/>
        <w:rPr>
          <w:rFonts w:ascii="Arial" w:hAnsi="Arial" w:eastAsia="Times New Roman" w:cs="Arial"/>
          <w:sz w:val="24"/>
          <w:szCs w:val="24"/>
          <w:lang w:eastAsia="en-GB"/>
        </w:rPr>
      </w:pPr>
    </w:p>
    <w:p w:rsidRPr="00CB5809" w:rsidR="00EC568E" w:rsidP="00CB5809" w:rsidRDefault="00EE1D21" w14:paraId="5BD67F25" w14:textId="4A232062">
      <w:pPr>
        <w:spacing w:after="0" w:line="240" w:lineRule="auto"/>
        <w:ind w:left="360"/>
        <w:rPr>
          <w:rFonts w:ascii="Arial" w:hAnsi="Arial" w:cs="Arial"/>
          <w:sz w:val="24"/>
          <w:szCs w:val="24"/>
        </w:rPr>
      </w:pPr>
      <w:r w:rsidRPr="00EE1D21">
        <w:rPr>
          <w:rFonts w:ascii="Arial" w:hAnsi="Arial" w:cs="Arial"/>
          <w:sz w:val="24"/>
          <w:szCs w:val="24"/>
        </w:rPr>
        <w:t>Toyota Motor Corporation, n.d. Cost planning, mass planning, standardization of parts. Available at:</w:t>
      </w:r>
      <w:r w:rsidRPr="00EE1D21">
        <w:t xml:space="preserve"> </w:t>
      </w:r>
      <w:hyperlink w:history="1" r:id="rId51">
        <w:r w:rsidRPr="00EE1D21">
          <w:rPr>
            <w:rFonts w:ascii="Arial" w:hAnsi="Arial" w:cs="Arial"/>
            <w:sz w:val="24"/>
            <w:szCs w:val="24"/>
          </w:rPr>
          <w:t>TOYOTA MOTOR CORPORATION GLOBAL WEBSITE | 75 Years of TOYOTA | Research and Development Support | Cost Planning, Mass Planning, Standardization of Parts</w:t>
        </w:r>
      </w:hyperlink>
      <w:r w:rsidRPr="00EE1D21">
        <w:rPr>
          <w:rFonts w:ascii="Arial" w:hAnsi="Arial" w:cs="Arial"/>
          <w:sz w:val="24"/>
          <w:szCs w:val="24"/>
        </w:rPr>
        <w:t xml:space="preserve"> </w:t>
      </w:r>
      <w:r>
        <w:rPr>
          <w:rFonts w:ascii="Arial" w:hAnsi="Arial" w:cs="Arial"/>
          <w:sz w:val="24"/>
          <w:szCs w:val="24"/>
        </w:rPr>
        <w:t>(</w:t>
      </w:r>
      <w:r w:rsidRPr="00EE1D21">
        <w:rPr>
          <w:rFonts w:ascii="Arial" w:hAnsi="Arial" w:cs="Arial"/>
          <w:sz w:val="24"/>
          <w:szCs w:val="24"/>
        </w:rPr>
        <w:t>Accessed 2</w:t>
      </w:r>
      <w:r>
        <w:rPr>
          <w:rFonts w:ascii="Arial" w:hAnsi="Arial" w:cs="Arial"/>
          <w:sz w:val="24"/>
          <w:szCs w:val="24"/>
        </w:rPr>
        <w:t>7</w:t>
      </w:r>
      <w:r w:rsidRPr="00EE1D21">
        <w:rPr>
          <w:rFonts w:ascii="Arial" w:hAnsi="Arial" w:cs="Arial"/>
          <w:sz w:val="24"/>
          <w:szCs w:val="24"/>
        </w:rPr>
        <w:t xml:space="preserve"> November 2025</w:t>
      </w:r>
      <w:r>
        <w:rPr>
          <w:rFonts w:ascii="Arial" w:hAnsi="Arial" w:cs="Arial"/>
          <w:sz w:val="24"/>
          <w:szCs w:val="24"/>
        </w:rPr>
        <w:t>’)</w:t>
      </w:r>
      <w:r w:rsidRPr="00EE1D21">
        <w:rPr>
          <w:rFonts w:ascii="Arial" w:hAnsi="Arial" w:cs="Arial"/>
          <w:sz w:val="24"/>
          <w:szCs w:val="24"/>
        </w:rPr>
        <w:t>.</w:t>
      </w:r>
    </w:p>
    <w:p w:rsidRPr="00EC568E" w:rsidR="00DE71ED" w:rsidP="00EC568E" w:rsidRDefault="00DE71ED" w14:paraId="78729F7B" w14:textId="77777777">
      <w:pPr>
        <w:spacing w:after="0" w:line="240" w:lineRule="auto"/>
        <w:ind w:left="360"/>
        <w:rPr>
          <w:rFonts w:ascii="Arial" w:hAnsi="Arial" w:eastAsia="Times New Roman" w:cs="Arial"/>
          <w:sz w:val="24"/>
          <w:szCs w:val="24"/>
          <w:lang w:eastAsia="en-GB"/>
        </w:rPr>
      </w:pPr>
    </w:p>
    <w:p w:rsidR="00B418EE" w:rsidP="00CB5809" w:rsidRDefault="008C5233" w14:paraId="65FE0E40" w14:textId="154F5417">
      <w:pPr>
        <w:spacing w:after="0" w:line="240" w:lineRule="auto"/>
        <w:ind w:left="360"/>
        <w:rPr>
          <w:rFonts w:ascii="Arial" w:hAnsi="Arial" w:cs="Arial"/>
          <w:sz w:val="24"/>
          <w:szCs w:val="24"/>
        </w:rPr>
      </w:pPr>
      <w:r w:rsidRPr="008C5233">
        <w:rPr>
          <w:rFonts w:ascii="Arial" w:hAnsi="Arial" w:cs="Arial"/>
          <w:sz w:val="24"/>
          <w:szCs w:val="24"/>
        </w:rPr>
        <w:t xml:space="preserve">Unilever (2024) </w:t>
      </w:r>
      <w:r w:rsidRPr="008C5233">
        <w:rPr>
          <w:rFonts w:ascii="Arial" w:hAnsi="Arial" w:cs="Arial"/>
          <w:i/>
          <w:iCs/>
          <w:sz w:val="24"/>
          <w:szCs w:val="24"/>
        </w:rPr>
        <w:t>Annual Report and Accounts 2024</w:t>
      </w:r>
      <w:r w:rsidRPr="008C5233">
        <w:rPr>
          <w:rFonts w:ascii="Arial" w:hAnsi="Arial" w:cs="Arial"/>
          <w:sz w:val="24"/>
          <w:szCs w:val="24"/>
        </w:rPr>
        <w:t xml:space="preserve">. Available at: </w:t>
      </w:r>
      <w:hyperlink w:tgtFrame="_blank" w:history="1" r:id="rId52">
        <w:r w:rsidRPr="008C5233">
          <w:rPr>
            <w:rFonts w:ascii="Arial" w:hAnsi="Arial" w:cs="Arial"/>
            <w:sz w:val="24"/>
            <w:szCs w:val="24"/>
          </w:rPr>
          <w:t>https://www.unilever.com/files/unilever-annual-report-and-accounts-2024.pdf</w:t>
        </w:r>
      </w:hyperlink>
      <w:r w:rsidRPr="008C5233">
        <w:rPr>
          <w:rFonts w:ascii="Arial" w:hAnsi="Arial" w:cs="Arial"/>
          <w:sz w:val="24"/>
          <w:szCs w:val="24"/>
        </w:rPr>
        <w:t xml:space="preserve"> (Accessed: 27 November 2025).</w:t>
      </w:r>
    </w:p>
    <w:p w:rsidR="00CB5809" w:rsidP="00CB5809" w:rsidRDefault="00CB5809" w14:paraId="1F59B9DE" w14:textId="77777777">
      <w:pPr>
        <w:spacing w:after="0" w:line="240" w:lineRule="auto"/>
        <w:ind w:left="360"/>
        <w:rPr>
          <w:rFonts w:ascii="Arial" w:hAnsi="Arial" w:cs="Arial"/>
          <w:sz w:val="24"/>
          <w:szCs w:val="24"/>
        </w:rPr>
      </w:pPr>
    </w:p>
    <w:p w:rsidR="00973181" w:rsidP="00CB5809" w:rsidRDefault="00973181" w14:paraId="1FB2E686" w14:textId="3048DAD1">
      <w:pPr>
        <w:spacing w:line="240" w:lineRule="auto"/>
        <w:ind w:left="360"/>
        <w:rPr>
          <w:rFonts w:ascii="Arial" w:hAnsi="Arial" w:cs="Arial"/>
          <w:sz w:val="24"/>
          <w:szCs w:val="24"/>
        </w:rPr>
      </w:pPr>
      <w:proofErr w:type="spellStart"/>
      <w:r w:rsidRPr="00973181">
        <w:rPr>
          <w:rFonts w:ascii="Arial" w:hAnsi="Arial" w:cs="Arial"/>
          <w:sz w:val="24"/>
          <w:szCs w:val="24"/>
        </w:rPr>
        <w:t>Udeh</w:t>
      </w:r>
      <w:proofErr w:type="spellEnd"/>
      <w:r w:rsidRPr="00973181">
        <w:rPr>
          <w:rFonts w:ascii="Arial" w:hAnsi="Arial" w:cs="Arial"/>
          <w:sz w:val="24"/>
          <w:szCs w:val="24"/>
        </w:rPr>
        <w:t xml:space="preserve">, P.N., Eze, R.C. &amp; </w:t>
      </w:r>
      <w:proofErr w:type="spellStart"/>
      <w:r w:rsidRPr="00973181">
        <w:rPr>
          <w:rFonts w:ascii="Arial" w:hAnsi="Arial" w:cs="Arial"/>
          <w:sz w:val="24"/>
          <w:szCs w:val="24"/>
        </w:rPr>
        <w:t>Enujioke</w:t>
      </w:r>
      <w:proofErr w:type="spellEnd"/>
      <w:r w:rsidRPr="00973181">
        <w:rPr>
          <w:rFonts w:ascii="Arial" w:hAnsi="Arial" w:cs="Arial"/>
          <w:sz w:val="24"/>
          <w:szCs w:val="24"/>
        </w:rPr>
        <w:t xml:space="preserve">, I.E. (2024) ‘Activity-Based Costing (ABC) Implementation: Challenges and Success Factors’, </w:t>
      </w:r>
      <w:r w:rsidRPr="00973181">
        <w:rPr>
          <w:rFonts w:ascii="Arial" w:hAnsi="Arial" w:cs="Arial"/>
          <w:i/>
          <w:iCs/>
          <w:sz w:val="24"/>
          <w:szCs w:val="24"/>
        </w:rPr>
        <w:t>European Journal of Finance and Management Sciences</w:t>
      </w:r>
      <w:r w:rsidRPr="00973181">
        <w:rPr>
          <w:rFonts w:ascii="Arial" w:hAnsi="Arial" w:cs="Arial"/>
          <w:sz w:val="24"/>
          <w:szCs w:val="24"/>
        </w:rPr>
        <w:t xml:space="preserve">. Available at: </w:t>
      </w:r>
      <w:hyperlink w:tgtFrame="_blank" w:history="1" r:id="rId53">
        <w:r w:rsidRPr="00973181">
          <w:rPr>
            <w:rFonts w:ascii="Arial" w:hAnsi="Arial" w:cs="Arial"/>
            <w:sz w:val="24"/>
            <w:szCs w:val="24"/>
          </w:rPr>
          <w:t>https://deqepub.org/ejfms/journal_article/activity-based-costing-abc-implementation-challenges-and-success-factors</w:t>
        </w:r>
      </w:hyperlink>
      <w:r w:rsidRPr="00973181">
        <w:rPr>
          <w:rFonts w:ascii="Arial" w:hAnsi="Arial" w:cs="Arial"/>
          <w:sz w:val="24"/>
          <w:szCs w:val="24"/>
        </w:rPr>
        <w:t xml:space="preserve"> (Accessed: 27 November 2025).</w:t>
      </w:r>
    </w:p>
    <w:sectPr w:rsidR="00973181" w:rsidSect="007D1947">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62A37" w:rsidP="00EC568E" w:rsidRDefault="00262A37" w14:paraId="356F67E8" w14:textId="77777777">
      <w:pPr>
        <w:spacing w:after="0" w:line="240" w:lineRule="auto"/>
      </w:pPr>
      <w:r>
        <w:separator/>
      </w:r>
    </w:p>
  </w:endnote>
  <w:endnote w:type="continuationSeparator" w:id="0">
    <w:p w:rsidR="00262A37" w:rsidP="00EC568E" w:rsidRDefault="00262A37" w14:paraId="154FB5B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62A37" w:rsidP="00EC568E" w:rsidRDefault="00262A37" w14:paraId="328D6BC0" w14:textId="77777777">
      <w:pPr>
        <w:spacing w:after="0" w:line="240" w:lineRule="auto"/>
      </w:pPr>
      <w:r>
        <w:separator/>
      </w:r>
    </w:p>
  </w:footnote>
  <w:footnote w:type="continuationSeparator" w:id="0">
    <w:p w:rsidR="00262A37" w:rsidP="00EC568E" w:rsidRDefault="00262A37" w14:paraId="11FBBA0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A006F"/>
    <w:multiLevelType w:val="multilevel"/>
    <w:tmpl w:val="BBDEC7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C1E1D0F"/>
    <w:multiLevelType w:val="hybridMultilevel"/>
    <w:tmpl w:val="0E3A3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FD01C4"/>
    <w:multiLevelType w:val="hybridMultilevel"/>
    <w:tmpl w:val="CA884D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9172E27"/>
    <w:multiLevelType w:val="hybridMultilevel"/>
    <w:tmpl w:val="76C875E4"/>
    <w:lvl w:ilvl="0" w:tplc="F71812EE">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CD7C12"/>
    <w:multiLevelType w:val="multilevel"/>
    <w:tmpl w:val="C2EC5D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DB44332"/>
    <w:multiLevelType w:val="hybridMultilevel"/>
    <w:tmpl w:val="14D244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58B6D53"/>
    <w:multiLevelType w:val="multilevel"/>
    <w:tmpl w:val="CB40FA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6B113DE"/>
    <w:multiLevelType w:val="hybridMultilevel"/>
    <w:tmpl w:val="E4785F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6BD24D5"/>
    <w:multiLevelType w:val="hybridMultilevel"/>
    <w:tmpl w:val="DBAC0A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F0858B5"/>
    <w:multiLevelType w:val="multilevel"/>
    <w:tmpl w:val="C2EC5D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1B2168F"/>
    <w:multiLevelType w:val="hybridMultilevel"/>
    <w:tmpl w:val="53DCB2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6AB4EA7"/>
    <w:multiLevelType w:val="hybridMultilevel"/>
    <w:tmpl w:val="4066E4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8B224AD"/>
    <w:multiLevelType w:val="hybridMultilevel"/>
    <w:tmpl w:val="F5C058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A3A52D8"/>
    <w:multiLevelType w:val="hybridMultilevel"/>
    <w:tmpl w:val="E75E83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FEC6102"/>
    <w:multiLevelType w:val="hybridMultilevel"/>
    <w:tmpl w:val="AE44E2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0EF316E"/>
    <w:multiLevelType w:val="multilevel"/>
    <w:tmpl w:val="2D2AFC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8080627"/>
    <w:multiLevelType w:val="hybridMultilevel"/>
    <w:tmpl w:val="5D922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A1C3E5E"/>
    <w:multiLevelType w:val="hybridMultilevel"/>
    <w:tmpl w:val="28B2AA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C3D5F31"/>
    <w:multiLevelType w:val="multilevel"/>
    <w:tmpl w:val="596AD3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7C233063"/>
    <w:multiLevelType w:val="hybridMultilevel"/>
    <w:tmpl w:val="16FC3B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ECD49C3"/>
    <w:multiLevelType w:val="multilevel"/>
    <w:tmpl w:val="0DC81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1"/>
  </w:num>
  <w:num w:numId="2">
    <w:abstractNumId w:val="16"/>
  </w:num>
  <w:num w:numId="3">
    <w:abstractNumId w:val="17"/>
  </w:num>
  <w:num w:numId="4">
    <w:abstractNumId w:val="8"/>
  </w:num>
  <w:num w:numId="5">
    <w:abstractNumId w:val="12"/>
  </w:num>
  <w:num w:numId="6">
    <w:abstractNumId w:val="19"/>
  </w:num>
  <w:num w:numId="7">
    <w:abstractNumId w:val="2"/>
  </w:num>
  <w:num w:numId="8">
    <w:abstractNumId w:val="10"/>
  </w:num>
  <w:num w:numId="9">
    <w:abstractNumId w:val="3"/>
  </w:num>
  <w:num w:numId="10">
    <w:abstractNumId w:val="15"/>
  </w:num>
  <w:num w:numId="11">
    <w:abstractNumId w:val="18"/>
  </w:num>
  <w:num w:numId="12">
    <w:abstractNumId w:val="6"/>
  </w:num>
  <w:num w:numId="13">
    <w:abstractNumId w:val="20"/>
  </w:num>
  <w:num w:numId="14">
    <w:abstractNumId w:val="7"/>
  </w:num>
  <w:num w:numId="15">
    <w:abstractNumId w:val="14"/>
  </w:num>
  <w:num w:numId="16">
    <w:abstractNumId w:val="5"/>
  </w:num>
  <w:num w:numId="17">
    <w:abstractNumId w:val="13"/>
  </w:num>
  <w:num w:numId="18">
    <w:abstractNumId w:val="9"/>
  </w:num>
  <w:num w:numId="19">
    <w:abstractNumId w:val="1"/>
  </w:num>
  <w:num w:numId="20">
    <w:abstractNumId w:val="4"/>
  </w:num>
  <w:num w:numId="2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84E65"/>
    <w:rsid w:val="000D0D85"/>
    <w:rsid w:val="000F6670"/>
    <w:rsid w:val="00107936"/>
    <w:rsid w:val="00115B96"/>
    <w:rsid w:val="001E7B12"/>
    <w:rsid w:val="00217DA4"/>
    <w:rsid w:val="00262A37"/>
    <w:rsid w:val="002754EC"/>
    <w:rsid w:val="00276338"/>
    <w:rsid w:val="00292EDA"/>
    <w:rsid w:val="002A52E7"/>
    <w:rsid w:val="002C78AB"/>
    <w:rsid w:val="00324CCD"/>
    <w:rsid w:val="003B4DB9"/>
    <w:rsid w:val="003D7022"/>
    <w:rsid w:val="00480872"/>
    <w:rsid w:val="004A11F6"/>
    <w:rsid w:val="004D519C"/>
    <w:rsid w:val="004F60FC"/>
    <w:rsid w:val="00545F8A"/>
    <w:rsid w:val="00551917"/>
    <w:rsid w:val="005874B8"/>
    <w:rsid w:val="005C4BFB"/>
    <w:rsid w:val="006C740E"/>
    <w:rsid w:val="00760034"/>
    <w:rsid w:val="007D1947"/>
    <w:rsid w:val="00806F25"/>
    <w:rsid w:val="008C5233"/>
    <w:rsid w:val="00931CAA"/>
    <w:rsid w:val="00973181"/>
    <w:rsid w:val="00992608"/>
    <w:rsid w:val="009C00D0"/>
    <w:rsid w:val="00A12B58"/>
    <w:rsid w:val="00AA2A91"/>
    <w:rsid w:val="00B418EE"/>
    <w:rsid w:val="00B53AB5"/>
    <w:rsid w:val="00BE1B4F"/>
    <w:rsid w:val="00C65693"/>
    <w:rsid w:val="00C806FD"/>
    <w:rsid w:val="00CA09F3"/>
    <w:rsid w:val="00CB5809"/>
    <w:rsid w:val="00CE0A97"/>
    <w:rsid w:val="00D854A5"/>
    <w:rsid w:val="00DE71ED"/>
    <w:rsid w:val="00E51914"/>
    <w:rsid w:val="00E706DE"/>
    <w:rsid w:val="00E95B34"/>
    <w:rsid w:val="00EC568E"/>
    <w:rsid w:val="00ED3316"/>
    <w:rsid w:val="00EE1D21"/>
    <w:rsid w:val="00F6746E"/>
    <w:rsid w:val="00F953DE"/>
    <w:rsid w:val="00FA109B"/>
    <w:rsid w:val="0610957B"/>
    <w:rsid w:val="5B75B8A9"/>
    <w:rsid w:val="5F4DDEF3"/>
    <w:rsid w:val="7489BC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5B89B1B7-1CC4-4D14-A5C5-0670F6E007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F60FC"/>
    <w:pPr>
      <w:keepNext/>
      <w:keepLines/>
      <w:spacing w:before="40" w:after="0"/>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7D1947"/>
    <w:rPr>
      <w:rFonts w:eastAsiaTheme="minorEastAsia"/>
      <w:lang w:val="en-US"/>
    </w:rPr>
  </w:style>
  <w:style w:type="character" w:styleId="Heading1Char" w:customStyle="1">
    <w:name w:val="Heading 1 Char"/>
    <w:basedOn w:val="DefaultParagraphFont"/>
    <w:link w:val="Heading1"/>
    <w:uiPriority w:val="9"/>
    <w:rsid w:val="007D1947"/>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styleId="Heading2Char" w:customStyle="1">
    <w:name w:val="Heading 2 Char"/>
    <w:basedOn w:val="DefaultParagraphFont"/>
    <w:link w:val="Heading2"/>
    <w:uiPriority w:val="9"/>
    <w:rsid w:val="004D519C"/>
    <w:rPr>
      <w:rFonts w:asciiTheme="majorHAnsi" w:hAnsiTheme="majorHAnsi" w:eastAsiaTheme="majorEastAsia"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Strong">
    <w:name w:val="Strong"/>
    <w:basedOn w:val="DefaultParagraphFont"/>
    <w:uiPriority w:val="22"/>
    <w:qFormat/>
    <w:rsid w:val="00292EDA"/>
    <w:rPr>
      <w:b/>
      <w:bCs/>
    </w:rPr>
  </w:style>
  <w:style w:type="paragraph" w:styleId="ListParagraph">
    <w:name w:val="List Paragraph"/>
    <w:basedOn w:val="Normal"/>
    <w:uiPriority w:val="34"/>
    <w:qFormat/>
    <w:rsid w:val="00292EDA"/>
    <w:pPr>
      <w:ind w:left="720"/>
      <w:contextualSpacing/>
    </w:pPr>
  </w:style>
  <w:style w:type="table" w:styleId="TableGrid">
    <w:name w:val="Table Grid"/>
    <w:basedOn w:val="TableNormal"/>
    <w:uiPriority w:val="39"/>
    <w:rsid w:val="00292ED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06F2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uiPriority w:val="9"/>
    <w:semiHidden/>
    <w:rsid w:val="004F60FC"/>
    <w:rPr>
      <w:rFonts w:asciiTheme="majorHAnsi" w:hAnsiTheme="majorHAnsi" w:eastAsiaTheme="majorEastAsia" w:cstheme="majorBidi"/>
      <w:color w:val="1F4D78" w:themeColor="accent1" w:themeShade="7F"/>
      <w:sz w:val="24"/>
      <w:szCs w:val="24"/>
    </w:rPr>
  </w:style>
  <w:style w:type="paragraph" w:styleId="Header">
    <w:name w:val="header"/>
    <w:basedOn w:val="Normal"/>
    <w:link w:val="HeaderChar"/>
    <w:uiPriority w:val="99"/>
    <w:unhideWhenUsed/>
    <w:rsid w:val="00EC568E"/>
    <w:pPr>
      <w:tabs>
        <w:tab w:val="center" w:pos="4513"/>
        <w:tab w:val="right" w:pos="9026"/>
      </w:tabs>
      <w:spacing w:after="0" w:line="240" w:lineRule="auto"/>
    </w:pPr>
  </w:style>
  <w:style w:type="character" w:styleId="HeaderChar" w:customStyle="1">
    <w:name w:val="Header Char"/>
    <w:basedOn w:val="DefaultParagraphFont"/>
    <w:link w:val="Header"/>
    <w:uiPriority w:val="99"/>
    <w:rsid w:val="00EC568E"/>
  </w:style>
  <w:style w:type="paragraph" w:styleId="Footer">
    <w:name w:val="footer"/>
    <w:basedOn w:val="Normal"/>
    <w:link w:val="FooterChar"/>
    <w:uiPriority w:val="99"/>
    <w:unhideWhenUsed/>
    <w:rsid w:val="00EC568E"/>
    <w:pPr>
      <w:tabs>
        <w:tab w:val="center" w:pos="4513"/>
        <w:tab w:val="right" w:pos="9026"/>
      </w:tabs>
      <w:spacing w:after="0" w:line="240" w:lineRule="auto"/>
    </w:pPr>
  </w:style>
  <w:style w:type="character" w:styleId="FooterChar" w:customStyle="1">
    <w:name w:val="Footer Char"/>
    <w:basedOn w:val="DefaultParagraphFont"/>
    <w:link w:val="Footer"/>
    <w:uiPriority w:val="99"/>
    <w:rsid w:val="00EC568E"/>
  </w:style>
  <w:style w:type="character" w:styleId="UnresolvedMention">
    <w:name w:val="Unresolved Mention"/>
    <w:basedOn w:val="DefaultParagraphFont"/>
    <w:uiPriority w:val="99"/>
    <w:semiHidden/>
    <w:unhideWhenUsed/>
    <w:rsid w:val="00217DA4"/>
    <w:rPr>
      <w:color w:val="605E5C"/>
      <w:shd w:val="clear" w:color="auto" w:fill="E1DFDD"/>
    </w:rPr>
  </w:style>
  <w:style w:type="character" w:styleId="Emphasis">
    <w:name w:val="Emphasis"/>
    <w:basedOn w:val="DefaultParagraphFont"/>
    <w:uiPriority w:val="20"/>
    <w:qFormat/>
    <w:rsid w:val="00E706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68735">
      <w:bodyDiv w:val="1"/>
      <w:marLeft w:val="0"/>
      <w:marRight w:val="0"/>
      <w:marTop w:val="0"/>
      <w:marBottom w:val="0"/>
      <w:divBdr>
        <w:top w:val="none" w:sz="0" w:space="0" w:color="auto"/>
        <w:left w:val="none" w:sz="0" w:space="0" w:color="auto"/>
        <w:bottom w:val="none" w:sz="0" w:space="0" w:color="auto"/>
        <w:right w:val="none" w:sz="0" w:space="0" w:color="auto"/>
      </w:divBdr>
    </w:div>
    <w:div w:id="108859363">
      <w:bodyDiv w:val="1"/>
      <w:marLeft w:val="0"/>
      <w:marRight w:val="0"/>
      <w:marTop w:val="0"/>
      <w:marBottom w:val="0"/>
      <w:divBdr>
        <w:top w:val="none" w:sz="0" w:space="0" w:color="auto"/>
        <w:left w:val="none" w:sz="0" w:space="0" w:color="auto"/>
        <w:bottom w:val="none" w:sz="0" w:space="0" w:color="auto"/>
        <w:right w:val="none" w:sz="0" w:space="0" w:color="auto"/>
      </w:divBdr>
    </w:div>
    <w:div w:id="136145548">
      <w:bodyDiv w:val="1"/>
      <w:marLeft w:val="0"/>
      <w:marRight w:val="0"/>
      <w:marTop w:val="0"/>
      <w:marBottom w:val="0"/>
      <w:divBdr>
        <w:top w:val="none" w:sz="0" w:space="0" w:color="auto"/>
        <w:left w:val="none" w:sz="0" w:space="0" w:color="auto"/>
        <w:bottom w:val="none" w:sz="0" w:space="0" w:color="auto"/>
        <w:right w:val="none" w:sz="0" w:space="0" w:color="auto"/>
      </w:divBdr>
    </w:div>
    <w:div w:id="200094260">
      <w:bodyDiv w:val="1"/>
      <w:marLeft w:val="0"/>
      <w:marRight w:val="0"/>
      <w:marTop w:val="0"/>
      <w:marBottom w:val="0"/>
      <w:divBdr>
        <w:top w:val="none" w:sz="0" w:space="0" w:color="auto"/>
        <w:left w:val="none" w:sz="0" w:space="0" w:color="auto"/>
        <w:bottom w:val="none" w:sz="0" w:space="0" w:color="auto"/>
        <w:right w:val="none" w:sz="0" w:space="0" w:color="auto"/>
      </w:divBdr>
    </w:div>
    <w:div w:id="633565817">
      <w:bodyDiv w:val="1"/>
      <w:marLeft w:val="0"/>
      <w:marRight w:val="0"/>
      <w:marTop w:val="0"/>
      <w:marBottom w:val="0"/>
      <w:divBdr>
        <w:top w:val="none" w:sz="0" w:space="0" w:color="auto"/>
        <w:left w:val="none" w:sz="0" w:space="0" w:color="auto"/>
        <w:bottom w:val="none" w:sz="0" w:space="0" w:color="auto"/>
        <w:right w:val="none" w:sz="0" w:space="0" w:color="auto"/>
      </w:divBdr>
    </w:div>
    <w:div w:id="666786342">
      <w:bodyDiv w:val="1"/>
      <w:marLeft w:val="0"/>
      <w:marRight w:val="0"/>
      <w:marTop w:val="0"/>
      <w:marBottom w:val="0"/>
      <w:divBdr>
        <w:top w:val="none" w:sz="0" w:space="0" w:color="auto"/>
        <w:left w:val="none" w:sz="0" w:space="0" w:color="auto"/>
        <w:bottom w:val="none" w:sz="0" w:space="0" w:color="auto"/>
        <w:right w:val="none" w:sz="0" w:space="0" w:color="auto"/>
      </w:divBdr>
    </w:div>
    <w:div w:id="1169949297">
      <w:bodyDiv w:val="1"/>
      <w:marLeft w:val="0"/>
      <w:marRight w:val="0"/>
      <w:marTop w:val="0"/>
      <w:marBottom w:val="0"/>
      <w:divBdr>
        <w:top w:val="none" w:sz="0" w:space="0" w:color="auto"/>
        <w:left w:val="none" w:sz="0" w:space="0" w:color="auto"/>
        <w:bottom w:val="none" w:sz="0" w:space="0" w:color="auto"/>
        <w:right w:val="none" w:sz="0" w:space="0" w:color="auto"/>
      </w:divBdr>
    </w:div>
    <w:div w:id="1314531425">
      <w:bodyDiv w:val="1"/>
      <w:marLeft w:val="0"/>
      <w:marRight w:val="0"/>
      <w:marTop w:val="0"/>
      <w:marBottom w:val="0"/>
      <w:divBdr>
        <w:top w:val="none" w:sz="0" w:space="0" w:color="auto"/>
        <w:left w:val="none" w:sz="0" w:space="0" w:color="auto"/>
        <w:bottom w:val="none" w:sz="0" w:space="0" w:color="auto"/>
        <w:right w:val="none" w:sz="0" w:space="0" w:color="auto"/>
      </w:divBdr>
    </w:div>
    <w:div w:id="1597322076">
      <w:bodyDiv w:val="1"/>
      <w:marLeft w:val="0"/>
      <w:marRight w:val="0"/>
      <w:marTop w:val="0"/>
      <w:marBottom w:val="0"/>
      <w:divBdr>
        <w:top w:val="none" w:sz="0" w:space="0" w:color="auto"/>
        <w:left w:val="none" w:sz="0" w:space="0" w:color="auto"/>
        <w:bottom w:val="none" w:sz="0" w:space="0" w:color="auto"/>
        <w:right w:val="none" w:sz="0" w:space="0" w:color="auto"/>
      </w:divBdr>
    </w:div>
    <w:div w:id="1799104288">
      <w:bodyDiv w:val="1"/>
      <w:marLeft w:val="0"/>
      <w:marRight w:val="0"/>
      <w:marTop w:val="0"/>
      <w:marBottom w:val="0"/>
      <w:divBdr>
        <w:top w:val="none" w:sz="0" w:space="0" w:color="auto"/>
        <w:left w:val="none" w:sz="0" w:space="0" w:color="auto"/>
        <w:bottom w:val="none" w:sz="0" w:space="0" w:color="auto"/>
        <w:right w:val="none" w:sz="0" w:space="0" w:color="auto"/>
      </w:divBdr>
    </w:div>
    <w:div w:id="1984697379">
      <w:bodyDiv w:val="1"/>
      <w:marLeft w:val="0"/>
      <w:marRight w:val="0"/>
      <w:marTop w:val="0"/>
      <w:marBottom w:val="0"/>
      <w:divBdr>
        <w:top w:val="none" w:sz="0" w:space="0" w:color="auto"/>
        <w:left w:val="none" w:sz="0" w:space="0" w:color="auto"/>
        <w:bottom w:val="none" w:sz="0" w:space="0" w:color="auto"/>
        <w:right w:val="none" w:sz="0" w:space="0" w:color="auto"/>
      </w:divBdr>
    </w:div>
    <w:div w:id="2097903066">
      <w:bodyDiv w:val="1"/>
      <w:marLeft w:val="0"/>
      <w:marRight w:val="0"/>
      <w:marTop w:val="0"/>
      <w:marBottom w:val="0"/>
      <w:divBdr>
        <w:top w:val="none" w:sz="0" w:space="0" w:color="auto"/>
        <w:left w:val="none" w:sz="0" w:space="0" w:color="auto"/>
        <w:bottom w:val="none" w:sz="0" w:space="0" w:color="auto"/>
        <w:right w:val="none" w:sz="0" w:space="0" w:color="auto"/>
      </w:divBdr>
    </w:div>
    <w:div w:id="211636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journals.sagepub.com/doi/pdf/10.1177/21582440231178785" TargetMode="External" Id="rId13" /><Relationship Type="http://schemas.openxmlformats.org/officeDocument/2006/relationships/hyperlink" Target="https://www.emerald.com/sef/article-abstract/40/5/932/345369/Investment-decisions-and-small-and-medium-sized?redirectedFrom=fulltext" TargetMode="External" Id="rId18" /><Relationship Type="http://schemas.openxmlformats.org/officeDocument/2006/relationships/hyperlink" Target="https://auditingaccounting.com/comparison-of-profit-under-absorption-costing-and-marginal-costing" TargetMode="External" Id="rId26" /><Relationship Type="http://schemas.openxmlformats.org/officeDocument/2006/relationships/hyperlink" Target="https://www.emerald.com/ecam/article/28/2/549/71028/A-centralised-cost-management-system-exploiting" TargetMode="External" Id="rId39" /><Relationship Type="http://schemas.openxmlformats.org/officeDocument/2006/relationships/hyperlink" Target="https://www.chittaranjancollege.ac.in/wp-content/uploads/2024/08/MARGINAL-COSTING.pdf" TargetMode="External" Id="rId21" /><Relationship Type="http://schemas.openxmlformats.org/officeDocument/2006/relationships/hyperlink" Target="https://www.jetir.org/papers/JETIR2212670.pdf" TargetMode="External" Id="rId34" /><Relationship Type="http://schemas.openxmlformats.org/officeDocument/2006/relationships/hyperlink" Target="https://blog.humphreys-assoc.com/evm-and-unified-risk-management/" TargetMode="External" Id="rId42" /><Relationship Type="http://schemas.openxmlformats.org/officeDocument/2006/relationships/hyperlink" Target="https://www.emerald.com/insight/content/doi/10.1108/sef-06-2023-0331/full/html" TargetMode="External" Id="rId47" /><Relationship Type="http://schemas.openxmlformats.org/officeDocument/2006/relationships/hyperlink" Target="https://doi.org/10.1007/s00766-021-00363-3" TargetMode="External" Id="rId50" /><Relationship Type="http://schemas.openxmlformats.org/officeDocument/2006/relationships/glossaryDocument" Target="glossary/document.xml" Id="rId55"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jetir.org/papers/JETIR2212670.pdf" TargetMode="External" Id="rId29" /><Relationship Type="http://schemas.openxmlformats.org/officeDocument/2006/relationships/hyperlink" Target="https://read.kortext.com/reader/epub/2731848?page=" TargetMode="External" Id="rId11" /><Relationship Type="http://schemas.openxmlformats.org/officeDocument/2006/relationships/hyperlink" Target="C://Users/an181793/AppData/Local/Temp/MicrosoftEdgeDownloads/fbb029a8-37ac-4778-9924-b883581df544/Inventory-valuation-considerations-in-the-forecasted-economy%20(1).pdf" TargetMode="External" Id="rId24" /><Relationship Type="http://schemas.openxmlformats.org/officeDocument/2006/relationships/hyperlink" Target="https://www.pwc.com/us/en/services/consulting/business-transformation/library/strategic-cost-management-playbook.html" TargetMode="External" Id="rId32" /><Relationship Type="http://schemas.openxmlformats.org/officeDocument/2006/relationships/hyperlink" Target="https://www.chittaranjancollege.ac.in/wp-content/uploads/2024/08/MARGINAL-COSTING.pdf" TargetMode="External" Id="rId37" /><Relationship Type="http://schemas.openxmlformats.org/officeDocument/2006/relationships/hyperlink" Target="https://rsmus.com/content/dam/rsm/insights/financial-reporting/1pdf/Inventory-valuation-considerations-in-the-forecasted-economy.pdf" TargetMode="External" Id="rId40" /><Relationship Type="http://schemas.openxmlformats.org/officeDocument/2006/relationships/hyperlink" Target="https://repository.uwtsd.ac.uk/id/eprint/1847/1/43093_2021_Article_109.pdf" TargetMode="External" Id="rId45" /><Relationship Type="http://schemas.openxmlformats.org/officeDocument/2006/relationships/hyperlink" Target="https://deqepub.org/ejfms/journal_article/activity-based-costing-abc-implementation-challenges-and-success-factors/" TargetMode="External" Id="rId53" /><Relationship Type="http://schemas.openxmlformats.org/officeDocument/2006/relationships/webSettings" Target="webSettings.xml" Id="rId5" /><Relationship Type="http://schemas.openxmlformats.org/officeDocument/2006/relationships/hyperlink" Target="https://journals.sagepub.com/doi/pdf/10.1177/21582440231178785" TargetMode="External" Id="rId10" /><Relationship Type="http://schemas.openxmlformats.org/officeDocument/2006/relationships/hyperlink" Target="https://repository.uwtsd.ac.uk/id/eprint/1857/1/Strategic%20Management.pdf" TargetMode="External" Id="rId44" /><Relationship Type="http://schemas.openxmlformats.org/officeDocument/2006/relationships/hyperlink" Target="https://www.unilever.com/files/unilever-annual-report-and-accounts-2024.pdf" TargetMode="External" Id="rId52"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deqepub.org/ejfms/journal_article/activity-based-costing-abc-implementation-challenges-and-success-factors/" TargetMode="External" Id="rId14" /><Relationship Type="http://schemas.openxmlformats.org/officeDocument/2006/relationships/hyperlink" Target="https://api.pageplace.de/preview/DT0400.9781292363165_A41466375/preview-9781292363165_A41466375.pdf" TargetMode="External" Id="rId22" /><Relationship Type="http://schemas.openxmlformats.org/officeDocument/2006/relationships/hyperlink" Target="https://www.accountinghub-online.com/marginal-costing-vs-absorption-costing/" TargetMode="External" Id="rId27" /><Relationship Type="http://schemas.openxmlformats.org/officeDocument/2006/relationships/hyperlink" Target="https://www.investopedia.com/terms/a/absorptioncosting.asp" TargetMode="External" Id="rId30" /><Relationship Type="http://schemas.openxmlformats.org/officeDocument/2006/relationships/hyperlink" Target="https://auditingaccounting.com/comparison-of-profit-under-absorption-costing-and-marginal-costing" TargetMode="External" Id="rId35" /><Relationship Type="http://schemas.openxmlformats.org/officeDocument/2006/relationships/hyperlink" Target="https://research-ebsco-com.ezproxy.uwtsd.ac.uk/c/onvpsy/viewer/pdf/rw2grajy2j?route=details" TargetMode="External" Id="rId43" /><Relationship Type="http://schemas.openxmlformats.org/officeDocument/2006/relationships/hyperlink" Target="https://www-tandfonline-com.ezproxy.uwtsd.ac.uk/doi/full/10.1080/23311975.2023.2209980" TargetMode="External" Id="rId48" /><Relationship Type="http://schemas.openxmlformats.org/officeDocument/2006/relationships/theme" Target="theme/theme1.xml" Id="rId56" /><Relationship Type="http://schemas.openxmlformats.org/officeDocument/2006/relationships/image" Target="media/image1.png" Id="rId8" /><Relationship Type="http://schemas.openxmlformats.org/officeDocument/2006/relationships/hyperlink" Target="https://www.toyota-global.com/company/history_of_toyota/75years/data/automotive_business/products_technology/research/cost/details.html" TargetMode="External" Id="rId51" /><Relationship Type="http://schemas.openxmlformats.org/officeDocument/2006/relationships/styles" Target="styles.xml" Id="rId3" /><Relationship Type="http://schemas.openxmlformats.org/officeDocument/2006/relationships/hyperlink" Target="https://repository.uwtsd.ac.uk/id/eprint/1847/1/43093_2021_Article_109.pdf" TargetMode="External" Id="rId12" /><Relationship Type="http://schemas.openxmlformats.org/officeDocument/2006/relationships/hyperlink" Target="https://read.kortext.com/reader/epub/2731848?page=" TargetMode="External" Id="rId17" /><Relationship Type="http://schemas.openxmlformats.org/officeDocument/2006/relationships/hyperlink" Target="https://fastercapital.com/content/Cost-Structure--Cost-Structure-Clarity--Choosing-Between-Marginal-and-Absorption-Costing.html" TargetMode="External" Id="rId25" /><Relationship Type="http://schemas.openxmlformats.org/officeDocument/2006/relationships/hyperlink" Target="https://www.accountinghub-online.com/marginal-costing-vs-absorption-costing/" TargetMode="External" Id="rId33" /><Relationship Type="http://schemas.openxmlformats.org/officeDocument/2006/relationships/hyperlink" Target="https://read.kortext.com/reader/epub/2731848?page=" TargetMode="External" Id="rId38" /><Relationship Type="http://schemas.openxmlformats.org/officeDocument/2006/relationships/hyperlink" Target="https://www.investopedia.com/terms/a/absorptioncosting.asp" TargetMode="External" Id="rId46" /><Relationship Type="http://schemas.openxmlformats.org/officeDocument/2006/relationships/hyperlink" Target="https://fastercapital.com/content/Cost-Structure--Cost-Structure-Clarity--Choosing-Between-Marginal-and-Absorption-Costing.html" TargetMode="External" Id="rId41" /><Relationship Type="http://schemas.openxmlformats.org/officeDocument/2006/relationships/fontTable" Target="fontTable.xml" Id="rId54"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sfmagazine.com/articles/2024/december/the-best-of-strategic-finance-2024-leadership" TargetMode="External" Id="rId23" /><Relationship Type="http://schemas.openxmlformats.org/officeDocument/2006/relationships/hyperlink" Target="https://www.unilever.com/files/unilever-annual-report-and-accounts-2024.pdf" TargetMode="External" Id="rId28" /><Relationship Type="http://schemas.openxmlformats.org/officeDocument/2006/relationships/hyperlink" Target="https://auditingaccounting.com/absorption-costing-vs-marginal-costing-key-differences-explained" TargetMode="External" Id="rId36" /><Relationship Type="http://schemas.openxmlformats.org/officeDocument/2006/relationships/hyperlink" Target="https://journals.sagepub.com/doi/pdf/10.1177/21582440231178785" TargetMode="External" Id="rId49" /><Relationship Type="http://schemas.openxmlformats.org/officeDocument/2006/relationships/hyperlink" Target="https://www.emerald.com/ecam/article-abstract/28/2/549/71028/A-centralised-cost-management-system-exploiting?redirectedFrom=fulltext" TargetMode="External" Id="Rf2abe12a983c4014" /><Relationship Type="http://schemas.openxmlformats.org/officeDocument/2006/relationships/hyperlink" Target="https://www-tandfonline-com.ezproxy.uwtsd.ac.uk/doi/full/10.1080/23311975.2023.2209980" TargetMode="External" Id="R6a88190298104f7e" /><Relationship Type="http://schemas.openxmlformats.org/officeDocument/2006/relationships/hyperlink" Target="https://jamnewswire.com/toyota-unveils-2024-north-american-environmental-sustainability-report/" TargetMode="External" Id="Ra73481d0154a4020" /><Relationship Type="http://schemas.openxmlformats.org/officeDocument/2006/relationships/hyperlink" Target="https://blog.humphreys-assoc.com/evm-and-unified-risk-management/" TargetMode="External" Id="Rbb1ee6201bc74848" /><Relationship Type="http://schemas.openxmlformats.org/officeDocument/2006/relationships/hyperlink" Target="https://auditingaccounting.com/absorption-costing-vs-marginal-costing-key-differences-explained" TargetMode="External" Id="R50d5fa7635e447f8"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xmlns:wp14="http://schemas.microsoft.com/office/word/2010/wordml" w:rsidR="00145AD8" w:rsidP="00BC1251" w:rsidRDefault="00BC1251" w14:paraId="6B00D73C" wp14:textId="77777777">
          <w:pPr>
            <w:pStyle w:val="DCBCB7F12FD741FCBCDF0AE63ED3B4BF"/>
          </w:pPr>
          <w:r>
            <w:rPr>
              <w:rFonts w:asciiTheme="majorHAnsi" w:hAnsiTheme="majorHAnsi" w:eastAsiaTheme="majorEastAsia"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B3EC5"/>
    <w:rsid w:val="004D25D2"/>
    <w:rsid w:val="00A34C42"/>
    <w:rsid w:val="00BC1251"/>
    <w:rsid w:val="00C67429"/>
    <w:rsid w:val="00E00C6B"/>
    <w:rsid w:val="00F033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Cost Management Techniques in a Dynamic Business Environment assignment</dc:title>
  <dc:subject>A Critical Evaluation of ABC, EVM, and Costing Methods</dc:subject>
  <dc:creator>Marie Pitson</dc:creator>
  <keywords/>
  <dc:description/>
  <lastModifiedBy>Anna Smith (2412596)</lastModifiedBy>
  <revision>6</revision>
  <dcterms:created xsi:type="dcterms:W3CDTF">2025-11-27T20:30:00.0000000Z</dcterms:created>
  <dcterms:modified xsi:type="dcterms:W3CDTF">2025-11-28T12:41:39.2397621Z</dcterms:modified>
</coreProperties>
</file>