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B7CC1" w14:textId="77777777" w:rsidR="00250EB4" w:rsidRDefault="00250EB4" w:rsidP="00250EB4">
      <w:pPr>
        <w:jc w:val="center"/>
        <w:rPr>
          <w:rFonts w:ascii="Arial" w:hAnsi="Arial" w:cs="Arial"/>
        </w:rPr>
      </w:pPr>
    </w:p>
    <w:p w14:paraId="0F50347B" w14:textId="77777777" w:rsidR="00250EB4" w:rsidRDefault="00250EB4" w:rsidP="00250EB4">
      <w:pPr>
        <w:jc w:val="center"/>
        <w:rPr>
          <w:rFonts w:ascii="Arial" w:hAnsi="Arial" w:cs="Arial"/>
          <w:b/>
          <w:bCs/>
          <w:sz w:val="36"/>
          <w:szCs w:val="36"/>
        </w:rPr>
      </w:pPr>
    </w:p>
    <w:p w14:paraId="601A4D3E" w14:textId="59B4FCB9" w:rsidR="00250EB4" w:rsidRPr="00250EB4" w:rsidRDefault="00250EB4" w:rsidP="00250EB4">
      <w:pPr>
        <w:jc w:val="center"/>
        <w:rPr>
          <w:rFonts w:ascii="Arial" w:hAnsi="Arial" w:cs="Arial"/>
          <w:b/>
          <w:bCs/>
          <w:sz w:val="52"/>
          <w:szCs w:val="52"/>
        </w:rPr>
      </w:pPr>
      <w:r w:rsidRPr="00250EB4">
        <w:rPr>
          <w:rFonts w:ascii="Arial" w:hAnsi="Arial" w:cs="Arial"/>
          <w:b/>
          <w:bCs/>
          <w:sz w:val="52"/>
          <w:szCs w:val="52"/>
        </w:rPr>
        <w:t>Managing Projects in the Organisation</w:t>
      </w:r>
      <w:r w:rsidRPr="00250EB4">
        <w:rPr>
          <w:rFonts w:ascii="Arial" w:hAnsi="Arial" w:cs="Arial"/>
          <w:b/>
          <w:bCs/>
          <w:sz w:val="52"/>
          <w:szCs w:val="52"/>
        </w:rPr>
        <w:br/>
        <w:t>(BMSW5009_SWAN)</w:t>
      </w:r>
    </w:p>
    <w:p w14:paraId="59315030" w14:textId="39422A2F" w:rsidR="00250EB4" w:rsidRPr="00250EB4" w:rsidRDefault="00250EB4" w:rsidP="00250EB4">
      <w:pPr>
        <w:rPr>
          <w:rFonts w:ascii="Arial" w:hAnsi="Arial" w:cs="Arial"/>
          <w:b/>
          <w:bCs/>
          <w:sz w:val="52"/>
          <w:szCs w:val="52"/>
        </w:rPr>
      </w:pPr>
    </w:p>
    <w:p w14:paraId="3A59165B" w14:textId="77777777" w:rsidR="00250EB4" w:rsidRPr="00250EB4" w:rsidRDefault="00250EB4" w:rsidP="00250EB4">
      <w:pPr>
        <w:jc w:val="center"/>
        <w:rPr>
          <w:rFonts w:ascii="Arial" w:hAnsi="Arial" w:cs="Arial"/>
          <w:b/>
          <w:bCs/>
          <w:sz w:val="52"/>
          <w:szCs w:val="52"/>
        </w:rPr>
      </w:pPr>
    </w:p>
    <w:p w14:paraId="0F8FB85B" w14:textId="0E4DC954" w:rsidR="00250EB4" w:rsidRPr="00250EB4" w:rsidRDefault="00250EB4" w:rsidP="00250EB4">
      <w:pPr>
        <w:jc w:val="center"/>
        <w:rPr>
          <w:rFonts w:ascii="Arial" w:hAnsi="Arial" w:cs="Arial"/>
          <w:b/>
          <w:bCs/>
          <w:sz w:val="52"/>
          <w:szCs w:val="52"/>
        </w:rPr>
      </w:pPr>
      <w:r w:rsidRPr="00250EB4">
        <w:rPr>
          <w:rFonts w:ascii="Arial" w:hAnsi="Arial" w:cs="Arial"/>
          <w:b/>
          <w:bCs/>
          <w:sz w:val="52"/>
          <w:szCs w:val="52"/>
        </w:rPr>
        <w:br/>
        <w:t xml:space="preserve">Lecturer: Giulia </w:t>
      </w:r>
      <w:proofErr w:type="spellStart"/>
      <w:r w:rsidRPr="00250EB4">
        <w:rPr>
          <w:rFonts w:ascii="Arial" w:hAnsi="Arial" w:cs="Arial"/>
          <w:b/>
          <w:bCs/>
          <w:sz w:val="52"/>
          <w:szCs w:val="52"/>
        </w:rPr>
        <w:t>Chifari</w:t>
      </w:r>
      <w:proofErr w:type="spellEnd"/>
      <w:r w:rsidRPr="00250EB4">
        <w:rPr>
          <w:rFonts w:ascii="Arial" w:hAnsi="Arial" w:cs="Arial"/>
          <w:b/>
          <w:bCs/>
          <w:sz w:val="52"/>
          <w:szCs w:val="52"/>
        </w:rPr>
        <w:br/>
      </w:r>
    </w:p>
    <w:p w14:paraId="34217F70" w14:textId="1B8FBFDF" w:rsidR="00250EB4" w:rsidRPr="00250EB4" w:rsidRDefault="00250EB4" w:rsidP="00250EB4">
      <w:pPr>
        <w:rPr>
          <w:rFonts w:ascii="Arial" w:hAnsi="Arial" w:cs="Arial"/>
          <w:b/>
          <w:bCs/>
          <w:sz w:val="52"/>
          <w:szCs w:val="52"/>
        </w:rPr>
      </w:pPr>
    </w:p>
    <w:p w14:paraId="74C08874" w14:textId="77777777" w:rsidR="00250EB4" w:rsidRPr="00250EB4" w:rsidRDefault="00250EB4" w:rsidP="00250EB4">
      <w:pPr>
        <w:jc w:val="center"/>
        <w:rPr>
          <w:rFonts w:ascii="Arial" w:hAnsi="Arial" w:cs="Arial"/>
          <w:b/>
          <w:bCs/>
          <w:sz w:val="52"/>
          <w:szCs w:val="52"/>
        </w:rPr>
      </w:pPr>
    </w:p>
    <w:p w14:paraId="6129DC4A" w14:textId="1001B33C" w:rsidR="00250EB4" w:rsidRPr="00250EB4" w:rsidRDefault="00250EB4" w:rsidP="00250EB4">
      <w:pPr>
        <w:jc w:val="center"/>
        <w:rPr>
          <w:rFonts w:ascii="Arial" w:hAnsi="Arial" w:cs="Arial"/>
          <w:b/>
          <w:bCs/>
          <w:sz w:val="52"/>
          <w:szCs w:val="52"/>
        </w:rPr>
      </w:pPr>
      <w:r w:rsidRPr="00250EB4">
        <w:rPr>
          <w:rFonts w:ascii="Arial" w:hAnsi="Arial" w:cs="Arial"/>
          <w:b/>
          <w:bCs/>
          <w:sz w:val="52"/>
          <w:szCs w:val="52"/>
        </w:rPr>
        <w:t xml:space="preserve">Student: Claudiu Florea – 2330390 </w:t>
      </w:r>
      <w:r w:rsidRPr="00250EB4">
        <w:rPr>
          <w:rFonts w:ascii="Arial" w:hAnsi="Arial" w:cs="Arial"/>
          <w:b/>
          <w:bCs/>
          <w:sz w:val="52"/>
          <w:szCs w:val="52"/>
        </w:rPr>
        <w:br/>
      </w:r>
    </w:p>
    <w:p w14:paraId="4187FD1D" w14:textId="77777777" w:rsidR="00250EB4" w:rsidRPr="00250EB4" w:rsidRDefault="00250EB4" w:rsidP="00250EB4">
      <w:pPr>
        <w:rPr>
          <w:rFonts w:ascii="Arial" w:hAnsi="Arial" w:cs="Arial"/>
          <w:b/>
          <w:bCs/>
          <w:sz w:val="52"/>
          <w:szCs w:val="52"/>
        </w:rPr>
      </w:pPr>
    </w:p>
    <w:p w14:paraId="10FEC695" w14:textId="7E7E6661" w:rsidR="00B33B7F" w:rsidRDefault="00250EB4" w:rsidP="00250EB4">
      <w:pPr>
        <w:jc w:val="center"/>
      </w:pPr>
      <w:r w:rsidRPr="00250EB4">
        <w:rPr>
          <w:rFonts w:ascii="Arial" w:hAnsi="Arial" w:cs="Arial"/>
          <w:b/>
          <w:bCs/>
          <w:sz w:val="52"/>
          <w:szCs w:val="52"/>
        </w:rPr>
        <w:br/>
      </w:r>
      <w:r w:rsidRPr="00250EB4">
        <w:rPr>
          <w:rFonts w:ascii="Arial" w:hAnsi="Arial" w:cs="Arial"/>
          <w:b/>
          <w:bCs/>
          <w:sz w:val="52"/>
          <w:szCs w:val="52"/>
        </w:rPr>
        <w:br/>
        <w:t>St</w:t>
      </w:r>
      <w:r>
        <w:rPr>
          <w:rFonts w:ascii="Arial" w:hAnsi="Arial" w:cs="Arial"/>
          <w:b/>
          <w:bCs/>
          <w:sz w:val="52"/>
          <w:szCs w:val="52"/>
        </w:rPr>
        <w:t>.</w:t>
      </w:r>
      <w:r w:rsidRPr="00250EB4">
        <w:rPr>
          <w:rFonts w:ascii="Arial" w:hAnsi="Arial" w:cs="Arial"/>
          <w:b/>
          <w:bCs/>
          <w:sz w:val="52"/>
          <w:szCs w:val="52"/>
        </w:rPr>
        <w:t xml:space="preserve"> Thomas Church food donation reflective blogs.</w:t>
      </w:r>
      <w:r w:rsidR="000B0873" w:rsidRPr="00250EB4">
        <w:rPr>
          <w:rFonts w:ascii="Arial" w:hAnsi="Arial" w:cs="Arial"/>
          <w:b/>
          <w:bCs/>
          <w:sz w:val="52"/>
          <w:szCs w:val="52"/>
        </w:rPr>
        <w:br/>
      </w:r>
      <w:r w:rsidR="000B0873" w:rsidRPr="00250EB4">
        <w:rPr>
          <w:rFonts w:ascii="Arial" w:hAnsi="Arial" w:cs="Arial"/>
          <w:b/>
          <w:bCs/>
          <w:sz w:val="28"/>
          <w:szCs w:val="28"/>
        </w:rPr>
        <w:br/>
      </w:r>
    </w:p>
    <w:p w14:paraId="5F9F7F38" w14:textId="77777777" w:rsidR="00B33B7F" w:rsidRPr="007F2DA0" w:rsidRDefault="00B33B7F" w:rsidP="00037060">
      <w:pPr>
        <w:rPr>
          <w:rFonts w:ascii="Arial" w:hAnsi="Arial" w:cs="Arial"/>
        </w:rPr>
      </w:pPr>
    </w:p>
    <w:p w14:paraId="1A3417A1" w14:textId="69B4FECA" w:rsidR="001E68E3" w:rsidRPr="007F2DA0" w:rsidRDefault="000B0873" w:rsidP="00250EB4">
      <w:pPr>
        <w:pStyle w:val="Heading1"/>
      </w:pPr>
      <w:r w:rsidRPr="007F2DA0">
        <w:t>Blog 1: St Thomas Church food donation</w:t>
      </w:r>
    </w:p>
    <w:p w14:paraId="35CB0AC4" w14:textId="77777777" w:rsidR="001E68E3" w:rsidRDefault="001E68E3" w:rsidP="00037060"/>
    <w:p w14:paraId="1F60CD91" w14:textId="24EC1C4C" w:rsidR="00CD155F" w:rsidRPr="00CD155F" w:rsidRDefault="00537693" w:rsidP="00CD155F">
      <w:r>
        <w:t xml:space="preserve">                         </w:t>
      </w:r>
      <w:r w:rsidR="00CD155F" w:rsidRPr="00CD155F">
        <w:drawing>
          <wp:inline distT="0" distB="0" distL="0" distR="0" wp14:anchorId="31C64C10" wp14:editId="3EC2CA67">
            <wp:extent cx="4260273" cy="2915920"/>
            <wp:effectExtent l="0" t="0" r="6985" b="0"/>
            <wp:docPr id="1258825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13295" cy="2952210"/>
                    </a:xfrm>
                    <a:prstGeom prst="rect">
                      <a:avLst/>
                    </a:prstGeom>
                    <a:noFill/>
                    <a:ln>
                      <a:noFill/>
                    </a:ln>
                  </pic:spPr>
                </pic:pic>
              </a:graphicData>
            </a:graphic>
          </wp:inline>
        </w:drawing>
      </w:r>
      <w:r w:rsidR="00CD155F">
        <w:t xml:space="preserve">                             </w:t>
      </w:r>
    </w:p>
    <w:p w14:paraId="432DE3B3" w14:textId="1A7612FA" w:rsidR="004F6F70" w:rsidRDefault="00537693" w:rsidP="00037060">
      <w:r>
        <w:t xml:space="preserve">                                                        </w:t>
      </w:r>
      <w:r w:rsidR="004F6F70">
        <w:t>(Florea, 2026</w:t>
      </w:r>
      <w:r>
        <w:t xml:space="preserve"> – delivering donations at St Thomas Church</w:t>
      </w:r>
      <w:r w:rsidR="004F6F70">
        <w:t>).</w:t>
      </w:r>
    </w:p>
    <w:p w14:paraId="46429F14" w14:textId="19C55A82" w:rsidR="001E68E3" w:rsidRPr="007F2DA0" w:rsidRDefault="00FB11C7" w:rsidP="00037060">
      <w:pPr>
        <w:rPr>
          <w:rFonts w:ascii="Arial" w:hAnsi="Arial" w:cs="Arial"/>
        </w:rPr>
      </w:pPr>
      <w:r>
        <w:br/>
      </w:r>
      <w:r w:rsidRPr="007F2DA0">
        <w:rPr>
          <w:rFonts w:ascii="Arial" w:hAnsi="Arial" w:cs="Arial"/>
        </w:rPr>
        <w:t xml:space="preserve">The St Thomas Church Food Donation Project was established to support members of the local community who are experiencing food insecurity (Kennedy and Snell, 2023). Following a face-to-face meeting with representatives from St Thomas Church, our group identified a significant need for food supplies and decided to organise a donation initiative to help address this issue (Caraher and Furey, 2022). </w:t>
      </w:r>
    </w:p>
    <w:p w14:paraId="292CBE4A" w14:textId="5E9118A9" w:rsidR="001E68E3" w:rsidRPr="007F2DA0" w:rsidRDefault="00FB11C7" w:rsidP="00736678">
      <w:pPr>
        <w:rPr>
          <w:rFonts w:ascii="Arial" w:hAnsi="Arial" w:cs="Arial"/>
        </w:rPr>
      </w:pPr>
      <w:r w:rsidRPr="007F2DA0">
        <w:rPr>
          <w:rFonts w:ascii="Arial" w:hAnsi="Arial" w:cs="Arial"/>
        </w:rPr>
        <w:t>The project aims to provide practical food support to vulnerable individuals and families within St Thomas community.</w:t>
      </w:r>
      <w:r w:rsidR="00736678">
        <w:rPr>
          <w:rFonts w:ascii="Arial" w:hAnsi="Arial" w:cs="Arial"/>
        </w:rPr>
        <w:t xml:space="preserve"> </w:t>
      </w:r>
      <w:r w:rsidR="00037060" w:rsidRPr="007F2DA0">
        <w:rPr>
          <w:rFonts w:ascii="Arial" w:hAnsi="Arial" w:cs="Arial"/>
        </w:rPr>
        <w:t>Although volunteering is often influenced by personal interests and values, the St Thomas Church Food Donation Project was created to meet a genuine community need. Supported by individual donors and Tesco through discounts and vouchers, the initiative focuses on providing food assistance to those experiencing hardship (Mulrooney and Ranta, 2024).</w:t>
      </w:r>
      <w:r w:rsidR="00037060" w:rsidRPr="007F2DA0">
        <w:rPr>
          <w:rFonts w:ascii="Arial" w:hAnsi="Arial" w:cs="Arial"/>
        </w:rPr>
        <w:br/>
      </w:r>
      <w:r w:rsidR="00037060" w:rsidRPr="007F2DA0">
        <w:rPr>
          <w:rFonts w:ascii="Arial" w:hAnsi="Arial" w:cs="Arial"/>
        </w:rPr>
        <w:br/>
      </w:r>
      <w:r w:rsidRPr="007F2DA0">
        <w:rPr>
          <w:rFonts w:ascii="Arial" w:hAnsi="Arial" w:cs="Arial"/>
        </w:rPr>
        <w:t>As the group leader</w:t>
      </w:r>
      <w:r w:rsidR="00037060" w:rsidRPr="007F2DA0">
        <w:rPr>
          <w:rFonts w:ascii="Arial" w:hAnsi="Arial" w:cs="Arial"/>
        </w:rPr>
        <w:t>, m</w:t>
      </w:r>
      <w:r w:rsidRPr="007F2DA0">
        <w:rPr>
          <w:rFonts w:ascii="Arial" w:hAnsi="Arial" w:cs="Arial"/>
        </w:rPr>
        <w:t>y responsibilities include coordinating team activities, delegating tasks, monitoring progress, and ensuring project objectives are achieved within agreed timelines.</w:t>
      </w:r>
    </w:p>
    <w:p w14:paraId="08C1BBF6" w14:textId="650C6FE0" w:rsidR="001E68E3" w:rsidRPr="007F2DA0" w:rsidRDefault="00037060" w:rsidP="001E68E3">
      <w:pPr>
        <w:pStyle w:val="NormalWeb"/>
        <w:rPr>
          <w:rFonts w:ascii="Arial" w:hAnsi="Arial" w:cs="Arial"/>
          <w:sz w:val="22"/>
          <w:szCs w:val="22"/>
        </w:rPr>
      </w:pPr>
      <w:r w:rsidRPr="007F2DA0">
        <w:rPr>
          <w:rFonts w:ascii="Arial" w:hAnsi="Arial" w:cs="Arial"/>
          <w:sz w:val="22"/>
          <w:szCs w:val="22"/>
        </w:rPr>
        <w:br/>
      </w:r>
      <w:r w:rsidR="00FB11C7" w:rsidRPr="007F2DA0">
        <w:rPr>
          <w:rFonts w:ascii="Arial" w:hAnsi="Arial" w:cs="Arial"/>
          <w:sz w:val="22"/>
          <w:szCs w:val="22"/>
        </w:rPr>
        <w:t xml:space="preserve">Based on my Belbin Team Role results, I most closely identify with the </w:t>
      </w:r>
      <w:r w:rsidRPr="007F2DA0">
        <w:rPr>
          <w:rFonts w:ascii="Arial" w:hAnsi="Arial" w:cs="Arial"/>
          <w:sz w:val="22"/>
          <w:szCs w:val="22"/>
        </w:rPr>
        <w:t>coordinator</w:t>
      </w:r>
      <w:r w:rsidR="00FB11C7" w:rsidRPr="007F2DA0">
        <w:rPr>
          <w:rFonts w:ascii="Arial" w:hAnsi="Arial" w:cs="Arial"/>
          <w:sz w:val="22"/>
          <w:szCs w:val="22"/>
        </w:rPr>
        <w:t xml:space="preserve"> role, as I enjoy organising people and encouraging effective teamwork towards a shared goal (Fisher, Hunter and Macrosson, 2000). However, Belbin's model has limitations, as individuals often display characteristics of multiple roles and can develop new skills over time. Therefore, it should be viewed as a useful guide rather than a definitive measure of individual contribution (Vera et al., 2025).</w:t>
      </w:r>
    </w:p>
    <w:p w14:paraId="57BA18EB" w14:textId="73F1D590" w:rsidR="007F2DA0" w:rsidRDefault="005F7452" w:rsidP="001E68E3">
      <w:pPr>
        <w:pStyle w:val="NormalWeb"/>
        <w:rPr>
          <w:rFonts w:ascii="Arial" w:hAnsi="Arial" w:cs="Arial"/>
          <w:sz w:val="22"/>
          <w:szCs w:val="22"/>
        </w:rPr>
      </w:pPr>
      <w:r>
        <w:lastRenderedPageBreak/>
        <w:br/>
      </w:r>
      <w:r w:rsidRPr="007F2DA0">
        <w:rPr>
          <w:rFonts w:ascii="Arial" w:hAnsi="Arial" w:cs="Arial"/>
          <w:sz w:val="22"/>
          <w:szCs w:val="22"/>
        </w:rPr>
        <w:t>Reference</w:t>
      </w:r>
      <w:r w:rsidR="001E68E3" w:rsidRPr="007F2DA0">
        <w:rPr>
          <w:rFonts w:ascii="Arial" w:hAnsi="Arial" w:cs="Arial"/>
          <w:sz w:val="22"/>
          <w:szCs w:val="22"/>
        </w:rPr>
        <w:t xml:space="preserve"> list for Blog 1</w:t>
      </w:r>
      <w:r w:rsidRPr="007F2DA0">
        <w:rPr>
          <w:rFonts w:ascii="Arial" w:hAnsi="Arial" w:cs="Arial"/>
          <w:sz w:val="22"/>
          <w:szCs w:val="22"/>
        </w:rPr>
        <w:t>:</w:t>
      </w:r>
      <w:r w:rsidRPr="007F2DA0">
        <w:rPr>
          <w:rFonts w:ascii="Arial" w:hAnsi="Arial" w:cs="Arial"/>
          <w:sz w:val="22"/>
          <w:szCs w:val="22"/>
        </w:rPr>
        <w:br/>
      </w:r>
      <w:r w:rsidRPr="007F2DA0">
        <w:rPr>
          <w:rFonts w:ascii="Arial" w:hAnsi="Arial" w:cs="Arial"/>
          <w:sz w:val="22"/>
          <w:szCs w:val="22"/>
        </w:rPr>
        <w:br/>
        <w:t xml:space="preserve">Caraher, M. and Furey, S. (2022) ‘The corporate influence on food charity and aid: The “Hunger Industrial Complex” and the death of welfare’, </w:t>
      </w:r>
      <w:r w:rsidRPr="007F2DA0">
        <w:rPr>
          <w:rFonts w:ascii="Arial" w:hAnsi="Arial" w:cs="Arial"/>
          <w:i/>
          <w:iCs/>
          <w:sz w:val="22"/>
          <w:szCs w:val="22"/>
        </w:rPr>
        <w:t>Frontiers in Public Health</w:t>
      </w:r>
      <w:r w:rsidRPr="007F2DA0">
        <w:rPr>
          <w:rFonts w:ascii="Arial" w:hAnsi="Arial" w:cs="Arial"/>
          <w:sz w:val="22"/>
          <w:szCs w:val="22"/>
        </w:rPr>
        <w:t xml:space="preserve">, 10(1). Available at: </w:t>
      </w:r>
      <w:hyperlink r:id="rId6" w:history="1">
        <w:r w:rsidR="007F2DA0" w:rsidRPr="00664A44">
          <w:rPr>
            <w:rStyle w:val="Hyperlink"/>
            <w:rFonts w:ascii="Arial" w:hAnsi="Arial" w:cs="Arial"/>
            <w:sz w:val="22"/>
            <w:szCs w:val="22"/>
          </w:rPr>
          <w:t>https://doi.org/10.3389/fpubh.2022.950955</w:t>
        </w:r>
      </w:hyperlink>
      <w:r w:rsidRPr="007F2DA0">
        <w:rPr>
          <w:rFonts w:ascii="Arial" w:hAnsi="Arial" w:cs="Arial"/>
          <w:sz w:val="22"/>
          <w:szCs w:val="22"/>
        </w:rPr>
        <w:t>.</w:t>
      </w:r>
    </w:p>
    <w:p w14:paraId="78DB59E6" w14:textId="2FD88951" w:rsidR="001E68E3" w:rsidRPr="007F2DA0" w:rsidRDefault="00BB5FED" w:rsidP="001E68E3">
      <w:pPr>
        <w:pStyle w:val="NormalWeb"/>
        <w:rPr>
          <w:rFonts w:ascii="Arial" w:hAnsi="Arial" w:cs="Arial"/>
          <w:sz w:val="22"/>
          <w:szCs w:val="22"/>
        </w:rPr>
      </w:pPr>
      <w:r w:rsidRPr="007F2DA0">
        <w:rPr>
          <w:rFonts w:ascii="Arial" w:hAnsi="Arial" w:cs="Arial"/>
          <w:sz w:val="22"/>
          <w:szCs w:val="22"/>
        </w:rPr>
        <w:br/>
        <w:t xml:space="preserve">Fisher, S.G., Hunter, T.A. and Macrosson, W.D.K. (2000) ‘The distribution of Belbin team roles among UK managers’, </w:t>
      </w:r>
      <w:r w:rsidRPr="007F2DA0">
        <w:rPr>
          <w:rFonts w:ascii="Arial" w:hAnsi="Arial" w:cs="Arial"/>
          <w:i/>
          <w:iCs/>
          <w:sz w:val="22"/>
          <w:szCs w:val="22"/>
        </w:rPr>
        <w:t>Personnel Review</w:t>
      </w:r>
      <w:r w:rsidRPr="007F2DA0">
        <w:rPr>
          <w:rFonts w:ascii="Arial" w:hAnsi="Arial" w:cs="Arial"/>
          <w:sz w:val="22"/>
          <w:szCs w:val="22"/>
        </w:rPr>
        <w:t>, 29(2), pp. 124–140.</w:t>
      </w:r>
      <w:r w:rsidRPr="007F2DA0">
        <w:rPr>
          <w:rFonts w:ascii="Arial" w:hAnsi="Arial" w:cs="Arial"/>
          <w:sz w:val="22"/>
          <w:szCs w:val="22"/>
        </w:rPr>
        <w:br/>
        <w:t>Available at:</w:t>
      </w:r>
      <w:hyperlink r:id="rId7" w:history="1">
        <w:r w:rsidRPr="007F2DA0">
          <w:rPr>
            <w:rStyle w:val="Hyperlink"/>
            <w:rFonts w:ascii="Arial" w:hAnsi="Arial" w:cs="Arial"/>
            <w:sz w:val="22"/>
            <w:szCs w:val="22"/>
          </w:rPr>
          <w:t>https://www.proquest.com/docview/214812355/fulltextPDF?accountid=130472&amp;parentSessionId=iHvlm%2BcAFjZZt7BNcv%2FaCInnhyncP5lEaOpohUrhe3s%3D&amp;pq-origsite=primo_ra&amp;sourcetype=Scholarly%20Journals</w:t>
        </w:r>
      </w:hyperlink>
    </w:p>
    <w:p w14:paraId="13DC47DF" w14:textId="45AD3639" w:rsidR="000B0873" w:rsidRPr="007F2DA0" w:rsidRDefault="00BB5FED">
      <w:pPr>
        <w:rPr>
          <w:rFonts w:ascii="Arial" w:hAnsi="Arial" w:cs="Arial"/>
        </w:rPr>
      </w:pPr>
      <w:r w:rsidRPr="007F2DA0">
        <w:rPr>
          <w:rFonts w:ascii="Arial" w:hAnsi="Arial" w:cs="Arial"/>
        </w:rPr>
        <w:br/>
        <w:t xml:space="preserve">Vera, S. </w:t>
      </w:r>
      <w:r w:rsidRPr="007F2DA0">
        <w:rPr>
          <w:rFonts w:ascii="Arial" w:hAnsi="Arial" w:cs="Arial"/>
          <w:i/>
          <w:iCs/>
        </w:rPr>
        <w:t>et al.</w:t>
      </w:r>
      <w:r w:rsidRPr="007F2DA0">
        <w:rPr>
          <w:rFonts w:ascii="Arial" w:hAnsi="Arial" w:cs="Arial"/>
        </w:rPr>
        <w:t xml:space="preserve"> (2025) ‘Devs Simulation of Belbin’s Team Roles for Collaborative Team Dynamics’, </w:t>
      </w:r>
      <w:r w:rsidRPr="007F2DA0">
        <w:rPr>
          <w:rFonts w:ascii="Arial" w:hAnsi="Arial" w:cs="Arial"/>
          <w:i/>
          <w:iCs/>
        </w:rPr>
        <w:t>2025 Winter Simulation Conference (WSC)</w:t>
      </w:r>
      <w:r w:rsidRPr="007F2DA0">
        <w:rPr>
          <w:rFonts w:ascii="Arial" w:hAnsi="Arial" w:cs="Arial"/>
        </w:rPr>
        <w:t xml:space="preserve">, pp. 2752–2763. </w:t>
      </w:r>
      <w:r w:rsidRPr="007F2DA0">
        <w:rPr>
          <w:rFonts w:ascii="Arial" w:hAnsi="Arial" w:cs="Arial"/>
        </w:rPr>
        <w:br/>
        <w:t xml:space="preserve">Available at: </w:t>
      </w:r>
      <w:hyperlink r:id="rId8" w:history="1">
        <w:r w:rsidRPr="007F2DA0">
          <w:rPr>
            <w:rStyle w:val="Hyperlink"/>
            <w:rFonts w:ascii="Arial" w:hAnsi="Arial" w:cs="Arial"/>
          </w:rPr>
          <w:t>https://doi.org/10.1109/wsc68292.2025.11338914</w:t>
        </w:r>
      </w:hyperlink>
      <w:r w:rsidRPr="007F2DA0">
        <w:rPr>
          <w:rFonts w:ascii="Arial" w:hAnsi="Arial" w:cs="Arial"/>
        </w:rPr>
        <w:t>.</w:t>
      </w:r>
    </w:p>
    <w:p w14:paraId="7606845E" w14:textId="77777777" w:rsidR="001E68E3" w:rsidRPr="007F2DA0" w:rsidRDefault="005F7452">
      <w:pPr>
        <w:rPr>
          <w:rFonts w:ascii="Arial" w:hAnsi="Arial" w:cs="Arial"/>
        </w:rPr>
      </w:pPr>
      <w:r w:rsidRPr="007F2DA0">
        <w:rPr>
          <w:rFonts w:ascii="Arial" w:hAnsi="Arial" w:cs="Arial"/>
        </w:rPr>
        <w:t xml:space="preserve">Kennedy, K. and Snell, C. (2023) ‘Relationships between supermarkets and food charities in reducing food insecurity: lessons learned’, </w:t>
      </w:r>
      <w:r w:rsidRPr="007F2DA0">
        <w:rPr>
          <w:rFonts w:ascii="Arial" w:hAnsi="Arial" w:cs="Arial"/>
          <w:i/>
          <w:iCs/>
        </w:rPr>
        <w:t>Voluntary Sector Review</w:t>
      </w:r>
      <w:r w:rsidRPr="007F2DA0">
        <w:rPr>
          <w:rFonts w:ascii="Arial" w:hAnsi="Arial" w:cs="Arial"/>
        </w:rPr>
        <w:t>, pp. 1–10.</w:t>
      </w:r>
      <w:r w:rsidRPr="007F2DA0">
        <w:rPr>
          <w:rFonts w:ascii="Arial" w:hAnsi="Arial" w:cs="Arial"/>
        </w:rPr>
        <w:br/>
        <w:t xml:space="preserve">Available at: </w:t>
      </w:r>
      <w:hyperlink r:id="rId9" w:history="1">
        <w:r w:rsidRPr="007F2DA0">
          <w:rPr>
            <w:rStyle w:val="Hyperlink"/>
            <w:rFonts w:ascii="Arial" w:hAnsi="Arial" w:cs="Arial"/>
          </w:rPr>
          <w:t>https://doi.org/10.1332/20408056y2023d000000002</w:t>
        </w:r>
      </w:hyperlink>
      <w:r w:rsidRPr="007F2DA0">
        <w:rPr>
          <w:rFonts w:ascii="Arial" w:hAnsi="Arial" w:cs="Arial"/>
        </w:rPr>
        <w:t>.</w:t>
      </w:r>
    </w:p>
    <w:p w14:paraId="0D4524BB" w14:textId="3BCF1BA3" w:rsidR="007F2DA0" w:rsidRDefault="001836AB">
      <w:pPr>
        <w:rPr>
          <w:rFonts w:ascii="Arial" w:hAnsi="Arial" w:cs="Arial"/>
        </w:rPr>
      </w:pPr>
      <w:r w:rsidRPr="007F2DA0">
        <w:rPr>
          <w:rFonts w:ascii="Arial" w:hAnsi="Arial" w:cs="Arial"/>
        </w:rPr>
        <w:br/>
        <w:t xml:space="preserve">Mulrooney, H. and Ranta, R. (2024) ‘Contradictions, dilemmas, views and motivations of volunteers in two community food support schemes in two London boroughs’, </w:t>
      </w:r>
      <w:r w:rsidRPr="007F2DA0">
        <w:rPr>
          <w:rFonts w:ascii="Arial" w:hAnsi="Arial" w:cs="Arial"/>
          <w:i/>
          <w:iCs/>
        </w:rPr>
        <w:t>Journal of Poverty and Social Justice</w:t>
      </w:r>
      <w:r w:rsidRPr="007F2DA0">
        <w:rPr>
          <w:rFonts w:ascii="Arial" w:hAnsi="Arial" w:cs="Arial"/>
        </w:rPr>
        <w:t xml:space="preserve">, pp. 1–28. </w:t>
      </w:r>
      <w:r w:rsidR="007F2DA0">
        <w:rPr>
          <w:rFonts w:ascii="Arial" w:hAnsi="Arial" w:cs="Arial"/>
        </w:rPr>
        <w:br/>
      </w:r>
      <w:r w:rsidRPr="007F2DA0">
        <w:rPr>
          <w:rFonts w:ascii="Arial" w:hAnsi="Arial" w:cs="Arial"/>
        </w:rPr>
        <w:t xml:space="preserve">Available at: </w:t>
      </w:r>
      <w:hyperlink r:id="rId10" w:history="1">
        <w:r w:rsidR="007F2DA0" w:rsidRPr="00664A44">
          <w:rPr>
            <w:rStyle w:val="Hyperlink"/>
            <w:rFonts w:ascii="Arial" w:hAnsi="Arial" w:cs="Arial"/>
          </w:rPr>
          <w:t>https://doi.org/10.1332/1</w:t>
        </w:r>
        <w:r w:rsidR="007F2DA0" w:rsidRPr="00664A44">
          <w:rPr>
            <w:rStyle w:val="Hyperlink"/>
            <w:rFonts w:ascii="Arial" w:hAnsi="Arial" w:cs="Arial"/>
          </w:rPr>
          <w:t>7</w:t>
        </w:r>
        <w:r w:rsidR="007F2DA0" w:rsidRPr="00664A44">
          <w:rPr>
            <w:rStyle w:val="Hyperlink"/>
            <w:rFonts w:ascii="Arial" w:hAnsi="Arial" w:cs="Arial"/>
          </w:rPr>
          <w:t>598273y2024d000000017</w:t>
        </w:r>
      </w:hyperlink>
      <w:r w:rsidRPr="007F2DA0">
        <w:rPr>
          <w:rFonts w:ascii="Arial" w:hAnsi="Arial" w:cs="Arial"/>
        </w:rPr>
        <w:t>.</w:t>
      </w:r>
    </w:p>
    <w:p w14:paraId="32F35B16" w14:textId="7A72481B" w:rsidR="005F7452" w:rsidRDefault="00BB5FED">
      <w:r w:rsidRPr="007F2DA0">
        <w:rPr>
          <w:rFonts w:ascii="Arial" w:hAnsi="Arial" w:cs="Arial"/>
        </w:rPr>
        <w:br/>
      </w:r>
      <w:r>
        <w:br/>
      </w:r>
    </w:p>
    <w:p w14:paraId="411F84E9" w14:textId="713AC1FF" w:rsidR="001E68E3" w:rsidRDefault="001E68E3"/>
    <w:p w14:paraId="76314E4B" w14:textId="5C957A6C" w:rsidR="001E68E3" w:rsidRDefault="001E68E3"/>
    <w:p w14:paraId="6D865FB7" w14:textId="5712F18E" w:rsidR="001E68E3" w:rsidRDefault="001E68E3"/>
    <w:p w14:paraId="4F7BC5EE" w14:textId="77777777" w:rsidR="00B33B7F" w:rsidRDefault="00B33B7F" w:rsidP="00B33B7F"/>
    <w:p w14:paraId="412A11CC" w14:textId="63FE6BE6" w:rsidR="001E68E3" w:rsidRPr="00F04679" w:rsidRDefault="001E68E3" w:rsidP="00F04679">
      <w:pPr>
        <w:pStyle w:val="Heading1"/>
        <w:rPr>
          <w:sz w:val="14"/>
          <w:szCs w:val="14"/>
        </w:rPr>
      </w:pPr>
      <w:r w:rsidRPr="007F2DA0">
        <w:lastRenderedPageBreak/>
        <w:t>Blog 2</w:t>
      </w:r>
      <w:r w:rsidR="00B33B7F" w:rsidRPr="007F2DA0">
        <w:t xml:space="preserve"> - </w:t>
      </w:r>
      <w:r w:rsidR="00B33B7F" w:rsidRPr="000B0873">
        <w:t>Project initiation, scope, aims and objectives</w:t>
      </w:r>
      <w:r w:rsidR="00F04679">
        <w:br/>
      </w:r>
      <w:r w:rsidR="00F04679">
        <w:br/>
      </w:r>
      <w:r w:rsidR="00CD155F">
        <w:rPr>
          <w:noProof/>
        </w:rPr>
        <w:drawing>
          <wp:inline distT="0" distB="0" distL="0" distR="0" wp14:anchorId="7F2D9DA2" wp14:editId="17ACC1B5">
            <wp:extent cx="5958593" cy="3830609"/>
            <wp:effectExtent l="0" t="0" r="4445" b="0"/>
            <wp:docPr id="21135014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74667" cy="3840943"/>
                    </a:xfrm>
                    <a:prstGeom prst="rect">
                      <a:avLst/>
                    </a:prstGeom>
                    <a:noFill/>
                    <a:ln>
                      <a:noFill/>
                    </a:ln>
                  </pic:spPr>
                </pic:pic>
              </a:graphicData>
            </a:graphic>
          </wp:inline>
        </w:drawing>
      </w:r>
      <w:r w:rsidR="00F04679" w:rsidRPr="00F04679">
        <w:rPr>
          <w:rFonts w:ascii="Arial" w:hAnsi="Arial" w:cs="Arial"/>
          <w:color w:val="auto"/>
          <w:sz w:val="22"/>
          <w:szCs w:val="22"/>
        </w:rPr>
        <w:t xml:space="preserve"> </w:t>
      </w:r>
      <w:r w:rsidR="00CD155F">
        <w:rPr>
          <w:rFonts w:ascii="Arial" w:hAnsi="Arial" w:cs="Arial"/>
          <w:color w:val="auto"/>
          <w:sz w:val="22"/>
          <w:szCs w:val="22"/>
        </w:rPr>
        <w:br/>
        <w:t xml:space="preserve">                                                          </w:t>
      </w:r>
      <w:proofErr w:type="gramStart"/>
      <w:r w:rsidR="00CD155F">
        <w:rPr>
          <w:rFonts w:ascii="Arial" w:hAnsi="Arial" w:cs="Arial"/>
          <w:color w:val="auto"/>
          <w:sz w:val="22"/>
          <w:szCs w:val="22"/>
        </w:rPr>
        <w:t xml:space="preserve">   (</w:t>
      </w:r>
      <w:proofErr w:type="gramEnd"/>
      <w:r w:rsidR="00CD155F">
        <w:rPr>
          <w:rFonts w:ascii="Arial" w:hAnsi="Arial" w:cs="Arial"/>
          <w:color w:val="auto"/>
          <w:sz w:val="22"/>
          <w:szCs w:val="22"/>
        </w:rPr>
        <w:t>Florea, 2026 – WBS St Thomas Church project).</w:t>
      </w:r>
      <w:r w:rsidR="00F04679" w:rsidRPr="00F04679">
        <w:rPr>
          <w:rFonts w:ascii="Arial" w:hAnsi="Arial" w:cs="Arial"/>
          <w:color w:val="auto"/>
          <w:sz w:val="22"/>
          <w:szCs w:val="22"/>
        </w:rPr>
        <w:t xml:space="preserve">                                    </w:t>
      </w:r>
      <w:r w:rsidR="00F04679">
        <w:br/>
      </w:r>
      <w:r w:rsidR="00F04679">
        <w:br/>
      </w:r>
    </w:p>
    <w:p w14:paraId="3980BB65" w14:textId="02E80B5C" w:rsidR="007724A1" w:rsidRPr="007F2DA0" w:rsidRDefault="001E68E3">
      <w:pPr>
        <w:rPr>
          <w:rFonts w:ascii="Arial" w:hAnsi="Arial" w:cs="Arial"/>
        </w:rPr>
      </w:pPr>
      <w:r w:rsidRPr="007F2DA0">
        <w:rPr>
          <w:rFonts w:ascii="Arial" w:hAnsi="Arial" w:cs="Arial"/>
        </w:rPr>
        <w:t>The aim of the St Thomas Church Food Donation Project is to support members of the local community who are experiencing food insecurity and to demonstrate that they are not alone during difficult times</w:t>
      </w:r>
      <w:r w:rsidR="001E6627" w:rsidRPr="007F2DA0">
        <w:rPr>
          <w:rFonts w:ascii="Arial" w:hAnsi="Arial" w:cs="Arial"/>
        </w:rPr>
        <w:t>.</w:t>
      </w:r>
      <w:r w:rsidR="009E1679" w:rsidRPr="007F2DA0">
        <w:rPr>
          <w:rFonts w:ascii="Arial" w:hAnsi="Arial" w:cs="Arial"/>
        </w:rPr>
        <w:br/>
        <w:t>The group began defining the project scope during a brainstorming session, where Raluca identified St Thomas Church as an organisation in need of support</w:t>
      </w:r>
      <w:r w:rsidR="00342801" w:rsidRPr="007F2DA0">
        <w:rPr>
          <w:rFonts w:ascii="Arial" w:hAnsi="Arial" w:cs="Arial"/>
        </w:rPr>
        <w:t xml:space="preserve"> (Kohn and Smith, 2010). </w:t>
      </w:r>
      <w:r w:rsidR="009E1679" w:rsidRPr="007F2DA0">
        <w:rPr>
          <w:rFonts w:ascii="Arial" w:hAnsi="Arial" w:cs="Arial"/>
        </w:rPr>
        <w:t>This helped the team establish clear goals and boundaries for the project</w:t>
      </w:r>
      <w:r w:rsidR="00342801" w:rsidRPr="007F2DA0">
        <w:rPr>
          <w:rFonts w:ascii="Arial" w:hAnsi="Arial" w:cs="Arial"/>
        </w:rPr>
        <w:t xml:space="preserve"> (Paulus and Brown, 2007).</w:t>
      </w:r>
      <w:r w:rsidR="00342801" w:rsidRPr="007F2DA0">
        <w:rPr>
          <w:rFonts w:ascii="Arial" w:hAnsi="Arial" w:cs="Arial"/>
        </w:rPr>
        <w:br/>
      </w:r>
      <w:r w:rsidR="00342801" w:rsidRPr="007F2DA0">
        <w:rPr>
          <w:rFonts w:ascii="Arial" w:hAnsi="Arial" w:cs="Arial"/>
        </w:rPr>
        <w:br/>
      </w:r>
      <w:r w:rsidR="009E1679" w:rsidRPr="007F2DA0">
        <w:rPr>
          <w:rFonts w:ascii="Arial" w:hAnsi="Arial" w:cs="Arial"/>
        </w:rPr>
        <w:t>The project also reflects the iron triangle of project management, balancing time, cost, and quality to ensure that sufficient food is provided within the available budget and timeframe (Makovec, 2025).</w:t>
      </w:r>
      <w:r w:rsidRPr="007F2DA0">
        <w:rPr>
          <w:rFonts w:ascii="Arial" w:hAnsi="Arial" w:cs="Arial"/>
        </w:rPr>
        <w:br/>
      </w:r>
      <w:r w:rsidRPr="007F2DA0">
        <w:rPr>
          <w:rFonts w:ascii="Arial" w:hAnsi="Arial" w:cs="Arial"/>
        </w:rPr>
        <w:br/>
        <w:t>The main objectives are to collect and donate between 30 and 50 cans of food, including sweetcorn, beans, and other non-perishable items, with a target budget of £100–£300. To achieve this,</w:t>
      </w:r>
      <w:r w:rsidR="00504E1A" w:rsidRPr="007F2DA0">
        <w:rPr>
          <w:rFonts w:ascii="Arial" w:hAnsi="Arial" w:cs="Arial"/>
        </w:rPr>
        <w:t xml:space="preserve"> it is important that</w:t>
      </w:r>
      <w:r w:rsidRPr="007F2DA0">
        <w:rPr>
          <w:rFonts w:ascii="Arial" w:hAnsi="Arial" w:cs="Arial"/>
        </w:rPr>
        <w:t xml:space="preserve"> the group plans to secure donations and discounts through Tesco management, individual donors, and community contributions</w:t>
      </w:r>
      <w:r w:rsidR="007724A1" w:rsidRPr="007F2DA0">
        <w:rPr>
          <w:rFonts w:ascii="Arial" w:hAnsi="Arial" w:cs="Arial"/>
        </w:rPr>
        <w:t xml:space="preserve"> showing the importance of defining goals in </w:t>
      </w:r>
      <w:r w:rsidR="00C00ED6" w:rsidRPr="007F2DA0">
        <w:rPr>
          <w:rFonts w:ascii="Arial" w:hAnsi="Arial" w:cs="Arial"/>
        </w:rPr>
        <w:t>projects (</w:t>
      </w:r>
      <w:proofErr w:type="spellStart"/>
      <w:r w:rsidR="007724A1" w:rsidRPr="007F2DA0">
        <w:rPr>
          <w:rFonts w:ascii="Arial" w:hAnsi="Arial" w:cs="Arial"/>
        </w:rPr>
        <w:t>Haaskjold</w:t>
      </w:r>
      <w:proofErr w:type="spellEnd"/>
      <w:r w:rsidR="007724A1" w:rsidRPr="007F2DA0">
        <w:rPr>
          <w:rFonts w:ascii="Arial" w:hAnsi="Arial" w:cs="Arial"/>
        </w:rPr>
        <w:t xml:space="preserve"> </w:t>
      </w:r>
      <w:r w:rsidR="007724A1" w:rsidRPr="007F2DA0">
        <w:rPr>
          <w:rFonts w:ascii="Arial" w:hAnsi="Arial" w:cs="Arial"/>
          <w:i/>
          <w:iCs/>
        </w:rPr>
        <w:t>et al.</w:t>
      </w:r>
      <w:r w:rsidR="007724A1" w:rsidRPr="007F2DA0">
        <w:rPr>
          <w:rFonts w:ascii="Arial" w:hAnsi="Arial" w:cs="Arial"/>
        </w:rPr>
        <w:t>, 2024).</w:t>
      </w:r>
    </w:p>
    <w:p w14:paraId="4220F5A3" w14:textId="38945854" w:rsidR="001E68E3" w:rsidRPr="00F04679" w:rsidRDefault="007724A1">
      <w:pPr>
        <w:rPr>
          <w:rFonts w:ascii="Arial" w:hAnsi="Arial" w:cs="Arial"/>
        </w:rPr>
      </w:pPr>
      <w:r w:rsidRPr="007F2DA0">
        <w:rPr>
          <w:rFonts w:ascii="Arial" w:hAnsi="Arial" w:cs="Arial"/>
        </w:rPr>
        <w:br/>
      </w:r>
      <w:r w:rsidR="001E68E3" w:rsidRPr="007F2DA0">
        <w:rPr>
          <w:rFonts w:ascii="Arial" w:hAnsi="Arial" w:cs="Arial"/>
        </w:rPr>
        <w:t>The project is scheduled to be completed within a period of 3</w:t>
      </w:r>
      <w:r w:rsidRPr="007F2DA0">
        <w:rPr>
          <w:rFonts w:ascii="Arial" w:hAnsi="Arial" w:cs="Arial"/>
        </w:rPr>
        <w:t>-</w:t>
      </w:r>
      <w:r w:rsidR="001E68E3" w:rsidRPr="007F2DA0">
        <w:rPr>
          <w:rFonts w:ascii="Arial" w:hAnsi="Arial" w:cs="Arial"/>
        </w:rPr>
        <w:t xml:space="preserve">4 weeks, with the food supplies expected to be purchased and delivered to St Thomas Church by on </w:t>
      </w:r>
      <w:r w:rsidR="005C3556">
        <w:rPr>
          <w:rFonts w:ascii="Arial" w:hAnsi="Arial" w:cs="Arial"/>
        </w:rPr>
        <w:t>16</w:t>
      </w:r>
      <w:r w:rsidR="001E68E3" w:rsidRPr="007F2DA0">
        <w:rPr>
          <w:rFonts w:ascii="Arial" w:hAnsi="Arial" w:cs="Arial"/>
        </w:rPr>
        <w:t xml:space="preserve"> June 2026.</w:t>
      </w:r>
      <w:r w:rsidR="001E68E3" w:rsidRPr="007F2DA0">
        <w:rPr>
          <w:rFonts w:ascii="Arial" w:hAnsi="Arial" w:cs="Arial"/>
        </w:rPr>
        <w:br/>
      </w:r>
    </w:p>
    <w:p w14:paraId="2439538C" w14:textId="22763B46" w:rsidR="007724A1" w:rsidRPr="007F2DA0" w:rsidRDefault="009E1679">
      <w:pPr>
        <w:rPr>
          <w:rFonts w:ascii="Arial" w:hAnsi="Arial" w:cs="Arial"/>
        </w:rPr>
      </w:pPr>
      <w:r w:rsidRPr="007F2DA0">
        <w:rPr>
          <w:rFonts w:ascii="Arial" w:hAnsi="Arial" w:cs="Arial"/>
        </w:rPr>
        <w:lastRenderedPageBreak/>
        <w:t>Reference list for blog 2:</w:t>
      </w:r>
      <w:r w:rsidR="00342801">
        <w:br/>
      </w:r>
      <w:r w:rsidR="007724A1">
        <w:br/>
      </w:r>
      <w:r w:rsidR="007724A1" w:rsidRPr="007F2DA0">
        <w:rPr>
          <w:rFonts w:ascii="Arial" w:hAnsi="Arial" w:cs="Arial"/>
        </w:rPr>
        <w:t xml:space="preserve">Haavard </w:t>
      </w:r>
      <w:proofErr w:type="spellStart"/>
      <w:r w:rsidR="007724A1" w:rsidRPr="007F2DA0">
        <w:rPr>
          <w:rFonts w:ascii="Arial" w:hAnsi="Arial" w:cs="Arial"/>
        </w:rPr>
        <w:t>Haaskjold</w:t>
      </w:r>
      <w:proofErr w:type="spellEnd"/>
      <w:r w:rsidR="007724A1" w:rsidRPr="007F2DA0">
        <w:rPr>
          <w:rFonts w:ascii="Arial" w:hAnsi="Arial" w:cs="Arial"/>
        </w:rPr>
        <w:t xml:space="preserve"> </w:t>
      </w:r>
      <w:r w:rsidR="007724A1" w:rsidRPr="007F2DA0">
        <w:rPr>
          <w:rFonts w:ascii="Arial" w:hAnsi="Arial" w:cs="Arial"/>
          <w:i/>
          <w:iCs/>
        </w:rPr>
        <w:t>et al.</w:t>
      </w:r>
      <w:r w:rsidR="007724A1" w:rsidRPr="007F2DA0">
        <w:rPr>
          <w:rFonts w:ascii="Arial" w:hAnsi="Arial" w:cs="Arial"/>
        </w:rPr>
        <w:t xml:space="preserve"> (2024) ‘Winning Gold for Stakeholders–Defining goals in sports event projects to meet stakeholder expectations–’, </w:t>
      </w:r>
      <w:r w:rsidR="007724A1" w:rsidRPr="007F2DA0">
        <w:rPr>
          <w:rFonts w:ascii="Arial" w:hAnsi="Arial" w:cs="Arial"/>
          <w:i/>
          <w:iCs/>
        </w:rPr>
        <w:t>Project leadership and society</w:t>
      </w:r>
      <w:r w:rsidR="007724A1" w:rsidRPr="007F2DA0">
        <w:rPr>
          <w:rFonts w:ascii="Arial" w:hAnsi="Arial" w:cs="Arial"/>
        </w:rPr>
        <w:t xml:space="preserve">, 5, pp. 100129–100129. </w:t>
      </w:r>
      <w:r w:rsidR="00537693">
        <w:rPr>
          <w:rFonts w:ascii="Arial" w:hAnsi="Arial" w:cs="Arial"/>
        </w:rPr>
        <w:br/>
      </w:r>
      <w:r w:rsidR="007724A1" w:rsidRPr="007F2DA0">
        <w:rPr>
          <w:rFonts w:ascii="Arial" w:hAnsi="Arial" w:cs="Arial"/>
        </w:rPr>
        <w:t xml:space="preserve">Available at: </w:t>
      </w:r>
      <w:hyperlink r:id="rId12" w:history="1">
        <w:r w:rsidR="007724A1" w:rsidRPr="007F2DA0">
          <w:rPr>
            <w:rStyle w:val="Hyperlink"/>
            <w:rFonts w:ascii="Arial" w:hAnsi="Arial" w:cs="Arial"/>
          </w:rPr>
          <w:t>https://doi.org/10.1016/j.plas.2024.100129</w:t>
        </w:r>
      </w:hyperlink>
      <w:r w:rsidR="007724A1" w:rsidRPr="007F2DA0">
        <w:rPr>
          <w:rFonts w:ascii="Arial" w:hAnsi="Arial" w:cs="Arial"/>
        </w:rPr>
        <w:t>.</w:t>
      </w:r>
    </w:p>
    <w:p w14:paraId="1E72CA25" w14:textId="378D6F5B" w:rsidR="00342801" w:rsidRPr="007F2DA0" w:rsidRDefault="00342801">
      <w:pPr>
        <w:rPr>
          <w:rFonts w:ascii="Arial" w:hAnsi="Arial" w:cs="Arial"/>
        </w:rPr>
      </w:pPr>
      <w:r w:rsidRPr="007F2DA0">
        <w:rPr>
          <w:rFonts w:ascii="Arial" w:hAnsi="Arial" w:cs="Arial"/>
        </w:rPr>
        <w:br/>
        <w:t xml:space="preserve">Kohn, N.W. and Smith, S.M. (2010) ‘Collaborative fixation: Effects of others’ ideas on brainstorming’, </w:t>
      </w:r>
      <w:r w:rsidRPr="007F2DA0">
        <w:rPr>
          <w:rFonts w:ascii="Arial" w:hAnsi="Arial" w:cs="Arial"/>
          <w:i/>
          <w:iCs/>
        </w:rPr>
        <w:t>Applied Cognitive Psychology</w:t>
      </w:r>
      <w:r w:rsidRPr="007F2DA0">
        <w:rPr>
          <w:rFonts w:ascii="Arial" w:hAnsi="Arial" w:cs="Arial"/>
        </w:rPr>
        <w:t>, 25(3), pp. 359–371.</w:t>
      </w:r>
      <w:r w:rsidRPr="007F2DA0">
        <w:rPr>
          <w:rFonts w:ascii="Arial" w:hAnsi="Arial" w:cs="Arial"/>
        </w:rPr>
        <w:br/>
        <w:t xml:space="preserve">Available at: </w:t>
      </w:r>
      <w:hyperlink r:id="rId13" w:history="1">
        <w:r w:rsidRPr="007F2DA0">
          <w:rPr>
            <w:rStyle w:val="Hyperlink"/>
            <w:rFonts w:ascii="Arial" w:hAnsi="Arial" w:cs="Arial"/>
          </w:rPr>
          <w:t>https://doi.org/10.1002/acp.1699</w:t>
        </w:r>
      </w:hyperlink>
      <w:r w:rsidRPr="007F2DA0">
        <w:rPr>
          <w:rFonts w:ascii="Arial" w:hAnsi="Arial" w:cs="Arial"/>
        </w:rPr>
        <w:t>.</w:t>
      </w:r>
    </w:p>
    <w:p w14:paraId="0BDC7326" w14:textId="34C1BE4A" w:rsidR="001E68E3" w:rsidRPr="007F2DA0" w:rsidRDefault="009E1679">
      <w:pPr>
        <w:rPr>
          <w:rFonts w:ascii="Arial" w:hAnsi="Arial" w:cs="Arial"/>
        </w:rPr>
      </w:pPr>
      <w:r w:rsidRPr="007F2DA0">
        <w:rPr>
          <w:rFonts w:ascii="Arial" w:hAnsi="Arial" w:cs="Arial"/>
        </w:rPr>
        <w:br/>
        <w:t>Makovec, M.B. (2025) ‘</w:t>
      </w:r>
      <w:proofErr w:type="spellStart"/>
      <w:r w:rsidRPr="007F2DA0">
        <w:rPr>
          <w:rFonts w:ascii="Arial" w:hAnsi="Arial" w:cs="Arial"/>
        </w:rPr>
        <w:t>Paradigma</w:t>
      </w:r>
      <w:proofErr w:type="spellEnd"/>
      <w:r w:rsidRPr="007F2DA0">
        <w:rPr>
          <w:rFonts w:ascii="Arial" w:hAnsi="Arial" w:cs="Arial"/>
        </w:rPr>
        <w:t xml:space="preserve"> </w:t>
      </w:r>
      <w:proofErr w:type="spellStart"/>
      <w:r w:rsidRPr="007F2DA0">
        <w:rPr>
          <w:rFonts w:ascii="Arial" w:hAnsi="Arial" w:cs="Arial"/>
        </w:rPr>
        <w:t>projektnega</w:t>
      </w:r>
      <w:proofErr w:type="spellEnd"/>
      <w:r w:rsidRPr="007F2DA0">
        <w:rPr>
          <w:rFonts w:ascii="Arial" w:hAnsi="Arial" w:cs="Arial"/>
        </w:rPr>
        <w:t xml:space="preserve"> </w:t>
      </w:r>
      <w:proofErr w:type="spellStart"/>
      <w:r w:rsidRPr="007F2DA0">
        <w:rPr>
          <w:rFonts w:ascii="Arial" w:hAnsi="Arial" w:cs="Arial"/>
        </w:rPr>
        <w:t>trikotnika</w:t>
      </w:r>
      <w:proofErr w:type="spellEnd"/>
      <w:r w:rsidRPr="007F2DA0">
        <w:rPr>
          <w:rFonts w:ascii="Arial" w:hAnsi="Arial" w:cs="Arial"/>
        </w:rPr>
        <w:t xml:space="preserve">’, </w:t>
      </w:r>
      <w:r w:rsidRPr="007F2DA0">
        <w:rPr>
          <w:rFonts w:ascii="Arial" w:hAnsi="Arial" w:cs="Arial"/>
          <w:i/>
          <w:iCs/>
        </w:rPr>
        <w:t>Challenges of the Future</w:t>
      </w:r>
      <w:r w:rsidRPr="007F2DA0">
        <w:rPr>
          <w:rFonts w:ascii="Arial" w:hAnsi="Arial" w:cs="Arial"/>
        </w:rPr>
        <w:t>, 10(1).</w:t>
      </w:r>
      <w:r w:rsidRPr="007F2DA0">
        <w:rPr>
          <w:rFonts w:ascii="Arial" w:hAnsi="Arial" w:cs="Arial"/>
        </w:rPr>
        <w:br/>
        <w:t xml:space="preserve">Available at: </w:t>
      </w:r>
      <w:hyperlink r:id="rId14" w:history="1">
        <w:r w:rsidRPr="007F2DA0">
          <w:rPr>
            <w:rStyle w:val="Hyperlink"/>
            <w:rFonts w:ascii="Arial" w:hAnsi="Arial" w:cs="Arial"/>
          </w:rPr>
          <w:t>https://doi.org/10.37886/ip.2025.002</w:t>
        </w:r>
      </w:hyperlink>
      <w:r w:rsidRPr="007F2DA0">
        <w:rPr>
          <w:rFonts w:ascii="Arial" w:hAnsi="Arial" w:cs="Arial"/>
        </w:rPr>
        <w:t>.</w:t>
      </w:r>
    </w:p>
    <w:p w14:paraId="07ADF65A" w14:textId="77777777" w:rsidR="00342801" w:rsidRPr="007F2DA0" w:rsidRDefault="00342801">
      <w:pPr>
        <w:rPr>
          <w:rFonts w:ascii="Arial" w:hAnsi="Arial" w:cs="Arial"/>
        </w:rPr>
      </w:pPr>
    </w:p>
    <w:p w14:paraId="18EBB10B" w14:textId="0EC05AF5" w:rsidR="009E1679" w:rsidRPr="007F2DA0" w:rsidRDefault="00342801">
      <w:pPr>
        <w:rPr>
          <w:rFonts w:ascii="Arial" w:hAnsi="Arial" w:cs="Arial"/>
        </w:rPr>
      </w:pPr>
      <w:r w:rsidRPr="007F2DA0">
        <w:rPr>
          <w:rFonts w:ascii="Arial" w:hAnsi="Arial" w:cs="Arial"/>
        </w:rPr>
        <w:t xml:space="preserve">Paulus, P.B. and Brown, V.R. (2007) ‘Toward More Creative and Innovative Group Idea Generation: A Cognitive-Social-Motivational Perspective of Brainstorming’, </w:t>
      </w:r>
      <w:r w:rsidRPr="007F2DA0">
        <w:rPr>
          <w:rFonts w:ascii="Arial" w:hAnsi="Arial" w:cs="Arial"/>
          <w:i/>
          <w:iCs/>
        </w:rPr>
        <w:t>Social and Personality Psychology Compass</w:t>
      </w:r>
      <w:r w:rsidRPr="007F2DA0">
        <w:rPr>
          <w:rFonts w:ascii="Arial" w:hAnsi="Arial" w:cs="Arial"/>
        </w:rPr>
        <w:t>, 1(1), pp. 248–265.</w:t>
      </w:r>
      <w:r w:rsidRPr="007F2DA0">
        <w:rPr>
          <w:rFonts w:ascii="Arial" w:hAnsi="Arial" w:cs="Arial"/>
        </w:rPr>
        <w:br/>
        <w:t xml:space="preserve">Available at: </w:t>
      </w:r>
      <w:hyperlink r:id="rId15" w:history="1">
        <w:r w:rsidRPr="007F2DA0">
          <w:rPr>
            <w:rStyle w:val="Hyperlink"/>
            <w:rFonts w:ascii="Arial" w:hAnsi="Arial" w:cs="Arial"/>
          </w:rPr>
          <w:t>https://doi.org/10.1111/j.1751-9004.2007.00006.x</w:t>
        </w:r>
      </w:hyperlink>
      <w:r w:rsidRPr="007F2DA0">
        <w:rPr>
          <w:rFonts w:ascii="Arial" w:hAnsi="Arial" w:cs="Arial"/>
        </w:rPr>
        <w:t>.</w:t>
      </w:r>
    </w:p>
    <w:p w14:paraId="11780E6B" w14:textId="77777777" w:rsidR="00342801" w:rsidRDefault="00342801"/>
    <w:p w14:paraId="0B8AA345" w14:textId="60A63E05" w:rsidR="001E68E3" w:rsidRDefault="001E68E3"/>
    <w:p w14:paraId="64A6293F" w14:textId="4FC8EF63" w:rsidR="001E68E3" w:rsidRDefault="001E68E3"/>
    <w:p w14:paraId="6A948A4B" w14:textId="5F8A5D93" w:rsidR="00F04679" w:rsidRDefault="00F04679"/>
    <w:p w14:paraId="5A34B3AE" w14:textId="32DE0DE7" w:rsidR="00F04679" w:rsidRDefault="00F04679"/>
    <w:p w14:paraId="0BC81BC8" w14:textId="16DE785D" w:rsidR="00F04679" w:rsidRDefault="00F04679"/>
    <w:p w14:paraId="6FBC3DCE" w14:textId="239C069E" w:rsidR="00F04679" w:rsidRDefault="00F04679"/>
    <w:p w14:paraId="33B69BC3" w14:textId="7F8262CD" w:rsidR="00F04679" w:rsidRDefault="00F04679"/>
    <w:p w14:paraId="48153FF1" w14:textId="7242E8EC" w:rsidR="00F04679" w:rsidRDefault="00F04679"/>
    <w:p w14:paraId="0BEEA6EA" w14:textId="5D86182D" w:rsidR="00F04679" w:rsidRDefault="00F04679"/>
    <w:p w14:paraId="7C5A66E3" w14:textId="332A0BED" w:rsidR="00F04679" w:rsidRDefault="00F04679"/>
    <w:p w14:paraId="6F184781" w14:textId="117C19DA" w:rsidR="00F04679" w:rsidRDefault="00F04679"/>
    <w:p w14:paraId="60F86894" w14:textId="34D0F24C" w:rsidR="00F04679" w:rsidRDefault="00F04679"/>
    <w:p w14:paraId="4EEC231A" w14:textId="540B7FF3" w:rsidR="00F04679" w:rsidRDefault="00F04679"/>
    <w:p w14:paraId="58386F82" w14:textId="081AAD17" w:rsidR="00F04679" w:rsidRDefault="00F04679"/>
    <w:p w14:paraId="026EFD30" w14:textId="76F3C5E5" w:rsidR="00F04679" w:rsidRDefault="00F04679"/>
    <w:p w14:paraId="00FBC986" w14:textId="566ED04D" w:rsidR="00F04679" w:rsidRDefault="00F04679"/>
    <w:p w14:paraId="743A03C5" w14:textId="77777777" w:rsidR="00F04679" w:rsidRDefault="00F04679"/>
    <w:p w14:paraId="60F77A76" w14:textId="3279D7C7" w:rsidR="00F04679" w:rsidRDefault="00B33B7F" w:rsidP="004F6F70">
      <w:pPr>
        <w:pStyle w:val="Heading1"/>
      </w:pPr>
      <w:r w:rsidRPr="007F2DA0">
        <w:lastRenderedPageBreak/>
        <w:t xml:space="preserve">Blog 3 - </w:t>
      </w:r>
      <w:r w:rsidRPr="000B0873">
        <w:t>Stakeholder analysis and communication</w:t>
      </w:r>
    </w:p>
    <w:p w14:paraId="3085D999" w14:textId="071B4A89" w:rsidR="00F04679" w:rsidRDefault="00BF7AA8" w:rsidP="00F04679">
      <w:r>
        <w:rPr>
          <w:rFonts w:ascii="Arial" w:hAnsi="Arial" w:cs="Arial"/>
          <w:noProof/>
        </w:rPr>
        <w:drawing>
          <wp:inline distT="0" distB="0" distL="0" distR="0" wp14:anchorId="3D071587" wp14:editId="1D4E2D32">
            <wp:extent cx="6197345" cy="4378036"/>
            <wp:effectExtent l="0" t="0" r="0" b="3810"/>
            <wp:docPr id="6906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19385" cy="4393606"/>
                    </a:xfrm>
                    <a:prstGeom prst="rect">
                      <a:avLst/>
                    </a:prstGeom>
                    <a:noFill/>
                    <a:ln>
                      <a:noFill/>
                    </a:ln>
                  </pic:spPr>
                </pic:pic>
              </a:graphicData>
            </a:graphic>
          </wp:inline>
        </w:drawing>
      </w:r>
    </w:p>
    <w:p w14:paraId="5F427036" w14:textId="34352EBA" w:rsidR="00F04679" w:rsidRDefault="00BF7AA8" w:rsidP="00F04679">
      <w:r>
        <w:t xml:space="preserve">                                                              (Florea, 2026 – Stakeholders:  St. Thomas Church administrator).</w:t>
      </w:r>
    </w:p>
    <w:p w14:paraId="77EEF96D" w14:textId="77777777" w:rsidR="00F04679" w:rsidRPr="00F04679" w:rsidRDefault="00F04679" w:rsidP="00F04679"/>
    <w:p w14:paraId="0B138B3E" w14:textId="22A74BFF" w:rsidR="00B33B7F" w:rsidRPr="007F2DA0" w:rsidRDefault="001E6627" w:rsidP="00B33B7F">
      <w:pPr>
        <w:pStyle w:val="isselectedend"/>
        <w:rPr>
          <w:rFonts w:ascii="Arial" w:hAnsi="Arial" w:cs="Arial"/>
          <w:sz w:val="22"/>
          <w:szCs w:val="22"/>
        </w:rPr>
      </w:pPr>
      <w:r w:rsidRPr="007F2DA0">
        <w:rPr>
          <w:rFonts w:ascii="Arial" w:hAnsi="Arial" w:cs="Arial"/>
          <w:sz w:val="22"/>
          <w:szCs w:val="22"/>
        </w:rPr>
        <w:t>Food donations involve multiple stakeholders and, t</w:t>
      </w:r>
      <w:r w:rsidR="00B33B7F" w:rsidRPr="007F2DA0">
        <w:rPr>
          <w:rFonts w:ascii="Arial" w:hAnsi="Arial" w:cs="Arial"/>
          <w:sz w:val="22"/>
          <w:szCs w:val="22"/>
        </w:rPr>
        <w:t>he main stakeholders in the St Thomas Church Food Donation Project are our group of five students, St Thomas Church representatives,</w:t>
      </w:r>
      <w:r w:rsidR="00736678">
        <w:rPr>
          <w:rFonts w:ascii="Arial" w:hAnsi="Arial" w:cs="Arial"/>
          <w:sz w:val="22"/>
          <w:szCs w:val="22"/>
        </w:rPr>
        <w:t xml:space="preserve"> The Church`s administrator,</w:t>
      </w:r>
      <w:r w:rsidR="00B33B7F" w:rsidRPr="007F2DA0">
        <w:rPr>
          <w:rFonts w:ascii="Arial" w:hAnsi="Arial" w:cs="Arial"/>
          <w:sz w:val="22"/>
          <w:szCs w:val="22"/>
        </w:rPr>
        <w:t xml:space="preserve"> Tesco management, donors, and the local community benefiting from the donations</w:t>
      </w:r>
      <w:r w:rsidRPr="007F2DA0">
        <w:rPr>
          <w:rFonts w:ascii="Arial" w:hAnsi="Arial" w:cs="Arial"/>
          <w:sz w:val="22"/>
          <w:szCs w:val="22"/>
        </w:rPr>
        <w:t xml:space="preserve"> (Lowrey and Boyer, 2023).</w:t>
      </w:r>
    </w:p>
    <w:p w14:paraId="07D18086" w14:textId="5C987AAB" w:rsidR="00B33B7F" w:rsidRPr="007F2DA0" w:rsidRDefault="00B33B7F" w:rsidP="00B33B7F">
      <w:pPr>
        <w:pStyle w:val="isselectedend"/>
        <w:rPr>
          <w:rFonts w:ascii="Arial" w:hAnsi="Arial" w:cs="Arial"/>
          <w:sz w:val="22"/>
          <w:szCs w:val="22"/>
        </w:rPr>
      </w:pPr>
      <w:r w:rsidRPr="007F2DA0">
        <w:rPr>
          <w:rFonts w:ascii="Arial" w:hAnsi="Arial" w:cs="Arial"/>
          <w:sz w:val="22"/>
          <w:szCs w:val="22"/>
        </w:rPr>
        <w:t>Our group is responsible for planning, organising, and delivering the project</w:t>
      </w:r>
      <w:r w:rsidR="001E6627" w:rsidRPr="007F2DA0">
        <w:rPr>
          <w:rFonts w:ascii="Arial" w:hAnsi="Arial" w:cs="Arial"/>
          <w:sz w:val="22"/>
          <w:szCs w:val="22"/>
        </w:rPr>
        <w:t xml:space="preserve"> whilst safely deliver quality food for</w:t>
      </w:r>
      <w:r w:rsidRPr="007F2DA0">
        <w:rPr>
          <w:rFonts w:ascii="Arial" w:hAnsi="Arial" w:cs="Arial"/>
          <w:sz w:val="22"/>
          <w:szCs w:val="22"/>
        </w:rPr>
        <w:t xml:space="preserve"> St Thomas Church</w:t>
      </w:r>
      <w:r w:rsidR="001E6627" w:rsidRPr="007F2DA0">
        <w:rPr>
          <w:rFonts w:ascii="Arial" w:hAnsi="Arial" w:cs="Arial"/>
          <w:sz w:val="22"/>
          <w:szCs w:val="22"/>
        </w:rPr>
        <w:t>. The Church`s</w:t>
      </w:r>
      <w:r w:rsidRPr="007F2DA0">
        <w:rPr>
          <w:rFonts w:ascii="Arial" w:hAnsi="Arial" w:cs="Arial"/>
          <w:sz w:val="22"/>
          <w:szCs w:val="22"/>
        </w:rPr>
        <w:t xml:space="preserve"> representatives are highly influential as they identified the need for canned foods such as beans, sweetcorn, and other non-perishable items through face-to-face meetings and text messages. Tesco management is also an important stakeholder, as Raluca's manager has supported the project through potential discounts and vouchers to maximise purchases within the budget. Donors contribute financial support or food items, helping us achieve our targets</w:t>
      </w:r>
      <w:r w:rsidR="001E6627" w:rsidRPr="007F2DA0">
        <w:rPr>
          <w:rFonts w:ascii="Arial" w:hAnsi="Arial" w:cs="Arial"/>
          <w:sz w:val="22"/>
          <w:szCs w:val="22"/>
        </w:rPr>
        <w:t xml:space="preserve"> whilst supporting the community with the food insecurity (Lott, Irwin and Heiss, 2020).</w:t>
      </w:r>
    </w:p>
    <w:p w14:paraId="0B3C5499" w14:textId="2EEC38FD" w:rsidR="00B33B7F" w:rsidRPr="007F2DA0" w:rsidRDefault="00B33B7F" w:rsidP="00B33B7F">
      <w:pPr>
        <w:pStyle w:val="NormalWeb"/>
        <w:rPr>
          <w:rFonts w:ascii="Arial" w:hAnsi="Arial" w:cs="Arial"/>
          <w:sz w:val="22"/>
          <w:szCs w:val="22"/>
        </w:rPr>
      </w:pPr>
      <w:r w:rsidRPr="007F2DA0">
        <w:rPr>
          <w:rFonts w:ascii="Arial" w:hAnsi="Arial" w:cs="Arial"/>
          <w:sz w:val="22"/>
          <w:szCs w:val="22"/>
        </w:rPr>
        <w:t>The local community are the main beneficiaries of the project</w:t>
      </w:r>
      <w:r w:rsidR="0062767E" w:rsidRPr="007F2DA0">
        <w:rPr>
          <w:rFonts w:ascii="Arial" w:hAnsi="Arial" w:cs="Arial"/>
          <w:sz w:val="22"/>
          <w:szCs w:val="22"/>
        </w:rPr>
        <w:t xml:space="preserve"> and c</w:t>
      </w:r>
      <w:r w:rsidRPr="007F2DA0">
        <w:rPr>
          <w:rFonts w:ascii="Arial" w:hAnsi="Arial" w:cs="Arial"/>
          <w:sz w:val="22"/>
          <w:szCs w:val="22"/>
        </w:rPr>
        <w:t>ommunication with them will take place mainly through the Pastor and church representatives. To ensure the project runs smoothly, stakeholders will be kept informed through meetings, phone calls, text messages, and group discussions.</w:t>
      </w:r>
    </w:p>
    <w:p w14:paraId="0700ED18" w14:textId="77777777" w:rsidR="00F04679" w:rsidRDefault="00F04679">
      <w:pPr>
        <w:rPr>
          <w:rFonts w:ascii="Arial" w:hAnsi="Arial" w:cs="Arial"/>
        </w:rPr>
      </w:pPr>
    </w:p>
    <w:p w14:paraId="649FD440" w14:textId="20F58530" w:rsidR="001E6627" w:rsidRPr="007F2DA0" w:rsidRDefault="001E6627">
      <w:pPr>
        <w:rPr>
          <w:rFonts w:ascii="Arial" w:hAnsi="Arial" w:cs="Arial"/>
        </w:rPr>
      </w:pPr>
      <w:r w:rsidRPr="007F2DA0">
        <w:rPr>
          <w:rFonts w:ascii="Arial" w:hAnsi="Arial" w:cs="Arial"/>
        </w:rPr>
        <w:lastRenderedPageBreak/>
        <w:br/>
        <w:t>References for blog 3:</w:t>
      </w:r>
      <w:r w:rsidRPr="007F2DA0">
        <w:rPr>
          <w:rFonts w:ascii="Arial" w:hAnsi="Arial" w:cs="Arial"/>
        </w:rPr>
        <w:br/>
      </w:r>
      <w:r w:rsidRPr="007F2DA0">
        <w:rPr>
          <w:rFonts w:ascii="Arial" w:hAnsi="Arial" w:cs="Arial"/>
        </w:rPr>
        <w:br/>
      </w:r>
      <w:r w:rsidRPr="007F2DA0">
        <w:rPr>
          <w:rFonts w:ascii="Arial" w:hAnsi="Arial" w:cs="Arial"/>
        </w:rPr>
        <w:br/>
        <w:t xml:space="preserve">Lott, S., Irwin, E. and Heiss, S. (2020) ‘Gleaner-Farmer Relationships: A Study of Recruitment and Relationship Development’, </w:t>
      </w:r>
      <w:r w:rsidRPr="007F2DA0">
        <w:rPr>
          <w:rFonts w:ascii="Arial" w:hAnsi="Arial" w:cs="Arial"/>
          <w:i/>
          <w:iCs/>
        </w:rPr>
        <w:t>Journal of Agriculture, Food Systems, and Community Development</w:t>
      </w:r>
      <w:r w:rsidRPr="007F2DA0">
        <w:rPr>
          <w:rFonts w:ascii="Arial" w:hAnsi="Arial" w:cs="Arial"/>
        </w:rPr>
        <w:t>, pp. 1–14.</w:t>
      </w:r>
      <w:r w:rsidRPr="007F2DA0">
        <w:rPr>
          <w:rFonts w:ascii="Arial" w:hAnsi="Arial" w:cs="Arial"/>
        </w:rPr>
        <w:br/>
        <w:t xml:space="preserve">Available at: </w:t>
      </w:r>
      <w:hyperlink r:id="rId17" w:history="1">
        <w:r w:rsidRPr="007F2DA0">
          <w:rPr>
            <w:rStyle w:val="Hyperlink"/>
            <w:rFonts w:ascii="Arial" w:hAnsi="Arial" w:cs="Arial"/>
          </w:rPr>
          <w:t>https://doi.org/10.5304/jafscd.2020.093.007</w:t>
        </w:r>
      </w:hyperlink>
      <w:r w:rsidRPr="007F2DA0">
        <w:rPr>
          <w:rFonts w:ascii="Arial" w:hAnsi="Arial" w:cs="Arial"/>
        </w:rPr>
        <w:t>.</w:t>
      </w:r>
    </w:p>
    <w:p w14:paraId="7C1C6E15" w14:textId="3E7B4C69" w:rsidR="001E68E3" w:rsidRPr="007F2DA0" w:rsidRDefault="001E6627">
      <w:pPr>
        <w:rPr>
          <w:rFonts w:ascii="Arial" w:hAnsi="Arial" w:cs="Arial"/>
        </w:rPr>
      </w:pPr>
      <w:r w:rsidRPr="007F2DA0">
        <w:rPr>
          <w:rFonts w:ascii="Arial" w:hAnsi="Arial" w:cs="Arial"/>
        </w:rPr>
        <w:br/>
        <w:t xml:space="preserve">Lowrey, J. and Boyer, K. (2023) ‘Pantry direct: A transformative supply chain for reducing food insecurity’, </w:t>
      </w:r>
      <w:r w:rsidRPr="007F2DA0">
        <w:rPr>
          <w:rFonts w:ascii="Arial" w:hAnsi="Arial" w:cs="Arial"/>
          <w:i/>
          <w:iCs/>
        </w:rPr>
        <w:t>Journal of Business Logistics</w:t>
      </w:r>
      <w:r w:rsidRPr="007F2DA0">
        <w:rPr>
          <w:rFonts w:ascii="Arial" w:hAnsi="Arial" w:cs="Arial"/>
        </w:rPr>
        <w:t>, 45(1).</w:t>
      </w:r>
      <w:r w:rsidRPr="007F2DA0">
        <w:rPr>
          <w:rFonts w:ascii="Arial" w:hAnsi="Arial" w:cs="Arial"/>
        </w:rPr>
        <w:br/>
        <w:t xml:space="preserve">Available at: </w:t>
      </w:r>
      <w:hyperlink r:id="rId18" w:history="1">
        <w:r w:rsidRPr="007F2DA0">
          <w:rPr>
            <w:rStyle w:val="Hyperlink"/>
            <w:rFonts w:ascii="Arial" w:hAnsi="Arial" w:cs="Arial"/>
          </w:rPr>
          <w:t>https://doi.org/10.1111/jbl.12341</w:t>
        </w:r>
      </w:hyperlink>
      <w:r w:rsidRPr="007F2DA0">
        <w:rPr>
          <w:rFonts w:ascii="Arial" w:hAnsi="Arial" w:cs="Arial"/>
        </w:rPr>
        <w:t>.</w:t>
      </w:r>
    </w:p>
    <w:p w14:paraId="325BF6ED" w14:textId="77777777" w:rsidR="001E6627" w:rsidRDefault="001E6627"/>
    <w:p w14:paraId="7434A8A6" w14:textId="7AF2B7E5" w:rsidR="001E6627" w:rsidRDefault="001E6627"/>
    <w:p w14:paraId="4C85D8AE" w14:textId="45D67B3B" w:rsidR="00943F98" w:rsidRDefault="00943F98"/>
    <w:p w14:paraId="50424F1D" w14:textId="1AE1ECB8" w:rsidR="00943F98" w:rsidRDefault="00943F98"/>
    <w:p w14:paraId="684318DF" w14:textId="711E0E88" w:rsidR="00943F98" w:rsidRDefault="00943F98"/>
    <w:p w14:paraId="29206A59" w14:textId="5B9CA462" w:rsidR="00943F98" w:rsidRDefault="00943F98"/>
    <w:p w14:paraId="235B2B74" w14:textId="7B9ED189" w:rsidR="00943F98" w:rsidRDefault="00943F98"/>
    <w:p w14:paraId="7CAD20F3" w14:textId="4BF4140C" w:rsidR="00943F98" w:rsidRDefault="00943F98"/>
    <w:p w14:paraId="6DB1DE35" w14:textId="5BA68CE4" w:rsidR="00427A6F" w:rsidRDefault="00427A6F"/>
    <w:p w14:paraId="1F77E790" w14:textId="55FB45E5" w:rsidR="00427A6F" w:rsidRDefault="00427A6F"/>
    <w:p w14:paraId="23B54014" w14:textId="7B680997" w:rsidR="00427A6F" w:rsidRDefault="00427A6F"/>
    <w:p w14:paraId="6144ED40" w14:textId="2C4E92C8" w:rsidR="00427A6F" w:rsidRDefault="00427A6F"/>
    <w:p w14:paraId="5D61D706" w14:textId="0D82EF41" w:rsidR="00427A6F" w:rsidRDefault="00427A6F"/>
    <w:p w14:paraId="73213D91" w14:textId="5D43E347" w:rsidR="00427A6F" w:rsidRDefault="00427A6F"/>
    <w:p w14:paraId="10730186" w14:textId="270E2648" w:rsidR="00427A6F" w:rsidRDefault="00427A6F"/>
    <w:p w14:paraId="64DF5F43" w14:textId="685675A3" w:rsidR="00427A6F" w:rsidRDefault="00427A6F"/>
    <w:p w14:paraId="57EBE86C" w14:textId="10405AE4" w:rsidR="00427A6F" w:rsidRDefault="00427A6F"/>
    <w:p w14:paraId="0FEBA6A3" w14:textId="5E646B78" w:rsidR="00427A6F" w:rsidRDefault="00427A6F"/>
    <w:p w14:paraId="4D7BB388" w14:textId="1DA3598D" w:rsidR="00427A6F" w:rsidRDefault="00427A6F"/>
    <w:p w14:paraId="1EAF3457" w14:textId="4277B756" w:rsidR="00427A6F" w:rsidRDefault="00427A6F"/>
    <w:p w14:paraId="05C12DE5" w14:textId="77777777" w:rsidR="00427A6F" w:rsidRDefault="00427A6F"/>
    <w:p w14:paraId="59EA82CA" w14:textId="70C1B2ED" w:rsidR="00F55D4C" w:rsidRDefault="00943F98" w:rsidP="00F55D4C">
      <w:pPr>
        <w:pStyle w:val="Heading1"/>
      </w:pPr>
      <w:r w:rsidRPr="007F2DA0">
        <w:lastRenderedPageBreak/>
        <w:t xml:space="preserve">Blog 4 - </w:t>
      </w:r>
      <w:r w:rsidRPr="000B0873">
        <w:t>Planning tools: WBS and Gantt chart</w:t>
      </w:r>
    </w:p>
    <w:p w14:paraId="513C4DF4" w14:textId="7DBC8C9D" w:rsidR="00F55D4C" w:rsidRDefault="005C3556" w:rsidP="00F55D4C">
      <w:r>
        <w:rPr>
          <w:noProof/>
        </w:rPr>
        <w:drawing>
          <wp:inline distT="0" distB="0" distL="0" distR="0" wp14:anchorId="38A4B0C3" wp14:editId="4C87F8EA">
            <wp:extent cx="6082145" cy="3796030"/>
            <wp:effectExtent l="0" t="0" r="0" b="0"/>
            <wp:docPr id="14606196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5851" cy="3804584"/>
                    </a:xfrm>
                    <a:prstGeom prst="rect">
                      <a:avLst/>
                    </a:prstGeom>
                    <a:noFill/>
                    <a:ln>
                      <a:noFill/>
                    </a:ln>
                  </pic:spPr>
                </pic:pic>
              </a:graphicData>
            </a:graphic>
          </wp:inline>
        </w:drawing>
      </w:r>
    </w:p>
    <w:p w14:paraId="116E972A" w14:textId="09465F62" w:rsidR="00F55D4C" w:rsidRPr="00F55D4C" w:rsidRDefault="00F55D4C" w:rsidP="00F55D4C">
      <w:r>
        <w:t xml:space="preserve">                                                                         (Florea, 2026</w:t>
      </w:r>
      <w:r w:rsidR="004F6F70">
        <w:t xml:space="preserve"> –Gantt Chart Saint Thomas Church project</w:t>
      </w:r>
      <w:r>
        <w:t>).</w:t>
      </w:r>
    </w:p>
    <w:p w14:paraId="5393C16E" w14:textId="152BC893" w:rsidR="00943F98" w:rsidRPr="007F2DA0" w:rsidRDefault="00943F98" w:rsidP="00943F98">
      <w:pPr>
        <w:pStyle w:val="isselectedend"/>
        <w:rPr>
          <w:rFonts w:ascii="Arial" w:hAnsi="Arial" w:cs="Arial"/>
          <w:sz w:val="22"/>
          <w:szCs w:val="22"/>
        </w:rPr>
      </w:pPr>
      <w:r w:rsidRPr="007F2DA0">
        <w:rPr>
          <w:rFonts w:ascii="Arial" w:hAnsi="Arial" w:cs="Arial"/>
          <w:sz w:val="22"/>
          <w:szCs w:val="22"/>
        </w:rPr>
        <w:t>To organise the St Thomas Church Food Donation Project, our group used a Work Breakdown Structure (WBS) to divide the project into smaller tasks and assign responsibilities</w:t>
      </w:r>
      <w:r w:rsidR="00FE3BF2" w:rsidRPr="007F2DA0">
        <w:rPr>
          <w:rFonts w:ascii="Arial" w:hAnsi="Arial" w:cs="Arial"/>
          <w:sz w:val="22"/>
          <w:szCs w:val="22"/>
        </w:rPr>
        <w:t xml:space="preserve"> (Desmond, 2017)</w:t>
      </w:r>
      <w:r w:rsidR="00F05383" w:rsidRPr="007F2DA0">
        <w:rPr>
          <w:rFonts w:ascii="Arial" w:hAnsi="Arial" w:cs="Arial"/>
          <w:sz w:val="22"/>
          <w:szCs w:val="22"/>
        </w:rPr>
        <w:t xml:space="preserve"> and the traditional project management tool Gantt Chart (Valadares </w:t>
      </w:r>
      <w:r w:rsidR="00F05383" w:rsidRPr="007F2DA0">
        <w:rPr>
          <w:rFonts w:ascii="Arial" w:hAnsi="Arial" w:cs="Arial"/>
          <w:i/>
          <w:iCs/>
          <w:sz w:val="22"/>
          <w:szCs w:val="22"/>
        </w:rPr>
        <w:t>et al.</w:t>
      </w:r>
      <w:r w:rsidR="00F05383" w:rsidRPr="007F2DA0">
        <w:rPr>
          <w:rFonts w:ascii="Arial" w:hAnsi="Arial" w:cs="Arial"/>
          <w:sz w:val="22"/>
          <w:szCs w:val="22"/>
        </w:rPr>
        <w:t>, 2024).</w:t>
      </w:r>
      <w:r w:rsidR="00FE3BF2" w:rsidRPr="007F2DA0">
        <w:rPr>
          <w:rFonts w:ascii="Arial" w:hAnsi="Arial" w:cs="Arial"/>
          <w:sz w:val="22"/>
          <w:szCs w:val="22"/>
        </w:rPr>
        <w:br/>
      </w:r>
      <w:r w:rsidRPr="007F2DA0">
        <w:rPr>
          <w:rFonts w:ascii="Arial" w:hAnsi="Arial" w:cs="Arial"/>
          <w:sz w:val="22"/>
          <w:szCs w:val="22"/>
        </w:rPr>
        <w:t>As Group Leader, I was responsible for delegating tasks, monitoring progress, and setting project deadlines</w:t>
      </w:r>
      <w:r w:rsidR="00FE3BF2" w:rsidRPr="007F2DA0">
        <w:rPr>
          <w:rFonts w:ascii="Arial" w:hAnsi="Arial" w:cs="Arial"/>
          <w:sz w:val="22"/>
          <w:szCs w:val="22"/>
        </w:rPr>
        <w:t xml:space="preserve"> whist working with</w:t>
      </w:r>
      <w:r w:rsidRPr="007F2DA0">
        <w:rPr>
          <w:rFonts w:ascii="Arial" w:hAnsi="Arial" w:cs="Arial"/>
          <w:sz w:val="22"/>
          <w:szCs w:val="22"/>
        </w:rPr>
        <w:t xml:space="preserve"> Piotr and Dre research</w:t>
      </w:r>
      <w:r w:rsidR="00FE3BF2" w:rsidRPr="007F2DA0">
        <w:rPr>
          <w:rFonts w:ascii="Arial" w:hAnsi="Arial" w:cs="Arial"/>
          <w:sz w:val="22"/>
          <w:szCs w:val="22"/>
        </w:rPr>
        <w:t>ing</w:t>
      </w:r>
      <w:r w:rsidRPr="007F2DA0">
        <w:rPr>
          <w:rFonts w:ascii="Arial" w:hAnsi="Arial" w:cs="Arial"/>
          <w:sz w:val="22"/>
          <w:szCs w:val="22"/>
        </w:rPr>
        <w:t xml:space="preserve"> potential project ideas, including workplace initiatives and community support activities. Dre also explored a mindfulness project, but it was not feasible within the available timeframe. Iustina supported Raluca in communicating with St Thomas Church through visits and meetings to identify the community's needs.</w:t>
      </w:r>
    </w:p>
    <w:p w14:paraId="66708049" w14:textId="77777777" w:rsidR="00943F98" w:rsidRPr="007F2DA0" w:rsidRDefault="00943F98" w:rsidP="00943F98">
      <w:pPr>
        <w:pStyle w:val="isselectedend"/>
        <w:rPr>
          <w:rFonts w:ascii="Arial" w:hAnsi="Arial" w:cs="Arial"/>
          <w:sz w:val="22"/>
          <w:szCs w:val="22"/>
        </w:rPr>
      </w:pPr>
      <w:r w:rsidRPr="007F2DA0">
        <w:rPr>
          <w:rFonts w:ascii="Arial" w:hAnsi="Arial" w:cs="Arial"/>
          <w:sz w:val="22"/>
          <w:szCs w:val="22"/>
        </w:rPr>
        <w:t>Once the food donation project was selected, the WBS included key tasks such as meeting church representatives, creating a Facebook page for donations, contacting Tesco management for discounts and vouchers, collecting donations, purchasing food supplies, and delivering them to the church.</w:t>
      </w:r>
    </w:p>
    <w:p w14:paraId="452F7CB4" w14:textId="1FFB6F6E" w:rsidR="00943F98" w:rsidRDefault="00943F98" w:rsidP="00427A6F">
      <w:pPr>
        <w:pStyle w:val="NormalWeb"/>
        <w:rPr>
          <w:rFonts w:ascii="Arial" w:hAnsi="Arial" w:cs="Arial"/>
          <w:sz w:val="22"/>
          <w:szCs w:val="22"/>
        </w:rPr>
      </w:pPr>
      <w:r w:rsidRPr="007F2DA0">
        <w:rPr>
          <w:rFonts w:ascii="Arial" w:hAnsi="Arial" w:cs="Arial"/>
          <w:sz w:val="22"/>
          <w:szCs w:val="22"/>
        </w:rPr>
        <w:t xml:space="preserve">A Gantt chart was used to organise the project timeline over 3–4 weeks. Activities were scheduled from initial planning and stakeholder communication through to donation collection and final delivery on </w:t>
      </w:r>
      <w:r w:rsidR="005C3556">
        <w:rPr>
          <w:rFonts w:ascii="Arial" w:hAnsi="Arial" w:cs="Arial"/>
          <w:sz w:val="22"/>
          <w:szCs w:val="22"/>
        </w:rPr>
        <w:t>16</w:t>
      </w:r>
      <w:r w:rsidRPr="007F2DA0">
        <w:rPr>
          <w:rFonts w:ascii="Arial" w:hAnsi="Arial" w:cs="Arial"/>
          <w:sz w:val="22"/>
          <w:szCs w:val="22"/>
        </w:rPr>
        <w:t xml:space="preserve"> June 2026. Both the WBS and Gantt chart were useful planning tools because they clarified responsibilities, deadlines, and project progress</w:t>
      </w:r>
      <w:r w:rsidR="00FE3BF2" w:rsidRPr="007F2DA0">
        <w:rPr>
          <w:rFonts w:ascii="Arial" w:hAnsi="Arial" w:cs="Arial"/>
          <w:sz w:val="22"/>
          <w:szCs w:val="22"/>
        </w:rPr>
        <w:t xml:space="preserve"> (Tang </w:t>
      </w:r>
      <w:r w:rsidR="00FE3BF2" w:rsidRPr="007F2DA0">
        <w:rPr>
          <w:rFonts w:ascii="Arial" w:hAnsi="Arial" w:cs="Arial"/>
          <w:i/>
          <w:iCs/>
          <w:sz w:val="22"/>
          <w:szCs w:val="22"/>
        </w:rPr>
        <w:t>et al.</w:t>
      </w:r>
      <w:r w:rsidR="00FE3BF2" w:rsidRPr="007F2DA0">
        <w:rPr>
          <w:rFonts w:ascii="Arial" w:hAnsi="Arial" w:cs="Arial"/>
          <w:sz w:val="22"/>
          <w:szCs w:val="22"/>
        </w:rPr>
        <w:t xml:space="preserve">, 2024). </w:t>
      </w:r>
      <w:r w:rsidR="00DE0084" w:rsidRPr="007F2DA0">
        <w:rPr>
          <w:rFonts w:ascii="Arial" w:hAnsi="Arial" w:cs="Arial"/>
          <w:sz w:val="22"/>
          <w:szCs w:val="22"/>
        </w:rPr>
        <w:br/>
      </w:r>
      <w:r w:rsidRPr="007F2DA0">
        <w:rPr>
          <w:rFonts w:ascii="Arial" w:hAnsi="Arial" w:cs="Arial"/>
          <w:sz w:val="22"/>
          <w:szCs w:val="22"/>
        </w:rPr>
        <w:t>However, one challenge was adapting the schedule when some initial project ideas proved unsuitable and the team had to change direction</w:t>
      </w:r>
      <w:r w:rsidR="00FE3BF2" w:rsidRPr="007F2DA0">
        <w:rPr>
          <w:rFonts w:ascii="Arial" w:hAnsi="Arial" w:cs="Arial"/>
          <w:sz w:val="22"/>
          <w:szCs w:val="22"/>
        </w:rPr>
        <w:t xml:space="preserve"> (Geraldi and </w:t>
      </w:r>
      <w:proofErr w:type="spellStart"/>
      <w:r w:rsidR="00FE3BF2" w:rsidRPr="007F2DA0">
        <w:rPr>
          <w:rFonts w:ascii="Arial" w:hAnsi="Arial" w:cs="Arial"/>
          <w:sz w:val="22"/>
          <w:szCs w:val="22"/>
        </w:rPr>
        <w:t>Lechter</w:t>
      </w:r>
      <w:proofErr w:type="spellEnd"/>
      <w:r w:rsidR="00FE3BF2" w:rsidRPr="007F2DA0">
        <w:rPr>
          <w:rFonts w:ascii="Arial" w:hAnsi="Arial" w:cs="Arial"/>
          <w:sz w:val="22"/>
          <w:szCs w:val="22"/>
        </w:rPr>
        <w:t>, 2012).</w:t>
      </w:r>
    </w:p>
    <w:p w14:paraId="4A174166" w14:textId="77777777" w:rsidR="005C3556" w:rsidRPr="007F2DA0" w:rsidRDefault="005C3556" w:rsidP="00427A6F">
      <w:pPr>
        <w:pStyle w:val="NormalWeb"/>
        <w:rPr>
          <w:rFonts w:ascii="Arial" w:hAnsi="Arial" w:cs="Arial"/>
          <w:sz w:val="22"/>
          <w:szCs w:val="22"/>
        </w:rPr>
      </w:pPr>
    </w:p>
    <w:p w14:paraId="01A58D08" w14:textId="625FBA6C" w:rsidR="00FE3BF2" w:rsidRPr="007F2DA0" w:rsidRDefault="00FE3BF2">
      <w:pPr>
        <w:rPr>
          <w:rFonts w:ascii="Arial" w:hAnsi="Arial" w:cs="Arial"/>
        </w:rPr>
      </w:pPr>
      <w:r w:rsidRPr="007F2DA0">
        <w:rPr>
          <w:rFonts w:ascii="Arial" w:hAnsi="Arial" w:cs="Arial"/>
        </w:rPr>
        <w:lastRenderedPageBreak/>
        <w:t>References for blog 4:</w:t>
      </w:r>
      <w:r w:rsidRPr="007F2DA0">
        <w:rPr>
          <w:rFonts w:ascii="Arial" w:hAnsi="Arial" w:cs="Arial"/>
        </w:rPr>
        <w:br/>
      </w:r>
      <w:r w:rsidRPr="007F2DA0">
        <w:rPr>
          <w:rFonts w:ascii="Arial" w:hAnsi="Arial" w:cs="Arial"/>
        </w:rPr>
        <w:br/>
        <w:t xml:space="preserve">Desmond, C. (2017) ‘Project management tools - A few basic tools’, </w:t>
      </w:r>
      <w:r w:rsidRPr="007F2DA0">
        <w:rPr>
          <w:rFonts w:ascii="Arial" w:hAnsi="Arial" w:cs="Arial"/>
          <w:i/>
          <w:iCs/>
        </w:rPr>
        <w:t>IEEE Engineering Management Review</w:t>
      </w:r>
      <w:r w:rsidRPr="007F2DA0">
        <w:rPr>
          <w:rFonts w:ascii="Arial" w:hAnsi="Arial" w:cs="Arial"/>
        </w:rPr>
        <w:t>, 45(2), pp. 25–26.</w:t>
      </w:r>
      <w:r w:rsidRPr="007F2DA0">
        <w:rPr>
          <w:rFonts w:ascii="Arial" w:hAnsi="Arial" w:cs="Arial"/>
        </w:rPr>
        <w:br/>
        <w:t xml:space="preserve">Available at: </w:t>
      </w:r>
      <w:hyperlink r:id="rId20" w:history="1">
        <w:r w:rsidRPr="007F2DA0">
          <w:rPr>
            <w:rStyle w:val="Hyperlink"/>
            <w:rFonts w:ascii="Arial" w:hAnsi="Arial" w:cs="Arial"/>
          </w:rPr>
          <w:t>https://doi.org/10.1109/emr.2017.2701509</w:t>
        </w:r>
      </w:hyperlink>
      <w:r w:rsidRPr="007F2DA0">
        <w:rPr>
          <w:rFonts w:ascii="Arial" w:hAnsi="Arial" w:cs="Arial"/>
        </w:rPr>
        <w:t>.</w:t>
      </w:r>
    </w:p>
    <w:p w14:paraId="448EA4CF" w14:textId="3BED6A52" w:rsidR="00943F98" w:rsidRPr="007F2DA0" w:rsidRDefault="00FE3BF2">
      <w:pPr>
        <w:rPr>
          <w:rFonts w:ascii="Arial" w:hAnsi="Arial" w:cs="Arial"/>
        </w:rPr>
      </w:pPr>
      <w:r w:rsidRPr="007F2DA0">
        <w:rPr>
          <w:rFonts w:ascii="Arial" w:hAnsi="Arial" w:cs="Arial"/>
        </w:rPr>
        <w:br/>
        <w:t xml:space="preserve">Geraldi, J. and </w:t>
      </w:r>
      <w:proofErr w:type="spellStart"/>
      <w:r w:rsidRPr="007F2DA0">
        <w:rPr>
          <w:rFonts w:ascii="Arial" w:hAnsi="Arial" w:cs="Arial"/>
        </w:rPr>
        <w:t>Lechter</w:t>
      </w:r>
      <w:proofErr w:type="spellEnd"/>
      <w:r w:rsidRPr="007F2DA0">
        <w:rPr>
          <w:rFonts w:ascii="Arial" w:hAnsi="Arial" w:cs="Arial"/>
        </w:rPr>
        <w:t xml:space="preserve">, T. (2012) ‘Gantt Charts Revisited: A Critical Analysis of Its Roots and Implications to the Management of Projects Today’, </w:t>
      </w:r>
      <w:r w:rsidRPr="007F2DA0">
        <w:rPr>
          <w:rFonts w:ascii="Arial" w:hAnsi="Arial" w:cs="Arial"/>
          <w:i/>
          <w:iCs/>
        </w:rPr>
        <w:t>International Journal of Managing Projects in Business</w:t>
      </w:r>
      <w:r w:rsidRPr="007F2DA0">
        <w:rPr>
          <w:rFonts w:ascii="Arial" w:hAnsi="Arial" w:cs="Arial"/>
        </w:rPr>
        <w:t xml:space="preserve">, 5(4), pp. 578–594. </w:t>
      </w:r>
      <w:r w:rsidRPr="007F2DA0">
        <w:rPr>
          <w:rFonts w:ascii="Arial" w:hAnsi="Arial" w:cs="Arial"/>
        </w:rPr>
        <w:br/>
        <w:t xml:space="preserve">Available at: </w:t>
      </w:r>
      <w:hyperlink r:id="rId21" w:history="1">
        <w:r w:rsidRPr="007F2DA0">
          <w:rPr>
            <w:rStyle w:val="Hyperlink"/>
            <w:rFonts w:ascii="Arial" w:hAnsi="Arial" w:cs="Arial"/>
          </w:rPr>
          <w:t>https://doi.org/10.1108/17538371211268889</w:t>
        </w:r>
      </w:hyperlink>
      <w:r w:rsidRPr="007F2DA0">
        <w:rPr>
          <w:rFonts w:ascii="Arial" w:hAnsi="Arial" w:cs="Arial"/>
        </w:rPr>
        <w:t>.</w:t>
      </w:r>
    </w:p>
    <w:p w14:paraId="7F2F11B5" w14:textId="2AD2219B" w:rsidR="00FE3BF2" w:rsidRPr="007F2DA0" w:rsidRDefault="00DE0084">
      <w:pPr>
        <w:rPr>
          <w:rFonts w:ascii="Arial" w:hAnsi="Arial" w:cs="Arial"/>
        </w:rPr>
      </w:pPr>
      <w:r w:rsidRPr="007F2DA0">
        <w:rPr>
          <w:rFonts w:ascii="Arial" w:hAnsi="Arial" w:cs="Arial"/>
        </w:rPr>
        <w:t xml:space="preserve">Tang, J. </w:t>
      </w:r>
      <w:r w:rsidRPr="007F2DA0">
        <w:rPr>
          <w:rFonts w:ascii="Arial" w:hAnsi="Arial" w:cs="Arial"/>
          <w:i/>
          <w:iCs/>
        </w:rPr>
        <w:t>et al.</w:t>
      </w:r>
      <w:r w:rsidRPr="007F2DA0">
        <w:rPr>
          <w:rFonts w:ascii="Arial" w:hAnsi="Arial" w:cs="Arial"/>
        </w:rPr>
        <w:t xml:space="preserve"> (2024) ‘A Comparative Study on Fixed-order Event Sequence Visualizations: Gantt, Extended Gantt, and Stringline Charts’, </w:t>
      </w:r>
      <w:r w:rsidRPr="007F2DA0">
        <w:rPr>
          <w:rFonts w:ascii="Arial" w:hAnsi="Arial" w:cs="Arial"/>
          <w:i/>
          <w:iCs/>
        </w:rPr>
        <w:t>IEEE Transactions on Visualization and Computer Graphics</w:t>
      </w:r>
      <w:r w:rsidRPr="007F2DA0">
        <w:rPr>
          <w:rFonts w:ascii="Arial" w:hAnsi="Arial" w:cs="Arial"/>
        </w:rPr>
        <w:t>, 18(9), pp. 1–15.</w:t>
      </w:r>
      <w:r w:rsidRPr="007F2DA0">
        <w:rPr>
          <w:rFonts w:ascii="Arial" w:hAnsi="Arial" w:cs="Arial"/>
        </w:rPr>
        <w:br/>
        <w:t xml:space="preserve">Available at: </w:t>
      </w:r>
      <w:hyperlink r:id="rId22" w:history="1">
        <w:r w:rsidRPr="007F2DA0">
          <w:rPr>
            <w:rStyle w:val="Hyperlink"/>
            <w:rFonts w:ascii="Arial" w:hAnsi="Arial" w:cs="Arial"/>
          </w:rPr>
          <w:t>https://doi.org/10.1109/tvcg.2024.3358919</w:t>
        </w:r>
      </w:hyperlink>
      <w:r w:rsidRPr="007F2DA0">
        <w:rPr>
          <w:rFonts w:ascii="Arial" w:hAnsi="Arial" w:cs="Arial"/>
        </w:rPr>
        <w:t>.</w:t>
      </w:r>
    </w:p>
    <w:p w14:paraId="483B0B35" w14:textId="286E3813" w:rsidR="00DE0084" w:rsidRDefault="00F05383">
      <w:pPr>
        <w:rPr>
          <w:rFonts w:ascii="Arial" w:hAnsi="Arial" w:cs="Arial"/>
        </w:rPr>
      </w:pPr>
      <w:r w:rsidRPr="007F2DA0">
        <w:rPr>
          <w:rFonts w:ascii="Arial" w:hAnsi="Arial" w:cs="Arial"/>
        </w:rPr>
        <w:t xml:space="preserve">Valadares, F.S. </w:t>
      </w:r>
      <w:r w:rsidRPr="007F2DA0">
        <w:rPr>
          <w:rFonts w:ascii="Arial" w:hAnsi="Arial" w:cs="Arial"/>
          <w:i/>
          <w:iCs/>
        </w:rPr>
        <w:t>et al.</w:t>
      </w:r>
      <w:r w:rsidRPr="007F2DA0">
        <w:rPr>
          <w:rFonts w:ascii="Arial" w:hAnsi="Arial" w:cs="Arial"/>
        </w:rPr>
        <w:t xml:space="preserve"> (2024) ‘Identification of the Main Traditional Project Management Methods Through a Systematic Literature Review’, </w:t>
      </w:r>
      <w:r w:rsidRPr="007F2DA0">
        <w:rPr>
          <w:rFonts w:ascii="Arial" w:hAnsi="Arial" w:cs="Arial"/>
          <w:i/>
          <w:iCs/>
        </w:rPr>
        <w:t>International Journal of Advanced Computer Science and Applications</w:t>
      </w:r>
      <w:r w:rsidRPr="007F2DA0">
        <w:rPr>
          <w:rFonts w:ascii="Arial" w:hAnsi="Arial" w:cs="Arial"/>
        </w:rPr>
        <w:t xml:space="preserve">, 15(6). </w:t>
      </w:r>
      <w:r w:rsidR="00C33A79">
        <w:rPr>
          <w:rFonts w:ascii="Arial" w:hAnsi="Arial" w:cs="Arial"/>
        </w:rPr>
        <w:br/>
      </w:r>
      <w:r w:rsidRPr="007F2DA0">
        <w:rPr>
          <w:rFonts w:ascii="Arial" w:hAnsi="Arial" w:cs="Arial"/>
        </w:rPr>
        <w:t xml:space="preserve">Available at: </w:t>
      </w:r>
      <w:hyperlink r:id="rId23" w:history="1">
        <w:r w:rsidR="00C33A79" w:rsidRPr="0047598B">
          <w:rPr>
            <w:rStyle w:val="Hyperlink"/>
            <w:rFonts w:ascii="Arial" w:hAnsi="Arial" w:cs="Arial"/>
          </w:rPr>
          <w:t>https://doi.org/10.14569/ijacsa.2024.0150697</w:t>
        </w:r>
      </w:hyperlink>
      <w:r w:rsidRPr="007F2DA0">
        <w:rPr>
          <w:rFonts w:ascii="Arial" w:hAnsi="Arial" w:cs="Arial"/>
        </w:rPr>
        <w:t>.</w:t>
      </w:r>
    </w:p>
    <w:p w14:paraId="62B9C499" w14:textId="22431729" w:rsidR="00C33A79" w:rsidRPr="007F2DA0" w:rsidRDefault="00C33A79">
      <w:pPr>
        <w:rPr>
          <w:rFonts w:ascii="Arial" w:hAnsi="Arial" w:cs="Arial"/>
        </w:rPr>
      </w:pPr>
    </w:p>
    <w:p w14:paraId="7953D905" w14:textId="2F5FBB57" w:rsidR="00943F98" w:rsidRDefault="00943F98"/>
    <w:p w14:paraId="06A2CF74" w14:textId="5394AAE0" w:rsidR="007F2DA0" w:rsidRDefault="007F2DA0"/>
    <w:p w14:paraId="096C2C3E" w14:textId="15EA0A56" w:rsidR="00F55D4C" w:rsidRDefault="00F55D4C"/>
    <w:p w14:paraId="4E9B477A" w14:textId="3612030A" w:rsidR="00F55D4C" w:rsidRDefault="00F55D4C"/>
    <w:p w14:paraId="6C0B69CD" w14:textId="0CE6CF24" w:rsidR="00F55D4C" w:rsidRDefault="00F55D4C"/>
    <w:p w14:paraId="0DA560B0" w14:textId="1C7AF3CA" w:rsidR="00F55D4C" w:rsidRDefault="00F55D4C"/>
    <w:p w14:paraId="33E75A89" w14:textId="4D88FE8E" w:rsidR="00F55D4C" w:rsidRDefault="00F55D4C"/>
    <w:p w14:paraId="1B9A5DB0" w14:textId="0C08E316" w:rsidR="00F55D4C" w:rsidRDefault="00F55D4C"/>
    <w:p w14:paraId="4BFC74AB" w14:textId="2F14AE5F" w:rsidR="00F55D4C" w:rsidRDefault="00F55D4C"/>
    <w:p w14:paraId="47723BB7" w14:textId="0469C715" w:rsidR="00F55D4C" w:rsidRDefault="00F55D4C"/>
    <w:p w14:paraId="69071DCF" w14:textId="510F7C58" w:rsidR="00F55D4C" w:rsidRDefault="00F55D4C"/>
    <w:p w14:paraId="5A221642" w14:textId="68BCB718" w:rsidR="00F55D4C" w:rsidRDefault="00F55D4C"/>
    <w:p w14:paraId="2AC8FABF" w14:textId="7B4841DB" w:rsidR="00F55D4C" w:rsidRDefault="00F55D4C"/>
    <w:p w14:paraId="1E1371E9" w14:textId="6B05BB27" w:rsidR="00F55D4C" w:rsidRDefault="00F55D4C"/>
    <w:p w14:paraId="55E9BA42" w14:textId="029B4FD2" w:rsidR="00F55D4C" w:rsidRDefault="00F55D4C"/>
    <w:p w14:paraId="1B51D69A" w14:textId="2DA284FA" w:rsidR="00F55D4C" w:rsidRDefault="00F55D4C"/>
    <w:p w14:paraId="4ED429AF" w14:textId="77777777" w:rsidR="00F55D4C" w:rsidRDefault="00F55D4C"/>
    <w:p w14:paraId="7C2EF02E" w14:textId="3C474958" w:rsidR="00214273" w:rsidRPr="004F43D9" w:rsidRDefault="00E31E24" w:rsidP="004F43D9">
      <w:pPr>
        <w:pStyle w:val="Heading1"/>
      </w:pPr>
      <w:r w:rsidRPr="007F2DA0">
        <w:lastRenderedPageBreak/>
        <w:t xml:space="preserve">Blog 5 - </w:t>
      </w:r>
      <w:r w:rsidRPr="000B0873">
        <w:t xml:space="preserve">Risk </w:t>
      </w:r>
      <w:r w:rsidR="004F6F70">
        <w:t>and</w:t>
      </w:r>
      <w:r w:rsidRPr="000B0873">
        <w:t xml:space="preserve"> self-evaluation / development</w:t>
      </w:r>
      <w:r w:rsidR="00F55D4C">
        <w:rPr>
          <w:rFonts w:ascii="Arial" w:hAnsi="Arial" w:cs="Arial"/>
          <w:sz w:val="22"/>
          <w:szCs w:val="22"/>
        </w:rPr>
        <w:br/>
      </w:r>
      <w:r w:rsidR="00F55D4C" w:rsidRPr="00F55D4C">
        <w:rPr>
          <w:rFonts w:ascii="Arial" w:hAnsi="Arial" w:cs="Arial"/>
          <w:noProof/>
          <w:sz w:val="22"/>
          <w:szCs w:val="22"/>
        </w:rPr>
        <w:drawing>
          <wp:inline distT="0" distB="0" distL="0" distR="0" wp14:anchorId="638537ED" wp14:editId="7F06FD8C">
            <wp:extent cx="6248400" cy="262122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269744" cy="2630181"/>
                    </a:xfrm>
                    <a:prstGeom prst="rect">
                      <a:avLst/>
                    </a:prstGeom>
                  </pic:spPr>
                </pic:pic>
              </a:graphicData>
            </a:graphic>
          </wp:inline>
        </w:drawing>
      </w:r>
    </w:p>
    <w:p w14:paraId="6BFFF1E1" w14:textId="64510AE4" w:rsidR="00F55D4C" w:rsidRDefault="00F55D4C" w:rsidP="00214273">
      <w:pPr>
        <w:pStyle w:val="NormalWeb"/>
        <w:rPr>
          <w:rFonts w:ascii="Arial" w:hAnsi="Arial" w:cs="Arial"/>
          <w:sz w:val="22"/>
          <w:szCs w:val="22"/>
        </w:rPr>
      </w:pPr>
      <w:r>
        <w:rPr>
          <w:rFonts w:ascii="Arial" w:hAnsi="Arial" w:cs="Arial"/>
          <w:sz w:val="22"/>
          <w:szCs w:val="22"/>
        </w:rPr>
        <w:t xml:space="preserve">                                                                                                                (Investopedia, 2026).</w:t>
      </w:r>
    </w:p>
    <w:p w14:paraId="67A9F8A3" w14:textId="77777777" w:rsidR="004F43D9" w:rsidRPr="004F43D9" w:rsidRDefault="004F43D9" w:rsidP="004F43D9">
      <w:pPr>
        <w:rPr>
          <w:rFonts w:ascii="Arial" w:hAnsi="Arial" w:cs="Arial"/>
        </w:rPr>
      </w:pPr>
      <w:r w:rsidRPr="004F43D9">
        <w:rPr>
          <w:rFonts w:ascii="Arial" w:hAnsi="Arial" w:cs="Arial"/>
        </w:rPr>
        <w:t>Throughout the St Thomas Church Food Donation Project, I used SWOT analysis to evaluate my strengths, weaknesses, opportunities and threats (Helms and Nixon, 2010), which highlighted my development in organisation, communication and leadership (Kenton, 2025). As group leader, I coordinated tasks, monitored progress and maintained communication with stakeholders, helping to keep the team focused.</w:t>
      </w:r>
    </w:p>
    <w:p w14:paraId="7EB46BF0" w14:textId="77777777" w:rsidR="004F43D9" w:rsidRPr="004F43D9" w:rsidRDefault="004F43D9" w:rsidP="004F43D9">
      <w:pPr>
        <w:rPr>
          <w:rFonts w:ascii="Arial" w:hAnsi="Arial" w:cs="Arial"/>
        </w:rPr>
      </w:pPr>
    </w:p>
    <w:p w14:paraId="6A9DD783" w14:textId="77777777" w:rsidR="004F43D9" w:rsidRPr="004F43D9" w:rsidRDefault="004F43D9" w:rsidP="004F43D9">
      <w:pPr>
        <w:rPr>
          <w:rFonts w:ascii="Arial" w:hAnsi="Arial" w:cs="Arial"/>
        </w:rPr>
      </w:pPr>
      <w:r w:rsidRPr="004F43D9">
        <w:rPr>
          <w:rFonts w:ascii="Arial" w:hAnsi="Arial" w:cs="Arial"/>
        </w:rPr>
        <w:t>However, changing project ideas and ensuring equal participation highlighted the need to improve my adaptability, delegation and conflict management skills (Smith et al., 2022). The need to replace unrealistic ideas with a more achievable project strengthened my decision-making and problem-solving abilities.</w:t>
      </w:r>
    </w:p>
    <w:p w14:paraId="4461AA36" w14:textId="77777777" w:rsidR="004F43D9" w:rsidRPr="004F43D9" w:rsidRDefault="004F43D9" w:rsidP="004F43D9">
      <w:pPr>
        <w:rPr>
          <w:rFonts w:ascii="Arial" w:hAnsi="Arial" w:cs="Arial"/>
        </w:rPr>
      </w:pPr>
    </w:p>
    <w:p w14:paraId="0B8B0780" w14:textId="71CBA97D" w:rsidR="00943F98" w:rsidRDefault="004F43D9" w:rsidP="004F43D9">
      <w:pPr>
        <w:rPr>
          <w:rFonts w:ascii="Arial" w:hAnsi="Arial" w:cs="Arial"/>
        </w:rPr>
      </w:pPr>
      <w:r w:rsidRPr="004F43D9">
        <w:rPr>
          <w:rFonts w:ascii="Arial" w:hAnsi="Arial" w:cs="Arial"/>
        </w:rPr>
        <w:t>To support self-evaluation, I also used Peer Groups and the Action Learning tool. These provided constructive feedback, encouraged reflection and allowed me to learn from others' experiences. While feedback can be subjective and dependent on participation, both approaches complemented SWOT analysis by improving self-awareness and supporting continuous leadership development. For future projects, I aim to strengthen my planning, time management and decision-making skills by gaining further team-based experience and regularly seeking feedback (Timms, 2022).</w:t>
      </w:r>
    </w:p>
    <w:p w14:paraId="6485AC7B" w14:textId="7736C75E" w:rsidR="00F55D4C" w:rsidRDefault="00F55D4C">
      <w:pPr>
        <w:rPr>
          <w:rFonts w:ascii="Arial" w:hAnsi="Arial" w:cs="Arial"/>
        </w:rPr>
      </w:pPr>
    </w:p>
    <w:p w14:paraId="0B8B5571" w14:textId="7B597FED" w:rsidR="00F55D4C" w:rsidRDefault="00F55D4C">
      <w:pPr>
        <w:rPr>
          <w:rFonts w:ascii="Arial" w:hAnsi="Arial" w:cs="Arial"/>
        </w:rPr>
      </w:pPr>
    </w:p>
    <w:p w14:paraId="338DA9EC" w14:textId="5CBCA244" w:rsidR="00F55D4C" w:rsidRDefault="00F55D4C">
      <w:pPr>
        <w:rPr>
          <w:rFonts w:ascii="Arial" w:hAnsi="Arial" w:cs="Arial"/>
        </w:rPr>
      </w:pPr>
    </w:p>
    <w:p w14:paraId="74F7D15A" w14:textId="77777777" w:rsidR="004F43D9" w:rsidRDefault="004F43D9">
      <w:pPr>
        <w:rPr>
          <w:rFonts w:ascii="Arial" w:hAnsi="Arial" w:cs="Arial"/>
        </w:rPr>
      </w:pPr>
    </w:p>
    <w:p w14:paraId="1AAC6A09" w14:textId="77777777" w:rsidR="004F43D9" w:rsidRDefault="004F43D9">
      <w:pPr>
        <w:rPr>
          <w:rFonts w:ascii="Arial" w:hAnsi="Arial" w:cs="Arial"/>
        </w:rPr>
      </w:pPr>
    </w:p>
    <w:p w14:paraId="4BA9FB3F" w14:textId="77777777" w:rsidR="00F55D4C" w:rsidRPr="007F2DA0" w:rsidRDefault="00F55D4C">
      <w:pPr>
        <w:rPr>
          <w:rFonts w:ascii="Arial" w:hAnsi="Arial" w:cs="Arial"/>
        </w:rPr>
      </w:pPr>
    </w:p>
    <w:p w14:paraId="51E118A9" w14:textId="1158D22A" w:rsidR="009E6131" w:rsidRDefault="00E31E24">
      <w:r w:rsidRPr="007F2DA0">
        <w:rPr>
          <w:rFonts w:ascii="Arial" w:hAnsi="Arial" w:cs="Arial"/>
        </w:rPr>
        <w:lastRenderedPageBreak/>
        <w:t>Blog 5 resource list:</w:t>
      </w:r>
      <w:r w:rsidR="009E6131" w:rsidRPr="007F2DA0">
        <w:rPr>
          <w:rFonts w:ascii="Arial" w:hAnsi="Arial" w:cs="Arial"/>
        </w:rPr>
        <w:br/>
      </w:r>
      <w:r w:rsidR="009E6131" w:rsidRPr="007F2DA0">
        <w:rPr>
          <w:rFonts w:ascii="Arial" w:hAnsi="Arial" w:cs="Arial"/>
        </w:rPr>
        <w:br/>
        <w:t xml:space="preserve">Helms, M.M. and Nixon, J. (2010) ‘Exploring SWOT Analysis – Where Are We Now?’, </w:t>
      </w:r>
      <w:r w:rsidR="009E6131" w:rsidRPr="007F2DA0">
        <w:rPr>
          <w:rFonts w:ascii="Arial" w:hAnsi="Arial" w:cs="Arial"/>
          <w:i/>
          <w:iCs/>
        </w:rPr>
        <w:t>Journal of Strategy and Management</w:t>
      </w:r>
      <w:r w:rsidR="009E6131" w:rsidRPr="007F2DA0">
        <w:rPr>
          <w:rFonts w:ascii="Arial" w:hAnsi="Arial" w:cs="Arial"/>
        </w:rPr>
        <w:t>, 3(3), pp. 215–251.</w:t>
      </w:r>
      <w:r w:rsidR="009E6131" w:rsidRPr="007F2DA0">
        <w:rPr>
          <w:rFonts w:ascii="Arial" w:hAnsi="Arial" w:cs="Arial"/>
        </w:rPr>
        <w:br/>
        <w:t xml:space="preserve">Available at: </w:t>
      </w:r>
      <w:hyperlink r:id="rId25" w:history="1">
        <w:r w:rsidR="009E6131" w:rsidRPr="007F2DA0">
          <w:rPr>
            <w:rStyle w:val="Hyperlink"/>
            <w:rFonts w:ascii="Arial" w:hAnsi="Arial" w:cs="Arial"/>
          </w:rPr>
          <w:t>https://doi.org/10.1108/17554251011064837</w:t>
        </w:r>
      </w:hyperlink>
      <w:r w:rsidR="009E6131" w:rsidRPr="007F2DA0">
        <w:rPr>
          <w:rFonts w:ascii="Arial" w:hAnsi="Arial" w:cs="Arial"/>
        </w:rPr>
        <w:t>.</w:t>
      </w:r>
      <w:r w:rsidR="00C0623F">
        <w:rPr>
          <w:rFonts w:ascii="Arial" w:hAnsi="Arial" w:cs="Arial"/>
        </w:rPr>
        <w:br/>
      </w:r>
      <w:r w:rsidR="00C0623F">
        <w:rPr>
          <w:rFonts w:ascii="Arial" w:hAnsi="Arial" w:cs="Arial"/>
        </w:rPr>
        <w:br/>
      </w:r>
      <w:r w:rsidR="00C0623F" w:rsidRPr="00C0623F">
        <w:rPr>
          <w:rFonts w:ascii="Arial" w:hAnsi="Arial" w:cs="Arial"/>
        </w:rPr>
        <w:t xml:space="preserve">Kenton, W. (2025) </w:t>
      </w:r>
      <w:r w:rsidR="00C0623F" w:rsidRPr="00C0623F">
        <w:rPr>
          <w:rFonts w:ascii="Arial" w:hAnsi="Arial" w:cs="Arial"/>
          <w:i/>
          <w:iCs/>
        </w:rPr>
        <w:t>How to Perform a SWOT Analysis</w:t>
      </w:r>
      <w:r w:rsidR="00C0623F" w:rsidRPr="00C0623F">
        <w:rPr>
          <w:rFonts w:ascii="Arial" w:hAnsi="Arial" w:cs="Arial"/>
        </w:rPr>
        <w:t xml:space="preserve">, </w:t>
      </w:r>
      <w:r w:rsidR="00C0623F" w:rsidRPr="00C0623F">
        <w:rPr>
          <w:rFonts w:ascii="Arial" w:hAnsi="Arial" w:cs="Arial"/>
          <w:i/>
          <w:iCs/>
        </w:rPr>
        <w:t>Investopedia</w:t>
      </w:r>
      <w:r w:rsidR="00C0623F" w:rsidRPr="00C0623F">
        <w:rPr>
          <w:rFonts w:ascii="Arial" w:hAnsi="Arial" w:cs="Arial"/>
        </w:rPr>
        <w:t>.</w:t>
      </w:r>
      <w:r w:rsidR="00C0623F" w:rsidRPr="00C0623F">
        <w:rPr>
          <w:rFonts w:ascii="Arial" w:hAnsi="Arial" w:cs="Arial"/>
        </w:rPr>
        <w:br/>
        <w:t xml:space="preserve">Available at: </w:t>
      </w:r>
      <w:hyperlink r:id="rId26" w:history="1">
        <w:r w:rsidR="00C0623F" w:rsidRPr="00C0623F">
          <w:rPr>
            <w:rStyle w:val="Hyperlink"/>
            <w:rFonts w:ascii="Arial" w:hAnsi="Arial" w:cs="Arial"/>
          </w:rPr>
          <w:t>https://www.investopedia.com/terms/s/swot.asp</w:t>
        </w:r>
      </w:hyperlink>
      <w:r w:rsidR="00C0623F" w:rsidRPr="00C0623F">
        <w:rPr>
          <w:rFonts w:ascii="Arial" w:hAnsi="Arial" w:cs="Arial"/>
        </w:rPr>
        <w:t>.</w:t>
      </w:r>
    </w:p>
    <w:p w14:paraId="1DAEADEF" w14:textId="2FCA357F" w:rsidR="00943F98" w:rsidRPr="007F2DA0" w:rsidRDefault="00E31E24">
      <w:pPr>
        <w:rPr>
          <w:rFonts w:ascii="Arial" w:hAnsi="Arial" w:cs="Arial"/>
        </w:rPr>
      </w:pPr>
      <w:r w:rsidRPr="007F2DA0">
        <w:rPr>
          <w:rFonts w:ascii="Arial" w:hAnsi="Arial" w:cs="Arial"/>
        </w:rPr>
        <w:br/>
        <w:t xml:space="preserve">Smith, S.M. </w:t>
      </w:r>
      <w:r w:rsidRPr="007F2DA0">
        <w:rPr>
          <w:rFonts w:ascii="Arial" w:hAnsi="Arial" w:cs="Arial"/>
          <w:i/>
          <w:iCs/>
        </w:rPr>
        <w:t>et al.</w:t>
      </w:r>
      <w:r w:rsidRPr="007F2DA0">
        <w:rPr>
          <w:rFonts w:ascii="Arial" w:hAnsi="Arial" w:cs="Arial"/>
        </w:rPr>
        <w:t xml:space="preserve"> (2022) ‘Leadership development evaluation (LDE): reflections on a </w:t>
      </w:r>
      <w:proofErr w:type="spellStart"/>
      <w:r w:rsidRPr="007F2DA0">
        <w:rPr>
          <w:rFonts w:ascii="Arial" w:hAnsi="Arial" w:cs="Arial"/>
        </w:rPr>
        <w:t>collaboratory</w:t>
      </w:r>
      <w:proofErr w:type="spellEnd"/>
      <w:r w:rsidRPr="007F2DA0">
        <w:rPr>
          <w:rFonts w:ascii="Arial" w:hAnsi="Arial" w:cs="Arial"/>
        </w:rPr>
        <w:t xml:space="preserve"> approach’, </w:t>
      </w:r>
      <w:r w:rsidRPr="007F2DA0">
        <w:rPr>
          <w:rFonts w:ascii="Arial" w:hAnsi="Arial" w:cs="Arial"/>
          <w:i/>
          <w:iCs/>
        </w:rPr>
        <w:t>International Journal of Organizational Analysis</w:t>
      </w:r>
      <w:r w:rsidRPr="007F2DA0">
        <w:rPr>
          <w:rFonts w:ascii="Arial" w:hAnsi="Arial" w:cs="Arial"/>
        </w:rPr>
        <w:t>.</w:t>
      </w:r>
      <w:r w:rsidRPr="007F2DA0">
        <w:rPr>
          <w:rFonts w:ascii="Arial" w:hAnsi="Arial" w:cs="Arial"/>
        </w:rPr>
        <w:br/>
        <w:t xml:space="preserve">Available at: </w:t>
      </w:r>
      <w:hyperlink r:id="rId27" w:history="1">
        <w:r w:rsidRPr="007F2DA0">
          <w:rPr>
            <w:rStyle w:val="Hyperlink"/>
            <w:rFonts w:ascii="Arial" w:hAnsi="Arial" w:cs="Arial"/>
          </w:rPr>
          <w:t>https://doi.org/10.1108/ijoa-11-2021-3056</w:t>
        </w:r>
      </w:hyperlink>
      <w:r w:rsidRPr="007F2DA0">
        <w:rPr>
          <w:rFonts w:ascii="Arial" w:hAnsi="Arial" w:cs="Arial"/>
        </w:rPr>
        <w:t>.</w:t>
      </w:r>
    </w:p>
    <w:p w14:paraId="3B8FB044" w14:textId="7780BA8D" w:rsidR="00E31E24" w:rsidRPr="007F2DA0" w:rsidRDefault="000F3C1E">
      <w:pPr>
        <w:rPr>
          <w:rFonts w:ascii="Arial" w:hAnsi="Arial" w:cs="Arial"/>
        </w:rPr>
      </w:pPr>
      <w:r w:rsidRPr="007F2DA0">
        <w:rPr>
          <w:rFonts w:ascii="Arial" w:hAnsi="Arial" w:cs="Arial"/>
        </w:rPr>
        <w:t xml:space="preserve">Timms, M. (2022) ‘Three leadership assessment tools for managers’, </w:t>
      </w:r>
      <w:r w:rsidRPr="007F2DA0">
        <w:rPr>
          <w:rFonts w:ascii="Arial" w:hAnsi="Arial" w:cs="Arial"/>
          <w:i/>
          <w:iCs/>
        </w:rPr>
        <w:t>Strategic HR Review</w:t>
      </w:r>
      <w:r w:rsidRPr="007F2DA0">
        <w:rPr>
          <w:rFonts w:ascii="Arial" w:hAnsi="Arial" w:cs="Arial"/>
        </w:rPr>
        <w:t xml:space="preserve">, 21(3). Available at: </w:t>
      </w:r>
      <w:hyperlink r:id="rId28" w:history="1">
        <w:r w:rsidRPr="007F2DA0">
          <w:rPr>
            <w:rStyle w:val="Hyperlink"/>
            <w:rFonts w:ascii="Arial" w:hAnsi="Arial" w:cs="Arial"/>
          </w:rPr>
          <w:t>https://doi.org/10.1108/shr-03-2022-0012</w:t>
        </w:r>
      </w:hyperlink>
      <w:r w:rsidRPr="007F2DA0">
        <w:rPr>
          <w:rFonts w:ascii="Arial" w:hAnsi="Arial" w:cs="Arial"/>
        </w:rPr>
        <w:t>.</w:t>
      </w:r>
    </w:p>
    <w:p w14:paraId="4164D25E" w14:textId="77777777" w:rsidR="00E31E24" w:rsidRDefault="00E31E24"/>
    <w:p w14:paraId="0AF7AD8E" w14:textId="5AC9DCC1" w:rsidR="00943F98" w:rsidRDefault="00943F98"/>
    <w:p w14:paraId="0D26AC7C" w14:textId="4F472363" w:rsidR="00943F98" w:rsidRDefault="00ED33FF">
      <w:r w:rsidRPr="00ED33FF">
        <w:rPr>
          <w:noProof/>
        </w:rPr>
        <w:drawing>
          <wp:inline distT="0" distB="0" distL="0" distR="0" wp14:anchorId="10099C9A" wp14:editId="5B2C0377">
            <wp:extent cx="6234545" cy="49320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65672" cy="4956669"/>
                    </a:xfrm>
                    <a:prstGeom prst="rect">
                      <a:avLst/>
                    </a:prstGeom>
                  </pic:spPr>
                </pic:pic>
              </a:graphicData>
            </a:graphic>
          </wp:inline>
        </w:drawing>
      </w:r>
      <w:r>
        <w:br/>
        <w:t xml:space="preserve">                                                                                (</w:t>
      </w:r>
      <w:r w:rsidRPr="00ED33FF">
        <w:t>https://www.istockphoto.com/photos/thank-you-sign</w:t>
      </w:r>
      <w:r>
        <w:t>).</w:t>
      </w:r>
    </w:p>
    <w:sectPr w:rsidR="00943F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2720E"/>
    <w:multiLevelType w:val="hybridMultilevel"/>
    <w:tmpl w:val="B66E246C"/>
    <w:lvl w:ilvl="0" w:tplc="9A1EF9B0">
      <w:start w:val="1"/>
      <w:numFmt w:val="bullet"/>
      <w:lvlText w:val="•"/>
      <w:lvlJc w:val="left"/>
      <w:pPr>
        <w:tabs>
          <w:tab w:val="num" w:pos="720"/>
        </w:tabs>
        <w:ind w:left="720" w:hanging="360"/>
      </w:pPr>
      <w:rPr>
        <w:rFonts w:ascii="Arial" w:hAnsi="Arial" w:hint="default"/>
      </w:rPr>
    </w:lvl>
    <w:lvl w:ilvl="1" w:tplc="85E2BE92" w:tentative="1">
      <w:start w:val="1"/>
      <w:numFmt w:val="bullet"/>
      <w:lvlText w:val="•"/>
      <w:lvlJc w:val="left"/>
      <w:pPr>
        <w:tabs>
          <w:tab w:val="num" w:pos="1440"/>
        </w:tabs>
        <w:ind w:left="1440" w:hanging="360"/>
      </w:pPr>
      <w:rPr>
        <w:rFonts w:ascii="Arial" w:hAnsi="Arial" w:hint="default"/>
      </w:rPr>
    </w:lvl>
    <w:lvl w:ilvl="2" w:tplc="6442D5D6" w:tentative="1">
      <w:start w:val="1"/>
      <w:numFmt w:val="bullet"/>
      <w:lvlText w:val="•"/>
      <w:lvlJc w:val="left"/>
      <w:pPr>
        <w:tabs>
          <w:tab w:val="num" w:pos="2160"/>
        </w:tabs>
        <w:ind w:left="2160" w:hanging="360"/>
      </w:pPr>
      <w:rPr>
        <w:rFonts w:ascii="Arial" w:hAnsi="Arial" w:hint="default"/>
      </w:rPr>
    </w:lvl>
    <w:lvl w:ilvl="3" w:tplc="027A5750" w:tentative="1">
      <w:start w:val="1"/>
      <w:numFmt w:val="bullet"/>
      <w:lvlText w:val="•"/>
      <w:lvlJc w:val="left"/>
      <w:pPr>
        <w:tabs>
          <w:tab w:val="num" w:pos="2880"/>
        </w:tabs>
        <w:ind w:left="2880" w:hanging="360"/>
      </w:pPr>
      <w:rPr>
        <w:rFonts w:ascii="Arial" w:hAnsi="Arial" w:hint="default"/>
      </w:rPr>
    </w:lvl>
    <w:lvl w:ilvl="4" w:tplc="16F06F96" w:tentative="1">
      <w:start w:val="1"/>
      <w:numFmt w:val="bullet"/>
      <w:lvlText w:val="•"/>
      <w:lvlJc w:val="left"/>
      <w:pPr>
        <w:tabs>
          <w:tab w:val="num" w:pos="3600"/>
        </w:tabs>
        <w:ind w:left="3600" w:hanging="360"/>
      </w:pPr>
      <w:rPr>
        <w:rFonts w:ascii="Arial" w:hAnsi="Arial" w:hint="default"/>
      </w:rPr>
    </w:lvl>
    <w:lvl w:ilvl="5" w:tplc="31A022BA" w:tentative="1">
      <w:start w:val="1"/>
      <w:numFmt w:val="bullet"/>
      <w:lvlText w:val="•"/>
      <w:lvlJc w:val="left"/>
      <w:pPr>
        <w:tabs>
          <w:tab w:val="num" w:pos="4320"/>
        </w:tabs>
        <w:ind w:left="4320" w:hanging="360"/>
      </w:pPr>
      <w:rPr>
        <w:rFonts w:ascii="Arial" w:hAnsi="Arial" w:hint="default"/>
      </w:rPr>
    </w:lvl>
    <w:lvl w:ilvl="6" w:tplc="7A94FFE2" w:tentative="1">
      <w:start w:val="1"/>
      <w:numFmt w:val="bullet"/>
      <w:lvlText w:val="•"/>
      <w:lvlJc w:val="left"/>
      <w:pPr>
        <w:tabs>
          <w:tab w:val="num" w:pos="5040"/>
        </w:tabs>
        <w:ind w:left="5040" w:hanging="360"/>
      </w:pPr>
      <w:rPr>
        <w:rFonts w:ascii="Arial" w:hAnsi="Arial" w:hint="default"/>
      </w:rPr>
    </w:lvl>
    <w:lvl w:ilvl="7" w:tplc="4D6E0D2A" w:tentative="1">
      <w:start w:val="1"/>
      <w:numFmt w:val="bullet"/>
      <w:lvlText w:val="•"/>
      <w:lvlJc w:val="left"/>
      <w:pPr>
        <w:tabs>
          <w:tab w:val="num" w:pos="5760"/>
        </w:tabs>
        <w:ind w:left="5760" w:hanging="360"/>
      </w:pPr>
      <w:rPr>
        <w:rFonts w:ascii="Arial" w:hAnsi="Arial" w:hint="default"/>
      </w:rPr>
    </w:lvl>
    <w:lvl w:ilvl="8" w:tplc="60203D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7D3121"/>
    <w:multiLevelType w:val="hybridMultilevel"/>
    <w:tmpl w:val="F9CA6F66"/>
    <w:lvl w:ilvl="0" w:tplc="1B285450">
      <w:start w:val="1"/>
      <w:numFmt w:val="bullet"/>
      <w:lvlText w:val="•"/>
      <w:lvlJc w:val="left"/>
      <w:pPr>
        <w:tabs>
          <w:tab w:val="num" w:pos="720"/>
        </w:tabs>
        <w:ind w:left="720" w:hanging="360"/>
      </w:pPr>
      <w:rPr>
        <w:rFonts w:ascii="Arial" w:hAnsi="Arial" w:hint="default"/>
      </w:rPr>
    </w:lvl>
    <w:lvl w:ilvl="1" w:tplc="0B5E9732" w:tentative="1">
      <w:start w:val="1"/>
      <w:numFmt w:val="bullet"/>
      <w:lvlText w:val="•"/>
      <w:lvlJc w:val="left"/>
      <w:pPr>
        <w:tabs>
          <w:tab w:val="num" w:pos="1440"/>
        </w:tabs>
        <w:ind w:left="1440" w:hanging="360"/>
      </w:pPr>
      <w:rPr>
        <w:rFonts w:ascii="Arial" w:hAnsi="Arial" w:hint="default"/>
      </w:rPr>
    </w:lvl>
    <w:lvl w:ilvl="2" w:tplc="D28833EA" w:tentative="1">
      <w:start w:val="1"/>
      <w:numFmt w:val="bullet"/>
      <w:lvlText w:val="•"/>
      <w:lvlJc w:val="left"/>
      <w:pPr>
        <w:tabs>
          <w:tab w:val="num" w:pos="2160"/>
        </w:tabs>
        <w:ind w:left="2160" w:hanging="360"/>
      </w:pPr>
      <w:rPr>
        <w:rFonts w:ascii="Arial" w:hAnsi="Arial" w:hint="default"/>
      </w:rPr>
    </w:lvl>
    <w:lvl w:ilvl="3" w:tplc="EFD08F44" w:tentative="1">
      <w:start w:val="1"/>
      <w:numFmt w:val="bullet"/>
      <w:lvlText w:val="•"/>
      <w:lvlJc w:val="left"/>
      <w:pPr>
        <w:tabs>
          <w:tab w:val="num" w:pos="2880"/>
        </w:tabs>
        <w:ind w:left="2880" w:hanging="360"/>
      </w:pPr>
      <w:rPr>
        <w:rFonts w:ascii="Arial" w:hAnsi="Arial" w:hint="default"/>
      </w:rPr>
    </w:lvl>
    <w:lvl w:ilvl="4" w:tplc="9D601CBA" w:tentative="1">
      <w:start w:val="1"/>
      <w:numFmt w:val="bullet"/>
      <w:lvlText w:val="•"/>
      <w:lvlJc w:val="left"/>
      <w:pPr>
        <w:tabs>
          <w:tab w:val="num" w:pos="3600"/>
        </w:tabs>
        <w:ind w:left="3600" w:hanging="360"/>
      </w:pPr>
      <w:rPr>
        <w:rFonts w:ascii="Arial" w:hAnsi="Arial" w:hint="default"/>
      </w:rPr>
    </w:lvl>
    <w:lvl w:ilvl="5" w:tplc="78C0ECDE" w:tentative="1">
      <w:start w:val="1"/>
      <w:numFmt w:val="bullet"/>
      <w:lvlText w:val="•"/>
      <w:lvlJc w:val="left"/>
      <w:pPr>
        <w:tabs>
          <w:tab w:val="num" w:pos="4320"/>
        </w:tabs>
        <w:ind w:left="4320" w:hanging="360"/>
      </w:pPr>
      <w:rPr>
        <w:rFonts w:ascii="Arial" w:hAnsi="Arial" w:hint="default"/>
      </w:rPr>
    </w:lvl>
    <w:lvl w:ilvl="6" w:tplc="8AA0A768" w:tentative="1">
      <w:start w:val="1"/>
      <w:numFmt w:val="bullet"/>
      <w:lvlText w:val="•"/>
      <w:lvlJc w:val="left"/>
      <w:pPr>
        <w:tabs>
          <w:tab w:val="num" w:pos="5040"/>
        </w:tabs>
        <w:ind w:left="5040" w:hanging="360"/>
      </w:pPr>
      <w:rPr>
        <w:rFonts w:ascii="Arial" w:hAnsi="Arial" w:hint="default"/>
      </w:rPr>
    </w:lvl>
    <w:lvl w:ilvl="7" w:tplc="BCC8EEDC" w:tentative="1">
      <w:start w:val="1"/>
      <w:numFmt w:val="bullet"/>
      <w:lvlText w:val="•"/>
      <w:lvlJc w:val="left"/>
      <w:pPr>
        <w:tabs>
          <w:tab w:val="num" w:pos="5760"/>
        </w:tabs>
        <w:ind w:left="5760" w:hanging="360"/>
      </w:pPr>
      <w:rPr>
        <w:rFonts w:ascii="Arial" w:hAnsi="Arial" w:hint="default"/>
      </w:rPr>
    </w:lvl>
    <w:lvl w:ilvl="8" w:tplc="FBEE78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06F5DF7"/>
    <w:multiLevelType w:val="hybridMultilevel"/>
    <w:tmpl w:val="48F6526E"/>
    <w:lvl w:ilvl="0" w:tplc="DA6CFA48">
      <w:start w:val="1"/>
      <w:numFmt w:val="bullet"/>
      <w:lvlText w:val="•"/>
      <w:lvlJc w:val="left"/>
      <w:pPr>
        <w:tabs>
          <w:tab w:val="num" w:pos="643"/>
        </w:tabs>
        <w:ind w:left="643" w:hanging="360"/>
      </w:pPr>
      <w:rPr>
        <w:rFonts w:ascii="Arial" w:hAnsi="Arial" w:hint="default"/>
      </w:rPr>
    </w:lvl>
    <w:lvl w:ilvl="1" w:tplc="6720A8D6" w:tentative="1">
      <w:start w:val="1"/>
      <w:numFmt w:val="bullet"/>
      <w:lvlText w:val="•"/>
      <w:lvlJc w:val="left"/>
      <w:pPr>
        <w:tabs>
          <w:tab w:val="num" w:pos="1363"/>
        </w:tabs>
        <w:ind w:left="1363" w:hanging="360"/>
      </w:pPr>
      <w:rPr>
        <w:rFonts w:ascii="Arial" w:hAnsi="Arial" w:hint="default"/>
      </w:rPr>
    </w:lvl>
    <w:lvl w:ilvl="2" w:tplc="A99C4B36" w:tentative="1">
      <w:start w:val="1"/>
      <w:numFmt w:val="bullet"/>
      <w:lvlText w:val="•"/>
      <w:lvlJc w:val="left"/>
      <w:pPr>
        <w:tabs>
          <w:tab w:val="num" w:pos="2083"/>
        </w:tabs>
        <w:ind w:left="2083" w:hanging="360"/>
      </w:pPr>
      <w:rPr>
        <w:rFonts w:ascii="Arial" w:hAnsi="Arial" w:hint="default"/>
      </w:rPr>
    </w:lvl>
    <w:lvl w:ilvl="3" w:tplc="DA8EF7E8" w:tentative="1">
      <w:start w:val="1"/>
      <w:numFmt w:val="bullet"/>
      <w:lvlText w:val="•"/>
      <w:lvlJc w:val="left"/>
      <w:pPr>
        <w:tabs>
          <w:tab w:val="num" w:pos="2803"/>
        </w:tabs>
        <w:ind w:left="2803" w:hanging="360"/>
      </w:pPr>
      <w:rPr>
        <w:rFonts w:ascii="Arial" w:hAnsi="Arial" w:hint="default"/>
      </w:rPr>
    </w:lvl>
    <w:lvl w:ilvl="4" w:tplc="2A22C13E" w:tentative="1">
      <w:start w:val="1"/>
      <w:numFmt w:val="bullet"/>
      <w:lvlText w:val="•"/>
      <w:lvlJc w:val="left"/>
      <w:pPr>
        <w:tabs>
          <w:tab w:val="num" w:pos="3523"/>
        </w:tabs>
        <w:ind w:left="3523" w:hanging="360"/>
      </w:pPr>
      <w:rPr>
        <w:rFonts w:ascii="Arial" w:hAnsi="Arial" w:hint="default"/>
      </w:rPr>
    </w:lvl>
    <w:lvl w:ilvl="5" w:tplc="100C1B32" w:tentative="1">
      <w:start w:val="1"/>
      <w:numFmt w:val="bullet"/>
      <w:lvlText w:val="•"/>
      <w:lvlJc w:val="left"/>
      <w:pPr>
        <w:tabs>
          <w:tab w:val="num" w:pos="4243"/>
        </w:tabs>
        <w:ind w:left="4243" w:hanging="360"/>
      </w:pPr>
      <w:rPr>
        <w:rFonts w:ascii="Arial" w:hAnsi="Arial" w:hint="default"/>
      </w:rPr>
    </w:lvl>
    <w:lvl w:ilvl="6" w:tplc="A3CEB49A" w:tentative="1">
      <w:start w:val="1"/>
      <w:numFmt w:val="bullet"/>
      <w:lvlText w:val="•"/>
      <w:lvlJc w:val="left"/>
      <w:pPr>
        <w:tabs>
          <w:tab w:val="num" w:pos="4963"/>
        </w:tabs>
        <w:ind w:left="4963" w:hanging="360"/>
      </w:pPr>
      <w:rPr>
        <w:rFonts w:ascii="Arial" w:hAnsi="Arial" w:hint="default"/>
      </w:rPr>
    </w:lvl>
    <w:lvl w:ilvl="7" w:tplc="29C60DA2" w:tentative="1">
      <w:start w:val="1"/>
      <w:numFmt w:val="bullet"/>
      <w:lvlText w:val="•"/>
      <w:lvlJc w:val="left"/>
      <w:pPr>
        <w:tabs>
          <w:tab w:val="num" w:pos="5683"/>
        </w:tabs>
        <w:ind w:left="5683" w:hanging="360"/>
      </w:pPr>
      <w:rPr>
        <w:rFonts w:ascii="Arial" w:hAnsi="Arial" w:hint="default"/>
      </w:rPr>
    </w:lvl>
    <w:lvl w:ilvl="8" w:tplc="4DDED408" w:tentative="1">
      <w:start w:val="1"/>
      <w:numFmt w:val="bullet"/>
      <w:lvlText w:val="•"/>
      <w:lvlJc w:val="left"/>
      <w:pPr>
        <w:tabs>
          <w:tab w:val="num" w:pos="6403"/>
        </w:tabs>
        <w:ind w:left="6403" w:hanging="360"/>
      </w:pPr>
      <w:rPr>
        <w:rFonts w:ascii="Arial" w:hAnsi="Arial" w:hint="default"/>
      </w:rPr>
    </w:lvl>
  </w:abstractNum>
  <w:abstractNum w:abstractNumId="3" w15:restartNumberingAfterBreak="0">
    <w:nsid w:val="66272F5D"/>
    <w:multiLevelType w:val="hybridMultilevel"/>
    <w:tmpl w:val="79984B7A"/>
    <w:lvl w:ilvl="0" w:tplc="ECDA05CE">
      <w:start w:val="1"/>
      <w:numFmt w:val="bullet"/>
      <w:lvlText w:val="•"/>
      <w:lvlJc w:val="left"/>
      <w:pPr>
        <w:tabs>
          <w:tab w:val="num" w:pos="720"/>
        </w:tabs>
        <w:ind w:left="720" w:hanging="360"/>
      </w:pPr>
      <w:rPr>
        <w:rFonts w:ascii="Arial" w:hAnsi="Arial" w:hint="default"/>
      </w:rPr>
    </w:lvl>
    <w:lvl w:ilvl="1" w:tplc="1F0A10DE" w:tentative="1">
      <w:start w:val="1"/>
      <w:numFmt w:val="bullet"/>
      <w:lvlText w:val="•"/>
      <w:lvlJc w:val="left"/>
      <w:pPr>
        <w:tabs>
          <w:tab w:val="num" w:pos="1440"/>
        </w:tabs>
        <w:ind w:left="1440" w:hanging="360"/>
      </w:pPr>
      <w:rPr>
        <w:rFonts w:ascii="Arial" w:hAnsi="Arial" w:hint="default"/>
      </w:rPr>
    </w:lvl>
    <w:lvl w:ilvl="2" w:tplc="5F7A3BDE" w:tentative="1">
      <w:start w:val="1"/>
      <w:numFmt w:val="bullet"/>
      <w:lvlText w:val="•"/>
      <w:lvlJc w:val="left"/>
      <w:pPr>
        <w:tabs>
          <w:tab w:val="num" w:pos="2160"/>
        </w:tabs>
        <w:ind w:left="2160" w:hanging="360"/>
      </w:pPr>
      <w:rPr>
        <w:rFonts w:ascii="Arial" w:hAnsi="Arial" w:hint="default"/>
      </w:rPr>
    </w:lvl>
    <w:lvl w:ilvl="3" w:tplc="3EB62AEC" w:tentative="1">
      <w:start w:val="1"/>
      <w:numFmt w:val="bullet"/>
      <w:lvlText w:val="•"/>
      <w:lvlJc w:val="left"/>
      <w:pPr>
        <w:tabs>
          <w:tab w:val="num" w:pos="2880"/>
        </w:tabs>
        <w:ind w:left="2880" w:hanging="360"/>
      </w:pPr>
      <w:rPr>
        <w:rFonts w:ascii="Arial" w:hAnsi="Arial" w:hint="default"/>
      </w:rPr>
    </w:lvl>
    <w:lvl w:ilvl="4" w:tplc="2BFE3140" w:tentative="1">
      <w:start w:val="1"/>
      <w:numFmt w:val="bullet"/>
      <w:lvlText w:val="•"/>
      <w:lvlJc w:val="left"/>
      <w:pPr>
        <w:tabs>
          <w:tab w:val="num" w:pos="3600"/>
        </w:tabs>
        <w:ind w:left="3600" w:hanging="360"/>
      </w:pPr>
      <w:rPr>
        <w:rFonts w:ascii="Arial" w:hAnsi="Arial" w:hint="default"/>
      </w:rPr>
    </w:lvl>
    <w:lvl w:ilvl="5" w:tplc="E76A77A8" w:tentative="1">
      <w:start w:val="1"/>
      <w:numFmt w:val="bullet"/>
      <w:lvlText w:val="•"/>
      <w:lvlJc w:val="left"/>
      <w:pPr>
        <w:tabs>
          <w:tab w:val="num" w:pos="4320"/>
        </w:tabs>
        <w:ind w:left="4320" w:hanging="360"/>
      </w:pPr>
      <w:rPr>
        <w:rFonts w:ascii="Arial" w:hAnsi="Arial" w:hint="default"/>
      </w:rPr>
    </w:lvl>
    <w:lvl w:ilvl="6" w:tplc="E3E68CEE" w:tentative="1">
      <w:start w:val="1"/>
      <w:numFmt w:val="bullet"/>
      <w:lvlText w:val="•"/>
      <w:lvlJc w:val="left"/>
      <w:pPr>
        <w:tabs>
          <w:tab w:val="num" w:pos="5040"/>
        </w:tabs>
        <w:ind w:left="5040" w:hanging="360"/>
      </w:pPr>
      <w:rPr>
        <w:rFonts w:ascii="Arial" w:hAnsi="Arial" w:hint="default"/>
      </w:rPr>
    </w:lvl>
    <w:lvl w:ilvl="7" w:tplc="FFFC1848" w:tentative="1">
      <w:start w:val="1"/>
      <w:numFmt w:val="bullet"/>
      <w:lvlText w:val="•"/>
      <w:lvlJc w:val="left"/>
      <w:pPr>
        <w:tabs>
          <w:tab w:val="num" w:pos="5760"/>
        </w:tabs>
        <w:ind w:left="5760" w:hanging="360"/>
      </w:pPr>
      <w:rPr>
        <w:rFonts w:ascii="Arial" w:hAnsi="Arial" w:hint="default"/>
      </w:rPr>
    </w:lvl>
    <w:lvl w:ilvl="8" w:tplc="045ECBC8" w:tentative="1">
      <w:start w:val="1"/>
      <w:numFmt w:val="bullet"/>
      <w:lvlText w:val="•"/>
      <w:lvlJc w:val="left"/>
      <w:pPr>
        <w:tabs>
          <w:tab w:val="num" w:pos="6480"/>
        </w:tabs>
        <w:ind w:left="6480" w:hanging="360"/>
      </w:pPr>
      <w:rPr>
        <w:rFonts w:ascii="Arial" w:hAnsi="Arial" w:hint="default"/>
      </w:rPr>
    </w:lvl>
  </w:abstractNum>
  <w:num w:numId="1" w16cid:durableId="1765496543">
    <w:abstractNumId w:val="2"/>
  </w:num>
  <w:num w:numId="2" w16cid:durableId="602030754">
    <w:abstractNumId w:val="0"/>
  </w:num>
  <w:num w:numId="3" w16cid:durableId="1202859277">
    <w:abstractNumId w:val="1"/>
  </w:num>
  <w:num w:numId="4" w16cid:durableId="10397475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873"/>
    <w:rsid w:val="00037060"/>
    <w:rsid w:val="000B0873"/>
    <w:rsid w:val="000F2E7D"/>
    <w:rsid w:val="000F3C1E"/>
    <w:rsid w:val="001836AB"/>
    <w:rsid w:val="001E6627"/>
    <w:rsid w:val="001E68E3"/>
    <w:rsid w:val="00214273"/>
    <w:rsid w:val="00232177"/>
    <w:rsid w:val="00250EB4"/>
    <w:rsid w:val="00342801"/>
    <w:rsid w:val="00427A6F"/>
    <w:rsid w:val="004F43D9"/>
    <w:rsid w:val="004F6F70"/>
    <w:rsid w:val="00504E1A"/>
    <w:rsid w:val="00537693"/>
    <w:rsid w:val="005C3556"/>
    <w:rsid w:val="005F7452"/>
    <w:rsid w:val="0062767E"/>
    <w:rsid w:val="00665D95"/>
    <w:rsid w:val="00736678"/>
    <w:rsid w:val="007724A1"/>
    <w:rsid w:val="007F2DA0"/>
    <w:rsid w:val="008F4FAA"/>
    <w:rsid w:val="00943F98"/>
    <w:rsid w:val="009D2772"/>
    <w:rsid w:val="009E1679"/>
    <w:rsid w:val="009E6131"/>
    <w:rsid w:val="00A8100F"/>
    <w:rsid w:val="00B33B7F"/>
    <w:rsid w:val="00BB5FED"/>
    <w:rsid w:val="00BC5DE8"/>
    <w:rsid w:val="00BF7AA8"/>
    <w:rsid w:val="00C00ED6"/>
    <w:rsid w:val="00C0623F"/>
    <w:rsid w:val="00C33A79"/>
    <w:rsid w:val="00CB064A"/>
    <w:rsid w:val="00CD155F"/>
    <w:rsid w:val="00CD41AB"/>
    <w:rsid w:val="00D20DA2"/>
    <w:rsid w:val="00DE0084"/>
    <w:rsid w:val="00E164FA"/>
    <w:rsid w:val="00E31E24"/>
    <w:rsid w:val="00ED33FF"/>
    <w:rsid w:val="00EF097A"/>
    <w:rsid w:val="00F04679"/>
    <w:rsid w:val="00F05383"/>
    <w:rsid w:val="00F55D4C"/>
    <w:rsid w:val="00FB11C7"/>
    <w:rsid w:val="00FE3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8B445"/>
  <w15:chartTrackingRefBased/>
  <w15:docId w15:val="{6FB15596-847F-40E0-A8E6-4464FA79E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0873"/>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isselectedend">
    <w:name w:val="isselectedend"/>
    <w:basedOn w:val="Normal"/>
    <w:rsid w:val="000B08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0873"/>
    <w:rPr>
      <w:b/>
      <w:bCs/>
    </w:rPr>
  </w:style>
  <w:style w:type="paragraph" w:styleId="NormalWeb">
    <w:name w:val="Normal (Web)"/>
    <w:basedOn w:val="Normal"/>
    <w:uiPriority w:val="99"/>
    <w:unhideWhenUsed/>
    <w:rsid w:val="000B08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7452"/>
    <w:rPr>
      <w:color w:val="0563C1" w:themeColor="hyperlink"/>
      <w:u w:val="single"/>
    </w:rPr>
  </w:style>
  <w:style w:type="character" w:styleId="UnresolvedMention">
    <w:name w:val="Unresolved Mention"/>
    <w:basedOn w:val="DefaultParagraphFont"/>
    <w:uiPriority w:val="99"/>
    <w:semiHidden/>
    <w:unhideWhenUsed/>
    <w:rsid w:val="005F7452"/>
    <w:rPr>
      <w:color w:val="605E5C"/>
      <w:shd w:val="clear" w:color="auto" w:fill="E1DFDD"/>
    </w:rPr>
  </w:style>
  <w:style w:type="character" w:styleId="FollowedHyperlink">
    <w:name w:val="FollowedHyperlink"/>
    <w:basedOn w:val="DefaultParagraphFont"/>
    <w:uiPriority w:val="99"/>
    <w:semiHidden/>
    <w:unhideWhenUsed/>
    <w:rsid w:val="00BB5FED"/>
    <w:rPr>
      <w:color w:val="954F72" w:themeColor="followedHyperlink"/>
      <w:u w:val="single"/>
    </w:rPr>
  </w:style>
  <w:style w:type="character" w:customStyle="1" w:styleId="Heading1Char">
    <w:name w:val="Heading 1 Char"/>
    <w:basedOn w:val="DefaultParagraphFont"/>
    <w:link w:val="Heading1"/>
    <w:uiPriority w:val="9"/>
    <w:rsid w:val="00250EB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04772">
      <w:bodyDiv w:val="1"/>
      <w:marLeft w:val="0"/>
      <w:marRight w:val="0"/>
      <w:marTop w:val="0"/>
      <w:marBottom w:val="0"/>
      <w:divBdr>
        <w:top w:val="none" w:sz="0" w:space="0" w:color="auto"/>
        <w:left w:val="none" w:sz="0" w:space="0" w:color="auto"/>
        <w:bottom w:val="none" w:sz="0" w:space="0" w:color="auto"/>
        <w:right w:val="none" w:sz="0" w:space="0" w:color="auto"/>
      </w:divBdr>
    </w:div>
    <w:div w:id="123548953">
      <w:bodyDiv w:val="1"/>
      <w:marLeft w:val="0"/>
      <w:marRight w:val="0"/>
      <w:marTop w:val="0"/>
      <w:marBottom w:val="0"/>
      <w:divBdr>
        <w:top w:val="none" w:sz="0" w:space="0" w:color="auto"/>
        <w:left w:val="none" w:sz="0" w:space="0" w:color="auto"/>
        <w:bottom w:val="none" w:sz="0" w:space="0" w:color="auto"/>
        <w:right w:val="none" w:sz="0" w:space="0" w:color="auto"/>
      </w:divBdr>
      <w:divsChild>
        <w:div w:id="1359619711">
          <w:marLeft w:val="360"/>
          <w:marRight w:val="0"/>
          <w:marTop w:val="200"/>
          <w:marBottom w:val="0"/>
          <w:divBdr>
            <w:top w:val="none" w:sz="0" w:space="0" w:color="auto"/>
            <w:left w:val="none" w:sz="0" w:space="0" w:color="auto"/>
            <w:bottom w:val="none" w:sz="0" w:space="0" w:color="auto"/>
            <w:right w:val="none" w:sz="0" w:space="0" w:color="auto"/>
          </w:divBdr>
        </w:div>
        <w:div w:id="340742059">
          <w:marLeft w:val="360"/>
          <w:marRight w:val="0"/>
          <w:marTop w:val="200"/>
          <w:marBottom w:val="0"/>
          <w:divBdr>
            <w:top w:val="none" w:sz="0" w:space="0" w:color="auto"/>
            <w:left w:val="none" w:sz="0" w:space="0" w:color="auto"/>
            <w:bottom w:val="none" w:sz="0" w:space="0" w:color="auto"/>
            <w:right w:val="none" w:sz="0" w:space="0" w:color="auto"/>
          </w:divBdr>
        </w:div>
        <w:div w:id="194776905">
          <w:marLeft w:val="360"/>
          <w:marRight w:val="0"/>
          <w:marTop w:val="200"/>
          <w:marBottom w:val="0"/>
          <w:divBdr>
            <w:top w:val="none" w:sz="0" w:space="0" w:color="auto"/>
            <w:left w:val="none" w:sz="0" w:space="0" w:color="auto"/>
            <w:bottom w:val="none" w:sz="0" w:space="0" w:color="auto"/>
            <w:right w:val="none" w:sz="0" w:space="0" w:color="auto"/>
          </w:divBdr>
        </w:div>
        <w:div w:id="577902167">
          <w:marLeft w:val="360"/>
          <w:marRight w:val="0"/>
          <w:marTop w:val="200"/>
          <w:marBottom w:val="0"/>
          <w:divBdr>
            <w:top w:val="none" w:sz="0" w:space="0" w:color="auto"/>
            <w:left w:val="none" w:sz="0" w:space="0" w:color="auto"/>
            <w:bottom w:val="none" w:sz="0" w:space="0" w:color="auto"/>
            <w:right w:val="none" w:sz="0" w:space="0" w:color="auto"/>
          </w:divBdr>
        </w:div>
      </w:divsChild>
    </w:div>
    <w:div w:id="155649768">
      <w:bodyDiv w:val="1"/>
      <w:marLeft w:val="0"/>
      <w:marRight w:val="0"/>
      <w:marTop w:val="0"/>
      <w:marBottom w:val="0"/>
      <w:divBdr>
        <w:top w:val="none" w:sz="0" w:space="0" w:color="auto"/>
        <w:left w:val="none" w:sz="0" w:space="0" w:color="auto"/>
        <w:bottom w:val="none" w:sz="0" w:space="0" w:color="auto"/>
        <w:right w:val="none" w:sz="0" w:space="0" w:color="auto"/>
      </w:divBdr>
    </w:div>
    <w:div w:id="471093729">
      <w:bodyDiv w:val="1"/>
      <w:marLeft w:val="0"/>
      <w:marRight w:val="0"/>
      <w:marTop w:val="0"/>
      <w:marBottom w:val="0"/>
      <w:divBdr>
        <w:top w:val="none" w:sz="0" w:space="0" w:color="auto"/>
        <w:left w:val="none" w:sz="0" w:space="0" w:color="auto"/>
        <w:bottom w:val="none" w:sz="0" w:space="0" w:color="auto"/>
        <w:right w:val="none" w:sz="0" w:space="0" w:color="auto"/>
      </w:divBdr>
    </w:div>
    <w:div w:id="625627028">
      <w:bodyDiv w:val="1"/>
      <w:marLeft w:val="0"/>
      <w:marRight w:val="0"/>
      <w:marTop w:val="0"/>
      <w:marBottom w:val="0"/>
      <w:divBdr>
        <w:top w:val="none" w:sz="0" w:space="0" w:color="auto"/>
        <w:left w:val="none" w:sz="0" w:space="0" w:color="auto"/>
        <w:bottom w:val="none" w:sz="0" w:space="0" w:color="auto"/>
        <w:right w:val="none" w:sz="0" w:space="0" w:color="auto"/>
      </w:divBdr>
    </w:div>
    <w:div w:id="709183129">
      <w:bodyDiv w:val="1"/>
      <w:marLeft w:val="0"/>
      <w:marRight w:val="0"/>
      <w:marTop w:val="0"/>
      <w:marBottom w:val="0"/>
      <w:divBdr>
        <w:top w:val="none" w:sz="0" w:space="0" w:color="auto"/>
        <w:left w:val="none" w:sz="0" w:space="0" w:color="auto"/>
        <w:bottom w:val="none" w:sz="0" w:space="0" w:color="auto"/>
        <w:right w:val="none" w:sz="0" w:space="0" w:color="auto"/>
      </w:divBdr>
    </w:div>
    <w:div w:id="837577691">
      <w:bodyDiv w:val="1"/>
      <w:marLeft w:val="0"/>
      <w:marRight w:val="0"/>
      <w:marTop w:val="0"/>
      <w:marBottom w:val="0"/>
      <w:divBdr>
        <w:top w:val="none" w:sz="0" w:space="0" w:color="auto"/>
        <w:left w:val="none" w:sz="0" w:space="0" w:color="auto"/>
        <w:bottom w:val="none" w:sz="0" w:space="0" w:color="auto"/>
        <w:right w:val="none" w:sz="0" w:space="0" w:color="auto"/>
      </w:divBdr>
    </w:div>
    <w:div w:id="910624266">
      <w:bodyDiv w:val="1"/>
      <w:marLeft w:val="0"/>
      <w:marRight w:val="0"/>
      <w:marTop w:val="0"/>
      <w:marBottom w:val="0"/>
      <w:divBdr>
        <w:top w:val="none" w:sz="0" w:space="0" w:color="auto"/>
        <w:left w:val="none" w:sz="0" w:space="0" w:color="auto"/>
        <w:bottom w:val="none" w:sz="0" w:space="0" w:color="auto"/>
        <w:right w:val="none" w:sz="0" w:space="0" w:color="auto"/>
      </w:divBdr>
      <w:divsChild>
        <w:div w:id="735589647">
          <w:marLeft w:val="360"/>
          <w:marRight w:val="0"/>
          <w:marTop w:val="200"/>
          <w:marBottom w:val="0"/>
          <w:divBdr>
            <w:top w:val="none" w:sz="0" w:space="0" w:color="auto"/>
            <w:left w:val="none" w:sz="0" w:space="0" w:color="auto"/>
            <w:bottom w:val="none" w:sz="0" w:space="0" w:color="auto"/>
            <w:right w:val="none" w:sz="0" w:space="0" w:color="auto"/>
          </w:divBdr>
        </w:div>
        <w:div w:id="1338342381">
          <w:marLeft w:val="360"/>
          <w:marRight w:val="0"/>
          <w:marTop w:val="200"/>
          <w:marBottom w:val="0"/>
          <w:divBdr>
            <w:top w:val="none" w:sz="0" w:space="0" w:color="auto"/>
            <w:left w:val="none" w:sz="0" w:space="0" w:color="auto"/>
            <w:bottom w:val="none" w:sz="0" w:space="0" w:color="auto"/>
            <w:right w:val="none" w:sz="0" w:space="0" w:color="auto"/>
          </w:divBdr>
        </w:div>
        <w:div w:id="75130349">
          <w:marLeft w:val="360"/>
          <w:marRight w:val="0"/>
          <w:marTop w:val="200"/>
          <w:marBottom w:val="0"/>
          <w:divBdr>
            <w:top w:val="none" w:sz="0" w:space="0" w:color="auto"/>
            <w:left w:val="none" w:sz="0" w:space="0" w:color="auto"/>
            <w:bottom w:val="none" w:sz="0" w:space="0" w:color="auto"/>
            <w:right w:val="none" w:sz="0" w:space="0" w:color="auto"/>
          </w:divBdr>
        </w:div>
        <w:div w:id="1167747027">
          <w:marLeft w:val="360"/>
          <w:marRight w:val="0"/>
          <w:marTop w:val="200"/>
          <w:marBottom w:val="0"/>
          <w:divBdr>
            <w:top w:val="none" w:sz="0" w:space="0" w:color="auto"/>
            <w:left w:val="none" w:sz="0" w:space="0" w:color="auto"/>
            <w:bottom w:val="none" w:sz="0" w:space="0" w:color="auto"/>
            <w:right w:val="none" w:sz="0" w:space="0" w:color="auto"/>
          </w:divBdr>
        </w:div>
      </w:divsChild>
    </w:div>
    <w:div w:id="1687556217">
      <w:bodyDiv w:val="1"/>
      <w:marLeft w:val="0"/>
      <w:marRight w:val="0"/>
      <w:marTop w:val="0"/>
      <w:marBottom w:val="0"/>
      <w:divBdr>
        <w:top w:val="none" w:sz="0" w:space="0" w:color="auto"/>
        <w:left w:val="none" w:sz="0" w:space="0" w:color="auto"/>
        <w:bottom w:val="none" w:sz="0" w:space="0" w:color="auto"/>
        <w:right w:val="none" w:sz="0" w:space="0" w:color="auto"/>
      </w:divBdr>
    </w:div>
    <w:div w:id="1845047430">
      <w:bodyDiv w:val="1"/>
      <w:marLeft w:val="0"/>
      <w:marRight w:val="0"/>
      <w:marTop w:val="0"/>
      <w:marBottom w:val="0"/>
      <w:divBdr>
        <w:top w:val="none" w:sz="0" w:space="0" w:color="auto"/>
        <w:left w:val="none" w:sz="0" w:space="0" w:color="auto"/>
        <w:bottom w:val="none" w:sz="0" w:space="0" w:color="auto"/>
        <w:right w:val="none" w:sz="0" w:space="0" w:color="auto"/>
      </w:divBdr>
      <w:divsChild>
        <w:div w:id="1378774357">
          <w:marLeft w:val="360"/>
          <w:marRight w:val="0"/>
          <w:marTop w:val="200"/>
          <w:marBottom w:val="0"/>
          <w:divBdr>
            <w:top w:val="none" w:sz="0" w:space="0" w:color="auto"/>
            <w:left w:val="none" w:sz="0" w:space="0" w:color="auto"/>
            <w:bottom w:val="none" w:sz="0" w:space="0" w:color="auto"/>
            <w:right w:val="none" w:sz="0" w:space="0" w:color="auto"/>
          </w:divBdr>
        </w:div>
        <w:div w:id="235677039">
          <w:marLeft w:val="360"/>
          <w:marRight w:val="0"/>
          <w:marTop w:val="200"/>
          <w:marBottom w:val="0"/>
          <w:divBdr>
            <w:top w:val="none" w:sz="0" w:space="0" w:color="auto"/>
            <w:left w:val="none" w:sz="0" w:space="0" w:color="auto"/>
            <w:bottom w:val="none" w:sz="0" w:space="0" w:color="auto"/>
            <w:right w:val="none" w:sz="0" w:space="0" w:color="auto"/>
          </w:divBdr>
        </w:div>
        <w:div w:id="1810828855">
          <w:marLeft w:val="360"/>
          <w:marRight w:val="0"/>
          <w:marTop w:val="200"/>
          <w:marBottom w:val="0"/>
          <w:divBdr>
            <w:top w:val="none" w:sz="0" w:space="0" w:color="auto"/>
            <w:left w:val="none" w:sz="0" w:space="0" w:color="auto"/>
            <w:bottom w:val="none" w:sz="0" w:space="0" w:color="auto"/>
            <w:right w:val="none" w:sz="0" w:space="0" w:color="auto"/>
          </w:divBdr>
        </w:div>
        <w:div w:id="276959366">
          <w:marLeft w:val="360"/>
          <w:marRight w:val="0"/>
          <w:marTop w:val="200"/>
          <w:marBottom w:val="0"/>
          <w:divBdr>
            <w:top w:val="none" w:sz="0" w:space="0" w:color="auto"/>
            <w:left w:val="none" w:sz="0" w:space="0" w:color="auto"/>
            <w:bottom w:val="none" w:sz="0" w:space="0" w:color="auto"/>
            <w:right w:val="none" w:sz="0" w:space="0" w:color="auto"/>
          </w:divBdr>
        </w:div>
      </w:divsChild>
    </w:div>
    <w:div w:id="1920015609">
      <w:bodyDiv w:val="1"/>
      <w:marLeft w:val="0"/>
      <w:marRight w:val="0"/>
      <w:marTop w:val="0"/>
      <w:marBottom w:val="0"/>
      <w:divBdr>
        <w:top w:val="none" w:sz="0" w:space="0" w:color="auto"/>
        <w:left w:val="none" w:sz="0" w:space="0" w:color="auto"/>
        <w:bottom w:val="none" w:sz="0" w:space="0" w:color="auto"/>
        <w:right w:val="none" w:sz="0" w:space="0" w:color="auto"/>
      </w:divBdr>
    </w:div>
    <w:div w:id="2076196051">
      <w:bodyDiv w:val="1"/>
      <w:marLeft w:val="0"/>
      <w:marRight w:val="0"/>
      <w:marTop w:val="0"/>
      <w:marBottom w:val="0"/>
      <w:divBdr>
        <w:top w:val="none" w:sz="0" w:space="0" w:color="auto"/>
        <w:left w:val="none" w:sz="0" w:space="0" w:color="auto"/>
        <w:bottom w:val="none" w:sz="0" w:space="0" w:color="auto"/>
        <w:right w:val="none" w:sz="0" w:space="0" w:color="auto"/>
      </w:divBdr>
    </w:div>
    <w:div w:id="2110004232">
      <w:bodyDiv w:val="1"/>
      <w:marLeft w:val="0"/>
      <w:marRight w:val="0"/>
      <w:marTop w:val="0"/>
      <w:marBottom w:val="0"/>
      <w:divBdr>
        <w:top w:val="none" w:sz="0" w:space="0" w:color="auto"/>
        <w:left w:val="none" w:sz="0" w:space="0" w:color="auto"/>
        <w:bottom w:val="none" w:sz="0" w:space="0" w:color="auto"/>
        <w:right w:val="none" w:sz="0" w:space="0" w:color="auto"/>
      </w:divBdr>
      <w:divsChild>
        <w:div w:id="596210672">
          <w:marLeft w:val="360"/>
          <w:marRight w:val="0"/>
          <w:marTop w:val="200"/>
          <w:marBottom w:val="0"/>
          <w:divBdr>
            <w:top w:val="none" w:sz="0" w:space="0" w:color="auto"/>
            <w:left w:val="none" w:sz="0" w:space="0" w:color="auto"/>
            <w:bottom w:val="none" w:sz="0" w:space="0" w:color="auto"/>
            <w:right w:val="none" w:sz="0" w:space="0" w:color="auto"/>
          </w:divBdr>
        </w:div>
        <w:div w:id="1035152258">
          <w:marLeft w:val="360"/>
          <w:marRight w:val="0"/>
          <w:marTop w:val="200"/>
          <w:marBottom w:val="0"/>
          <w:divBdr>
            <w:top w:val="none" w:sz="0" w:space="0" w:color="auto"/>
            <w:left w:val="none" w:sz="0" w:space="0" w:color="auto"/>
            <w:bottom w:val="none" w:sz="0" w:space="0" w:color="auto"/>
            <w:right w:val="none" w:sz="0" w:space="0" w:color="auto"/>
          </w:divBdr>
        </w:div>
        <w:div w:id="615714682">
          <w:marLeft w:val="360"/>
          <w:marRight w:val="0"/>
          <w:marTop w:val="200"/>
          <w:marBottom w:val="0"/>
          <w:divBdr>
            <w:top w:val="none" w:sz="0" w:space="0" w:color="auto"/>
            <w:left w:val="none" w:sz="0" w:space="0" w:color="auto"/>
            <w:bottom w:val="none" w:sz="0" w:space="0" w:color="auto"/>
            <w:right w:val="none" w:sz="0" w:space="0" w:color="auto"/>
          </w:divBdr>
        </w:div>
        <w:div w:id="2123375188">
          <w:marLeft w:val="360"/>
          <w:marRight w:val="0"/>
          <w:marTop w:val="200"/>
          <w:marBottom w:val="0"/>
          <w:divBdr>
            <w:top w:val="none" w:sz="0" w:space="0" w:color="auto"/>
            <w:left w:val="none" w:sz="0" w:space="0" w:color="auto"/>
            <w:bottom w:val="none" w:sz="0" w:space="0" w:color="auto"/>
            <w:right w:val="none" w:sz="0" w:space="0" w:color="auto"/>
          </w:divBdr>
        </w:div>
        <w:div w:id="1103462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wsc68292.2025.11338914" TargetMode="External"/><Relationship Id="rId13" Type="http://schemas.openxmlformats.org/officeDocument/2006/relationships/hyperlink" Target="https://doi.org/10.1002/acp.1699" TargetMode="External"/><Relationship Id="rId18" Type="http://schemas.openxmlformats.org/officeDocument/2006/relationships/hyperlink" Target="https://doi.org/10.1111/jbl.12341" TargetMode="External"/><Relationship Id="rId26" Type="http://schemas.openxmlformats.org/officeDocument/2006/relationships/hyperlink" Target="https://www.investopedia.com/terms/s/swot.asp" TargetMode="External"/><Relationship Id="rId3" Type="http://schemas.openxmlformats.org/officeDocument/2006/relationships/settings" Target="settings.xml"/><Relationship Id="rId21" Type="http://schemas.openxmlformats.org/officeDocument/2006/relationships/hyperlink" Target="https://doi.org/10.1108/17538371211268889" TargetMode="External"/><Relationship Id="rId7" Type="http://schemas.openxmlformats.org/officeDocument/2006/relationships/hyperlink" Target="https://www.proquest.com/docview/214812355/fulltextPDF?accountid=130472&amp;parentSessionId=iHvlm%2BcAFjZZt7BNcv%2FaCInnhyncP5lEaOpohUrhe3s%3D&amp;pq-origsite=primo_ra&amp;sourcetype=Scholarly%20Journals" TargetMode="External"/><Relationship Id="rId12" Type="http://schemas.openxmlformats.org/officeDocument/2006/relationships/hyperlink" Target="https://doi.org/10.1016/j.plas.2024.100129" TargetMode="External"/><Relationship Id="rId17" Type="http://schemas.openxmlformats.org/officeDocument/2006/relationships/hyperlink" Target="https://doi.org/10.5304/jafscd.2020.093.007" TargetMode="External"/><Relationship Id="rId25" Type="http://schemas.openxmlformats.org/officeDocument/2006/relationships/hyperlink" Target="https://doi.org/10.1108/17554251011064837" TargetMode="Externa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yperlink" Target="https://doi.org/10.1109/emr.2017.2701509"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hyperlink" Target="https://doi.org/10.3389/fpubh.2022.950955" TargetMode="External"/><Relationship Id="rId11" Type="http://schemas.openxmlformats.org/officeDocument/2006/relationships/image" Target="media/image2.jpeg"/><Relationship Id="rId24" Type="http://schemas.openxmlformats.org/officeDocument/2006/relationships/image" Target="media/image5.png"/><Relationship Id="rId5" Type="http://schemas.openxmlformats.org/officeDocument/2006/relationships/image" Target="media/image1.jpeg"/><Relationship Id="rId15" Type="http://schemas.openxmlformats.org/officeDocument/2006/relationships/hyperlink" Target="https://doi.org/10.1111/j.1751-9004.2007.00006.x" TargetMode="External"/><Relationship Id="rId23" Type="http://schemas.openxmlformats.org/officeDocument/2006/relationships/hyperlink" Target="https://doi.org/10.14569/ijacsa.2024.0150697" TargetMode="External"/><Relationship Id="rId28" Type="http://schemas.openxmlformats.org/officeDocument/2006/relationships/hyperlink" Target="https://doi.org/10.1108/shr-03-2022-0012" TargetMode="External"/><Relationship Id="rId10" Type="http://schemas.openxmlformats.org/officeDocument/2006/relationships/hyperlink" Target="https://doi.org/10.1332/17598273y2024d000000017" TargetMode="External"/><Relationship Id="rId19" Type="http://schemas.openxmlformats.org/officeDocument/2006/relationships/image" Target="media/image4.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332/20408056y2023d000000002" TargetMode="External"/><Relationship Id="rId14" Type="http://schemas.openxmlformats.org/officeDocument/2006/relationships/hyperlink" Target="https://doi.org/10.37886/ip.2025.002" TargetMode="External"/><Relationship Id="rId22" Type="http://schemas.openxmlformats.org/officeDocument/2006/relationships/hyperlink" Target="https://doi.org/10.1109/tvcg.2024.3358919" TargetMode="External"/><Relationship Id="rId27" Type="http://schemas.openxmlformats.org/officeDocument/2006/relationships/hyperlink" Target="https://doi.org/10.1108/ijoa-11-2021-305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Florea, Claudiu</dc:creator>
  <cp:keywords/>
  <dc:description/>
  <cp:lastModifiedBy>Claudiu Florea</cp:lastModifiedBy>
  <cp:revision>2</cp:revision>
  <dcterms:created xsi:type="dcterms:W3CDTF">2026-06-19T08:19:00Z</dcterms:created>
  <dcterms:modified xsi:type="dcterms:W3CDTF">2026-06-19T08:19:00Z</dcterms:modified>
</cp:coreProperties>
</file>