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370CA" w:rsidRDefault="00C370CA" w:rsidP="006E1630">
      <w:pPr>
        <w:spacing w:line="360" w:lineRule="auto"/>
        <w:jc w:val="both"/>
        <w:rPr>
          <w:rFonts w:ascii="Times New Roman" w:eastAsia="Times New Roman" w:hAnsi="Times New Roman" w:cs="Times New Roman"/>
          <w:b/>
          <w:bCs/>
          <w:color w:val="000000" w:themeColor="text1"/>
          <w:sz w:val="28"/>
          <w:szCs w:val="28"/>
        </w:rPr>
      </w:pPr>
    </w:p>
    <w:p w:rsidR="00C370CA" w:rsidRDefault="00C370CA" w:rsidP="006E1630">
      <w:pPr>
        <w:spacing w:line="360" w:lineRule="auto"/>
        <w:jc w:val="both"/>
        <w:rPr>
          <w:rFonts w:ascii="Times New Roman" w:eastAsia="Times New Roman" w:hAnsi="Times New Roman" w:cs="Times New Roman"/>
          <w:b/>
          <w:bCs/>
          <w:color w:val="000000" w:themeColor="text1"/>
          <w:sz w:val="28"/>
          <w:szCs w:val="28"/>
        </w:rPr>
      </w:pPr>
    </w:p>
    <w:p w:rsidR="00C370CA" w:rsidRDefault="00C370CA" w:rsidP="006E1630">
      <w:pPr>
        <w:spacing w:line="360" w:lineRule="auto"/>
        <w:jc w:val="both"/>
        <w:rPr>
          <w:rFonts w:ascii="Times New Roman" w:eastAsia="Times New Roman" w:hAnsi="Times New Roman" w:cs="Times New Roman"/>
          <w:b/>
          <w:bCs/>
          <w:color w:val="000000" w:themeColor="text1"/>
          <w:sz w:val="28"/>
          <w:szCs w:val="28"/>
        </w:rPr>
      </w:pPr>
    </w:p>
    <w:p w:rsidR="00C370CA" w:rsidRDefault="00C370CA" w:rsidP="006E1630">
      <w:pPr>
        <w:spacing w:line="360" w:lineRule="auto"/>
        <w:jc w:val="both"/>
        <w:rPr>
          <w:rFonts w:ascii="Times New Roman" w:eastAsia="Times New Roman" w:hAnsi="Times New Roman" w:cs="Times New Roman"/>
          <w:b/>
          <w:bCs/>
          <w:color w:val="000000" w:themeColor="text1"/>
          <w:sz w:val="28"/>
          <w:szCs w:val="28"/>
        </w:rPr>
      </w:pPr>
    </w:p>
    <w:p w:rsidR="00C370CA" w:rsidRDefault="00C370CA" w:rsidP="006E1630">
      <w:pPr>
        <w:spacing w:line="360" w:lineRule="auto"/>
        <w:jc w:val="both"/>
        <w:rPr>
          <w:rFonts w:ascii="Times New Roman" w:eastAsia="Times New Roman" w:hAnsi="Times New Roman" w:cs="Times New Roman"/>
          <w:b/>
          <w:bCs/>
          <w:color w:val="000000" w:themeColor="text1"/>
          <w:sz w:val="28"/>
          <w:szCs w:val="28"/>
        </w:rPr>
      </w:pPr>
    </w:p>
    <w:p w:rsidR="00C370CA" w:rsidRDefault="00C370CA" w:rsidP="006E1630">
      <w:pPr>
        <w:spacing w:line="360" w:lineRule="auto"/>
        <w:jc w:val="both"/>
        <w:rPr>
          <w:rFonts w:ascii="Times New Roman" w:eastAsia="Times New Roman" w:hAnsi="Times New Roman" w:cs="Times New Roman"/>
          <w:b/>
          <w:bCs/>
          <w:color w:val="000000" w:themeColor="text1"/>
          <w:sz w:val="28"/>
          <w:szCs w:val="28"/>
        </w:rPr>
      </w:pPr>
    </w:p>
    <w:p w:rsidR="00DA086E" w:rsidRDefault="00DA086E" w:rsidP="006E1630">
      <w:pPr>
        <w:spacing w:line="360" w:lineRule="auto"/>
        <w:jc w:val="both"/>
        <w:rPr>
          <w:rFonts w:ascii="Times New Roman" w:eastAsia="Times New Roman" w:hAnsi="Times New Roman" w:cs="Times New Roman"/>
          <w:b/>
          <w:bCs/>
          <w:color w:val="000000" w:themeColor="text1"/>
          <w:sz w:val="28"/>
          <w:szCs w:val="28"/>
        </w:rPr>
      </w:pPr>
    </w:p>
    <w:p w:rsidR="00DA086E" w:rsidRDefault="00DA086E" w:rsidP="006E1630">
      <w:pPr>
        <w:spacing w:line="360" w:lineRule="auto"/>
        <w:jc w:val="both"/>
        <w:rPr>
          <w:rFonts w:ascii="Times New Roman" w:eastAsia="Times New Roman" w:hAnsi="Times New Roman" w:cs="Times New Roman"/>
          <w:b/>
          <w:bCs/>
          <w:color w:val="000000" w:themeColor="text1"/>
          <w:sz w:val="28"/>
          <w:szCs w:val="28"/>
        </w:rPr>
      </w:pPr>
    </w:p>
    <w:p w:rsidR="00DA086E" w:rsidRDefault="00DA086E" w:rsidP="006E1630">
      <w:pPr>
        <w:spacing w:line="360" w:lineRule="auto"/>
        <w:jc w:val="center"/>
        <w:rPr>
          <w:rFonts w:ascii="Times New Roman" w:eastAsia="Times New Roman" w:hAnsi="Times New Roman" w:cs="Times New Roman"/>
          <w:b/>
          <w:bCs/>
          <w:color w:val="000000" w:themeColor="text1"/>
          <w:sz w:val="28"/>
          <w:szCs w:val="28"/>
        </w:rPr>
      </w:pPr>
    </w:p>
    <w:p w:rsidR="00EE5666" w:rsidRPr="00EE5666" w:rsidRDefault="69F223A9" w:rsidP="006E1630">
      <w:pPr>
        <w:spacing w:line="360" w:lineRule="auto"/>
        <w:jc w:val="center"/>
        <w:rPr>
          <w:rFonts w:ascii="Times New Roman" w:eastAsia="Times New Roman" w:hAnsi="Times New Roman" w:cs="Times New Roman"/>
          <w:b/>
          <w:bCs/>
          <w:color w:val="000000" w:themeColor="text1"/>
          <w:sz w:val="28"/>
          <w:szCs w:val="28"/>
        </w:rPr>
      </w:pPr>
      <w:r w:rsidRPr="00EE5666">
        <w:rPr>
          <w:rFonts w:ascii="Times New Roman" w:eastAsia="Times New Roman" w:hAnsi="Times New Roman" w:cs="Times New Roman"/>
          <w:b/>
          <w:bCs/>
          <w:color w:val="000000" w:themeColor="text1"/>
          <w:sz w:val="28"/>
          <w:szCs w:val="28"/>
        </w:rPr>
        <w:t>Task 1</w:t>
      </w:r>
      <w:r w:rsidR="00C370CA">
        <w:rPr>
          <w:rFonts w:ascii="Times New Roman" w:eastAsia="Times New Roman" w:hAnsi="Times New Roman" w:cs="Times New Roman"/>
          <w:b/>
          <w:bCs/>
          <w:color w:val="000000" w:themeColor="text1"/>
          <w:sz w:val="28"/>
          <w:szCs w:val="28"/>
        </w:rPr>
        <w:t>: Essay on Community Engagement</w:t>
      </w:r>
    </w:p>
    <w:p w:rsidR="00C90BC8" w:rsidRPr="00EE5666" w:rsidRDefault="69F223A9" w:rsidP="006E1630">
      <w:pPr>
        <w:spacing w:line="360" w:lineRule="auto"/>
        <w:jc w:val="center"/>
        <w:rPr>
          <w:rFonts w:ascii="Times New Roman" w:eastAsia="Times New Roman" w:hAnsi="Times New Roman" w:cs="Times New Roman"/>
          <w:b/>
          <w:bCs/>
          <w:color w:val="000000" w:themeColor="text1"/>
          <w:sz w:val="28"/>
          <w:szCs w:val="28"/>
        </w:rPr>
      </w:pPr>
      <w:r w:rsidRPr="00EE5666">
        <w:rPr>
          <w:rFonts w:ascii="Times New Roman" w:eastAsia="Times New Roman" w:hAnsi="Times New Roman" w:cs="Times New Roman"/>
          <w:b/>
          <w:bCs/>
          <w:color w:val="000000" w:themeColor="text1"/>
          <w:sz w:val="28"/>
          <w:szCs w:val="28"/>
        </w:rPr>
        <w:t xml:space="preserve">(Community Garden </w:t>
      </w:r>
      <w:r w:rsidR="00EE5666" w:rsidRPr="00EE5666">
        <w:rPr>
          <w:rFonts w:ascii="Times New Roman" w:eastAsia="Times New Roman" w:hAnsi="Times New Roman" w:cs="Times New Roman"/>
          <w:b/>
          <w:bCs/>
          <w:color w:val="000000" w:themeColor="text1"/>
          <w:sz w:val="28"/>
          <w:szCs w:val="28"/>
        </w:rPr>
        <w:t>and impact of farmer’s market)</w:t>
      </w:r>
    </w:p>
    <w:p w:rsidR="00EE5666" w:rsidRDefault="00EE5666" w:rsidP="006E1630">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br w:type="page"/>
      </w:r>
    </w:p>
    <w:sdt>
      <w:sdtPr>
        <w:rPr>
          <w:rFonts w:ascii="Times New Roman" w:hAnsi="Times New Roman" w:cs="Times New Roman"/>
          <w:sz w:val="24"/>
          <w:szCs w:val="24"/>
        </w:rPr>
        <w:id w:val="30144777"/>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050651" w:rsidRPr="00050651" w:rsidRDefault="00050651" w:rsidP="006E1630">
          <w:pPr>
            <w:pStyle w:val="TOCHeading"/>
            <w:spacing w:line="360" w:lineRule="auto"/>
            <w:jc w:val="center"/>
            <w:rPr>
              <w:rFonts w:ascii="Times New Roman" w:hAnsi="Times New Roman" w:cs="Times New Roman"/>
              <w:sz w:val="24"/>
              <w:szCs w:val="24"/>
            </w:rPr>
          </w:pPr>
          <w:r w:rsidRPr="004D7520">
            <w:rPr>
              <w:rFonts w:ascii="Times New Roman" w:hAnsi="Times New Roman" w:cs="Times New Roman"/>
              <w:color w:val="0D0D0D" w:themeColor="text1" w:themeTint="F2"/>
              <w:sz w:val="32"/>
              <w:szCs w:val="32"/>
            </w:rPr>
            <w:t>Table of Contents</w:t>
          </w:r>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r w:rsidRPr="00050651">
            <w:rPr>
              <w:rFonts w:ascii="Times New Roman" w:hAnsi="Times New Roman" w:cs="Times New Roman"/>
              <w:sz w:val="24"/>
              <w:szCs w:val="24"/>
            </w:rPr>
            <w:fldChar w:fldCharType="begin"/>
          </w:r>
          <w:r w:rsidRPr="00050651">
            <w:rPr>
              <w:rFonts w:ascii="Times New Roman" w:hAnsi="Times New Roman" w:cs="Times New Roman"/>
              <w:sz w:val="24"/>
              <w:szCs w:val="24"/>
            </w:rPr>
            <w:instrText xml:space="preserve"> TOC \o "1-3" \h \z \u </w:instrText>
          </w:r>
          <w:r w:rsidRPr="00050651">
            <w:rPr>
              <w:rFonts w:ascii="Times New Roman" w:hAnsi="Times New Roman" w:cs="Times New Roman"/>
              <w:sz w:val="24"/>
              <w:szCs w:val="24"/>
            </w:rPr>
            <w:fldChar w:fldCharType="separate"/>
          </w:r>
          <w:hyperlink w:anchor="_Toc111566512" w:history="1">
            <w:r w:rsidRPr="00050651">
              <w:rPr>
                <w:rStyle w:val="Hyperlink"/>
                <w:rFonts w:ascii="Times New Roman" w:eastAsia="Times New Roman" w:hAnsi="Times New Roman" w:cs="Times New Roman"/>
                <w:noProof/>
                <w:sz w:val="24"/>
                <w:szCs w:val="24"/>
              </w:rPr>
              <w:t>Introduction</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_Toc111566512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3</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2"/>
            <w:tabs>
              <w:tab w:val="right" w:leader="dot" w:pos="9350"/>
            </w:tabs>
            <w:spacing w:line="360" w:lineRule="auto"/>
            <w:jc w:val="both"/>
            <w:rPr>
              <w:rFonts w:ascii="Times New Roman" w:hAnsi="Times New Roman" w:cs="Times New Roman"/>
              <w:noProof/>
              <w:sz w:val="24"/>
              <w:szCs w:val="24"/>
            </w:rPr>
          </w:pPr>
          <w:hyperlink w:anchor="_Toc111566513" w:history="1">
            <w:r w:rsidRPr="00050651">
              <w:rPr>
                <w:rStyle w:val="Hyperlink"/>
                <w:rFonts w:ascii="Times New Roman" w:eastAsia="Times New Roman" w:hAnsi="Times New Roman" w:cs="Times New Roman"/>
                <w:noProof/>
                <w:sz w:val="24"/>
                <w:szCs w:val="24"/>
              </w:rPr>
              <w:t>Goals of Community Garden:</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_Toc111566513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3</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2"/>
            <w:tabs>
              <w:tab w:val="right" w:leader="dot" w:pos="9350"/>
            </w:tabs>
            <w:spacing w:line="360" w:lineRule="auto"/>
            <w:jc w:val="both"/>
            <w:rPr>
              <w:rFonts w:ascii="Times New Roman" w:hAnsi="Times New Roman" w:cs="Times New Roman"/>
              <w:noProof/>
              <w:sz w:val="24"/>
              <w:szCs w:val="24"/>
            </w:rPr>
          </w:pPr>
          <w:hyperlink w:anchor="_Toc111566514" w:history="1">
            <w:r w:rsidRPr="00050651">
              <w:rPr>
                <w:rStyle w:val="Hyperlink"/>
                <w:rFonts w:ascii="Times New Roman" w:eastAsia="Times New Roman" w:hAnsi="Times New Roman" w:cs="Times New Roman"/>
                <w:noProof/>
                <w:sz w:val="24"/>
                <w:szCs w:val="24"/>
              </w:rPr>
              <w:t>Rules and regulations</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_Toc111566514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3</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hyperlink w:anchor="_Toc111566516" w:history="1">
            <w:r w:rsidRPr="00050651">
              <w:rPr>
                <w:rStyle w:val="Hyperlink"/>
                <w:rFonts w:ascii="Times New Roman" w:eastAsia="Times New Roman" w:hAnsi="Times New Roman" w:cs="Times New Roman"/>
                <w:noProof/>
                <w:sz w:val="24"/>
                <w:szCs w:val="24"/>
              </w:rPr>
              <w:t>Discussion and analysis</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_Toc111566516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4</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hyperlink w:anchor="_Toc111566517" w:history="1">
            <w:r w:rsidRPr="00050651">
              <w:rPr>
                <w:rStyle w:val="Hyperlink"/>
                <w:rFonts w:ascii="Times New Roman" w:eastAsia="Times New Roman" w:hAnsi="Times New Roman" w:cs="Times New Roman"/>
                <w:noProof/>
                <w:sz w:val="24"/>
                <w:szCs w:val="24"/>
              </w:rPr>
              <w:t>Community engagement principles</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_Toc111566517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4</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hyperlink w:anchor="_Toc111566518" w:history="1">
            <w:r w:rsidRPr="00050651">
              <w:rPr>
                <w:rStyle w:val="Hyperlink"/>
                <w:rFonts w:ascii="Times New Roman" w:eastAsia="Times New Roman" w:hAnsi="Times New Roman" w:cs="Times New Roman"/>
                <w:noProof/>
                <w:sz w:val="24"/>
                <w:szCs w:val="24"/>
              </w:rPr>
              <w:t>Standards</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_Toc111566518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5</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hyperlink w:anchor="_Toc111566519" w:history="1">
            <w:r w:rsidRPr="00050651">
              <w:rPr>
                <w:rStyle w:val="Hyperlink"/>
                <w:rFonts w:ascii="Times New Roman" w:eastAsia="Times New Roman" w:hAnsi="Times New Roman" w:cs="Times New Roman"/>
                <w:noProof/>
                <w:sz w:val="24"/>
                <w:szCs w:val="24"/>
              </w:rPr>
              <w:t>Benefits of stakeholder’s participation</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_Toc111566519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5</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2"/>
            <w:tabs>
              <w:tab w:val="right" w:leader="dot" w:pos="9350"/>
            </w:tabs>
            <w:spacing w:line="360" w:lineRule="auto"/>
            <w:jc w:val="both"/>
            <w:rPr>
              <w:rFonts w:ascii="Times New Roman" w:hAnsi="Times New Roman" w:cs="Times New Roman"/>
              <w:noProof/>
              <w:sz w:val="24"/>
              <w:szCs w:val="24"/>
            </w:rPr>
          </w:pPr>
          <w:hyperlink w:anchor="_Toc111566520" w:history="1">
            <w:r w:rsidRPr="00050651">
              <w:rPr>
                <w:rStyle w:val="Hyperlink"/>
                <w:rFonts w:ascii="Times New Roman" w:eastAsia="Times New Roman" w:hAnsi="Times New Roman" w:cs="Times New Roman"/>
                <w:noProof/>
                <w:sz w:val="24"/>
                <w:szCs w:val="24"/>
              </w:rPr>
              <w:t>Communities and their Gardens:</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_Toc111566520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6</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hyperlink w:anchor="_Toc111566521" w:history="1">
            <w:r w:rsidRPr="00050651">
              <w:rPr>
                <w:rStyle w:val="Hyperlink"/>
                <w:rFonts w:ascii="Times New Roman" w:eastAsia="Times New Roman" w:hAnsi="Times New Roman" w:cs="Times New Roman"/>
                <w:noProof/>
                <w:sz w:val="24"/>
                <w:szCs w:val="24"/>
              </w:rPr>
              <w:t>Conclusion</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_Toc111566521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8</w:t>
            </w:r>
            <w:r w:rsidRPr="00050651">
              <w:rPr>
                <w:rFonts w:ascii="Times New Roman" w:hAnsi="Times New Roman" w:cs="Times New Roman"/>
                <w:noProof/>
                <w:webHidden/>
                <w:sz w:val="24"/>
                <w:szCs w:val="24"/>
              </w:rPr>
              <w:fldChar w:fldCharType="end"/>
            </w:r>
          </w:hyperlink>
        </w:p>
        <w:p w:rsidR="00050651" w:rsidRPr="00050651" w:rsidRDefault="00050651" w:rsidP="006E1630">
          <w:pPr>
            <w:pStyle w:val="TOC1"/>
            <w:tabs>
              <w:tab w:val="right" w:leader="dot" w:pos="9350"/>
            </w:tabs>
            <w:spacing w:line="360" w:lineRule="auto"/>
            <w:jc w:val="both"/>
            <w:rPr>
              <w:rFonts w:ascii="Times New Roman" w:hAnsi="Times New Roman" w:cs="Times New Roman"/>
              <w:noProof/>
              <w:sz w:val="24"/>
              <w:szCs w:val="24"/>
            </w:rPr>
          </w:pPr>
          <w:hyperlink w:anchor="_Toc111566522" w:history="1">
            <w:r w:rsidRPr="00050651">
              <w:rPr>
                <w:rStyle w:val="Hyperlink"/>
                <w:rFonts w:ascii="Times New Roman" w:eastAsia="Times New Roman" w:hAnsi="Times New Roman" w:cs="Times New Roman"/>
                <w:noProof/>
                <w:sz w:val="24"/>
                <w:szCs w:val="24"/>
              </w:rPr>
              <w:t>Reference</w:t>
            </w:r>
            <w:r w:rsidRPr="00050651">
              <w:rPr>
                <w:rFonts w:ascii="Times New Roman" w:hAnsi="Times New Roman" w:cs="Times New Roman"/>
                <w:noProof/>
                <w:webHidden/>
                <w:sz w:val="24"/>
                <w:szCs w:val="24"/>
              </w:rPr>
              <w:tab/>
            </w:r>
            <w:r w:rsidRPr="00050651">
              <w:rPr>
                <w:rFonts w:ascii="Times New Roman" w:hAnsi="Times New Roman" w:cs="Times New Roman"/>
                <w:noProof/>
                <w:webHidden/>
                <w:sz w:val="24"/>
                <w:szCs w:val="24"/>
              </w:rPr>
              <w:fldChar w:fldCharType="begin"/>
            </w:r>
            <w:r w:rsidRPr="00050651">
              <w:rPr>
                <w:rFonts w:ascii="Times New Roman" w:hAnsi="Times New Roman" w:cs="Times New Roman"/>
                <w:noProof/>
                <w:webHidden/>
                <w:sz w:val="24"/>
                <w:szCs w:val="24"/>
              </w:rPr>
              <w:instrText xml:space="preserve"> PAGEREF _Toc111566522 \h </w:instrText>
            </w:r>
            <w:r w:rsidRPr="00050651">
              <w:rPr>
                <w:rFonts w:ascii="Times New Roman" w:hAnsi="Times New Roman" w:cs="Times New Roman"/>
                <w:noProof/>
                <w:webHidden/>
                <w:sz w:val="24"/>
                <w:szCs w:val="24"/>
              </w:rPr>
            </w:r>
            <w:r w:rsidRPr="00050651">
              <w:rPr>
                <w:rFonts w:ascii="Times New Roman" w:hAnsi="Times New Roman" w:cs="Times New Roman"/>
                <w:noProof/>
                <w:webHidden/>
                <w:sz w:val="24"/>
                <w:szCs w:val="24"/>
              </w:rPr>
              <w:fldChar w:fldCharType="separate"/>
            </w:r>
            <w:r w:rsidRPr="00050651">
              <w:rPr>
                <w:rFonts w:ascii="Times New Roman" w:hAnsi="Times New Roman" w:cs="Times New Roman"/>
                <w:noProof/>
                <w:webHidden/>
                <w:sz w:val="24"/>
                <w:szCs w:val="24"/>
              </w:rPr>
              <w:t>9</w:t>
            </w:r>
            <w:r w:rsidRPr="00050651">
              <w:rPr>
                <w:rFonts w:ascii="Times New Roman" w:hAnsi="Times New Roman" w:cs="Times New Roman"/>
                <w:noProof/>
                <w:webHidden/>
                <w:sz w:val="24"/>
                <w:szCs w:val="24"/>
              </w:rPr>
              <w:fldChar w:fldCharType="end"/>
            </w:r>
          </w:hyperlink>
        </w:p>
        <w:p w:rsidR="00050651" w:rsidRDefault="00050651" w:rsidP="006E1630">
          <w:pPr>
            <w:spacing w:line="360" w:lineRule="auto"/>
            <w:jc w:val="both"/>
          </w:pPr>
          <w:r w:rsidRPr="00050651">
            <w:rPr>
              <w:rFonts w:ascii="Times New Roman" w:hAnsi="Times New Roman" w:cs="Times New Roman"/>
              <w:sz w:val="24"/>
              <w:szCs w:val="24"/>
            </w:rPr>
            <w:fldChar w:fldCharType="end"/>
          </w:r>
        </w:p>
      </w:sdtContent>
    </w:sdt>
    <w:p w:rsidR="00050651" w:rsidRDefault="00050651" w:rsidP="006E1630">
      <w:pPr>
        <w:spacing w:line="360" w:lineRule="auto"/>
        <w:jc w:val="both"/>
        <w:rPr>
          <w:rFonts w:ascii="Times New Roman" w:eastAsia="Times New Roman" w:hAnsi="Times New Roman" w:cstheme="majorBidi"/>
          <w:b/>
          <w:bCs/>
          <w:color w:val="000000" w:themeColor="text1"/>
          <w:sz w:val="28"/>
          <w:szCs w:val="28"/>
        </w:rPr>
      </w:pPr>
      <w:r>
        <w:rPr>
          <w:rFonts w:eastAsia="Times New Roman"/>
        </w:rPr>
        <w:br w:type="page"/>
      </w:r>
    </w:p>
    <w:p w:rsidR="00C90BC8" w:rsidRDefault="00EE5666" w:rsidP="006E1630">
      <w:pPr>
        <w:pStyle w:val="Heading1"/>
        <w:spacing w:line="360" w:lineRule="auto"/>
        <w:jc w:val="both"/>
        <w:rPr>
          <w:rFonts w:eastAsia="Times New Roman"/>
        </w:rPr>
      </w:pPr>
      <w:bookmarkStart w:id="0" w:name="_Toc111566512"/>
      <w:r>
        <w:rPr>
          <w:rFonts w:eastAsia="Times New Roman"/>
        </w:rPr>
        <w:lastRenderedPageBreak/>
        <w:t>Introduction</w:t>
      </w:r>
      <w:bookmarkEnd w:id="0"/>
    </w:p>
    <w:p w:rsidR="00C90BC8"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Community Garden is a piece of land created by a group of people. Basically, a community garden is a land divided into various plots and each plot has an individual gardener. Every gardener has an individual responsibility for their own plot for yielding. Community Garden might be created on private or public land. In this land, gardeners can grow various vegetables, fruits, flowers and herbs but mainly the maximum gardener grows various vegetables. Community garden is not commercial, it pays employees.</w:t>
      </w:r>
    </w:p>
    <w:p w:rsidR="00C90BC8" w:rsidRDefault="69F223A9" w:rsidP="006E1630">
      <w:pPr>
        <w:pStyle w:val="Heading2"/>
        <w:spacing w:line="360" w:lineRule="auto"/>
        <w:jc w:val="both"/>
        <w:rPr>
          <w:rFonts w:eastAsia="Times New Roman"/>
        </w:rPr>
      </w:pPr>
      <w:bookmarkStart w:id="1" w:name="_Toc111566513"/>
      <w:r w:rsidRPr="69F223A9">
        <w:rPr>
          <w:rFonts w:eastAsia="Times New Roman"/>
        </w:rPr>
        <w:t>Goals of Community Garden:</w:t>
      </w:r>
      <w:bookmarkEnd w:id="1"/>
      <w:r w:rsidRPr="69F223A9">
        <w:rPr>
          <w:rFonts w:eastAsia="Times New Roman"/>
        </w:rPr>
        <w:t xml:space="preserve"> </w:t>
      </w:r>
    </w:p>
    <w:p w:rsidR="00C90BC8"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Community Garden has various goals to provide better opportunities for healthy food and social activities. In the UK, many cities provide opportunities to the employee to involve themselves in the community garden and harvest crops. It reduces the crime rate and food insecurity. Community Garden improves dietary intake and family relationships.</w:t>
      </w:r>
    </w:p>
    <w:p w:rsidR="00C90BC8" w:rsidRDefault="00EE5666" w:rsidP="006E1630">
      <w:pPr>
        <w:pStyle w:val="Heading2"/>
        <w:spacing w:line="360" w:lineRule="auto"/>
        <w:jc w:val="both"/>
        <w:rPr>
          <w:rFonts w:eastAsia="Times New Roman"/>
        </w:rPr>
      </w:pPr>
      <w:bookmarkStart w:id="2" w:name="_Toc111566514"/>
      <w:r>
        <w:rPr>
          <w:rFonts w:eastAsia="Times New Roman"/>
        </w:rPr>
        <w:lastRenderedPageBreak/>
        <w:t>Rules and regulations</w:t>
      </w:r>
      <w:bookmarkEnd w:id="2"/>
      <w:r w:rsidR="69F223A9" w:rsidRPr="69F223A9">
        <w:rPr>
          <w:rFonts w:eastAsia="Times New Roman"/>
        </w:rPr>
        <w:t xml:space="preserve"> </w:t>
      </w:r>
    </w:p>
    <w:p w:rsidR="00C90BC8" w:rsidRPr="00C370CA" w:rsidRDefault="69F223A9" w:rsidP="006E1630">
      <w:pPr>
        <w:pStyle w:val="Heading2"/>
        <w:spacing w:line="360" w:lineRule="auto"/>
        <w:ind w:firstLine="720"/>
        <w:jc w:val="both"/>
        <w:rPr>
          <w:rFonts w:eastAsia="Times New Roman" w:cs="Times New Roman"/>
          <w:sz w:val="24"/>
          <w:szCs w:val="24"/>
        </w:rPr>
      </w:pPr>
      <w:bookmarkStart w:id="3" w:name="_Toc111566515"/>
      <w:r w:rsidRPr="00C370CA">
        <w:rPr>
          <w:rFonts w:eastAsia="Times New Roman"/>
          <w:b w:val="0"/>
          <w:sz w:val="24"/>
          <w:szCs w:val="24"/>
        </w:rPr>
        <w:t xml:space="preserve">In the UK, for creating a Community Garden, we must maintain some specific rules and regulations. These specific rules depend on the individual garden and organization </w:t>
      </w:r>
      <w:r w:rsidR="00EE5666" w:rsidRPr="00C370CA">
        <w:rPr>
          <w:rFonts w:eastAsia="Times New Roman"/>
          <w:b w:val="0"/>
          <w:sz w:val="24"/>
          <w:szCs w:val="24"/>
        </w:rPr>
        <w:t>that</w:t>
      </w:r>
      <w:r w:rsidRPr="00C370CA">
        <w:rPr>
          <w:rFonts w:eastAsia="Times New Roman"/>
          <w:b w:val="0"/>
          <w:sz w:val="24"/>
          <w:szCs w:val="24"/>
        </w:rPr>
        <w:t xml:space="preserve"> create the gardens. Community Garden’s nature is collective, so it is important to get feedback from the participants of the </w:t>
      </w:r>
      <w:r w:rsidR="00EE5666" w:rsidRPr="00C370CA">
        <w:rPr>
          <w:rFonts w:eastAsia="Times New Roman"/>
          <w:b w:val="0"/>
          <w:sz w:val="24"/>
          <w:szCs w:val="24"/>
        </w:rPr>
        <w:t>garden.</w:t>
      </w:r>
      <w:r w:rsidR="00EE5666" w:rsidRPr="00C370CA">
        <w:rPr>
          <w:rFonts w:eastAsia="Times New Roman" w:cs="Times New Roman"/>
          <w:b w:val="0"/>
          <w:bCs w:val="0"/>
          <w:sz w:val="24"/>
          <w:szCs w:val="24"/>
        </w:rPr>
        <w:t xml:space="preserve"> In</w:t>
      </w:r>
      <w:r w:rsidRPr="00C370CA">
        <w:rPr>
          <w:rFonts w:eastAsia="Times New Roman" w:cs="Times New Roman"/>
          <w:b w:val="0"/>
          <w:bCs w:val="0"/>
          <w:sz w:val="24"/>
          <w:szCs w:val="24"/>
        </w:rPr>
        <w:t xml:space="preserve"> the Community Garden, a plant is </w:t>
      </w:r>
      <w:r w:rsidR="00EE5666" w:rsidRPr="00C370CA">
        <w:rPr>
          <w:rFonts w:eastAsia="Times New Roman" w:cs="Times New Roman"/>
          <w:b w:val="0"/>
          <w:bCs w:val="0"/>
          <w:sz w:val="24"/>
          <w:szCs w:val="24"/>
        </w:rPr>
        <w:t>a food production that holds</w:t>
      </w:r>
      <w:r w:rsidRPr="00C370CA">
        <w:rPr>
          <w:rFonts w:eastAsia="Times New Roman" w:cs="Times New Roman"/>
          <w:b w:val="0"/>
          <w:bCs w:val="0"/>
          <w:sz w:val="24"/>
          <w:szCs w:val="24"/>
        </w:rPr>
        <w:t xml:space="preserve"> the monthly farmer’s market. Community Garden and farmer’s market help to access healthy food. Community Garden is a nonprofit attempt. Its profit depends on the sale of harvesting products. Some gardens are developed for health and wellbeing focused for therapeutic settings on people’s health issues and social isolation.</w:t>
      </w:r>
      <w:bookmarkEnd w:id="3"/>
      <w:r w:rsidR="006E1630">
        <w:rPr>
          <w:rFonts w:eastAsia="Times New Roman" w:cs="Times New Roman"/>
          <w:b w:val="0"/>
          <w:bCs w:val="0"/>
          <w:sz w:val="24"/>
          <w:szCs w:val="24"/>
        </w:rPr>
        <w:t xml:space="preserve"> </w:t>
      </w:r>
      <w:r w:rsidRPr="00C370CA">
        <w:rPr>
          <w:rFonts w:eastAsia="Times New Roman" w:cs="Times New Roman"/>
          <w:b w:val="0"/>
          <w:bCs w:val="0"/>
          <w:sz w:val="24"/>
          <w:szCs w:val="24"/>
        </w:rPr>
        <w:t xml:space="preserve">Identify the recourse: For adding garden’s creation, need to assessment and identify the skills and resources which have already exist in the community. </w:t>
      </w:r>
      <w:r w:rsidR="00EE5666" w:rsidRPr="00C370CA">
        <w:rPr>
          <w:rFonts w:eastAsia="Times New Roman" w:cs="Times New Roman"/>
          <w:sz w:val="24"/>
          <w:szCs w:val="24"/>
        </w:rPr>
        <w:t>Participant also needs</w:t>
      </w:r>
      <w:r w:rsidRPr="00C370CA">
        <w:rPr>
          <w:rFonts w:eastAsia="Times New Roman" w:cs="Times New Roman"/>
          <w:b w:val="0"/>
          <w:bCs w:val="0"/>
          <w:sz w:val="24"/>
          <w:szCs w:val="24"/>
        </w:rPr>
        <w:t xml:space="preserve"> to take </w:t>
      </w:r>
      <w:r w:rsidR="00EE5666" w:rsidRPr="00C370CA">
        <w:rPr>
          <w:rFonts w:eastAsia="Times New Roman" w:cs="Times New Roman"/>
          <w:sz w:val="24"/>
          <w:szCs w:val="24"/>
        </w:rPr>
        <w:t>advice</w:t>
      </w:r>
      <w:r w:rsidRPr="00C370CA">
        <w:rPr>
          <w:rFonts w:eastAsia="Times New Roman" w:cs="Times New Roman"/>
          <w:b w:val="0"/>
          <w:bCs w:val="0"/>
          <w:sz w:val="24"/>
          <w:szCs w:val="24"/>
        </w:rPr>
        <w:t xml:space="preserve"> from the local </w:t>
      </w:r>
      <w:r w:rsidR="00EE5666" w:rsidRPr="00C370CA">
        <w:rPr>
          <w:rFonts w:eastAsia="Times New Roman" w:cs="Times New Roman"/>
          <w:sz w:val="24"/>
          <w:szCs w:val="24"/>
        </w:rPr>
        <w:t>Neighbors</w:t>
      </w:r>
      <w:r w:rsidRPr="00C370CA">
        <w:rPr>
          <w:rFonts w:eastAsia="Times New Roman" w:cs="Times New Roman"/>
          <w:b w:val="0"/>
          <w:bCs w:val="0"/>
          <w:sz w:val="24"/>
          <w:szCs w:val="24"/>
        </w:rPr>
        <w:t xml:space="preserve"> or committee who are experienced in gardening.</w:t>
      </w:r>
    </w:p>
    <w:p w:rsidR="00C90BC8" w:rsidRDefault="69F223A9" w:rsidP="006E1630">
      <w:pPr>
        <w:pStyle w:val="Heading1"/>
        <w:spacing w:line="360" w:lineRule="auto"/>
        <w:jc w:val="both"/>
        <w:rPr>
          <w:rFonts w:eastAsia="Times New Roman"/>
        </w:rPr>
      </w:pPr>
      <w:bookmarkStart w:id="4" w:name="_Toc111566516"/>
      <w:r w:rsidRPr="69F223A9">
        <w:rPr>
          <w:rFonts w:eastAsia="Times New Roman"/>
        </w:rPr>
        <w:t>Discussion and analysis</w:t>
      </w:r>
      <w:bookmarkEnd w:id="4"/>
      <w:r w:rsidRPr="69F223A9">
        <w:rPr>
          <w:rFonts w:eastAsia="Times New Roman"/>
        </w:rPr>
        <w:t xml:space="preserve"> </w:t>
      </w:r>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From the management view, a community comprises various parts that represent specialized activities, occasions which operate within particular boundaries. A community has independent, well-connected sectors. According to social perspective, it can be defined by conveying the political and social networks that connect individuals and leaders. From a virtual point of view, some communities draw a map of geographically structured areas. </w:t>
      </w:r>
      <w:bookmarkStart w:id="5" w:name="_Int_ghXiLREw"/>
      <w:r w:rsidRPr="69F223A9">
        <w:rPr>
          <w:rFonts w:ascii="Times New Roman" w:eastAsia="Times New Roman" w:hAnsi="Times New Roman" w:cs="Times New Roman"/>
          <w:color w:val="000000" w:themeColor="text1"/>
          <w:sz w:val="24"/>
          <w:szCs w:val="24"/>
        </w:rPr>
        <w:t>It</w:t>
      </w:r>
      <w:bookmarkEnd w:id="5"/>
      <w:r w:rsidRPr="69F223A9">
        <w:rPr>
          <w:rFonts w:ascii="Times New Roman" w:eastAsia="Times New Roman" w:hAnsi="Times New Roman" w:cs="Times New Roman"/>
          <w:color w:val="000000" w:themeColor="text1"/>
          <w:sz w:val="24"/>
          <w:szCs w:val="24"/>
        </w:rPr>
        <w:t xml:space="preserve"> discusses social networking from a virtual perspective. Like management and virtual point of view, individual have own community membership. Furthermore, they have a view of belonging. </w:t>
      </w:r>
    </w:p>
    <w:p w:rsidR="006E1630" w:rsidRDefault="006E1630">
      <w:pPr>
        <w:rPr>
          <w:rFonts w:ascii="Times New Roman" w:eastAsia="Times New Roman" w:hAnsi="Times New Roman" w:cstheme="majorBidi"/>
          <w:b/>
          <w:bCs/>
          <w:color w:val="000000" w:themeColor="text1"/>
          <w:sz w:val="28"/>
          <w:szCs w:val="28"/>
        </w:rPr>
      </w:pPr>
      <w:bookmarkStart w:id="6" w:name="_Toc111566517"/>
      <w:r>
        <w:rPr>
          <w:rFonts w:eastAsia="Times New Roman"/>
        </w:rPr>
        <w:br w:type="page"/>
      </w:r>
    </w:p>
    <w:p w:rsidR="69F223A9" w:rsidRDefault="69F223A9" w:rsidP="006E1630">
      <w:pPr>
        <w:pStyle w:val="Heading1"/>
        <w:spacing w:line="360" w:lineRule="auto"/>
        <w:jc w:val="both"/>
        <w:rPr>
          <w:rFonts w:eastAsia="Times New Roman"/>
        </w:rPr>
      </w:pPr>
      <w:r w:rsidRPr="69F223A9">
        <w:rPr>
          <w:rFonts w:eastAsia="Times New Roman"/>
        </w:rPr>
        <w:lastRenderedPageBreak/>
        <w:t>Community engagement principles</w:t>
      </w:r>
      <w:bookmarkEnd w:id="6"/>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Community engagement principles convey that the practical and theory view of community engagement has been produced and demonstrated as practical view of principles. This considers   the insight and key features that support the community engagement activity. Community engagement principle conveys a practical guideline which is based on science for participating in decision-making, improving communication, collaboration and to promote understanding and strengthen the coordination. Some key features of community engagement are: </w:t>
      </w:r>
    </w:p>
    <w:p w:rsidR="69F223A9" w:rsidRDefault="69F223A9" w:rsidP="006E1630">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The goals and purposes of the engagement must be clear and doubtless.</w:t>
      </w:r>
    </w:p>
    <w:p w:rsidR="69F223A9" w:rsidRDefault="69F223A9" w:rsidP="006E1630">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One must have knowledge about a community’s economic conditions, culture, power and political structures, values and norms.</w:t>
      </w:r>
    </w:p>
    <w:p w:rsidR="69F223A9" w:rsidRDefault="69F223A9" w:rsidP="006E1630">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It is necessary to build trust and establish relationships, work with the leadership from community organizations.</w:t>
      </w:r>
    </w:p>
    <w:p w:rsidR="69F223A9" w:rsidRDefault="69F223A9" w:rsidP="006E1630">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All the fields of the engagement of community must respect and consider the community diversity. </w:t>
      </w:r>
    </w:p>
    <w:p w:rsidR="69F223A9" w:rsidRDefault="69F223A9" w:rsidP="006E1630">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Community engagement should be considered by mobilizing and identifying the community assets by creating the capacity of the community.</w:t>
      </w:r>
    </w:p>
    <w:p w:rsidR="69F223A9" w:rsidRDefault="69F223A9" w:rsidP="006E1630">
      <w:pPr>
        <w:pStyle w:val="ListParagraph"/>
        <w:numPr>
          <w:ilvl w:val="0"/>
          <w:numId w:val="5"/>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The collaboration of the community needs a lengthy commitment by appealing the organization.</w:t>
      </w:r>
    </w:p>
    <w:p w:rsidR="69F223A9" w:rsidRDefault="69F223A9" w:rsidP="006E1630">
      <w:pPr>
        <w:pStyle w:val="Heading1"/>
        <w:spacing w:line="360" w:lineRule="auto"/>
        <w:jc w:val="both"/>
        <w:rPr>
          <w:rFonts w:eastAsia="Times New Roman"/>
        </w:rPr>
      </w:pPr>
      <w:r w:rsidRPr="69F223A9">
        <w:rPr>
          <w:rFonts w:eastAsia="Times New Roman"/>
        </w:rPr>
        <w:t xml:space="preserve">  </w:t>
      </w:r>
      <w:bookmarkStart w:id="7" w:name="_Toc111566518"/>
      <w:r w:rsidRPr="69F223A9">
        <w:rPr>
          <w:rFonts w:eastAsia="Times New Roman"/>
        </w:rPr>
        <w:t>Standards</w:t>
      </w:r>
      <w:bookmarkEnd w:id="7"/>
    </w:p>
    <w:p w:rsidR="69F223A9" w:rsidRDefault="69F223A9" w:rsidP="006E1630">
      <w:pPr>
        <w:spacing w:line="360" w:lineRule="auto"/>
        <w:jc w:val="both"/>
        <w:rPr>
          <w:rFonts w:ascii="Times New Roman" w:eastAsia="Times New Roman" w:hAnsi="Times New Roman" w:cs="Times New Roman"/>
          <w:color w:val="000000" w:themeColor="text1"/>
          <w:sz w:val="24"/>
          <w:szCs w:val="24"/>
        </w:rPr>
      </w:pPr>
      <w:r>
        <w:tab/>
      </w:r>
      <w:r w:rsidRPr="69F223A9">
        <w:rPr>
          <w:rFonts w:ascii="Times New Roman" w:eastAsia="Times New Roman" w:hAnsi="Times New Roman" w:cs="Times New Roman"/>
          <w:color w:val="000000" w:themeColor="text1"/>
          <w:sz w:val="24"/>
          <w:szCs w:val="24"/>
        </w:rPr>
        <w:t>The standards for community engagement are necessary to convey common language among the stakeholders for describing the principles of community engagement, benchmarks and key features. The standard of community engagement assists implementation by demonstrating the principles to plan and execute the plan by taking action. The standards show the need to think of community engagement, development and health responses of public. There are some standards of community engagement such as -</w:t>
      </w:r>
      <w:r>
        <w:tab/>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lastRenderedPageBreak/>
        <w:t>It is necessary to gather the evidence of daily needs of and sources and utilize those documents to verify the purpose, timescale and scope of community engagement.</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Involve and identify the organization and people to develop the focus about the engagement.</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Identify the barriers by supporting the involvement.</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Utilize the methods of engagement properly.</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It is necessary to work together efficiently and effectively.</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Improvement is necessary by developing knowledge, skills, and confidence of the participants.</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Feedback the ultimate result to the agencies and communities.</w:t>
      </w:r>
    </w:p>
    <w:p w:rsidR="69F223A9" w:rsidRDefault="69F223A9" w:rsidP="006E1630">
      <w:pPr>
        <w:pStyle w:val="ListParagraph"/>
        <w:numPr>
          <w:ilvl w:val="0"/>
          <w:numId w:val="3"/>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Monitor the achievement and its purposes through evaluation for the engagement of community.</w:t>
      </w:r>
    </w:p>
    <w:p w:rsidR="69F223A9" w:rsidRDefault="69F223A9" w:rsidP="006E1630">
      <w:pPr>
        <w:pStyle w:val="Heading1"/>
        <w:spacing w:line="360" w:lineRule="auto"/>
        <w:jc w:val="both"/>
        <w:rPr>
          <w:rFonts w:eastAsia="Times New Roman"/>
        </w:rPr>
      </w:pPr>
      <w:bookmarkStart w:id="8" w:name="_Toc111566519"/>
      <w:r w:rsidRPr="69F223A9">
        <w:rPr>
          <w:rFonts w:eastAsia="Times New Roman"/>
        </w:rPr>
        <w:t>Benefits of stakeholder’s participation</w:t>
      </w:r>
      <w:bookmarkEnd w:id="8"/>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The discussion of the participation of stakeholders can be assumed throughout all steps of the project. Companies have knowledge of stakeholder’s number and different categories by analyzing the activities of stakeholders. The group of stakeholders needs various attention and the defined stakeholders. The effective process of community engagement must be clear, influential, simple, educational, </w:t>
      </w:r>
      <w:r w:rsidR="00EE5666" w:rsidRPr="69F223A9">
        <w:rPr>
          <w:rFonts w:ascii="Times New Roman" w:eastAsia="Times New Roman" w:hAnsi="Times New Roman" w:cs="Times New Roman"/>
          <w:color w:val="000000" w:themeColor="text1"/>
          <w:sz w:val="24"/>
          <w:szCs w:val="24"/>
        </w:rPr>
        <w:t>and informative</w:t>
      </w:r>
      <w:r w:rsidRPr="69F223A9">
        <w:rPr>
          <w:rFonts w:ascii="Times New Roman" w:eastAsia="Times New Roman" w:hAnsi="Times New Roman" w:cs="Times New Roman"/>
          <w:color w:val="000000" w:themeColor="text1"/>
          <w:sz w:val="24"/>
          <w:szCs w:val="24"/>
        </w:rPr>
        <w:t>. It is necessary to provide a reasonable timeframe by building trust, collaboration and relationships. Companies should provide feedback besides evaluation.</w:t>
      </w:r>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According to the nature of the company, it is crucial to know the needs and demands of stakeholders by understanding and listening to them. Some vital benefits of stakeholders’ participation are - </w:t>
      </w:r>
    </w:p>
    <w:p w:rsidR="69F223A9" w:rsidRDefault="69F223A9" w:rsidP="006E163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Make the decision effectively.</w:t>
      </w:r>
    </w:p>
    <w:p w:rsidR="69F223A9" w:rsidRDefault="69F223A9" w:rsidP="006E163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Build a relationship with the company’s stakeholders.</w:t>
      </w:r>
    </w:p>
    <w:p w:rsidR="69F223A9" w:rsidRDefault="69F223A9" w:rsidP="006E163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Prevention of delaying the project.</w:t>
      </w:r>
    </w:p>
    <w:p w:rsidR="69F223A9" w:rsidRDefault="69F223A9" w:rsidP="006E163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lastRenderedPageBreak/>
        <w:t>Manage the risks and accountability.</w:t>
      </w:r>
    </w:p>
    <w:p w:rsidR="69F223A9" w:rsidRDefault="69F223A9" w:rsidP="006E1630">
      <w:pPr>
        <w:pStyle w:val="ListParagraph"/>
        <w:numPr>
          <w:ilvl w:val="0"/>
          <w:numId w:val="2"/>
        </w:num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Goodwill and trust.</w:t>
      </w:r>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Community Garden is a nonprofit attempt. Its profit depends on the sale of harvesting products. Some gardens are developed for health and wellbeing focused for therapeutic settings on people’s health issues and social </w:t>
      </w:r>
      <w:r w:rsidR="00EE5666" w:rsidRPr="69F223A9">
        <w:rPr>
          <w:rFonts w:ascii="Times New Roman" w:eastAsia="Times New Roman" w:hAnsi="Times New Roman" w:cs="Times New Roman"/>
          <w:color w:val="000000" w:themeColor="text1"/>
          <w:sz w:val="24"/>
          <w:szCs w:val="24"/>
        </w:rPr>
        <w:t>isolation. Identify</w:t>
      </w:r>
      <w:r w:rsidRPr="69F223A9">
        <w:rPr>
          <w:rFonts w:ascii="Times New Roman" w:eastAsia="Times New Roman" w:hAnsi="Times New Roman" w:cs="Times New Roman"/>
          <w:color w:val="000000" w:themeColor="text1"/>
          <w:sz w:val="24"/>
          <w:szCs w:val="24"/>
        </w:rPr>
        <w:t xml:space="preserve"> the recourse: For adding garden’s creation, need to assessment and identify the skills and resources which have already exist in the </w:t>
      </w:r>
      <w:r w:rsidR="00EE5666" w:rsidRPr="69F223A9">
        <w:rPr>
          <w:rFonts w:ascii="Times New Roman" w:eastAsia="Times New Roman" w:hAnsi="Times New Roman" w:cs="Times New Roman"/>
          <w:color w:val="000000" w:themeColor="text1"/>
          <w:sz w:val="24"/>
          <w:szCs w:val="24"/>
        </w:rPr>
        <w:t>community. Participant also needs</w:t>
      </w:r>
      <w:r w:rsidRPr="69F223A9">
        <w:rPr>
          <w:rFonts w:ascii="Times New Roman" w:eastAsia="Times New Roman" w:hAnsi="Times New Roman" w:cs="Times New Roman"/>
          <w:color w:val="000000" w:themeColor="text1"/>
          <w:sz w:val="24"/>
          <w:szCs w:val="24"/>
        </w:rPr>
        <w:t xml:space="preserve"> to take </w:t>
      </w:r>
      <w:r w:rsidR="00EE5666" w:rsidRPr="69F223A9">
        <w:rPr>
          <w:rFonts w:ascii="Times New Roman" w:eastAsia="Times New Roman" w:hAnsi="Times New Roman" w:cs="Times New Roman"/>
          <w:color w:val="000000" w:themeColor="text1"/>
          <w:sz w:val="24"/>
          <w:szCs w:val="24"/>
        </w:rPr>
        <w:t>advice</w:t>
      </w:r>
      <w:r w:rsidRPr="69F223A9">
        <w:rPr>
          <w:rFonts w:ascii="Times New Roman" w:eastAsia="Times New Roman" w:hAnsi="Times New Roman" w:cs="Times New Roman"/>
          <w:color w:val="000000" w:themeColor="text1"/>
          <w:sz w:val="24"/>
          <w:szCs w:val="24"/>
        </w:rPr>
        <w:t xml:space="preserve"> from the local </w:t>
      </w:r>
      <w:r w:rsidR="00EE5666" w:rsidRPr="69F223A9">
        <w:rPr>
          <w:rFonts w:ascii="Times New Roman" w:eastAsia="Times New Roman" w:hAnsi="Times New Roman" w:cs="Times New Roman"/>
          <w:color w:val="000000" w:themeColor="text1"/>
          <w:sz w:val="24"/>
          <w:szCs w:val="24"/>
        </w:rPr>
        <w:t>Neighbors</w:t>
      </w:r>
      <w:r w:rsidRPr="69F223A9">
        <w:rPr>
          <w:rFonts w:ascii="Times New Roman" w:eastAsia="Times New Roman" w:hAnsi="Times New Roman" w:cs="Times New Roman"/>
          <w:color w:val="000000" w:themeColor="text1"/>
          <w:sz w:val="24"/>
          <w:szCs w:val="24"/>
        </w:rPr>
        <w:t xml:space="preserve"> or committee who are experienced in gardening.</w:t>
      </w:r>
    </w:p>
    <w:p w:rsidR="69F223A9" w:rsidRDefault="69F223A9" w:rsidP="006E1630">
      <w:pPr>
        <w:pStyle w:val="Heading2"/>
        <w:spacing w:line="360" w:lineRule="auto"/>
        <w:jc w:val="both"/>
        <w:rPr>
          <w:rFonts w:eastAsia="Times New Roman"/>
        </w:rPr>
      </w:pPr>
      <w:bookmarkStart w:id="9" w:name="_Toc111566520"/>
      <w:r w:rsidRPr="69F223A9">
        <w:rPr>
          <w:rFonts w:eastAsia="Times New Roman"/>
        </w:rPr>
        <w:t>Communities and their Gardens:</w:t>
      </w:r>
      <w:bookmarkEnd w:id="9"/>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Communities are defined as a group or individuals. For developing and maintaining the garden these groups of individuals work together as a resource of share. By the gardener’s and the organization manage the land which can be located in private or </w:t>
      </w:r>
      <w:r w:rsidR="00EE5666" w:rsidRPr="69F223A9">
        <w:rPr>
          <w:rFonts w:ascii="Times New Roman" w:eastAsia="Times New Roman" w:hAnsi="Times New Roman" w:cs="Times New Roman"/>
          <w:color w:val="000000" w:themeColor="text1"/>
          <w:sz w:val="24"/>
          <w:szCs w:val="24"/>
        </w:rPr>
        <w:t>public. Community</w:t>
      </w:r>
      <w:r w:rsidRPr="69F223A9">
        <w:rPr>
          <w:rFonts w:ascii="Times New Roman" w:eastAsia="Times New Roman" w:hAnsi="Times New Roman" w:cs="Times New Roman"/>
          <w:color w:val="000000" w:themeColor="text1"/>
          <w:sz w:val="24"/>
          <w:szCs w:val="24"/>
        </w:rPr>
        <w:t xml:space="preserve"> gardens provide a more sustainable resource of fruit and vegetables, mainly vegetables. Community garden and the similar one market gardening where participant get a salary. In the UK, people are unable to manage their gardens with their local families who share their harvested crops with the landowner. Market gardens try to achieve the supply of vegetables and fruits for their members.</w:t>
      </w:r>
      <w:r w:rsidR="006E1630">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color w:val="000000" w:themeColor="text1"/>
          <w:sz w:val="24"/>
          <w:szCs w:val="24"/>
        </w:rPr>
        <w:t xml:space="preserve">Basically, Gardens focuses on providing various opportunities to local residents, improving the local environment and producing vegetables and fruits for food. Community gardening is distinct for the purpose of review protocol from the residential and the individuals. In community gardens, there is a significant relationship between the garden’s crop area and socio-economic variables of interest in </w:t>
      </w:r>
      <w:r w:rsidR="00EE5666" w:rsidRPr="69F223A9">
        <w:rPr>
          <w:rFonts w:ascii="Times New Roman" w:eastAsia="Times New Roman" w:hAnsi="Times New Roman" w:cs="Times New Roman"/>
          <w:color w:val="000000" w:themeColor="text1"/>
          <w:sz w:val="24"/>
          <w:szCs w:val="24"/>
        </w:rPr>
        <w:t>Neighbors</w:t>
      </w:r>
      <w:r w:rsidRPr="69F223A9">
        <w:rPr>
          <w:rFonts w:ascii="Times New Roman" w:eastAsia="Times New Roman" w:hAnsi="Times New Roman" w:cs="Times New Roman"/>
          <w:color w:val="000000" w:themeColor="text1"/>
          <w:sz w:val="24"/>
          <w:szCs w:val="24"/>
        </w:rPr>
        <w:t xml:space="preserve">. In his relationship, poverty is also correlated. </w:t>
      </w:r>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“The community garden also works as a cooperative system.” In this garden workers are able to sell the garden’s vegetables and their earned money divided among the garden’s members. This attempt is the hope of working people who work in the community and start their independent life.</w:t>
      </w:r>
      <w:r w:rsidR="006E1630">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color w:val="000000" w:themeColor="text1"/>
          <w:sz w:val="24"/>
          <w:szCs w:val="24"/>
        </w:rPr>
        <w:t xml:space="preserve">Urban agriculture is also a type of community </w:t>
      </w:r>
      <w:r w:rsidR="00EE5666" w:rsidRPr="69F223A9">
        <w:rPr>
          <w:rFonts w:ascii="Times New Roman" w:eastAsia="Times New Roman" w:hAnsi="Times New Roman" w:cs="Times New Roman"/>
          <w:color w:val="000000" w:themeColor="text1"/>
          <w:sz w:val="24"/>
          <w:szCs w:val="24"/>
        </w:rPr>
        <w:t>gardens;</w:t>
      </w:r>
      <w:r w:rsidRPr="69F223A9">
        <w:rPr>
          <w:rFonts w:ascii="Times New Roman" w:eastAsia="Times New Roman" w:hAnsi="Times New Roman" w:cs="Times New Roman"/>
          <w:color w:val="000000" w:themeColor="text1"/>
          <w:sz w:val="24"/>
          <w:szCs w:val="24"/>
        </w:rPr>
        <w:t xml:space="preserve"> it provides a model for promoting sustainable urban living to individual and community reconnection for the importance of food. For the creation of community garden is made by various policies including local agenda 21, which is encouraged the community participation and development of local issues. Community gardens are also important for economic relief.</w:t>
      </w:r>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lastRenderedPageBreak/>
        <w:t xml:space="preserve">Culture is the most crucial force in the organization. The difference of culture consists of values, traditions, history, language, racial attitudes, </w:t>
      </w:r>
      <w:r w:rsidR="00EE5666" w:rsidRPr="69F223A9">
        <w:rPr>
          <w:rFonts w:ascii="Times New Roman" w:eastAsia="Times New Roman" w:hAnsi="Times New Roman" w:cs="Times New Roman"/>
          <w:color w:val="000000" w:themeColor="text1"/>
          <w:sz w:val="24"/>
          <w:szCs w:val="24"/>
        </w:rPr>
        <w:t>and sense</w:t>
      </w:r>
      <w:r w:rsidRPr="69F223A9">
        <w:rPr>
          <w:rFonts w:ascii="Times New Roman" w:eastAsia="Times New Roman" w:hAnsi="Times New Roman" w:cs="Times New Roman"/>
          <w:color w:val="000000" w:themeColor="text1"/>
          <w:sz w:val="24"/>
          <w:szCs w:val="24"/>
        </w:rPr>
        <w:t xml:space="preserve"> of self. In a multicultural relationship, the participants should have a purpose. </w:t>
      </w:r>
      <w:r w:rsidR="00EE5666" w:rsidRPr="69F223A9">
        <w:rPr>
          <w:rFonts w:ascii="Times New Roman" w:eastAsia="Times New Roman" w:hAnsi="Times New Roman" w:cs="Times New Roman"/>
          <w:color w:val="000000" w:themeColor="text1"/>
          <w:sz w:val="24"/>
          <w:szCs w:val="24"/>
        </w:rPr>
        <w:t>Collaboration</w:t>
      </w:r>
      <w:r w:rsidRPr="69F223A9">
        <w:rPr>
          <w:rFonts w:ascii="Times New Roman" w:eastAsia="Times New Roman" w:hAnsi="Times New Roman" w:cs="Times New Roman"/>
          <w:color w:val="000000" w:themeColor="text1"/>
          <w:sz w:val="24"/>
          <w:szCs w:val="24"/>
        </w:rPr>
        <w:t xml:space="preserve"> always needs a plan, patience, and a way of controlling old attitudes by involving new ways. In multicultural collaboration, the groups must overcome the differences of unified reports. The concept of multicultural ideology attempts to compress the fundamental and general views.</w:t>
      </w:r>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The concept of socio-cultural integration and multiculturalism are represented in the forefront of political </w:t>
      </w:r>
      <w:r w:rsidR="00EE5666" w:rsidRPr="69F223A9">
        <w:rPr>
          <w:rFonts w:ascii="Times New Roman" w:eastAsia="Times New Roman" w:hAnsi="Times New Roman" w:cs="Times New Roman"/>
          <w:color w:val="000000" w:themeColor="text1"/>
          <w:sz w:val="24"/>
          <w:szCs w:val="24"/>
        </w:rPr>
        <w:t>discussion</w:t>
      </w:r>
      <w:r w:rsidRPr="69F223A9">
        <w:rPr>
          <w:rFonts w:ascii="Times New Roman" w:eastAsia="Times New Roman" w:hAnsi="Times New Roman" w:cs="Times New Roman"/>
          <w:color w:val="000000" w:themeColor="text1"/>
          <w:sz w:val="24"/>
          <w:szCs w:val="24"/>
        </w:rPr>
        <w:t xml:space="preserve">. Dealing with cultural and ethnic heterogeneity connected to such views is one of the crucial challenges. Some important perspectives are assimilation theory, structuralism, multiculturalism, assimilation synthesis. There are some ways to increase participation efficiently such as- 1. </w:t>
      </w:r>
      <w:r w:rsidR="00EE5666" w:rsidRPr="69F223A9">
        <w:rPr>
          <w:rFonts w:ascii="Times New Roman" w:eastAsia="Times New Roman" w:hAnsi="Times New Roman" w:cs="Times New Roman"/>
          <w:color w:val="000000" w:themeColor="text1"/>
          <w:sz w:val="24"/>
          <w:szCs w:val="24"/>
        </w:rPr>
        <w:t>Through</w:t>
      </w:r>
      <w:r w:rsidRPr="69F223A9">
        <w:rPr>
          <w:rFonts w:ascii="Times New Roman" w:eastAsia="Times New Roman" w:hAnsi="Times New Roman" w:cs="Times New Roman"/>
          <w:color w:val="000000" w:themeColor="text1"/>
          <w:sz w:val="24"/>
          <w:szCs w:val="24"/>
        </w:rPr>
        <w:t xml:space="preserve"> online participation, 2. </w:t>
      </w:r>
      <w:r w:rsidR="00EE5666" w:rsidRPr="69F223A9">
        <w:rPr>
          <w:rFonts w:ascii="Times New Roman" w:eastAsia="Times New Roman" w:hAnsi="Times New Roman" w:cs="Times New Roman"/>
          <w:color w:val="000000" w:themeColor="text1"/>
          <w:sz w:val="24"/>
          <w:szCs w:val="24"/>
        </w:rPr>
        <w:t>Facility</w:t>
      </w:r>
      <w:r w:rsidRPr="69F223A9">
        <w:rPr>
          <w:rFonts w:ascii="Times New Roman" w:eastAsia="Times New Roman" w:hAnsi="Times New Roman" w:cs="Times New Roman"/>
          <w:color w:val="000000" w:themeColor="text1"/>
          <w:sz w:val="24"/>
          <w:szCs w:val="24"/>
        </w:rPr>
        <w:t xml:space="preserve"> booking, 3. </w:t>
      </w:r>
      <w:r w:rsidR="00EE5666" w:rsidRPr="69F223A9">
        <w:rPr>
          <w:rFonts w:ascii="Times New Roman" w:eastAsia="Times New Roman" w:hAnsi="Times New Roman" w:cs="Times New Roman"/>
          <w:color w:val="000000" w:themeColor="text1"/>
          <w:sz w:val="24"/>
          <w:szCs w:val="24"/>
        </w:rPr>
        <w:t>Increase</w:t>
      </w:r>
      <w:r w:rsidRPr="69F223A9">
        <w:rPr>
          <w:rFonts w:ascii="Times New Roman" w:eastAsia="Times New Roman" w:hAnsi="Times New Roman" w:cs="Times New Roman"/>
          <w:color w:val="000000" w:themeColor="text1"/>
          <w:sz w:val="24"/>
          <w:szCs w:val="24"/>
        </w:rPr>
        <w:t xml:space="preserve"> participation though social sharing, 4. </w:t>
      </w:r>
      <w:r w:rsidR="00EE5666" w:rsidRPr="69F223A9">
        <w:rPr>
          <w:rFonts w:ascii="Times New Roman" w:eastAsia="Times New Roman" w:hAnsi="Times New Roman" w:cs="Times New Roman"/>
          <w:color w:val="000000" w:themeColor="text1"/>
          <w:sz w:val="24"/>
          <w:szCs w:val="24"/>
        </w:rPr>
        <w:t>Data</w:t>
      </w:r>
      <w:r w:rsidRPr="69F223A9">
        <w:rPr>
          <w:rFonts w:ascii="Times New Roman" w:eastAsia="Times New Roman" w:hAnsi="Times New Roman" w:cs="Times New Roman"/>
          <w:color w:val="000000" w:themeColor="text1"/>
          <w:sz w:val="24"/>
          <w:szCs w:val="24"/>
        </w:rPr>
        <w:t xml:space="preserve"> participation, 5. </w:t>
      </w:r>
      <w:r w:rsidR="00EE5666" w:rsidRPr="69F223A9">
        <w:rPr>
          <w:rFonts w:ascii="Times New Roman" w:eastAsia="Times New Roman" w:hAnsi="Times New Roman" w:cs="Times New Roman"/>
          <w:color w:val="000000" w:themeColor="text1"/>
          <w:sz w:val="24"/>
          <w:szCs w:val="24"/>
        </w:rPr>
        <w:t>Membership</w:t>
      </w:r>
      <w:r w:rsidRPr="69F223A9">
        <w:rPr>
          <w:rFonts w:ascii="Times New Roman" w:eastAsia="Times New Roman" w:hAnsi="Times New Roman" w:cs="Times New Roman"/>
          <w:color w:val="000000" w:themeColor="text1"/>
          <w:sz w:val="24"/>
          <w:szCs w:val="24"/>
        </w:rPr>
        <w:t xml:space="preserve"> increase, 6. </w:t>
      </w:r>
      <w:r w:rsidR="00EE5666" w:rsidRPr="69F223A9">
        <w:rPr>
          <w:rFonts w:ascii="Times New Roman" w:eastAsia="Times New Roman" w:hAnsi="Times New Roman" w:cs="Times New Roman"/>
          <w:color w:val="000000" w:themeColor="text1"/>
          <w:sz w:val="24"/>
          <w:szCs w:val="24"/>
        </w:rPr>
        <w:t>Increase</w:t>
      </w:r>
      <w:r w:rsidRPr="69F223A9">
        <w:rPr>
          <w:rFonts w:ascii="Times New Roman" w:eastAsia="Times New Roman" w:hAnsi="Times New Roman" w:cs="Times New Roman"/>
          <w:color w:val="000000" w:themeColor="text1"/>
          <w:sz w:val="24"/>
          <w:szCs w:val="24"/>
        </w:rPr>
        <w:t xml:space="preserve"> </w:t>
      </w:r>
      <w:r w:rsidR="00EE5666" w:rsidRPr="69F223A9">
        <w:rPr>
          <w:rFonts w:ascii="Times New Roman" w:eastAsia="Times New Roman" w:hAnsi="Times New Roman" w:cs="Times New Roman"/>
          <w:color w:val="000000" w:themeColor="text1"/>
          <w:sz w:val="24"/>
          <w:szCs w:val="24"/>
        </w:rPr>
        <w:t>the</w:t>
      </w:r>
      <w:r w:rsidRPr="69F223A9">
        <w:rPr>
          <w:rFonts w:ascii="Times New Roman" w:eastAsia="Times New Roman" w:hAnsi="Times New Roman" w:cs="Times New Roman"/>
          <w:color w:val="000000" w:themeColor="text1"/>
          <w:sz w:val="24"/>
          <w:szCs w:val="24"/>
        </w:rPr>
        <w:t xml:space="preserve"> marketing through e-mail, 7. </w:t>
      </w:r>
      <w:r w:rsidR="00EE5666" w:rsidRPr="69F223A9">
        <w:rPr>
          <w:rFonts w:ascii="Times New Roman" w:eastAsia="Times New Roman" w:hAnsi="Times New Roman" w:cs="Times New Roman"/>
          <w:color w:val="000000" w:themeColor="text1"/>
          <w:sz w:val="24"/>
          <w:szCs w:val="24"/>
        </w:rPr>
        <w:t>Increase</w:t>
      </w:r>
      <w:r w:rsidRPr="69F223A9">
        <w:rPr>
          <w:rFonts w:ascii="Times New Roman" w:eastAsia="Times New Roman" w:hAnsi="Times New Roman" w:cs="Times New Roman"/>
          <w:color w:val="000000" w:themeColor="text1"/>
          <w:sz w:val="24"/>
          <w:szCs w:val="24"/>
        </w:rPr>
        <w:t xml:space="preserve"> participation of recreation guides. </w:t>
      </w:r>
      <w:bookmarkStart w:id="10" w:name="_Int_REmpBY7A"/>
      <w:r w:rsidRPr="69F223A9">
        <w:rPr>
          <w:rFonts w:ascii="Times New Roman" w:eastAsia="Times New Roman" w:hAnsi="Times New Roman" w:cs="Times New Roman"/>
          <w:color w:val="000000" w:themeColor="text1"/>
          <w:sz w:val="24"/>
          <w:szCs w:val="24"/>
        </w:rPr>
        <w:t>It</w:t>
      </w:r>
      <w:bookmarkEnd w:id="10"/>
      <w:r w:rsidRPr="69F223A9">
        <w:rPr>
          <w:rFonts w:ascii="Times New Roman" w:eastAsia="Times New Roman" w:hAnsi="Times New Roman" w:cs="Times New Roman"/>
          <w:color w:val="000000" w:themeColor="text1"/>
          <w:sz w:val="24"/>
          <w:szCs w:val="24"/>
        </w:rPr>
        <w:t xml:space="preserve"> conveys a structural framework for using principles of community engagement. The framework and discussion suggest that the standard science of framework and community have broadened the understanding of community participation, diversity, and collaboration. </w:t>
      </w:r>
      <w:r>
        <w:tab/>
      </w:r>
      <w:r w:rsidRPr="69F223A9">
        <w:rPr>
          <w:rFonts w:ascii="Times New Roman" w:eastAsia="Times New Roman" w:hAnsi="Times New Roman" w:cs="Times New Roman"/>
          <w:color w:val="000000" w:themeColor="text1"/>
          <w:sz w:val="24"/>
          <w:szCs w:val="24"/>
        </w:rPr>
        <w:t>The engagement of research participatory struggles that gives values and respect to the community of stakeholders. The term ‘culture’ presents diversity in the context of the community. Culture shapes identities by describing how individuals are connected with one another. ‘Diversity’ is constructed to elaborate the different participation in the process of translation. The discussion of culture with community provides the perspective which indicates the necessity of consideration of individual cultural facts.</w:t>
      </w:r>
    </w:p>
    <w:p w:rsidR="006E1630" w:rsidRDefault="006E1630">
      <w:pPr>
        <w:rPr>
          <w:rFonts w:ascii="Times New Roman" w:eastAsia="Times New Roman" w:hAnsi="Times New Roman" w:cstheme="majorBidi"/>
          <w:b/>
          <w:bCs/>
          <w:color w:val="000000" w:themeColor="text1"/>
          <w:sz w:val="28"/>
          <w:szCs w:val="28"/>
        </w:rPr>
      </w:pPr>
      <w:bookmarkStart w:id="11" w:name="_Toc111566521"/>
      <w:r>
        <w:rPr>
          <w:rFonts w:eastAsia="Times New Roman"/>
        </w:rPr>
        <w:br w:type="page"/>
      </w:r>
    </w:p>
    <w:p w:rsidR="69F223A9" w:rsidRDefault="69F223A9" w:rsidP="006E1630">
      <w:pPr>
        <w:pStyle w:val="Heading1"/>
        <w:spacing w:line="360" w:lineRule="auto"/>
        <w:jc w:val="both"/>
        <w:rPr>
          <w:rFonts w:eastAsia="Times New Roman"/>
        </w:rPr>
      </w:pPr>
      <w:r w:rsidRPr="69F223A9">
        <w:rPr>
          <w:rFonts w:eastAsia="Times New Roman"/>
        </w:rPr>
        <w:lastRenderedPageBreak/>
        <w:t>Conclusion</w:t>
      </w:r>
      <w:bookmarkEnd w:id="11"/>
    </w:p>
    <w:p w:rsidR="69F223A9"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 We conclude that, Gardening is a productive habit. It helps people to connect with greenery and love nature. </w:t>
      </w:r>
      <w:r w:rsidR="00EE5666" w:rsidRPr="69F223A9">
        <w:rPr>
          <w:rFonts w:ascii="Times New Roman" w:eastAsia="Times New Roman" w:hAnsi="Times New Roman" w:cs="Times New Roman"/>
          <w:color w:val="000000" w:themeColor="text1"/>
          <w:sz w:val="24"/>
          <w:szCs w:val="24"/>
        </w:rPr>
        <w:t>Community gardens</w:t>
      </w:r>
      <w:r w:rsidRPr="69F223A9">
        <w:rPr>
          <w:rFonts w:ascii="Times New Roman" w:eastAsia="Times New Roman" w:hAnsi="Times New Roman" w:cs="Times New Roman"/>
          <w:color w:val="000000" w:themeColor="text1"/>
          <w:sz w:val="24"/>
          <w:szCs w:val="24"/>
        </w:rPr>
        <w:t xml:space="preserve"> are a very important and effective way to contact nature. It benefits concern on physical, mental health as well as community development, cultural preservation etc. Contact with nature for children improves cognitive development, decision making ability and creativity. Community gardens achieve the benefits of focusing on specific features and programs. The development of the community garden and the benefits focuses on the strategies and community gardens that can improve health and happiness of gardeners, visitors and the community. </w:t>
      </w:r>
    </w:p>
    <w:p w:rsidR="69F223A9" w:rsidRPr="006E1630" w:rsidRDefault="69F223A9" w:rsidP="006E1630">
      <w:pPr>
        <w:spacing w:line="360" w:lineRule="auto"/>
        <w:ind w:firstLine="720"/>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This study defines the importance of community relationships. In this study gardeners need community. Community members received a huge amount of information and practical knowledge in the specific field. As a community member they can access educational opportunities. This study focuses on the approachability of garden educators. Based on the study findings, huge environmental influences and change of climate encourage the community will but create the hare's environmental position to grow. The community garden program reduces food insecurity and develops dietary </w:t>
      </w:r>
      <w:r w:rsidR="00F65D9F" w:rsidRPr="69F223A9">
        <w:rPr>
          <w:rFonts w:ascii="Times New Roman" w:eastAsia="Times New Roman" w:hAnsi="Times New Roman" w:cs="Times New Roman"/>
          <w:color w:val="000000" w:themeColor="text1"/>
          <w:sz w:val="24"/>
          <w:szCs w:val="24"/>
        </w:rPr>
        <w:t>intake. This</w:t>
      </w:r>
      <w:r w:rsidRPr="69F223A9">
        <w:rPr>
          <w:rFonts w:ascii="Times New Roman" w:eastAsia="Times New Roman" w:hAnsi="Times New Roman" w:cs="Times New Roman"/>
          <w:color w:val="000000" w:themeColor="text1"/>
          <w:sz w:val="24"/>
          <w:szCs w:val="24"/>
        </w:rPr>
        <w:t xml:space="preserve"> study describes the social and psychological procedures that affect vegetable and fruit consumption which can influence the community gardener’s behaviors. On the basis of that study land planners, academic researcher polic</w:t>
      </w:r>
      <w:r w:rsidR="006E1630">
        <w:rPr>
          <w:rFonts w:ascii="Times New Roman" w:eastAsia="Times New Roman" w:hAnsi="Times New Roman" w:cs="Times New Roman"/>
          <w:color w:val="000000" w:themeColor="text1"/>
          <w:sz w:val="24"/>
          <w:szCs w:val="24"/>
        </w:rPr>
        <w:t xml:space="preserve">ymakers aim to do the following such as </w:t>
      </w:r>
      <w:r w:rsidRPr="006E1630">
        <w:rPr>
          <w:rFonts w:ascii="Times New Roman" w:eastAsia="Times New Roman" w:hAnsi="Times New Roman" w:cs="Times New Roman"/>
          <w:color w:val="000000" w:themeColor="text1"/>
          <w:sz w:val="24"/>
          <w:szCs w:val="24"/>
        </w:rPr>
        <w:t>Community gardeners are the fabric of the community.</w:t>
      </w:r>
      <w:r w:rsidR="009515E0" w:rsidRPr="006E1630">
        <w:rPr>
          <w:rFonts w:ascii="Times New Roman" w:eastAsia="Times New Roman" w:hAnsi="Times New Roman" w:cs="Times New Roman"/>
          <w:color w:val="000000" w:themeColor="text1"/>
          <w:sz w:val="24"/>
          <w:szCs w:val="24"/>
        </w:rPr>
        <w:t xml:space="preserve"> </w:t>
      </w:r>
      <w:r w:rsidRPr="006E1630">
        <w:rPr>
          <w:rFonts w:ascii="Times New Roman" w:eastAsia="Times New Roman" w:hAnsi="Times New Roman" w:cs="Times New Roman"/>
          <w:color w:val="000000" w:themeColor="text1"/>
          <w:sz w:val="24"/>
          <w:szCs w:val="24"/>
        </w:rPr>
        <w:t>Including community gardens in the land planning process in the urban development process.</w:t>
      </w:r>
      <w:r w:rsidR="009515E0" w:rsidRPr="006E1630">
        <w:rPr>
          <w:rFonts w:ascii="Times New Roman" w:eastAsia="Times New Roman" w:hAnsi="Times New Roman" w:cs="Times New Roman"/>
          <w:color w:val="000000" w:themeColor="text1"/>
          <w:sz w:val="24"/>
          <w:szCs w:val="24"/>
        </w:rPr>
        <w:t xml:space="preserve"> </w:t>
      </w:r>
      <w:r w:rsidRPr="006E1630">
        <w:rPr>
          <w:rFonts w:ascii="Times New Roman" w:eastAsia="Times New Roman" w:hAnsi="Times New Roman" w:cs="Times New Roman"/>
          <w:color w:val="000000" w:themeColor="text1"/>
          <w:sz w:val="24"/>
          <w:szCs w:val="24"/>
        </w:rPr>
        <w:t>Establish a zoning code which can protect gardeners.</w:t>
      </w:r>
      <w:r w:rsidR="009515E0" w:rsidRPr="006E1630">
        <w:rPr>
          <w:rFonts w:ascii="Times New Roman" w:eastAsia="Times New Roman" w:hAnsi="Times New Roman" w:cs="Times New Roman"/>
          <w:color w:val="000000" w:themeColor="text1"/>
          <w:sz w:val="24"/>
          <w:szCs w:val="24"/>
        </w:rPr>
        <w:t xml:space="preserve"> </w:t>
      </w:r>
      <w:r w:rsidRPr="006E1630">
        <w:rPr>
          <w:rFonts w:ascii="Times New Roman" w:eastAsia="Times New Roman" w:hAnsi="Times New Roman" w:cs="Times New Roman"/>
          <w:color w:val="000000" w:themeColor="text1"/>
          <w:sz w:val="24"/>
          <w:szCs w:val="24"/>
        </w:rPr>
        <w:t>Encourage programming which can connect the community gardener.</w:t>
      </w:r>
    </w:p>
    <w:p w:rsidR="69F223A9" w:rsidRPr="00050651" w:rsidRDefault="69F223A9" w:rsidP="006E1630">
      <w:pPr>
        <w:pStyle w:val="Heading1"/>
        <w:spacing w:line="360" w:lineRule="auto"/>
        <w:jc w:val="both"/>
        <w:rPr>
          <w:rFonts w:eastAsia="Times New Roman" w:cs="Times New Roman"/>
          <w:sz w:val="24"/>
          <w:szCs w:val="24"/>
        </w:rPr>
      </w:pPr>
      <w:r w:rsidRPr="69F223A9">
        <w:rPr>
          <w:rFonts w:eastAsia="Times New Roman" w:cs="Times New Roman"/>
          <w:sz w:val="24"/>
          <w:szCs w:val="24"/>
        </w:rPr>
        <w:br w:type="page"/>
      </w:r>
      <w:bookmarkStart w:id="12" w:name="_Toc111566522"/>
      <w:r w:rsidRPr="69F223A9">
        <w:rPr>
          <w:rFonts w:eastAsia="Times New Roman"/>
        </w:rPr>
        <w:lastRenderedPageBreak/>
        <w:t>Reference</w:t>
      </w:r>
      <w:bookmarkEnd w:id="12"/>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Adebisi, Y.A., Rabe, A. and Lucero-Prisno III, D.E., 2021. Risk communication and community engagement strategies for COVID-19 in 13 African countries. </w:t>
      </w:r>
      <w:r w:rsidRPr="69F223A9">
        <w:rPr>
          <w:rFonts w:ascii="Times New Roman" w:eastAsia="Times New Roman" w:hAnsi="Times New Roman" w:cs="Times New Roman"/>
          <w:i/>
          <w:iCs/>
          <w:color w:val="000000" w:themeColor="text1"/>
          <w:sz w:val="24"/>
          <w:szCs w:val="24"/>
        </w:rPr>
        <w:t>Health Promotion Perspectives</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11</w:t>
      </w:r>
      <w:r w:rsidRPr="69F223A9">
        <w:rPr>
          <w:rFonts w:ascii="Times New Roman" w:eastAsia="Times New Roman" w:hAnsi="Times New Roman" w:cs="Times New Roman"/>
          <w:color w:val="000000" w:themeColor="text1"/>
          <w:sz w:val="24"/>
          <w:szCs w:val="24"/>
        </w:rPr>
        <w:t>(2), p.137.</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David-Chavez, D.M. and Gavin, M.C., 2018. A global assessment of Indigenous community engagement in climate research. </w:t>
      </w:r>
      <w:r w:rsidRPr="69F223A9">
        <w:rPr>
          <w:rFonts w:ascii="Times New Roman" w:eastAsia="Times New Roman" w:hAnsi="Times New Roman" w:cs="Times New Roman"/>
          <w:i/>
          <w:iCs/>
          <w:color w:val="000000" w:themeColor="text1"/>
          <w:sz w:val="24"/>
          <w:szCs w:val="24"/>
        </w:rPr>
        <w:t>Environmental Research Letters</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13</w:t>
      </w:r>
      <w:r w:rsidRPr="69F223A9">
        <w:rPr>
          <w:rFonts w:ascii="Times New Roman" w:eastAsia="Times New Roman" w:hAnsi="Times New Roman" w:cs="Times New Roman"/>
          <w:color w:val="000000" w:themeColor="text1"/>
          <w:sz w:val="24"/>
          <w:szCs w:val="24"/>
        </w:rPr>
        <w:t>(12), p.123005.</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Gilmore, B., Ndejjo, R., Tchetchia, A., De Claro, V., Mago, E., Lopes, C. and Bhattacharyya, S., 2020. Community engagement for COVID-19 prevention and control: a rapid evidence synthesis. </w:t>
      </w:r>
      <w:r w:rsidRPr="69F223A9">
        <w:rPr>
          <w:rFonts w:ascii="Times New Roman" w:eastAsia="Times New Roman" w:hAnsi="Times New Roman" w:cs="Times New Roman"/>
          <w:i/>
          <w:iCs/>
          <w:color w:val="000000" w:themeColor="text1"/>
          <w:sz w:val="24"/>
          <w:szCs w:val="24"/>
        </w:rPr>
        <w:t>BMJ global health</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5</w:t>
      </w:r>
      <w:r w:rsidRPr="69F223A9">
        <w:rPr>
          <w:rFonts w:ascii="Times New Roman" w:eastAsia="Times New Roman" w:hAnsi="Times New Roman" w:cs="Times New Roman"/>
          <w:color w:val="000000" w:themeColor="text1"/>
          <w:sz w:val="24"/>
          <w:szCs w:val="24"/>
        </w:rPr>
        <w:t>(10), p.e003188.</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Hunter, T., Worthy, P., Viller, S. and Matthews, B., 2018, December. Designing for citizen-centric smart cities: supporting people's needs of a community garden. In </w:t>
      </w:r>
      <w:r w:rsidRPr="69F223A9">
        <w:rPr>
          <w:rFonts w:ascii="Times New Roman" w:eastAsia="Times New Roman" w:hAnsi="Times New Roman" w:cs="Times New Roman"/>
          <w:i/>
          <w:iCs/>
          <w:color w:val="000000" w:themeColor="text1"/>
          <w:sz w:val="24"/>
          <w:szCs w:val="24"/>
        </w:rPr>
        <w:t>Proceedings of the 30th Australian Conference on Computer-Human Interaction</w:t>
      </w:r>
      <w:r w:rsidRPr="69F223A9">
        <w:rPr>
          <w:rFonts w:ascii="Times New Roman" w:eastAsia="Times New Roman" w:hAnsi="Times New Roman" w:cs="Times New Roman"/>
          <w:color w:val="000000" w:themeColor="text1"/>
          <w:sz w:val="24"/>
          <w:szCs w:val="24"/>
        </w:rPr>
        <w:t xml:space="preserve"> (pp. 162-166).</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Kimminau, K.S., Jernigan, C., LeMaster, J., Aaronson, L.S., Christopher, M., Ahmed, S., Boivin, A., DeFino, M., Greenlee, R., Salvalaggio, G. and Hendricks, D., 2018. Patient vs. community engagement: emerging issues. </w:t>
      </w:r>
      <w:r w:rsidRPr="69F223A9">
        <w:rPr>
          <w:rFonts w:ascii="Times New Roman" w:eastAsia="Times New Roman" w:hAnsi="Times New Roman" w:cs="Times New Roman"/>
          <w:i/>
          <w:iCs/>
          <w:color w:val="000000" w:themeColor="text1"/>
          <w:sz w:val="24"/>
          <w:szCs w:val="24"/>
        </w:rPr>
        <w:t>Medical care</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56</w:t>
      </w:r>
      <w:r w:rsidRPr="69F223A9">
        <w:rPr>
          <w:rFonts w:ascii="Times New Roman" w:eastAsia="Times New Roman" w:hAnsi="Times New Roman" w:cs="Times New Roman"/>
          <w:color w:val="000000" w:themeColor="text1"/>
          <w:sz w:val="24"/>
          <w:szCs w:val="24"/>
        </w:rPr>
        <w:t>(10 Suppl 1), p.S53.</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Kingsley, J., Foenander, E. and Bailey, A., 2019. “You feel like you’re part of something bigger”: exploring motivations for community garden participation in Melbourne, Australia. </w:t>
      </w:r>
      <w:r w:rsidRPr="69F223A9">
        <w:rPr>
          <w:rFonts w:ascii="Times New Roman" w:eastAsia="Times New Roman" w:hAnsi="Times New Roman" w:cs="Times New Roman"/>
          <w:i/>
          <w:iCs/>
          <w:color w:val="000000" w:themeColor="text1"/>
          <w:sz w:val="24"/>
          <w:szCs w:val="24"/>
        </w:rPr>
        <w:t>BMC Public Health</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19</w:t>
      </w:r>
      <w:r w:rsidRPr="69F223A9">
        <w:rPr>
          <w:rFonts w:ascii="Times New Roman" w:eastAsia="Times New Roman" w:hAnsi="Times New Roman" w:cs="Times New Roman"/>
          <w:color w:val="000000" w:themeColor="text1"/>
          <w:sz w:val="24"/>
          <w:szCs w:val="24"/>
        </w:rPr>
        <w:t>(1), pp.1-12.</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Kou, H., Zhang, S. and Liu, Y., 2019. Community-engaged research for the promotion of healthy urban environments: A case study of community garden initiative in Shanghai, China. </w:t>
      </w:r>
      <w:r w:rsidRPr="69F223A9">
        <w:rPr>
          <w:rFonts w:ascii="Times New Roman" w:eastAsia="Times New Roman" w:hAnsi="Times New Roman" w:cs="Times New Roman"/>
          <w:i/>
          <w:iCs/>
          <w:color w:val="000000" w:themeColor="text1"/>
          <w:sz w:val="24"/>
          <w:szCs w:val="24"/>
        </w:rPr>
        <w:t>International Journal of Environmental Research and Public Health</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16</w:t>
      </w:r>
      <w:r w:rsidRPr="69F223A9">
        <w:rPr>
          <w:rFonts w:ascii="Times New Roman" w:eastAsia="Times New Roman" w:hAnsi="Times New Roman" w:cs="Times New Roman"/>
          <w:color w:val="000000" w:themeColor="text1"/>
          <w:sz w:val="24"/>
          <w:szCs w:val="24"/>
        </w:rPr>
        <w:t>(21), p.4145.</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Kumar, J. and Kumar, V., 2020. Drivers of brand community engagement. </w:t>
      </w:r>
      <w:r w:rsidRPr="69F223A9">
        <w:rPr>
          <w:rFonts w:ascii="Times New Roman" w:eastAsia="Times New Roman" w:hAnsi="Times New Roman" w:cs="Times New Roman"/>
          <w:i/>
          <w:iCs/>
          <w:color w:val="000000" w:themeColor="text1"/>
          <w:sz w:val="24"/>
          <w:szCs w:val="24"/>
        </w:rPr>
        <w:t>Journal of Retailing and Consumer Services</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54</w:t>
      </w:r>
      <w:r w:rsidRPr="69F223A9">
        <w:rPr>
          <w:rFonts w:ascii="Times New Roman" w:eastAsia="Times New Roman" w:hAnsi="Times New Roman" w:cs="Times New Roman"/>
          <w:color w:val="000000" w:themeColor="text1"/>
          <w:sz w:val="24"/>
          <w:szCs w:val="24"/>
        </w:rPr>
        <w:t>, p.101949.</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Lee, J.H. and Matarrita-Cascante, D., 2019. Gardeners’ past gardening experience and its moderating effect on community garden participation. </w:t>
      </w:r>
      <w:r w:rsidRPr="69F223A9">
        <w:rPr>
          <w:rFonts w:ascii="Times New Roman" w:eastAsia="Times New Roman" w:hAnsi="Times New Roman" w:cs="Times New Roman"/>
          <w:i/>
          <w:iCs/>
          <w:color w:val="000000" w:themeColor="text1"/>
          <w:sz w:val="24"/>
          <w:szCs w:val="24"/>
        </w:rPr>
        <w:t>Sustainability</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11</w:t>
      </w:r>
      <w:r w:rsidRPr="69F223A9">
        <w:rPr>
          <w:rFonts w:ascii="Times New Roman" w:eastAsia="Times New Roman" w:hAnsi="Times New Roman" w:cs="Times New Roman"/>
          <w:color w:val="000000" w:themeColor="text1"/>
          <w:sz w:val="24"/>
          <w:szCs w:val="24"/>
        </w:rPr>
        <w:t>(12), p.3308.</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lastRenderedPageBreak/>
        <w:t xml:space="preserve">Lee, J.H. and Matarrita-Cascante, D., 2019. Gardeners’ past gardening experience and its moderating effect on community garden participation. </w:t>
      </w:r>
      <w:r w:rsidRPr="69F223A9">
        <w:rPr>
          <w:rFonts w:ascii="Times New Roman" w:eastAsia="Times New Roman" w:hAnsi="Times New Roman" w:cs="Times New Roman"/>
          <w:i/>
          <w:iCs/>
          <w:color w:val="000000" w:themeColor="text1"/>
          <w:sz w:val="24"/>
          <w:szCs w:val="24"/>
        </w:rPr>
        <w:t>Sustainability</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11</w:t>
      </w:r>
      <w:r w:rsidRPr="69F223A9">
        <w:rPr>
          <w:rFonts w:ascii="Times New Roman" w:eastAsia="Times New Roman" w:hAnsi="Times New Roman" w:cs="Times New Roman"/>
          <w:color w:val="000000" w:themeColor="text1"/>
          <w:sz w:val="24"/>
          <w:szCs w:val="24"/>
        </w:rPr>
        <w:t>(12), p.3308.</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Levin, M.B., Bowie, J.V., Ragsdale, S.K., Gawad, A.L., Cooper, L.A. and Sharfstein, J.M., 2021. Enhancing community engagement by schools and programs of public health in the United States. </w:t>
      </w:r>
      <w:r w:rsidRPr="69F223A9">
        <w:rPr>
          <w:rFonts w:ascii="Times New Roman" w:eastAsia="Times New Roman" w:hAnsi="Times New Roman" w:cs="Times New Roman"/>
          <w:i/>
          <w:iCs/>
          <w:color w:val="000000" w:themeColor="text1"/>
          <w:sz w:val="24"/>
          <w:szCs w:val="24"/>
        </w:rPr>
        <w:t>Annual Review of Public Health</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42</w:t>
      </w:r>
      <w:r w:rsidRPr="69F223A9">
        <w:rPr>
          <w:rFonts w:ascii="Times New Roman" w:eastAsia="Times New Roman" w:hAnsi="Times New Roman" w:cs="Times New Roman"/>
          <w:color w:val="000000" w:themeColor="text1"/>
          <w:sz w:val="24"/>
          <w:szCs w:val="24"/>
        </w:rPr>
        <w:t>, pp.405-421.</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Lund, D.J., Hansen, J.D., Robicheaux, R.A. and Oreja, C.C., 2021. The direct and interactive effects of retail community engagement. </w:t>
      </w:r>
      <w:r w:rsidRPr="69F223A9">
        <w:rPr>
          <w:rFonts w:ascii="Times New Roman" w:eastAsia="Times New Roman" w:hAnsi="Times New Roman" w:cs="Times New Roman"/>
          <w:i/>
          <w:iCs/>
          <w:color w:val="000000" w:themeColor="text1"/>
          <w:sz w:val="24"/>
          <w:szCs w:val="24"/>
        </w:rPr>
        <w:t>European Journal of Marketing</w:t>
      </w:r>
      <w:r w:rsidRPr="69F223A9">
        <w:rPr>
          <w:rFonts w:ascii="Times New Roman" w:eastAsia="Times New Roman" w:hAnsi="Times New Roman" w:cs="Times New Roman"/>
          <w:color w:val="000000" w:themeColor="text1"/>
          <w:sz w:val="24"/>
          <w:szCs w:val="24"/>
        </w:rPr>
        <w:t>.</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Sanders Thompson, V.L., Ackermann, N., Bauer, K.L., Bowen, D.J. and Goodman, M.S., 2021. Strategies of community engagement in research: definitions and classifications. </w:t>
      </w:r>
      <w:r w:rsidRPr="69F223A9">
        <w:rPr>
          <w:rFonts w:ascii="Times New Roman" w:eastAsia="Times New Roman" w:hAnsi="Times New Roman" w:cs="Times New Roman"/>
          <w:i/>
          <w:iCs/>
          <w:color w:val="000000" w:themeColor="text1"/>
          <w:sz w:val="24"/>
          <w:szCs w:val="24"/>
        </w:rPr>
        <w:t>Translational Behavioral Medicine</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11</w:t>
      </w:r>
      <w:r w:rsidRPr="69F223A9">
        <w:rPr>
          <w:rFonts w:ascii="Times New Roman" w:eastAsia="Times New Roman" w:hAnsi="Times New Roman" w:cs="Times New Roman"/>
          <w:color w:val="000000" w:themeColor="text1"/>
          <w:sz w:val="24"/>
          <w:szCs w:val="24"/>
        </w:rPr>
        <w:t>(2), pp.441-451.</w:t>
      </w:r>
    </w:p>
    <w:p w:rsidR="006E1630" w:rsidRDefault="006E1630" w:rsidP="006E1630">
      <w:pPr>
        <w:spacing w:line="360" w:lineRule="auto"/>
        <w:jc w:val="both"/>
        <w:rPr>
          <w:rFonts w:ascii="Times New Roman" w:eastAsia="Times New Roman" w:hAnsi="Times New Roman" w:cs="Times New Roman"/>
          <w:color w:val="000000" w:themeColor="text1"/>
          <w:sz w:val="24"/>
          <w:szCs w:val="24"/>
        </w:rPr>
      </w:pPr>
      <w:r w:rsidRPr="69F223A9">
        <w:rPr>
          <w:rFonts w:ascii="Times New Roman" w:eastAsia="Times New Roman" w:hAnsi="Times New Roman" w:cs="Times New Roman"/>
          <w:color w:val="000000" w:themeColor="text1"/>
          <w:sz w:val="24"/>
          <w:szCs w:val="24"/>
        </w:rPr>
        <w:t xml:space="preserve">Tajuddin, Z., Sum, S.M., Zainol, R.M. and Jusoh, H., 2019. Penentusosialpenglibatankomunitidalamprojekkebunkomuniti bandar: social determinants of community involvement in urban community garden projects. </w:t>
      </w:r>
      <w:r w:rsidRPr="69F223A9">
        <w:rPr>
          <w:rFonts w:ascii="Times New Roman" w:eastAsia="Times New Roman" w:hAnsi="Times New Roman" w:cs="Times New Roman"/>
          <w:i/>
          <w:iCs/>
          <w:color w:val="000000" w:themeColor="text1"/>
          <w:sz w:val="24"/>
          <w:szCs w:val="24"/>
        </w:rPr>
        <w:t>Sarjana</w:t>
      </w:r>
      <w:r w:rsidRPr="69F223A9">
        <w:rPr>
          <w:rFonts w:ascii="Times New Roman" w:eastAsia="Times New Roman" w:hAnsi="Times New Roman" w:cs="Times New Roman"/>
          <w:color w:val="000000" w:themeColor="text1"/>
          <w:sz w:val="24"/>
          <w:szCs w:val="24"/>
        </w:rPr>
        <w:t xml:space="preserve">, </w:t>
      </w:r>
      <w:r w:rsidRPr="69F223A9">
        <w:rPr>
          <w:rFonts w:ascii="Times New Roman" w:eastAsia="Times New Roman" w:hAnsi="Times New Roman" w:cs="Times New Roman"/>
          <w:i/>
          <w:iCs/>
          <w:color w:val="000000" w:themeColor="text1"/>
          <w:sz w:val="24"/>
          <w:szCs w:val="24"/>
        </w:rPr>
        <w:t>34</w:t>
      </w:r>
      <w:r w:rsidRPr="69F223A9">
        <w:rPr>
          <w:rFonts w:ascii="Times New Roman" w:eastAsia="Times New Roman" w:hAnsi="Times New Roman" w:cs="Times New Roman"/>
          <w:color w:val="000000" w:themeColor="text1"/>
          <w:sz w:val="24"/>
          <w:szCs w:val="24"/>
        </w:rPr>
        <w:t>(1), pp.56-68.</w:t>
      </w:r>
    </w:p>
    <w:p w:rsidR="69F223A9" w:rsidRDefault="69F223A9" w:rsidP="006E1630">
      <w:pPr>
        <w:spacing w:line="360" w:lineRule="auto"/>
        <w:jc w:val="both"/>
        <w:rPr>
          <w:rFonts w:ascii="Times New Roman" w:eastAsia="Times New Roman" w:hAnsi="Times New Roman" w:cs="Times New Roman"/>
          <w:color w:val="000000" w:themeColor="text1"/>
          <w:sz w:val="24"/>
          <w:szCs w:val="24"/>
        </w:rPr>
      </w:pPr>
    </w:p>
    <w:p w:rsidR="69F223A9" w:rsidRDefault="69F223A9" w:rsidP="006E1630">
      <w:pPr>
        <w:spacing w:line="360" w:lineRule="auto"/>
        <w:jc w:val="both"/>
        <w:rPr>
          <w:rFonts w:ascii="Times New Roman" w:eastAsia="Times New Roman" w:hAnsi="Times New Roman" w:cs="Times New Roman"/>
          <w:color w:val="000000" w:themeColor="text1"/>
          <w:sz w:val="24"/>
          <w:szCs w:val="24"/>
        </w:rPr>
      </w:pPr>
    </w:p>
    <w:p w:rsidR="69F223A9" w:rsidRDefault="69F223A9" w:rsidP="006E1630">
      <w:pPr>
        <w:spacing w:line="360" w:lineRule="auto"/>
        <w:jc w:val="both"/>
        <w:rPr>
          <w:rFonts w:ascii="Times New Roman" w:eastAsia="Times New Roman" w:hAnsi="Times New Roman" w:cs="Times New Roman"/>
          <w:b/>
          <w:bCs/>
          <w:color w:val="000000" w:themeColor="text1"/>
          <w:sz w:val="24"/>
          <w:szCs w:val="24"/>
        </w:rPr>
      </w:pPr>
    </w:p>
    <w:sectPr w:rsidR="69F223A9" w:rsidSect="00EE566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037D" w:rsidRDefault="00C0037D" w:rsidP="00EE5666">
      <w:pPr>
        <w:spacing w:after="0" w:line="240" w:lineRule="auto"/>
      </w:pPr>
      <w:r>
        <w:separator/>
      </w:r>
    </w:p>
  </w:endnote>
  <w:endnote w:type="continuationSeparator" w:id="1">
    <w:p w:rsidR="00C0037D" w:rsidRDefault="00C0037D" w:rsidP="00EE566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144776"/>
      <w:docPartObj>
        <w:docPartGallery w:val="Page Numbers (Bottom of Page)"/>
        <w:docPartUnique/>
      </w:docPartObj>
    </w:sdtPr>
    <w:sdtContent>
      <w:p w:rsidR="00EE5666" w:rsidRDefault="00EE5666">
        <w:pPr>
          <w:pStyle w:val="Footer"/>
          <w:jc w:val="right"/>
        </w:pPr>
        <w:fldSimple w:instr=" PAGE   \* MERGEFORMAT ">
          <w:r w:rsidR="006E1630">
            <w:rPr>
              <w:noProof/>
            </w:rPr>
            <w:t>1</w:t>
          </w:r>
        </w:fldSimple>
      </w:p>
    </w:sdtContent>
  </w:sdt>
  <w:p w:rsidR="00EE5666" w:rsidRDefault="00EE566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037D" w:rsidRDefault="00C0037D" w:rsidP="00EE5666">
      <w:pPr>
        <w:spacing w:after="0" w:line="240" w:lineRule="auto"/>
      </w:pPr>
      <w:r>
        <w:separator/>
      </w:r>
    </w:p>
  </w:footnote>
  <w:footnote w:type="continuationSeparator" w:id="1">
    <w:p w:rsidR="00C0037D" w:rsidRDefault="00C0037D" w:rsidP="00EE5666">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REmpBY7A" int2:invalidationBookmarkName="" int2:hashCode="16zEpjv6S2Azkv" int2:id="BIVxoMDB">
      <int2:state int2:type="LegacyProofing" int2:value="Rejected"/>
    </int2:bookmark>
    <int2:bookmark int2:bookmarkName="_Int_ghXiLREw" int2:invalidationBookmarkName="" int2:hashCode="16zEpjv6S2Azkv" int2:id="Qf9Jnqwl">
      <int2:state int2:type="LegacyProofing" int2:value="Reject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00FC43"/>
    <w:multiLevelType w:val="hybridMultilevel"/>
    <w:tmpl w:val="564C3BCA"/>
    <w:lvl w:ilvl="0" w:tplc="FD58AA3E">
      <w:start w:val="1"/>
      <w:numFmt w:val="decimal"/>
      <w:lvlText w:val="%1."/>
      <w:lvlJc w:val="left"/>
      <w:pPr>
        <w:ind w:left="720" w:hanging="360"/>
      </w:pPr>
    </w:lvl>
    <w:lvl w:ilvl="1" w:tplc="BFFCB6FE">
      <w:start w:val="1"/>
      <w:numFmt w:val="lowerLetter"/>
      <w:lvlText w:val="%2."/>
      <w:lvlJc w:val="left"/>
      <w:pPr>
        <w:ind w:left="1440" w:hanging="360"/>
      </w:pPr>
    </w:lvl>
    <w:lvl w:ilvl="2" w:tplc="D82E03CE">
      <w:start w:val="1"/>
      <w:numFmt w:val="lowerRoman"/>
      <w:lvlText w:val="%3."/>
      <w:lvlJc w:val="right"/>
      <w:pPr>
        <w:ind w:left="2160" w:hanging="180"/>
      </w:pPr>
    </w:lvl>
    <w:lvl w:ilvl="3" w:tplc="5D38B4B8">
      <w:start w:val="1"/>
      <w:numFmt w:val="decimal"/>
      <w:lvlText w:val="%4."/>
      <w:lvlJc w:val="left"/>
      <w:pPr>
        <w:ind w:left="2880" w:hanging="360"/>
      </w:pPr>
    </w:lvl>
    <w:lvl w:ilvl="4" w:tplc="AFD2A948">
      <w:start w:val="1"/>
      <w:numFmt w:val="lowerLetter"/>
      <w:lvlText w:val="%5."/>
      <w:lvlJc w:val="left"/>
      <w:pPr>
        <w:ind w:left="3600" w:hanging="360"/>
      </w:pPr>
    </w:lvl>
    <w:lvl w:ilvl="5" w:tplc="C73CD50C">
      <w:start w:val="1"/>
      <w:numFmt w:val="lowerRoman"/>
      <w:lvlText w:val="%6."/>
      <w:lvlJc w:val="right"/>
      <w:pPr>
        <w:ind w:left="4320" w:hanging="180"/>
      </w:pPr>
    </w:lvl>
    <w:lvl w:ilvl="6" w:tplc="DDA21796">
      <w:start w:val="1"/>
      <w:numFmt w:val="decimal"/>
      <w:lvlText w:val="%7."/>
      <w:lvlJc w:val="left"/>
      <w:pPr>
        <w:ind w:left="5040" w:hanging="360"/>
      </w:pPr>
    </w:lvl>
    <w:lvl w:ilvl="7" w:tplc="5B202F56">
      <w:start w:val="1"/>
      <w:numFmt w:val="lowerLetter"/>
      <w:lvlText w:val="%8."/>
      <w:lvlJc w:val="left"/>
      <w:pPr>
        <w:ind w:left="5760" w:hanging="360"/>
      </w:pPr>
    </w:lvl>
    <w:lvl w:ilvl="8" w:tplc="42BEBEEE">
      <w:start w:val="1"/>
      <w:numFmt w:val="lowerRoman"/>
      <w:lvlText w:val="%9."/>
      <w:lvlJc w:val="right"/>
      <w:pPr>
        <w:ind w:left="6480" w:hanging="180"/>
      </w:pPr>
    </w:lvl>
  </w:abstractNum>
  <w:abstractNum w:abstractNumId="1">
    <w:nsid w:val="553452BE"/>
    <w:multiLevelType w:val="hybridMultilevel"/>
    <w:tmpl w:val="40D8EC16"/>
    <w:lvl w:ilvl="0" w:tplc="8868A2C0">
      <w:start w:val="1"/>
      <w:numFmt w:val="bullet"/>
      <w:lvlText w:val=""/>
      <w:lvlJc w:val="left"/>
      <w:pPr>
        <w:ind w:left="1800" w:hanging="360"/>
      </w:pPr>
      <w:rPr>
        <w:rFonts w:ascii="Symbol" w:hAnsi="Symbol" w:hint="default"/>
      </w:rPr>
    </w:lvl>
    <w:lvl w:ilvl="1" w:tplc="15407508">
      <w:start w:val="1"/>
      <w:numFmt w:val="bullet"/>
      <w:lvlText w:val="o"/>
      <w:lvlJc w:val="left"/>
      <w:pPr>
        <w:ind w:left="2520" w:hanging="360"/>
      </w:pPr>
      <w:rPr>
        <w:rFonts w:ascii="Courier New" w:hAnsi="Courier New" w:hint="default"/>
      </w:rPr>
    </w:lvl>
    <w:lvl w:ilvl="2" w:tplc="411EAC4E">
      <w:start w:val="1"/>
      <w:numFmt w:val="bullet"/>
      <w:lvlText w:val=""/>
      <w:lvlJc w:val="left"/>
      <w:pPr>
        <w:ind w:left="3240" w:hanging="360"/>
      </w:pPr>
      <w:rPr>
        <w:rFonts w:ascii="Wingdings" w:hAnsi="Wingdings" w:hint="default"/>
      </w:rPr>
    </w:lvl>
    <w:lvl w:ilvl="3" w:tplc="DDD6E1EE">
      <w:start w:val="1"/>
      <w:numFmt w:val="bullet"/>
      <w:lvlText w:val=""/>
      <w:lvlJc w:val="left"/>
      <w:pPr>
        <w:ind w:left="3960" w:hanging="360"/>
      </w:pPr>
      <w:rPr>
        <w:rFonts w:ascii="Symbol" w:hAnsi="Symbol" w:hint="default"/>
      </w:rPr>
    </w:lvl>
    <w:lvl w:ilvl="4" w:tplc="02A61BE0">
      <w:start w:val="1"/>
      <w:numFmt w:val="bullet"/>
      <w:lvlText w:val="o"/>
      <w:lvlJc w:val="left"/>
      <w:pPr>
        <w:ind w:left="4680" w:hanging="360"/>
      </w:pPr>
      <w:rPr>
        <w:rFonts w:ascii="Courier New" w:hAnsi="Courier New" w:hint="default"/>
      </w:rPr>
    </w:lvl>
    <w:lvl w:ilvl="5" w:tplc="BDC00D8A">
      <w:start w:val="1"/>
      <w:numFmt w:val="bullet"/>
      <w:lvlText w:val=""/>
      <w:lvlJc w:val="left"/>
      <w:pPr>
        <w:ind w:left="5400" w:hanging="360"/>
      </w:pPr>
      <w:rPr>
        <w:rFonts w:ascii="Wingdings" w:hAnsi="Wingdings" w:hint="default"/>
      </w:rPr>
    </w:lvl>
    <w:lvl w:ilvl="6" w:tplc="A4DABBA2">
      <w:start w:val="1"/>
      <w:numFmt w:val="bullet"/>
      <w:lvlText w:val=""/>
      <w:lvlJc w:val="left"/>
      <w:pPr>
        <w:ind w:left="6120" w:hanging="360"/>
      </w:pPr>
      <w:rPr>
        <w:rFonts w:ascii="Symbol" w:hAnsi="Symbol" w:hint="default"/>
      </w:rPr>
    </w:lvl>
    <w:lvl w:ilvl="7" w:tplc="AA1A1D24">
      <w:start w:val="1"/>
      <w:numFmt w:val="bullet"/>
      <w:lvlText w:val="o"/>
      <w:lvlJc w:val="left"/>
      <w:pPr>
        <w:ind w:left="6840" w:hanging="360"/>
      </w:pPr>
      <w:rPr>
        <w:rFonts w:ascii="Courier New" w:hAnsi="Courier New" w:hint="default"/>
      </w:rPr>
    </w:lvl>
    <w:lvl w:ilvl="8" w:tplc="3878DA96">
      <w:start w:val="1"/>
      <w:numFmt w:val="bullet"/>
      <w:lvlText w:val=""/>
      <w:lvlJc w:val="left"/>
      <w:pPr>
        <w:ind w:left="7560" w:hanging="360"/>
      </w:pPr>
      <w:rPr>
        <w:rFonts w:ascii="Wingdings" w:hAnsi="Wingdings" w:hint="default"/>
      </w:rPr>
    </w:lvl>
  </w:abstractNum>
  <w:abstractNum w:abstractNumId="2">
    <w:nsid w:val="5BDEA1D7"/>
    <w:multiLevelType w:val="hybridMultilevel"/>
    <w:tmpl w:val="29E23EB2"/>
    <w:lvl w:ilvl="0" w:tplc="B51A2C80">
      <w:start w:val="1"/>
      <w:numFmt w:val="bullet"/>
      <w:lvlText w:val=""/>
      <w:lvlJc w:val="left"/>
      <w:pPr>
        <w:ind w:left="1080" w:hanging="360"/>
      </w:pPr>
      <w:rPr>
        <w:rFonts w:ascii="Symbol" w:hAnsi="Symbol" w:hint="default"/>
      </w:rPr>
    </w:lvl>
    <w:lvl w:ilvl="1" w:tplc="B60EDEAE">
      <w:start w:val="1"/>
      <w:numFmt w:val="bullet"/>
      <w:lvlText w:val="o"/>
      <w:lvlJc w:val="left"/>
      <w:pPr>
        <w:ind w:left="1800" w:hanging="360"/>
      </w:pPr>
      <w:rPr>
        <w:rFonts w:ascii="Courier New" w:hAnsi="Courier New" w:hint="default"/>
      </w:rPr>
    </w:lvl>
    <w:lvl w:ilvl="2" w:tplc="324872EE">
      <w:start w:val="1"/>
      <w:numFmt w:val="bullet"/>
      <w:lvlText w:val=""/>
      <w:lvlJc w:val="left"/>
      <w:pPr>
        <w:ind w:left="2520" w:hanging="360"/>
      </w:pPr>
      <w:rPr>
        <w:rFonts w:ascii="Wingdings" w:hAnsi="Wingdings" w:hint="default"/>
      </w:rPr>
    </w:lvl>
    <w:lvl w:ilvl="3" w:tplc="AA2E3CF8">
      <w:start w:val="1"/>
      <w:numFmt w:val="bullet"/>
      <w:lvlText w:val=""/>
      <w:lvlJc w:val="left"/>
      <w:pPr>
        <w:ind w:left="3240" w:hanging="360"/>
      </w:pPr>
      <w:rPr>
        <w:rFonts w:ascii="Symbol" w:hAnsi="Symbol" w:hint="default"/>
      </w:rPr>
    </w:lvl>
    <w:lvl w:ilvl="4" w:tplc="5B9CDEFC">
      <w:start w:val="1"/>
      <w:numFmt w:val="bullet"/>
      <w:lvlText w:val="o"/>
      <w:lvlJc w:val="left"/>
      <w:pPr>
        <w:ind w:left="3960" w:hanging="360"/>
      </w:pPr>
      <w:rPr>
        <w:rFonts w:ascii="Courier New" w:hAnsi="Courier New" w:hint="default"/>
      </w:rPr>
    </w:lvl>
    <w:lvl w:ilvl="5" w:tplc="1D189746">
      <w:start w:val="1"/>
      <w:numFmt w:val="bullet"/>
      <w:lvlText w:val=""/>
      <w:lvlJc w:val="left"/>
      <w:pPr>
        <w:ind w:left="4680" w:hanging="360"/>
      </w:pPr>
      <w:rPr>
        <w:rFonts w:ascii="Wingdings" w:hAnsi="Wingdings" w:hint="default"/>
      </w:rPr>
    </w:lvl>
    <w:lvl w:ilvl="6" w:tplc="DB90C0AA">
      <w:start w:val="1"/>
      <w:numFmt w:val="bullet"/>
      <w:lvlText w:val=""/>
      <w:lvlJc w:val="left"/>
      <w:pPr>
        <w:ind w:left="5400" w:hanging="360"/>
      </w:pPr>
      <w:rPr>
        <w:rFonts w:ascii="Symbol" w:hAnsi="Symbol" w:hint="default"/>
      </w:rPr>
    </w:lvl>
    <w:lvl w:ilvl="7" w:tplc="EAB2725C">
      <w:start w:val="1"/>
      <w:numFmt w:val="bullet"/>
      <w:lvlText w:val="o"/>
      <w:lvlJc w:val="left"/>
      <w:pPr>
        <w:ind w:left="6120" w:hanging="360"/>
      </w:pPr>
      <w:rPr>
        <w:rFonts w:ascii="Courier New" w:hAnsi="Courier New" w:hint="default"/>
      </w:rPr>
    </w:lvl>
    <w:lvl w:ilvl="8" w:tplc="AAFAC17C">
      <w:start w:val="1"/>
      <w:numFmt w:val="bullet"/>
      <w:lvlText w:val=""/>
      <w:lvlJc w:val="left"/>
      <w:pPr>
        <w:ind w:left="6840" w:hanging="360"/>
      </w:pPr>
      <w:rPr>
        <w:rFonts w:ascii="Wingdings" w:hAnsi="Wingdings" w:hint="default"/>
      </w:rPr>
    </w:lvl>
  </w:abstractNum>
  <w:abstractNum w:abstractNumId="3">
    <w:nsid w:val="60C37E8E"/>
    <w:multiLevelType w:val="hybridMultilevel"/>
    <w:tmpl w:val="5550738E"/>
    <w:lvl w:ilvl="0" w:tplc="A524E590">
      <w:start w:val="1"/>
      <w:numFmt w:val="bullet"/>
      <w:lvlText w:val=""/>
      <w:lvlJc w:val="left"/>
      <w:pPr>
        <w:ind w:left="1080" w:hanging="360"/>
      </w:pPr>
      <w:rPr>
        <w:rFonts w:ascii="Symbol" w:hAnsi="Symbol" w:hint="default"/>
      </w:rPr>
    </w:lvl>
    <w:lvl w:ilvl="1" w:tplc="7EE493B0">
      <w:start w:val="1"/>
      <w:numFmt w:val="bullet"/>
      <w:lvlText w:val="o"/>
      <w:lvlJc w:val="left"/>
      <w:pPr>
        <w:ind w:left="1800" w:hanging="360"/>
      </w:pPr>
      <w:rPr>
        <w:rFonts w:ascii="Courier New" w:hAnsi="Courier New" w:hint="default"/>
      </w:rPr>
    </w:lvl>
    <w:lvl w:ilvl="2" w:tplc="67C6A3CA">
      <w:start w:val="1"/>
      <w:numFmt w:val="bullet"/>
      <w:lvlText w:val=""/>
      <w:lvlJc w:val="left"/>
      <w:pPr>
        <w:ind w:left="2520" w:hanging="360"/>
      </w:pPr>
      <w:rPr>
        <w:rFonts w:ascii="Wingdings" w:hAnsi="Wingdings" w:hint="default"/>
      </w:rPr>
    </w:lvl>
    <w:lvl w:ilvl="3" w:tplc="117888BE">
      <w:start w:val="1"/>
      <w:numFmt w:val="bullet"/>
      <w:lvlText w:val=""/>
      <w:lvlJc w:val="left"/>
      <w:pPr>
        <w:ind w:left="3240" w:hanging="360"/>
      </w:pPr>
      <w:rPr>
        <w:rFonts w:ascii="Symbol" w:hAnsi="Symbol" w:hint="default"/>
      </w:rPr>
    </w:lvl>
    <w:lvl w:ilvl="4" w:tplc="5B787BA8">
      <w:start w:val="1"/>
      <w:numFmt w:val="bullet"/>
      <w:lvlText w:val="o"/>
      <w:lvlJc w:val="left"/>
      <w:pPr>
        <w:ind w:left="3960" w:hanging="360"/>
      </w:pPr>
      <w:rPr>
        <w:rFonts w:ascii="Courier New" w:hAnsi="Courier New" w:hint="default"/>
      </w:rPr>
    </w:lvl>
    <w:lvl w:ilvl="5" w:tplc="5784CFEE">
      <w:start w:val="1"/>
      <w:numFmt w:val="bullet"/>
      <w:lvlText w:val=""/>
      <w:lvlJc w:val="left"/>
      <w:pPr>
        <w:ind w:left="4680" w:hanging="360"/>
      </w:pPr>
      <w:rPr>
        <w:rFonts w:ascii="Wingdings" w:hAnsi="Wingdings" w:hint="default"/>
      </w:rPr>
    </w:lvl>
    <w:lvl w:ilvl="6" w:tplc="6EC60B6C">
      <w:start w:val="1"/>
      <w:numFmt w:val="bullet"/>
      <w:lvlText w:val=""/>
      <w:lvlJc w:val="left"/>
      <w:pPr>
        <w:ind w:left="5400" w:hanging="360"/>
      </w:pPr>
      <w:rPr>
        <w:rFonts w:ascii="Symbol" w:hAnsi="Symbol" w:hint="default"/>
      </w:rPr>
    </w:lvl>
    <w:lvl w:ilvl="7" w:tplc="91528D10">
      <w:start w:val="1"/>
      <w:numFmt w:val="bullet"/>
      <w:lvlText w:val="o"/>
      <w:lvlJc w:val="left"/>
      <w:pPr>
        <w:ind w:left="6120" w:hanging="360"/>
      </w:pPr>
      <w:rPr>
        <w:rFonts w:ascii="Courier New" w:hAnsi="Courier New" w:hint="default"/>
      </w:rPr>
    </w:lvl>
    <w:lvl w:ilvl="8" w:tplc="24F418E0">
      <w:start w:val="1"/>
      <w:numFmt w:val="bullet"/>
      <w:lvlText w:val=""/>
      <w:lvlJc w:val="left"/>
      <w:pPr>
        <w:ind w:left="6840" w:hanging="360"/>
      </w:pPr>
      <w:rPr>
        <w:rFonts w:ascii="Wingdings" w:hAnsi="Wingdings" w:hint="default"/>
      </w:rPr>
    </w:lvl>
  </w:abstractNum>
  <w:abstractNum w:abstractNumId="4">
    <w:nsid w:val="647D2887"/>
    <w:multiLevelType w:val="hybridMultilevel"/>
    <w:tmpl w:val="5100CE1C"/>
    <w:lvl w:ilvl="0" w:tplc="7C94BB32">
      <w:start w:val="1"/>
      <w:numFmt w:val="bullet"/>
      <w:lvlText w:val=""/>
      <w:lvlJc w:val="left"/>
      <w:pPr>
        <w:ind w:left="1440" w:hanging="360"/>
      </w:pPr>
      <w:rPr>
        <w:rFonts w:ascii="Symbol" w:hAnsi="Symbol" w:hint="default"/>
      </w:rPr>
    </w:lvl>
    <w:lvl w:ilvl="1" w:tplc="1E702B62">
      <w:start w:val="1"/>
      <w:numFmt w:val="bullet"/>
      <w:lvlText w:val="o"/>
      <w:lvlJc w:val="left"/>
      <w:pPr>
        <w:ind w:left="2160" w:hanging="360"/>
      </w:pPr>
      <w:rPr>
        <w:rFonts w:ascii="Courier New" w:hAnsi="Courier New" w:hint="default"/>
      </w:rPr>
    </w:lvl>
    <w:lvl w:ilvl="2" w:tplc="968CFB1C">
      <w:start w:val="1"/>
      <w:numFmt w:val="bullet"/>
      <w:lvlText w:val=""/>
      <w:lvlJc w:val="left"/>
      <w:pPr>
        <w:ind w:left="2880" w:hanging="360"/>
      </w:pPr>
      <w:rPr>
        <w:rFonts w:ascii="Wingdings" w:hAnsi="Wingdings" w:hint="default"/>
      </w:rPr>
    </w:lvl>
    <w:lvl w:ilvl="3" w:tplc="1BB8E346">
      <w:start w:val="1"/>
      <w:numFmt w:val="bullet"/>
      <w:lvlText w:val=""/>
      <w:lvlJc w:val="left"/>
      <w:pPr>
        <w:ind w:left="3600" w:hanging="360"/>
      </w:pPr>
      <w:rPr>
        <w:rFonts w:ascii="Symbol" w:hAnsi="Symbol" w:hint="default"/>
      </w:rPr>
    </w:lvl>
    <w:lvl w:ilvl="4" w:tplc="B9FA5BD4">
      <w:start w:val="1"/>
      <w:numFmt w:val="bullet"/>
      <w:lvlText w:val="o"/>
      <w:lvlJc w:val="left"/>
      <w:pPr>
        <w:ind w:left="4320" w:hanging="360"/>
      </w:pPr>
      <w:rPr>
        <w:rFonts w:ascii="Courier New" w:hAnsi="Courier New" w:hint="default"/>
      </w:rPr>
    </w:lvl>
    <w:lvl w:ilvl="5" w:tplc="434E8220">
      <w:start w:val="1"/>
      <w:numFmt w:val="bullet"/>
      <w:lvlText w:val=""/>
      <w:lvlJc w:val="left"/>
      <w:pPr>
        <w:ind w:left="5040" w:hanging="360"/>
      </w:pPr>
      <w:rPr>
        <w:rFonts w:ascii="Wingdings" w:hAnsi="Wingdings" w:hint="default"/>
      </w:rPr>
    </w:lvl>
    <w:lvl w:ilvl="6" w:tplc="A7A859A0">
      <w:start w:val="1"/>
      <w:numFmt w:val="bullet"/>
      <w:lvlText w:val=""/>
      <w:lvlJc w:val="left"/>
      <w:pPr>
        <w:ind w:left="5760" w:hanging="360"/>
      </w:pPr>
      <w:rPr>
        <w:rFonts w:ascii="Symbol" w:hAnsi="Symbol" w:hint="default"/>
      </w:rPr>
    </w:lvl>
    <w:lvl w:ilvl="7" w:tplc="B82E7338">
      <w:start w:val="1"/>
      <w:numFmt w:val="bullet"/>
      <w:lvlText w:val="o"/>
      <w:lvlJc w:val="left"/>
      <w:pPr>
        <w:ind w:left="6480" w:hanging="360"/>
      </w:pPr>
      <w:rPr>
        <w:rFonts w:ascii="Courier New" w:hAnsi="Courier New" w:hint="default"/>
      </w:rPr>
    </w:lvl>
    <w:lvl w:ilvl="8" w:tplc="A7166D52">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59FFAAC"/>
    <w:rsid w:val="00050651"/>
    <w:rsid w:val="000861E8"/>
    <w:rsid w:val="004D7520"/>
    <w:rsid w:val="006E1630"/>
    <w:rsid w:val="009515E0"/>
    <w:rsid w:val="00C0037D"/>
    <w:rsid w:val="00C370CA"/>
    <w:rsid w:val="00C90BC8"/>
    <w:rsid w:val="00DA086E"/>
    <w:rsid w:val="00E50E36"/>
    <w:rsid w:val="00EC4530"/>
    <w:rsid w:val="00EE5666"/>
    <w:rsid w:val="00F45C52"/>
    <w:rsid w:val="00F65D9F"/>
    <w:rsid w:val="059FFAAC"/>
    <w:rsid w:val="69F223A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0BC8"/>
  </w:style>
  <w:style w:type="paragraph" w:styleId="Heading1">
    <w:name w:val="heading 1"/>
    <w:basedOn w:val="Normal"/>
    <w:next w:val="Normal"/>
    <w:link w:val="Heading1Char"/>
    <w:uiPriority w:val="9"/>
    <w:qFormat/>
    <w:rsid w:val="00EE5666"/>
    <w:pPr>
      <w:keepNext/>
      <w:keepLines/>
      <w:spacing w:before="720" w:after="240"/>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EE5666"/>
    <w:pPr>
      <w:keepNext/>
      <w:keepLines/>
      <w:spacing w:before="320" w:after="120"/>
      <w:outlineLvl w:val="1"/>
    </w:pPr>
    <w:rPr>
      <w:rFonts w:ascii="Times New Roman" w:eastAsiaTheme="majorEastAsia" w:hAnsi="Times New Roman"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EE5666"/>
    <w:pPr>
      <w:keepNext/>
      <w:keepLines/>
      <w:spacing w:before="320" w:after="120"/>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BC8"/>
    <w:pPr>
      <w:ind w:left="720"/>
      <w:contextualSpacing/>
    </w:pPr>
  </w:style>
  <w:style w:type="character" w:customStyle="1" w:styleId="Heading1Char">
    <w:name w:val="Heading 1 Char"/>
    <w:basedOn w:val="DefaultParagraphFont"/>
    <w:link w:val="Heading1"/>
    <w:uiPriority w:val="9"/>
    <w:rsid w:val="00EE5666"/>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E5666"/>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semiHidden/>
    <w:rsid w:val="00EE5666"/>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semiHidden/>
    <w:unhideWhenUsed/>
    <w:rsid w:val="00EE566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E5666"/>
  </w:style>
  <w:style w:type="paragraph" w:styleId="Footer">
    <w:name w:val="footer"/>
    <w:basedOn w:val="Normal"/>
    <w:link w:val="FooterChar"/>
    <w:uiPriority w:val="99"/>
    <w:unhideWhenUsed/>
    <w:rsid w:val="00EE56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666"/>
  </w:style>
  <w:style w:type="paragraph" w:styleId="TOCHeading">
    <w:name w:val="TOC Heading"/>
    <w:basedOn w:val="Heading1"/>
    <w:next w:val="Normal"/>
    <w:uiPriority w:val="39"/>
    <w:semiHidden/>
    <w:unhideWhenUsed/>
    <w:qFormat/>
    <w:rsid w:val="00050651"/>
    <w:pPr>
      <w:spacing w:before="480" w:after="0" w:line="276" w:lineRule="auto"/>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050651"/>
    <w:pPr>
      <w:spacing w:after="100"/>
    </w:pPr>
  </w:style>
  <w:style w:type="paragraph" w:styleId="TOC2">
    <w:name w:val="toc 2"/>
    <w:basedOn w:val="Normal"/>
    <w:next w:val="Normal"/>
    <w:autoRedefine/>
    <w:uiPriority w:val="39"/>
    <w:unhideWhenUsed/>
    <w:rsid w:val="00050651"/>
    <w:pPr>
      <w:spacing w:after="100"/>
      <w:ind w:left="220"/>
    </w:pPr>
  </w:style>
  <w:style w:type="character" w:styleId="Hyperlink">
    <w:name w:val="Hyperlink"/>
    <w:basedOn w:val="DefaultParagraphFont"/>
    <w:uiPriority w:val="99"/>
    <w:unhideWhenUsed/>
    <w:rsid w:val="00050651"/>
    <w:rPr>
      <w:color w:val="0563C1" w:themeColor="hyperlink"/>
      <w:u w:val="single"/>
    </w:rPr>
  </w:style>
  <w:style w:type="paragraph" w:styleId="BalloonText">
    <w:name w:val="Balloon Text"/>
    <w:basedOn w:val="Normal"/>
    <w:link w:val="BalloonTextChar"/>
    <w:uiPriority w:val="99"/>
    <w:semiHidden/>
    <w:unhideWhenUsed/>
    <w:rsid w:val="000506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065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a4acab6e23274d7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58D9ABCE-0377-4DA7-8609-CC61306F8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2378</Words>
  <Characters>13556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Assign HUB</dc:creator>
  <cp:lastModifiedBy>RCDT0049</cp:lastModifiedBy>
  <cp:revision>4</cp:revision>
  <dcterms:created xsi:type="dcterms:W3CDTF">2022-08-16T13:08:00Z</dcterms:created>
  <dcterms:modified xsi:type="dcterms:W3CDTF">2022-08-16T13:15:00Z</dcterms:modified>
</cp:coreProperties>
</file>