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pPr>
        <w:pStyle w:val="style0"/>
        <w:spacing w:lineRule="auto" w:line="360"/>
        <w:jc w:val="center"/>
        <w:rPr>
          <w:rFonts w:ascii="Calibri" w:cs="Calibri" w:eastAsia="Calibri" w:hAnsi="Calibri"/>
          <w:b/>
          <w:sz w:val="36"/>
          <w:szCs w:val="36"/>
        </w:rPr>
      </w:pPr>
      <w:r>
        <w:rPr>
          <w:rFonts w:ascii="Calibri" w:cs="Calibri" w:eastAsia="Calibri" w:hAnsi="Calibri"/>
          <w:b/>
          <w:sz w:val="36"/>
          <w:szCs w:val="36"/>
        </w:rPr>
        <w:drawing>
          <wp:inline distL="0" distT="0" distB="0" distR="0">
            <wp:extent cx="4752975" cy="1895475"/>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4752975" cy="1895475"/>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Calibri" w:cs="Calibri" w:eastAsia="Calibri" w:hAnsi="Calibri"/>
          <w:b/>
          <w:sz w:val="36"/>
          <w:szCs w:val="36"/>
        </w:rPr>
      </w:pPr>
      <w:r>
        <w:rPr>
          <w:rFonts w:ascii="Calibri" w:cs="Calibri" w:eastAsia="Calibri" w:hAnsi="Calibri"/>
          <w:b/>
          <w:sz w:val="36"/>
          <w:szCs w:val="36"/>
        </w:rPr>
        <w:t xml:space="preserve">Human Capital Management </w:t>
      </w:r>
    </w:p>
    <w:p>
      <w:pPr>
        <w:pStyle w:val="style0"/>
        <w:spacing w:lineRule="auto" w:line="360"/>
        <w:jc w:val="center"/>
        <w:rPr>
          <w:rFonts w:ascii="Calibri" w:cs="Calibri" w:eastAsia="Calibri" w:hAnsi="Calibri"/>
          <w:b/>
          <w:bCs/>
          <w:sz w:val="32"/>
          <w:szCs w:val="32"/>
        </w:rPr>
      </w:pPr>
      <w:r>
        <w:rPr>
          <w:rFonts w:ascii="Calibri" w:cs="Calibri" w:eastAsia="Calibri" w:hAnsi="Calibri"/>
          <w:b/>
          <w:bCs/>
          <w:sz w:val="32"/>
          <w:szCs w:val="32"/>
        </w:rPr>
        <w:t>The Influence of National and International Labour Markets on HRM and IHRM Strategies</w:t>
      </w:r>
    </w:p>
    <w:p>
      <w:pPr>
        <w:pStyle w:val="style0"/>
        <w:spacing w:lineRule="auto" w:line="360"/>
        <w:jc w:val="center"/>
        <w:rPr>
          <w:rFonts w:ascii="Calibri" w:cs="Calibri" w:eastAsia="Calibri" w:hAnsi="Calibri"/>
          <w:b/>
          <w:bCs/>
          <w:sz w:val="32"/>
          <w:szCs w:val="32"/>
          <w:lang w:val="en-US"/>
        </w:rPr>
      </w:pPr>
      <w:r>
        <w:rPr>
          <w:rFonts w:ascii="Calibri" w:cs="Calibri" w:eastAsia="Calibri" w:hAnsi="Calibri"/>
          <w:b/>
          <w:bCs/>
          <w:sz w:val="32"/>
          <w:szCs w:val="32"/>
          <w:lang w:val="en-US"/>
        </w:rPr>
        <w:t>Student ID: 2439526</w:t>
      </w:r>
    </w:p>
    <w:p>
      <w:pPr>
        <w:pStyle w:val="style0"/>
        <w:spacing w:lineRule="auto" w:line="360"/>
        <w:jc w:val="center"/>
        <w:rPr>
          <w:rFonts w:ascii="Calibri" w:cs="Calibri" w:eastAsia="Calibri" w:hAnsi="Calibri"/>
          <w:b/>
          <w:bCs/>
          <w:sz w:val="32"/>
          <w:szCs w:val="32"/>
        </w:rPr>
      </w:pPr>
      <w:r>
        <w:rPr>
          <w:rFonts w:ascii="Calibri" w:cs="Calibri" w:eastAsia="Calibri" w:hAnsi="Calibri"/>
          <w:b/>
          <w:bCs/>
          <w:sz w:val="32"/>
          <w:szCs w:val="32"/>
          <w:lang w:val="en-US"/>
        </w:rPr>
        <w:t xml:space="preserve">Student Name: Ahmar Shabbir </w:t>
      </w:r>
    </w:p>
    <w:p>
      <w:pPr>
        <w:pStyle w:val="style0"/>
        <w:spacing w:lineRule="auto" w:line="360"/>
        <w:jc w:val="center"/>
        <w:rPr>
          <w:rFonts w:ascii="Calibri" w:cs="Calibri" w:eastAsia="Calibri" w:hAnsi="Calibri"/>
          <w:b/>
          <w:bCs/>
          <w:sz w:val="32"/>
          <w:szCs w:val="32"/>
        </w:rPr>
      </w:pPr>
      <w:r>
        <w:rPr>
          <w:rFonts w:ascii="Calibri" w:cs="Calibri" w:eastAsia="Calibri" w:hAnsi="Calibri"/>
          <w:b/>
          <w:bCs/>
          <w:sz w:val="32"/>
          <w:szCs w:val="32"/>
          <w:lang w:val="en-US"/>
        </w:rPr>
        <w:t>Module Code: LCMB7023</w:t>
      </w: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center"/>
        <w:rPr>
          <w:rFonts w:ascii="Calibri" w:cs="Calibri" w:eastAsia="Calibri" w:hAnsi="Calibri"/>
          <w:sz w:val="32"/>
          <w:szCs w:val="32"/>
        </w:rPr>
      </w:pPr>
    </w:p>
    <w:p>
      <w:pPr>
        <w:pStyle w:val="style0"/>
        <w:spacing w:lineRule="auto" w:line="360"/>
        <w:jc w:val="left"/>
        <w:rPr>
          <w:rFonts w:ascii="Calibri" w:cs="Calibri" w:eastAsia="Calibri" w:hAnsi="Calibri"/>
          <w:sz w:val="24"/>
          <w:szCs w:val="24"/>
        </w:rPr>
      </w:pPr>
    </w:p>
    <w:p>
      <w:pPr>
        <w:pStyle w:val="style0"/>
        <w:spacing w:lineRule="auto" w:line="360"/>
        <w:jc w:val="left"/>
        <w:rPr>
          <w:rFonts w:ascii="Calibri" w:cs="Calibri" w:eastAsia="Calibri" w:hAnsi="Calibri"/>
          <w:sz w:val="24"/>
          <w:szCs w:val="24"/>
        </w:rPr>
      </w:pPr>
    </w:p>
    <w:p>
      <w:pPr>
        <w:pStyle w:val="style0"/>
        <w:spacing w:lineRule="auto" w:line="360"/>
        <w:jc w:val="left"/>
        <w:rPr>
          <w:rFonts w:ascii="Calibri" w:cs="Calibri" w:eastAsia="Calibri" w:hAnsi="Calibri"/>
          <w:sz w:val="24"/>
          <w:szCs w:val="24"/>
        </w:rPr>
      </w:pPr>
      <w:r>
        <w:br w:type="page"/>
      </w:r>
    </w:p>
    <w:p>
      <w:pPr>
        <w:pStyle w:val="style0"/>
        <w:spacing w:lineRule="auto" w:line="360"/>
        <w:jc w:val="left"/>
        <w:rPr>
          <w:rFonts w:ascii="Calibri" w:cs="Calibri" w:eastAsia="Calibri" w:hAnsi="Calibri"/>
          <w:b/>
          <w:sz w:val="32"/>
          <w:szCs w:val="32"/>
        </w:rPr>
      </w:pPr>
      <w:r>
        <w:rPr>
          <w:rFonts w:ascii="Calibri" w:cs="Calibri" w:eastAsia="Calibri" w:hAnsi="Calibri"/>
          <w:b/>
          <w:sz w:val="32"/>
          <w:szCs w:val="32"/>
        </w:rPr>
        <w:t>Table of Contents</w:t>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"_6tts9243rkhg"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1. Introduction</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3</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"_wvnzifgxe5mc"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2. Technological Advancements and Their Implications for HRM and IHRM</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3</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"_mxnqv9icbje8"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2.1 Effects on Employment Patterns</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4</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"_63zzomq75hws"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2.2 Strategic Implications for HRM</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5</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"_3ay9rgmx0rub"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2.3 Implications for IHRM</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7</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"_juiase7y3roo"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3. Demographic and Geopolitical Factors Shaping Employment Markets</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7</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"_f5sziqamgpf9"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4. Addressing Skills Gaps and Talent Shortages through Strategic HRM</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12</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"_c7gz1wxatwrb"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5. Reflective Analysis: Personal Capabilities for the Globalised Workplace</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14</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"_qnbfwaj0hgrp"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5.1 Current Capabilities</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14</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"_dwvscn6onjqm"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5.2 Strengths and Weaknesses</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15</w:t>
      </w:r>
      <w:r>
        <w:rPr/>
        <w:fldChar w:fldCharType="end"/>
      </w:r>
    </w:p>
    <w:p>
      <w:pPr>
        <w:pStyle w:val="style0"/>
        <w:widowControl w:val="false"/>
        <w:tabs>
          <w:tab w:val="right" w:leader="dot" w:pos="12000"/>
        </w:tabs>
        <w:spacing w:before="60" w:lineRule="auto" w:line="360"/>
        <w:ind w:left="360" w:firstLine="0"/>
        <w:rPr>
          <w:rFonts w:ascii="Calibri" w:cs="Calibri" w:eastAsia="Calibri" w:hAnsi="Calibri"/>
          <w:color w:val="000000"/>
          <w:u w:val="none"/>
        </w:rPr>
      </w:pPr>
      <w:r>
        <w:rPr/>
        <w:fldChar w:fldCharType="begin"/>
      </w:r>
      <w:r>
        <w:instrText xml:space="preserve"> HYPERLINK \l "_xj0qtrfq3so0" </w:instrText>
      </w:r>
      <w:r>
        <w:rPr/>
        <w:fldChar w:fldCharType="separate"/>
      </w:r>
      <w:r>
        <w:rPr>
          <w:rFonts w:ascii="Calibri" w:cs="Calibri" w:eastAsia="Calibri" w:hAnsi="Calibri"/>
          <w:i w:val="false"/>
          <w:smallCaps w:val="false"/>
          <w:color w:val="000000"/>
          <w:sz w:val="22"/>
          <w:szCs w:val="22"/>
          <w:u w:val="none"/>
          <w:shd w:val="clear" w:color="auto" w:fill="auto"/>
          <w:vertAlign w:val="baseline"/>
        </w:rPr>
        <w:t>5.3 Action Plan</w:t>
      </w:r>
      <w:r>
        <w:rPr>
          <w:rFonts w:ascii="Calibri" w:cs="Calibri" w:eastAsia="Calibri" w:hAnsi="Calibri"/>
          <w:i w:val="false"/>
          <w:smallCaps w:val="false"/>
          <w:color w:val="000000"/>
          <w:sz w:val="22"/>
          <w:szCs w:val="22"/>
          <w:u w:val="none"/>
          <w:shd w:val="clear" w:color="auto" w:fill="auto"/>
          <w:vertAlign w:val="baseline"/>
        </w:rPr>
        <w:tab/>
      </w:r>
      <w:r>
        <w:rPr>
          <w:rFonts w:ascii="Calibri" w:cs="Calibri" w:eastAsia="Calibri" w:hAnsi="Calibri"/>
          <w:i w:val="false"/>
          <w:smallCaps w:val="false"/>
          <w:color w:val="000000"/>
          <w:sz w:val="22"/>
          <w:szCs w:val="22"/>
          <w:u w:val="none"/>
          <w:shd w:val="clear" w:color="auto" w:fill="auto"/>
          <w:vertAlign w:val="baseline"/>
        </w:rPr>
        <w:t>15</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"_m6ep6hxaq2ee"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6. Conclusion</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16</w:t>
      </w:r>
      <w:r>
        <w:rPr/>
        <w:fldChar w:fldCharType="end"/>
      </w:r>
    </w:p>
    <w:p>
      <w:pPr>
        <w:pStyle w:val="style0"/>
        <w:widowControl w:val="false"/>
        <w:tabs>
          <w:tab w:val="right" w:leader="dot" w:pos="12000"/>
        </w:tabs>
        <w:spacing w:before="60" w:lineRule="auto" w:line="360"/>
        <w:rPr>
          <w:rFonts w:ascii="Calibri" w:cs="Calibri" w:eastAsia="Calibri" w:hAnsi="Calibri"/>
          <w:b/>
          <w:color w:val="000000"/>
          <w:u w:val="none"/>
        </w:rPr>
      </w:pPr>
      <w:r>
        <w:rPr/>
        <w:fldChar w:fldCharType="begin"/>
      </w:r>
      <w:r>
        <w:instrText xml:space="preserve"> HYPERLINK \l "_2uhmiyq1idni" </w:instrText>
      </w:r>
      <w:r>
        <w:rPr/>
        <w:fldChar w:fldCharType="separate"/>
      </w:r>
      <w:r>
        <w:rPr>
          <w:rFonts w:ascii="Calibri" w:cs="Calibri" w:eastAsia="Calibri" w:hAnsi="Calibri"/>
          <w:b/>
          <w:i w:val="false"/>
          <w:smallCaps w:val="false"/>
          <w:color w:val="000000"/>
          <w:sz w:val="22"/>
          <w:szCs w:val="22"/>
          <w:u w:val="none"/>
          <w:shd w:val="clear" w:color="auto" w:fill="auto"/>
          <w:vertAlign w:val="baseline"/>
        </w:rPr>
        <w:t>7. References</w:t>
      </w:r>
      <w:r>
        <w:rPr>
          <w:rFonts w:ascii="Calibri" w:cs="Calibri" w:eastAsia="Calibri" w:hAnsi="Calibri"/>
          <w:b/>
          <w:i w:val="false"/>
          <w:smallCaps w:val="false"/>
          <w:color w:val="000000"/>
          <w:sz w:val="22"/>
          <w:szCs w:val="22"/>
          <w:u w:val="none"/>
          <w:shd w:val="clear" w:color="auto" w:fill="auto"/>
          <w:vertAlign w:val="baseline"/>
        </w:rPr>
        <w:tab/>
      </w:r>
      <w:r>
        <w:rPr>
          <w:rFonts w:ascii="Calibri" w:cs="Calibri" w:eastAsia="Calibri" w:hAnsi="Calibri"/>
          <w:b/>
          <w:i w:val="false"/>
          <w:smallCaps w:val="false"/>
          <w:color w:val="000000"/>
          <w:sz w:val="22"/>
          <w:szCs w:val="22"/>
          <w:u w:val="none"/>
          <w:shd w:val="clear" w:color="auto" w:fill="auto"/>
          <w:vertAlign w:val="baseline"/>
        </w:rPr>
        <w:t>16</w:t>
      </w:r>
      <w:r>
        <w:rPr/>
        <w:fldChar w:fldCharType="end"/>
      </w:r>
      <w:r>
        <w:rPr/>
        <w:fldChar w:fldCharType="end"/>
      </w:r>
    </w:p>
    <w:p>
      <w:pPr>
        <w:pStyle w:val="style0"/>
        <w:spacing w:lineRule="auto" w:line="360"/>
        <w:jc w:val="left"/>
        <w:rPr>
          <w:rFonts w:ascii="Calibri" w:cs="Calibri" w:eastAsia="Calibri" w:hAnsi="Calibri"/>
          <w:b/>
          <w:sz w:val="32"/>
          <w:szCs w:val="32"/>
        </w:rPr>
      </w:pPr>
      <w:r>
        <w:br w:type="page"/>
      </w:r>
    </w:p>
    <w:bookmarkStart w:id="0" w:name="_6tts9243rkhg" w:colFirst="0" w:colLast="0"/>
    <w:bookmarkEnd w:id="0"/>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Introduction</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The purpose of this report is to critically examine how national and international labour markets influence Human Resource Management (HRM) and International Human Resource Management (IHRM) strategies. As globalisation, digitalisation, and demographic shifts continue to reshape work dynamics, HR professionals must develop adaptive strategies that balance organisational competitiveness with workforce inclusivity and agility. Understanding the interplay between technological innovation, demographic change, and geopolitical developments is vital for designing fair, efficient, and globally relevant HR policies.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The report focuses on four interrelated areas. The first section explores how technological advancements, such as artificial intelligence (AI), automation, and digital platforms, are transforming global labour markets and reshaping HRM/IHRM functions. The second examines the demographic and geopolitical forces influencing employment trends and their implications for HR professionals. The third section analyses how organisations can address persistent skills gaps and talent shortages through strategic HR practices. The final section presents a reflective analysis of the author’s capabilities in operating effectively in an international context, focusing on technology, communication, teamwork, leadership, and self-directed learning.</w:t>
      </w:r>
    </w:p>
    <w:bookmarkStart w:id="1" w:name="_wvnzifgxe5mc" w:colFirst="0" w:colLast="0"/>
    <w:bookmarkEnd w:id="1"/>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 xml:space="preserve">Technological Advancements and Their Implications for HRM and IHRM </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Rapid innovation in artificial intelligence (AI), automation, digital HR platforms, and remote-work technologies is altering the landscape of work and HR practice. AI and machine learning systems now underpin candidate sourcing, resume screening, chatbots, predictive analytics, and performance evaluation algorithms, effectively reconfiguring recruitment and talent management processes (OECD, 2023). Robotic process automation (RPA) is handling repetitive administrative tasks across payroll, benefits, and data entry, freeing HR teams to refocus on strategic priorities. Meanwhile, advanced digital HR systems (e-HRM platforms) integrate modules for talent management, learning &amp; development, employee self-service, and analytics dashboards. Remote and hybrid work tools, cloud collaboration, video conferencing, and virtual offices enable geographically dispersed teams to operate as seamlessly as co-located ones.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drawing>
          <wp:inline distL="0" distT="0" distB="0" distR="0">
            <wp:extent cx="5943600" cy="4457700"/>
            <wp:effectExtent l="0" t="0" r="0" b="0"/>
            <wp:docPr id="1028"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3" cstate="print"/>
                    <a:srcRect l="0" t="0" r="0" b="0"/>
                    <a:stretch/>
                  </pic:blipFill>
                  <pic:spPr>
                    <a:xfrm rot="0">
                      <a:off x="0" y="0"/>
                      <a:ext cx="5943600" cy="4457700"/>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sz w:val="24"/>
          <w:szCs w:val="24"/>
        </w:rPr>
      </w:pPr>
      <w:r>
        <w:rPr>
          <w:rFonts w:ascii="Calibri" w:cs="Calibri" w:eastAsia="Calibri" w:hAnsi="Calibri"/>
          <w:i/>
        </w:rPr>
        <w:t>Figure 1: PESTLE Analysis Source: Author</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From a PESTLE perspective, the “Technological” dimension is a central driver: these trends create both opportunities (efficiency, agility) and threats (displacement, digital divides) to workforce structures and HR practices. Strategic HRM frameworks (e.g. Resource-Based View) now must incorporate “digital capabilities” as strategic assets.</w:t>
      </w:r>
    </w:p>
    <w:bookmarkStart w:id="2" w:name="_mxnqv9icbje8" w:colFirst="0" w:colLast="0"/>
    <w:bookmarkEnd w:id="2"/>
    <w:p>
      <w:pPr>
        <w:pStyle w:val="style2"/>
        <w:keepNext w:val="false"/>
        <w:keepLines w:val="false"/>
        <w:spacing w:after="80" w:lineRule="auto" w:line="360"/>
        <w:ind w:right="600"/>
        <w:jc w:val="both"/>
        <w:rPr>
          <w:rFonts w:ascii="Calibri" w:cs="Calibri" w:eastAsia="Calibri" w:hAnsi="Calibri"/>
          <w:b/>
          <w:sz w:val="28"/>
          <w:szCs w:val="28"/>
        </w:rPr>
      </w:pPr>
      <w:r>
        <w:rPr>
          <w:rFonts w:ascii="Calibri" w:cs="Calibri" w:eastAsia="Calibri" w:hAnsi="Calibri"/>
          <w:b/>
          <w:sz w:val="28"/>
          <w:szCs w:val="28"/>
        </w:rPr>
        <w:t>2.1 Effects on Employment Patterns</w:t>
      </w:r>
    </w:p>
    <w:p>
      <w:pPr>
        <w:pStyle w:val="style0"/>
        <w:spacing w:before="240" w:after="240" w:lineRule="auto" w:line="360"/>
        <w:jc w:val="both"/>
        <w:rPr>
          <w:rFonts w:ascii="Calibri" w:cs="Calibri" w:eastAsia="Calibri" w:hAnsi="Calibri"/>
          <w:color w:val="1155cc"/>
          <w:sz w:val="24"/>
          <w:szCs w:val="24"/>
          <w:u w:val="single"/>
        </w:rPr>
      </w:pPr>
      <w:r>
        <w:rPr>
          <w:rFonts w:ascii="Calibri" w:cs="Calibri" w:eastAsia="Calibri" w:hAnsi="Calibri"/>
          <w:sz w:val="24"/>
          <w:szCs w:val="24"/>
        </w:rPr>
        <w:t>These technological shifts are changing how, where, and when people work. The gig economy expands, platforms match supply and demand in real time, making freelance, micro-tasking, and crowdsourced work more common. Hybrid and asynchronous work models proliferate, reducing the primacy of physical presence. As AI and automation take over certain job tasks, reskilling and upskilling become imperative: workers shift from routine, rule-based tasks toward roles demanding judgment, emotion, creativity, or complex problem-solving. OECD reports show AI is more likely to change the mix of tasks within jobs than fully eliminate roles (OECD, 2023). Some estimates suggest ~ 27 % of jobs in OECD countries are at high risk of automation (Lane and Saint-Martin, 2021).</w:t>
      </w:r>
    </w:p>
    <w:p>
      <w:pPr>
        <w:pStyle w:val="style0"/>
        <w:spacing w:before="240" w:after="240" w:lineRule="auto" w:line="360"/>
        <w:jc w:val="both"/>
        <w:rPr>
          <w:rFonts w:ascii="Calibri" w:cs="Calibri" w:eastAsia="Calibri" w:hAnsi="Calibri"/>
          <w:color w:val="1155cc"/>
          <w:sz w:val="24"/>
          <w:szCs w:val="24"/>
          <w:u w:val="single"/>
        </w:rPr>
      </w:pPr>
      <w:r>
        <w:rPr>
          <w:rFonts w:ascii="Calibri" w:cs="Calibri" w:eastAsia="Calibri" w:hAnsi="Calibri"/>
          <w:sz w:val="24"/>
          <w:szCs w:val="24"/>
        </w:rPr>
        <w:t>In labour-market matching, AI tools are used increasingly to write job descriptions, screen CVs, schedule interviews, and even analyse voice or facial cues (Broecke, 2023). These tools promise efficiency and potentially reduced bias—but also raise questions about transparency, fairness, and data privacy.</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Additionally, adopting a skills-first hiring perspective is gaining momentum: instead of emphasising prior job titles or credentials, firms assess candidates by actual competencies (especially digital ones). This approach expands talent pools and mitigates the mismatch between supply and demand (OECD, 2025).</w:t>
      </w:r>
    </w:p>
    <w:bookmarkStart w:id="3" w:name="_63zzomq75hws" w:colFirst="0" w:colLast="0"/>
    <w:bookmarkEnd w:id="3"/>
    <w:p>
      <w:pPr>
        <w:pStyle w:val="style2"/>
        <w:keepNext w:val="false"/>
        <w:keepLines w:val="false"/>
        <w:spacing w:after="80" w:lineRule="auto" w:line="360"/>
        <w:ind w:right="600"/>
        <w:jc w:val="both"/>
        <w:rPr>
          <w:rFonts w:ascii="Calibri" w:cs="Calibri" w:eastAsia="Calibri" w:hAnsi="Calibri"/>
          <w:b/>
          <w:sz w:val="28"/>
          <w:szCs w:val="28"/>
        </w:rPr>
      </w:pPr>
      <w:r>
        <w:rPr>
          <w:rFonts w:ascii="Calibri" w:cs="Calibri" w:eastAsia="Calibri" w:hAnsi="Calibri"/>
          <w:b/>
          <w:sz w:val="28"/>
          <w:szCs w:val="28"/>
        </w:rPr>
        <w:t>2.2 Strategic Implications for HRM</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Under these conditions, HR divisions must evolve from administration to strategic enablers. First, workforce planning must incorporate scenario analysis: which roles may shrink due to automation? Which will grow? Gap forecasts become central. The HR function must build digital HR capabilities, proficiency in data analytics, AI oversight, vendor management, and technology-driven change leadership.</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People (or talent) analytics moves from niche to core: predictive models can anticipate turnover, identify flight risks, detect skill gaps, and optimise performance. HR decisions become more evidence-based. Moreover, HR must orchestrate reskilling and upskilling programmes, supporting employees through transitions and mitigating resistance to automated change.</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w:t>
      </w:r>
      <w:r>
        <w:rPr>
          <w:rFonts w:ascii="Calibri" w:cs="Calibri" w:eastAsia="Calibri" w:hAnsi="Calibri"/>
          <w:sz w:val="24"/>
          <w:szCs w:val="24"/>
        </w:rPr>
        <w:drawing>
          <wp:inline distL="0" distT="0" distB="0" distR="0">
            <wp:extent cx="5943600" cy="4203700"/>
            <wp:effectExtent l="0" t="0" r="0" b="0"/>
            <wp:docPr id="1029"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4" cstate="print"/>
                    <a:srcRect l="0" t="0" r="0" b="0"/>
                    <a:stretch/>
                  </pic:blipFill>
                  <pic:spPr>
                    <a:xfrm rot="0">
                      <a:off x="0" y="0"/>
                      <a:ext cx="5943600" cy="4203700"/>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i/>
        </w:rPr>
      </w:pPr>
      <w:r>
        <w:rPr>
          <w:rFonts w:ascii="Calibri" w:cs="Calibri" w:eastAsia="Calibri" w:hAnsi="Calibri"/>
          <w:i/>
        </w:rPr>
        <w:t>Figure 2: David Ulric HR model Source: (Shingal, 2018)</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The Ulrich model / HR Business Partner framework can be overlaid here: shared service and transactional tasks become largely automated (handled by digital systems), enabling HR business partners and centres of excellence to focus on strategic alignment, talent development, and change leadership. The shift transforms HR’s role—from “keeper of records” to strategic architect.</w:t>
      </w:r>
    </w:p>
    <w:p>
      <w:pPr>
        <w:pStyle w:val="style0"/>
        <w:spacing w:before="240" w:after="240" w:lineRule="auto" w:line="360"/>
        <w:jc w:val="both"/>
        <w:rPr>
          <w:rFonts w:ascii="Calibri" w:cs="Calibri" w:eastAsia="Calibri" w:hAnsi="Calibri"/>
          <w:color w:val="1155cc"/>
          <w:sz w:val="24"/>
          <w:szCs w:val="24"/>
          <w:u w:val="single"/>
        </w:rPr>
      </w:pPr>
      <w:r>
        <w:rPr>
          <w:rFonts w:ascii="Calibri" w:cs="Calibri" w:eastAsia="Calibri" w:hAnsi="Calibri"/>
          <w:sz w:val="24"/>
          <w:szCs w:val="24"/>
        </w:rPr>
        <w:t>In more advanced contexts, there is a move toward AI-augmented HRM architectures: these integrate layers of predictive, prescriptive, and adaptive AI into HR processes, enhancing decision support while ensuring alignment with strategic goals (Dash, 2024).</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However, risks loom: over-monitoring, algorithmic bias, data misuse, and erosion of employee trust if these systems lack transparency.</w:t>
      </w:r>
    </w:p>
    <w:bookmarkStart w:id="4" w:name="_3ay9rgmx0rub" w:colFirst="0" w:colLast="0"/>
    <w:bookmarkEnd w:id="4"/>
    <w:p>
      <w:pPr>
        <w:pStyle w:val="style2"/>
        <w:keepNext w:val="false"/>
        <w:keepLines w:val="false"/>
        <w:spacing w:after="80" w:lineRule="auto" w:line="360"/>
        <w:ind w:right="600"/>
        <w:jc w:val="both"/>
        <w:rPr>
          <w:rFonts w:ascii="Calibri" w:cs="Calibri" w:eastAsia="Calibri" w:hAnsi="Calibri"/>
          <w:b/>
          <w:sz w:val="28"/>
          <w:szCs w:val="28"/>
        </w:rPr>
      </w:pPr>
      <w:r>
        <w:rPr>
          <w:rFonts w:ascii="Calibri" w:cs="Calibri" w:eastAsia="Calibri" w:hAnsi="Calibri"/>
          <w:b/>
          <w:sz w:val="28"/>
          <w:szCs w:val="28"/>
        </w:rPr>
        <w:t>2.3 Implications for IHRM</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In the international sphere, technology imposes added layers of complexity. Managing remote global teams requires HR systems able to handle multi-time zone coordination, digital collaboration norms, cultural differences, and virtual performance appraisals (Odogwu et al., 2022). The centralisation vs localisation tension is sharper: a global HR platform must be unified yet flexible enough for local labour laws, languages, and customs.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Cybersecurity, data protection, and compliance are non-negotiable: HR must navigate GDPR, data-localisation rules, cross-border transfer restrictions, and local privacy laws when handling employee data across jurisdictions. Transparent algorithmic decision-making is essential: if AI-driven recruitment or evaluation is used globally, HR must ensure that models are audited for bias across demographics, cultures, and regions (Muralidhar et al., 2025).</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Moreover, ethical AI governance in IHRM becomes vital, ensuring fairness, accountability, human oversight, and explainability of AI-driven HR decisions across countries. In practice, multinational firms (e.g. IBM, Accenture) often deploy a centralised HR analytics platform but allow local adaptation modules to reflect regional regulatory or cultural adjustments.</w:t>
      </w:r>
    </w:p>
    <w:bookmarkStart w:id="5" w:name="_juiase7y3roo" w:colFirst="0" w:colLast="0"/>
    <w:bookmarkEnd w:id="5"/>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Demographic and Geopolitical Factors Shaping Employment Markets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Across many developed and emerging economies, demographic change is exerting a profound influence on labour markets and HR strategy. In OECD countries, the working-age population (20–64 years) is projected to decline by 8% by 2060, while in over a quarter of member states the contraction may exceed 30% (OECD, 2025b). Meanwhile, the old-age dependency ratio—the number of persons aged 65+ relative to those in work- has risen from 31% in 1980 to 31% in 2023, and is expected to reach 52% by 2060 (Sala and Zaccaria, 2025). In many OECD nations today, for every 100 workers, there are 44 individuals aged over 50 who are not in active employment (either retired or inactive), a figure that may climb to 56 by 2050 (OECD, 2024). This demographic squeeze places increasing pressure on labour supply, social welfare, and pension systems.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 xml:space="preserve">Youth unemployment remains a persistent challenge, especially in lower- and middle-income countries, limiting the capacity of labour markets to absorb new entrants. At the same time, gender dynamics are shifting: although women’s labour force participation has increased globally, structural barriers such as care responsibilities, wage disparities, and social expectations continue to constrain equal engagement. Superimposed on domestic trends are large migratory flows: in 2022, adults aged 25–55 accounted for 75.9% of all migrant workers, while 9.2% were aged 15–24 and 12.5% 55–64 (Migration Data Portal, 2019). </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drawing>
          <wp:inline distL="0" distT="0" distB="0" distR="0">
            <wp:extent cx="5943600" cy="4978400"/>
            <wp:effectExtent l="0" t="0" r="0" b="0"/>
            <wp:docPr id="1030"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5" cstate="print"/>
                    <a:srcRect l="0" t="0" r="0" b="0"/>
                    <a:stretch/>
                  </pic:blipFill>
                  <pic:spPr>
                    <a:xfrm rot="0">
                      <a:off x="0" y="0"/>
                      <a:ext cx="5943600" cy="4978400"/>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sz w:val="24"/>
          <w:szCs w:val="24"/>
        </w:rPr>
      </w:pPr>
      <w:r>
        <w:rPr>
          <w:rFonts w:ascii="Calibri" w:cs="Calibri" w:eastAsia="Calibri" w:hAnsi="Calibri"/>
          <w:i/>
        </w:rPr>
        <w:t>Figure 3: Global Estimates of International Migrants in the Labour Force Source: (Migration Data Portal, 2019)</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Migrants play a growing entrepreneurial role; as of 2022, 17% of self-employed individuals in OECD countries were migrants, up from 11% in 2006 (OECD, 2024b). Meanwhile, permanent-type migration to OECD states reached 6.5 million new arrivals in 2023, a record high and 10% more than in 2022, with a substantial share being labour or family migration. These movements highlight how migration acts as both a buffer and a destabiliser in talent shortages and demographic pressures.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drawing>
          <wp:inline distL="0" distT="0" distB="0" distR="0">
            <wp:extent cx="5943600" cy="2514600"/>
            <wp:effectExtent l="0" t="0" r="0" b="0"/>
            <wp:docPr id="1031"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rcRect l="0" t="0" r="0" b="0"/>
                    <a:stretch/>
                  </pic:blipFill>
                  <pic:spPr>
                    <a:xfrm rot="0">
                      <a:off x="0" y="0"/>
                      <a:ext cx="5943600" cy="2514600"/>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sz w:val="24"/>
          <w:szCs w:val="24"/>
        </w:rPr>
      </w:pPr>
      <w:r>
        <w:rPr>
          <w:rFonts w:ascii="Calibri" w:cs="Calibri" w:eastAsia="Calibri" w:hAnsi="Calibri"/>
          <w:i/>
        </w:rPr>
        <w:t>Figure 4: Permanent-type migration to OECD countries as a percentage of the total population, 2019 and 2023. Source: (OECD, 2024b)</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Geopolitical forces further complicate these dynamics. Trade protectionism and shifting alliances constrain cross-border investments and mobility; stricter immigration laws, visa caps, and border restrictions make global staffing more difficult. In times of conflict or political instability, refugee flows and sudden migration surges disrupt labour markets and impose reactive HR pressures. The tension between globalisation and nationalism often prompts host countries to prioritise “local jobs first” policies, which restrict foreign hiring and complicate expatriate assignments. From a PESTLE lens, the Political domain here concerns migration laws, trade regimes, and diplomatic relations; Economic factors relate to labour supply imbalances; Social aspects pertain to ageing, diversity and migration attitudes.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 xml:space="preserve">For HR and IHRM professionals, these shifts create profound challenges. Managing generational diversity demands policies sensitive to older workers’ capabilities and younger employees’ expectations of flexibility and rapid progression. Expatriation and global mobility strategies must navigate cost, immigration compliance, cultural adaptation, and loss of credential portability. Ensuring inclusion and equity is central as firms integrate migrants, underrepresented groups, and minorities, necessitating fair pay practices, recognition of foreign qualifications, and anti-discrimination safeguards. At the same time, building global talent pipelines requires careful balancing of local constraints and international ambitions. </w:t>
      </w:r>
    </w:p>
    <w:p>
      <w:pPr>
        <w:pStyle w:val="style0"/>
        <w:spacing w:before="240" w:after="240" w:lineRule="auto" w:line="360"/>
        <w:jc w:val="center"/>
        <w:rPr>
          <w:rFonts w:ascii="Calibri" w:cs="Calibri" w:eastAsia="Calibri" w:hAnsi="Calibri"/>
          <w:sz w:val="24"/>
          <w:szCs w:val="24"/>
        </w:rPr>
      </w:pPr>
      <w:r>
        <w:rPr>
          <w:rFonts w:ascii="Calibri" w:cs="Calibri" w:eastAsia="Calibri" w:hAnsi="Calibri"/>
          <w:sz w:val="24"/>
          <w:szCs w:val="24"/>
        </w:rPr>
        <w:drawing>
          <wp:inline distL="0" distT="0" distB="0" distR="0">
            <wp:extent cx="4563471" cy="4790182"/>
            <wp:effectExtent l="0" t="0" r="0" b="0"/>
            <wp:docPr id="1032"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7" cstate="print"/>
                    <a:srcRect l="0" t="0" r="0" b="0"/>
                    <a:stretch/>
                  </pic:blipFill>
                  <pic:spPr>
                    <a:xfrm rot="0">
                      <a:off x="0" y="0"/>
                      <a:ext cx="4563471" cy="4790182"/>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sz w:val="24"/>
          <w:szCs w:val="24"/>
        </w:rPr>
      </w:pPr>
      <w:r>
        <w:rPr>
          <w:rFonts w:ascii="Calibri" w:cs="Calibri" w:eastAsia="Calibri" w:hAnsi="Calibri"/>
          <w:i/>
        </w:rPr>
        <w:t>Figure 5: Hofstede’s cultural dimensions. Source: (Jo and Ligot, 2024)</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In this respect, Hofstede’s cultural dimensions (such as power distance, uncertainty avoidance, individualism vs collectivism) can guide HR in tailoring integration practices across national contexts: for instance, cultures high in uncertainty avoidance may demand structured onboarding and clarity, while collectivist societies may place more weight on social belonging and mentorship. Meanwhile, Global Labour Mobility Theory suggests that migration decisions are influenced by economic differentials, policy costs, and cultural distance, meaning that HR must factor in not only wages and benefits but also relocation barriers, adaptation support, and cross-cultural friction when planning international staffing (Yadin Yadin et al., 2024).</w:t>
      </w:r>
    </w:p>
    <w:bookmarkStart w:id="6" w:name="_f5sziqamgpf9" w:colFirst="0" w:colLast="0"/>
    <w:bookmarkEnd w:id="6"/>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Addressing Skills Gaps and Talent Shortages through Strategic HRM</w:t>
      </w:r>
    </w:p>
    <w:p>
      <w:pPr>
        <w:pStyle w:val="style0"/>
        <w:spacing w:before="240" w:after="240" w:lineRule="auto" w:line="360"/>
        <w:jc w:val="both"/>
        <w:rPr>
          <w:rFonts w:ascii="Calibri" w:cs="Calibri" w:eastAsia="Calibri" w:hAnsi="Calibri"/>
          <w:color w:val="1155cc"/>
          <w:sz w:val="24"/>
          <w:szCs w:val="24"/>
          <w:u w:val="single"/>
        </w:rPr>
      </w:pPr>
      <w:r>
        <w:rPr>
          <w:rFonts w:ascii="Calibri" w:cs="Calibri" w:eastAsia="Calibri" w:hAnsi="Calibri"/>
          <w:sz w:val="24"/>
          <w:szCs w:val="24"/>
        </w:rPr>
        <w:t>In an era marked by rapid technological change and evolving business demands, organisations worldwide are grappling with acute skills gaps and talent shortages, particularly in sectors such as information technology, healthcare, and hospitality. The 2025 Future of Jobs Report notes that 63 % of employers identify skill gaps as the principal barrier to business transformation, with 85 % planning to prioritise upskilling (World Economic Forum, 2025). Meanwhile, surveys indicate that 75 % of IT decision-makers have flagged deficits in their internal technical capabilities (Morelock, 2024). In healthcare, workforce shortages worsen with retirements, burnout, and inadequate pipeline replenishment (Vries et al., 2023).</w:t>
      </w:r>
    </w:p>
    <w:p>
      <w:pPr>
        <w:pStyle w:val="style0"/>
        <w:spacing w:before="240" w:after="240" w:lineRule="auto" w:line="360"/>
        <w:jc w:val="both"/>
        <w:rPr>
          <w:rFonts w:ascii="Calibri" w:cs="Calibri" w:eastAsia="Calibri" w:hAnsi="Calibri"/>
          <w:color w:val="1155cc"/>
          <w:sz w:val="24"/>
          <w:szCs w:val="24"/>
          <w:u w:val="single"/>
        </w:rPr>
      </w:pPr>
      <w:r>
        <w:rPr>
          <w:rFonts w:ascii="Calibri" w:cs="Calibri" w:eastAsia="Calibri" w:hAnsi="Calibri"/>
          <w:sz w:val="24"/>
          <w:szCs w:val="24"/>
        </w:rPr>
        <w:t>Several factors underlie these gaps. First, the education-industry mismatch means graduates often lack the practical, digital, and soft skills employers require. The OECD’s firm-level studies reveal that over one in three firms report mismatches in technical, problem-solving, and teamwork skills (OECD, 2024c). Second, migration constraints and restrictive visa policies limit the influx of foreign talent that might help fill deficits. Third, the rapid pace of technological disruption forces skill obsolescence; data suggests 44 % of workers’ skills will be disrupted within five years (Stringer, 2024).</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To respond, HR must deploy strategic initiatives. Reskilling and upskilling programmes stand central, enabling existing employees to acquire new digital, analytical, and domain skills. For example, the NHS in the UK uses apprenticeship schemes and targeted training to fill clinical and allied health roles, collaborating with educational institutions to co-design curricula (NHS England, 2024). Hospitality and service firms such as Marriott often run internal leadership development pathways to promote staff into higher roles, reducing reliance on external recruitment. Talent pipelines and succession planning identify high-potential staff early and groom them for future roles. Partnerships with universities and bootcamps create feeder channels aligned to skill needs; firms increasingly adopt employer branding to attract scarce digital talent, accentuating purpose, culture, and continuous learning opportunities.</w:t>
      </w:r>
    </w:p>
    <w:p>
      <w:pPr>
        <w:pStyle w:val="style0"/>
        <w:spacing w:before="240" w:after="240" w:lineRule="auto" w:line="360"/>
        <w:jc w:val="center"/>
        <w:rPr>
          <w:rFonts w:ascii="Calibri" w:cs="Calibri" w:eastAsia="Calibri" w:hAnsi="Calibri"/>
          <w:sz w:val="24"/>
          <w:szCs w:val="24"/>
        </w:rPr>
      </w:pPr>
      <w:r>
        <w:rPr>
          <w:rFonts w:ascii="Calibri" w:cs="Calibri" w:eastAsia="Calibri" w:hAnsi="Calibri"/>
          <w:sz w:val="24"/>
          <w:szCs w:val="24"/>
        </w:rPr>
        <w:drawing>
          <wp:inline distL="0" distT="0" distB="0" distR="0">
            <wp:extent cx="3895724" cy="3590925"/>
            <wp:effectExtent l="0" t="0" r="0" b="0"/>
            <wp:docPr id="1033"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rcRect l="0" t="0" r="0" b="0"/>
                    <a:stretch/>
                  </pic:blipFill>
                  <pic:spPr>
                    <a:xfrm rot="0">
                      <a:off x="0" y="0"/>
                      <a:ext cx="3895724" cy="3590925"/>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both"/>
        <w:rPr>
          <w:rFonts w:ascii="Calibri" w:cs="Calibri" w:eastAsia="Calibri" w:hAnsi="Calibri"/>
          <w:sz w:val="24"/>
          <w:szCs w:val="24"/>
        </w:rPr>
      </w:pPr>
      <w:r>
        <w:rPr>
          <w:rFonts w:ascii="Calibri" w:cs="Calibri" w:eastAsia="Calibri" w:hAnsi="Calibri"/>
          <w:i/>
        </w:rPr>
        <w:t>Figure 6: Resource-Based View (RBV). Source: (Jurevicius, 2023)</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From a theoretical lens, the Resource-Based View (RBV) suggests that human capital, especially scarce capabilities, constitutes sustainable competitive advantage, so investing in people is strategically vital. Under Ulrich’s HR Model, transactional HR roles are automated or outsourced, freeing HR business partners to focus on designing and executing development and talent systems. This shift enables HR to act as architects of human capital.</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Successful outcomes include reduced turnover, lower recruitment costs, faster internal mobility, and greater agility in responding to market change. However, success depends on alignment: learning interventions must align with business strategy, cultural buy-in, measurement metrics (e.g. skill gain, role upgrades), and continuous feedback loops. In sum, by strategically leveraging reskilling, pipelines, partnerships, and internal mobility, HRM can meaningfully mitigate skills deficits in critical sectors, turning talent scarcity into a developmental opportunity.</w:t>
      </w:r>
    </w:p>
    <w:bookmarkStart w:id="7" w:name="_c7gz1wxatwrb" w:colFirst="0" w:colLast="0"/>
    <w:bookmarkEnd w:id="7"/>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Reflective Analysis: Personal Capabilities for the Globalised Workplace</w:t>
      </w:r>
    </w:p>
    <w:bookmarkStart w:id="8" w:name="_qnbfwaj0hgrp" w:colFirst="0" w:colLast="0"/>
    <w:bookmarkEnd w:id="8"/>
    <w:p>
      <w:pPr>
        <w:pStyle w:val="style2"/>
        <w:keepNext w:val="false"/>
        <w:keepLines w:val="false"/>
        <w:spacing w:before="280" w:lineRule="auto" w:line="360"/>
        <w:ind w:right="600"/>
        <w:jc w:val="both"/>
        <w:rPr>
          <w:rFonts w:ascii="Calibri" w:cs="Calibri" w:eastAsia="Calibri" w:hAnsi="Calibri"/>
          <w:b/>
          <w:sz w:val="28"/>
          <w:szCs w:val="28"/>
        </w:rPr>
      </w:pPr>
      <w:r>
        <w:rPr>
          <w:rFonts w:ascii="Calibri" w:cs="Calibri" w:eastAsia="Calibri" w:hAnsi="Calibri"/>
          <w:b/>
          <w:sz w:val="28"/>
          <w:szCs w:val="28"/>
        </w:rPr>
        <w:t>5.1 Current Capabilities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In today’s globalised, technology-driven labour market, professional success depends on adaptability, cultural intelligence, and continuous learning. Using Gibbs’ (1988) Reflective Cycle, I evaluated my competencies across five areas.</w:t>
      </w:r>
    </w:p>
    <w:p>
      <w:pPr>
        <w:pStyle w:val="style0"/>
        <w:spacing w:before="240" w:after="240" w:lineRule="auto" w:line="360"/>
        <w:jc w:val="both"/>
        <w:rPr>
          <w:rFonts w:ascii="Calibri" w:cs="Calibri" w:eastAsia="Calibri" w:hAnsi="Calibri"/>
          <w:sz w:val="24"/>
          <w:szCs w:val="24"/>
        </w:rPr>
      </w:pPr>
      <w:r>
        <w:rPr>
          <w:rFonts w:ascii="Calibri" w:cs="Calibri" w:eastAsia="Calibri" w:hAnsi="Calibri"/>
          <w:b/>
          <w:sz w:val="24"/>
          <w:szCs w:val="24"/>
        </w:rPr>
        <w:t>Technology Use:</w:t>
      </w:r>
      <w:r>
        <w:rPr>
          <w:rFonts w:ascii="Calibri" w:cs="Calibri" w:eastAsia="Calibri" w:hAnsi="Calibri"/>
          <w:sz w:val="24"/>
          <w:szCs w:val="24"/>
        </w:rPr>
        <w:t xml:space="preserve"> My digital literacy is strong, demonstrated through consistent use of data-driven tools such as Excel, Power BI, and collaborative platforms like Microsoft Teams and Slack during group projects. I adapt quickly to new systems and cloud technologies, reflecting high learning agility. However, I still rely heavily on structured digital guidance and could improve my ability to independently troubleshoot advanced analytics or HRIS platforms.</w:t>
      </w:r>
    </w:p>
    <w:p>
      <w:pPr>
        <w:pStyle w:val="style0"/>
        <w:spacing w:before="240" w:after="240" w:lineRule="auto" w:line="360"/>
        <w:jc w:val="both"/>
        <w:rPr>
          <w:rFonts w:ascii="Calibri" w:cs="Calibri" w:eastAsia="Calibri" w:hAnsi="Calibri"/>
          <w:sz w:val="24"/>
          <w:szCs w:val="24"/>
        </w:rPr>
      </w:pPr>
      <w:r>
        <w:rPr>
          <w:rFonts w:ascii="Calibri" w:cs="Calibri" w:eastAsia="Calibri" w:hAnsi="Calibri"/>
          <w:b/>
          <w:sz w:val="24"/>
          <w:szCs w:val="24"/>
        </w:rPr>
        <w:t>Communication:</w:t>
      </w:r>
      <w:r>
        <w:rPr>
          <w:rFonts w:ascii="Calibri" w:cs="Calibri" w:eastAsia="Calibri" w:hAnsi="Calibri"/>
          <w:sz w:val="24"/>
          <w:szCs w:val="24"/>
        </w:rPr>
        <w:t xml:space="preserve"> I have developed effective written and verbal communication skills, especially in multicultural contexts, through MBA group discussions and presentations. Feedback from peers highlighted clarity and confidence in articulating arguments. Yet, my cross-cultural communication could be improved by refining active listening and understanding of diverse communication norms, an essential skill for international assignments.</w:t>
      </w:r>
    </w:p>
    <w:p>
      <w:pPr>
        <w:pStyle w:val="style0"/>
        <w:spacing w:before="240" w:after="240" w:lineRule="auto" w:line="360"/>
        <w:jc w:val="both"/>
        <w:rPr>
          <w:rFonts w:ascii="Calibri" w:cs="Calibri" w:eastAsia="Calibri" w:hAnsi="Calibri"/>
          <w:sz w:val="24"/>
          <w:szCs w:val="24"/>
        </w:rPr>
      </w:pPr>
      <w:r>
        <w:rPr>
          <w:rFonts w:ascii="Calibri" w:cs="Calibri" w:eastAsia="Calibri" w:hAnsi="Calibri"/>
          <w:b/>
          <w:sz w:val="24"/>
          <w:szCs w:val="24"/>
        </w:rPr>
        <w:t>Teamwork:</w:t>
      </w:r>
      <w:r>
        <w:rPr>
          <w:rFonts w:ascii="Calibri" w:cs="Calibri" w:eastAsia="Calibri" w:hAnsi="Calibri"/>
          <w:sz w:val="24"/>
          <w:szCs w:val="24"/>
        </w:rPr>
        <w:t xml:space="preserve"> Collaborative work in case-study simulations demonstrated my capacity to coordinate tasks and resolve disagreements constructively. I tend to take mediator roles, ensuring consensus. Nonetheless, I occasionally hesitate to challenge dominant opinions, which may limit innovation and assertiveness in high-stakes projects.</w:t>
      </w:r>
    </w:p>
    <w:p>
      <w:pPr>
        <w:pStyle w:val="style0"/>
        <w:spacing w:before="240" w:after="240" w:lineRule="auto" w:line="360"/>
        <w:jc w:val="both"/>
        <w:rPr>
          <w:rFonts w:ascii="Calibri" w:cs="Calibri" w:eastAsia="Calibri" w:hAnsi="Calibri"/>
          <w:sz w:val="24"/>
          <w:szCs w:val="24"/>
        </w:rPr>
      </w:pPr>
      <w:r>
        <w:rPr>
          <w:rFonts w:ascii="Calibri" w:cs="Calibri" w:eastAsia="Calibri" w:hAnsi="Calibri"/>
          <w:b/>
          <w:sz w:val="24"/>
          <w:szCs w:val="24"/>
        </w:rPr>
        <w:t>Leadership:</w:t>
      </w:r>
      <w:r>
        <w:rPr>
          <w:rFonts w:ascii="Calibri" w:cs="Calibri" w:eastAsia="Calibri" w:hAnsi="Calibri"/>
          <w:sz w:val="24"/>
          <w:szCs w:val="24"/>
        </w:rPr>
        <w:t xml:space="preserve"> I exhibit transformational leadership qualities such as empathy and motivation, encouraging inclusivity in team decision-making. Ethical awareness underpins my leadership style, shaped by exposure to corporate governance and organisational behaviour modules. However, I must strengthen strategic delegation and feedback delivery, especially in culturally diverse settings.</w:t>
      </w:r>
    </w:p>
    <w:p>
      <w:pPr>
        <w:pStyle w:val="style0"/>
        <w:spacing w:before="240" w:after="240" w:lineRule="auto" w:line="360"/>
        <w:jc w:val="both"/>
        <w:rPr>
          <w:rFonts w:ascii="Calibri" w:cs="Calibri" w:eastAsia="Calibri" w:hAnsi="Calibri"/>
          <w:sz w:val="24"/>
          <w:szCs w:val="24"/>
        </w:rPr>
      </w:pPr>
      <w:r>
        <w:rPr>
          <w:rFonts w:ascii="Calibri" w:cs="Calibri" w:eastAsia="Calibri" w:hAnsi="Calibri"/>
          <w:b/>
          <w:sz w:val="24"/>
          <w:szCs w:val="24"/>
        </w:rPr>
        <w:t>Self-Directed Learning:</w:t>
      </w:r>
      <w:r>
        <w:rPr>
          <w:rFonts w:ascii="Calibri" w:cs="Calibri" w:eastAsia="Calibri" w:hAnsi="Calibri"/>
          <w:sz w:val="24"/>
          <w:szCs w:val="24"/>
        </w:rPr>
        <w:t xml:space="preserve"> I am proactive in identifying learning needs—such as enrolling in LinkedIn Learning courses on HR analytics—and regularly reflect on progress. Yet, I could adopt more structured goal-tracking mechanisms to ensure measurable outcomes and consistent development.</w:t>
      </w:r>
    </w:p>
    <w:bookmarkStart w:id="9" w:name="_dwvscn6onjqm" w:colFirst="0" w:colLast="0"/>
    <w:bookmarkEnd w:id="9"/>
    <w:p>
      <w:pPr>
        <w:pStyle w:val="style2"/>
        <w:keepNext w:val="false"/>
        <w:keepLines w:val="false"/>
        <w:spacing w:before="280" w:lineRule="auto" w:line="360"/>
        <w:ind w:right="600"/>
        <w:jc w:val="both"/>
        <w:rPr>
          <w:rFonts w:ascii="Calibri" w:cs="Calibri" w:eastAsia="Calibri" w:hAnsi="Calibri"/>
          <w:b/>
          <w:sz w:val="28"/>
          <w:szCs w:val="28"/>
        </w:rPr>
      </w:pPr>
      <w:r>
        <w:rPr>
          <w:rFonts w:ascii="Calibri" w:cs="Calibri" w:eastAsia="Calibri" w:hAnsi="Calibri"/>
          <w:b/>
          <w:sz w:val="28"/>
          <w:szCs w:val="28"/>
        </w:rPr>
        <w:t>5.2 Strengths and Weaknesses</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My primary strengths lie in technological adaptability, emotional intelligence, and collaborative engagement. Weaknesses include over-reliance on structured guidance in technical problem-solving and limited assertiveness in diverse teams. Applying the Johari Window Model, I recognise these as “blind spots” requiring feedback from mentors and peers to enhance self-awareness and interpersonal growth.</w:t>
      </w:r>
    </w:p>
    <w:bookmarkStart w:id="10" w:name="_xj0qtrfq3so0" w:colFirst="0" w:colLast="0"/>
    <w:bookmarkEnd w:id="10"/>
    <w:p>
      <w:pPr>
        <w:pStyle w:val="style2"/>
        <w:keepNext w:val="false"/>
        <w:keepLines w:val="false"/>
        <w:spacing w:before="280" w:lineRule="auto" w:line="360"/>
        <w:ind w:right="600"/>
        <w:jc w:val="both"/>
        <w:rPr>
          <w:rFonts w:ascii="Calibri" w:cs="Calibri" w:eastAsia="Calibri" w:hAnsi="Calibri"/>
          <w:b/>
          <w:sz w:val="28"/>
          <w:szCs w:val="28"/>
        </w:rPr>
      </w:pPr>
      <w:r>
        <w:rPr>
          <w:rFonts w:ascii="Calibri" w:cs="Calibri" w:eastAsia="Calibri" w:hAnsi="Calibri"/>
          <w:b/>
          <w:sz w:val="28"/>
          <w:szCs w:val="28"/>
        </w:rPr>
        <w:t>5.3 Action Plan</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To strengthen global employability, I will implement SMART goals:</w:t>
      </w:r>
    </w:p>
    <w:p>
      <w:pPr>
        <w:pStyle w:val="style0"/>
        <w:numPr>
          <w:ilvl w:val="0"/>
          <w:numId w:val="2"/>
        </w:numPr>
        <w:spacing w:before="240" w:after="0" w:afterAutospacing="false" w:lineRule="auto" w:line="360"/>
        <w:ind w:left="720" w:hanging="360"/>
        <w:rPr>
          <w:rFonts w:ascii="Calibri" w:cs="Calibri" w:eastAsia="Calibri" w:hAnsi="Calibri"/>
          <w:sz w:val="24"/>
          <w:szCs w:val="24"/>
        </w:rPr>
      </w:pPr>
      <w:r>
        <w:rPr>
          <w:rFonts w:ascii="Calibri" w:cs="Calibri" w:eastAsia="Calibri" w:hAnsi="Calibri"/>
          <w:b/>
          <w:sz w:val="24"/>
          <w:szCs w:val="24"/>
        </w:rPr>
        <w:t>Specific &amp; Measurable:</w:t>
      </w:r>
      <w:r>
        <w:rPr>
          <w:rFonts w:ascii="Calibri" w:cs="Calibri" w:eastAsia="Calibri" w:hAnsi="Calibri"/>
          <w:sz w:val="24"/>
          <w:szCs w:val="24"/>
        </w:rPr>
        <w:t xml:space="preserve"> Complete a certified HR analytics course by mid-2026 to enhance data-driven decision-making.</w:t>
      </w:r>
    </w:p>
    <w:p>
      <w:pPr>
        <w:pStyle w:val="style0"/>
        <w:numPr>
          <w:ilvl w:val="0"/>
          <w:numId w:val="2"/>
        </w:numPr>
        <w:spacing w:before="0" w:beforeAutospacing="false" w:after="0" w:afterAutospacing="false" w:lineRule="auto" w:line="360"/>
        <w:ind w:left="720" w:hanging="360"/>
        <w:rPr>
          <w:rFonts w:ascii="Calibri" w:cs="Calibri" w:eastAsia="Calibri" w:hAnsi="Calibri"/>
          <w:sz w:val="24"/>
          <w:szCs w:val="24"/>
        </w:rPr>
      </w:pPr>
      <w:r>
        <w:rPr>
          <w:rFonts w:ascii="Calibri" w:cs="Calibri" w:eastAsia="Calibri" w:hAnsi="Calibri"/>
          <w:b/>
          <w:sz w:val="24"/>
          <w:szCs w:val="24"/>
        </w:rPr>
        <w:t>Achievable &amp; Relevant:</w:t>
      </w:r>
      <w:r>
        <w:rPr>
          <w:rFonts w:ascii="Calibri" w:cs="Calibri" w:eastAsia="Calibri" w:hAnsi="Calibri"/>
          <w:sz w:val="24"/>
          <w:szCs w:val="24"/>
        </w:rPr>
        <w:t xml:space="preserve"> Join an international professional network (e.g., CIPD Global) to expand intercultural exposure and benchmarking insight.</w:t>
      </w:r>
    </w:p>
    <w:p>
      <w:pPr>
        <w:pStyle w:val="style0"/>
        <w:numPr>
          <w:ilvl w:val="0"/>
          <w:numId w:val="2"/>
        </w:numPr>
        <w:spacing w:before="0" w:beforeAutospacing="false" w:after="240" w:lineRule="auto" w:line="360"/>
        <w:ind w:left="720" w:hanging="360"/>
        <w:rPr>
          <w:rFonts w:ascii="Calibri" w:cs="Calibri" w:eastAsia="Calibri" w:hAnsi="Calibri"/>
          <w:sz w:val="24"/>
          <w:szCs w:val="24"/>
        </w:rPr>
      </w:pPr>
      <w:r>
        <w:rPr>
          <w:rFonts w:ascii="Calibri" w:cs="Calibri" w:eastAsia="Calibri" w:hAnsi="Calibri"/>
          <w:b/>
          <w:sz w:val="24"/>
          <w:szCs w:val="24"/>
        </w:rPr>
        <w:t>Time-Bound:</w:t>
      </w:r>
      <w:r>
        <w:rPr>
          <w:rFonts w:ascii="Calibri" w:cs="Calibri" w:eastAsia="Calibri" w:hAnsi="Calibri"/>
          <w:sz w:val="24"/>
          <w:szCs w:val="24"/>
        </w:rPr>
        <w:t xml:space="preserve"> Schedule quarterly reflection reviews using Gibbs’ cycle to monitor growth in leadership confidence and digital autonomy.</w:t>
      </w:r>
    </w:p>
    <w:p>
      <w:pPr>
        <w:pStyle w:val="style0"/>
        <w:spacing w:before="240" w:after="240" w:lineRule="auto" w:line="360"/>
        <w:jc w:val="both"/>
        <w:rPr>
          <w:rFonts w:ascii="Calibri" w:cs="Calibri" w:eastAsia="Calibri" w:hAnsi="Calibri"/>
          <w:sz w:val="24"/>
          <w:szCs w:val="24"/>
        </w:rPr>
      </w:pPr>
      <w:r>
        <w:rPr>
          <w:rFonts w:ascii="Calibri" w:cs="Calibri" w:eastAsia="Calibri" w:hAnsi="Calibri"/>
          <w:sz w:val="24"/>
          <w:szCs w:val="24"/>
        </w:rPr>
        <w:t>By leveraging my strengths in empathy, technology, and collaboration, and by addressing identified weaknesses, I aim to position myself as a globally competent HR professional capable of navigating complex, technology-enabled, and culturally diverse work environments.</w:t>
      </w:r>
    </w:p>
    <w:bookmarkStart w:id="11" w:name="_m6ep6hxaq2ee" w:colFirst="0" w:colLast="0"/>
    <w:bookmarkEnd w:id="11"/>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Conclusion</w:t>
      </w:r>
    </w:p>
    <w:p>
      <w:pPr>
        <w:pStyle w:val="style0"/>
        <w:spacing w:before="240" w:after="240" w:lineRule="auto" w:line="360"/>
        <w:ind w:left="0" w:firstLine="0"/>
        <w:jc w:val="both"/>
        <w:rPr>
          <w:rFonts w:ascii="Calibri" w:cs="Calibri" w:eastAsia="Calibri" w:hAnsi="Calibri"/>
          <w:sz w:val="24"/>
          <w:szCs w:val="24"/>
        </w:rPr>
      </w:pPr>
      <w:r>
        <w:rPr>
          <w:rFonts w:ascii="Calibri" w:cs="Calibri" w:eastAsia="Calibri" w:hAnsi="Calibri"/>
          <w:sz w:val="24"/>
          <w:szCs w:val="24"/>
        </w:rPr>
        <w:t>This report has critically examined how technological innovation, demographic shifts, geopolitical forces, and persistent skills shortages are reshaping global labour markets and influencing strategic HRM and IHRM practices. Organisations must integrate digital transformation, inclusive talent management, and cross-cultural adaptability to maintain competitiveness in an evolving global environment. The analysis highlighted that sustainable success depends on aligning human capital strategies with these external dynamics through data-driven, ethical, and globally informed HR approaches. The reflective evaluation further underscored my growing technological agility, leadership awareness, and commitment to continuous learning, key attributes for thriving in the modern, international workplace.</w:t>
      </w:r>
    </w:p>
    <w:bookmarkStart w:id="12" w:name="_2uhmiyq1idni" w:colFirst="0" w:colLast="0"/>
    <w:bookmarkEnd w:id="12"/>
    <w:p>
      <w:pPr>
        <w:pStyle w:val="style1"/>
        <w:keepNext w:val="false"/>
        <w:keepLines w:val="false"/>
        <w:numPr>
          <w:ilvl w:val="0"/>
          <w:numId w:val="1"/>
        </w:numPr>
        <w:spacing w:after="80" w:lineRule="auto" w:line="360"/>
        <w:ind w:left="720" w:hanging="360"/>
        <w:jc w:val="both"/>
        <w:rPr>
          <w:rFonts w:ascii="Calibri" w:cs="Calibri" w:eastAsia="Calibri" w:hAnsi="Calibri"/>
          <w:b/>
          <w:sz w:val="32"/>
          <w:szCs w:val="32"/>
        </w:rPr>
      </w:pPr>
      <w:r>
        <w:rPr>
          <w:rFonts w:ascii="Calibri" w:cs="Calibri" w:eastAsia="Calibri" w:hAnsi="Calibri"/>
          <w:b/>
          <w:sz w:val="32"/>
          <w:szCs w:val="32"/>
        </w:rPr>
        <w:t xml:space="preserve">References </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Broecke, S. (2023) </w:t>
      </w:r>
      <w:r>
        <w:rPr>
          <w:rFonts w:ascii="Calibri" w:cs="Calibri" w:eastAsia="Calibri" w:hAnsi="Calibri"/>
          <w:i/>
          <w:sz w:val="24"/>
          <w:szCs w:val="24"/>
        </w:rPr>
        <w:t>Artificial intelligence and labour market matching</w:t>
      </w:r>
      <w:r>
        <w:rPr>
          <w:rFonts w:ascii="Calibri" w:cs="Calibri" w:eastAsia="Calibri" w:hAnsi="Calibri"/>
          <w:sz w:val="24"/>
          <w:szCs w:val="24"/>
        </w:rPr>
        <w:t xml:space="preserve">, </w:t>
      </w:r>
      <w:r>
        <w:rPr>
          <w:rFonts w:ascii="Calibri" w:cs="Calibri" w:eastAsia="Calibri" w:hAnsi="Calibri"/>
          <w:i/>
          <w:sz w:val="24"/>
          <w:szCs w:val="24"/>
        </w:rPr>
        <w:t>OECD Social, Employment and Migration Working Papers</w:t>
      </w:r>
      <w:r>
        <w:rPr>
          <w:rFonts w:ascii="Calibri" w:cs="Calibri" w:eastAsia="Calibri" w:hAnsi="Calibri"/>
          <w:sz w:val="24"/>
          <w:szCs w:val="24"/>
        </w:rPr>
        <w:t>. OECD Publishing. Available at: https://ideas.repec.org/p/oec/elsaab/284-en.html (Accessed: 9 October 2025).</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Dash, N.S. (2024) ‘Strategic framework for ai-driven human resource management architecture’, </w:t>
      </w:r>
      <w:r>
        <w:rPr>
          <w:rFonts w:ascii="Calibri" w:cs="Calibri" w:eastAsia="Calibri" w:hAnsi="Calibri"/>
          <w:i/>
          <w:sz w:val="24"/>
          <w:szCs w:val="24"/>
        </w:rPr>
        <w:t>World Journal of Advanced Research and Reviews</w:t>
      </w:r>
      <w:r>
        <w:rPr>
          <w:rFonts w:ascii="Calibri" w:cs="Calibri" w:eastAsia="Calibri" w:hAnsi="Calibri"/>
          <w:sz w:val="24"/>
          <w:szCs w:val="24"/>
        </w:rPr>
        <w:t>, 24(3), pp. 202–213. Available at: https://doi.org/10.30574/wjarr.2024.24.3.3672.</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Jo, E. and Ligot, D. (2024) </w:t>
      </w:r>
      <w:r>
        <w:rPr>
          <w:rFonts w:ascii="Calibri" w:cs="Calibri" w:eastAsia="Calibri" w:hAnsi="Calibri"/>
          <w:i/>
          <w:sz w:val="24"/>
          <w:szCs w:val="24"/>
        </w:rPr>
        <w:t>Analyzing the Relationship Between Cultural Dimensions and Educational Performance using Hofstede model and PISA Data</w:t>
      </w:r>
      <w:r>
        <w:rPr>
          <w:rFonts w:ascii="Calibri" w:cs="Calibri" w:eastAsia="Calibri" w:hAnsi="Calibri"/>
          <w:sz w:val="24"/>
          <w:szCs w:val="24"/>
        </w:rPr>
        <w:t xml:space="preserve">, </w:t>
      </w:r>
      <w:r>
        <w:rPr>
          <w:rFonts w:ascii="Calibri" w:cs="Calibri" w:eastAsia="Calibri" w:hAnsi="Calibri"/>
          <w:i/>
          <w:sz w:val="24"/>
          <w:szCs w:val="24"/>
        </w:rPr>
        <w:t>ResearchGate</w:t>
      </w:r>
      <w:r>
        <w:rPr>
          <w:rFonts w:ascii="Calibri" w:cs="Calibri" w:eastAsia="Calibri" w:hAnsi="Calibri"/>
          <w:sz w:val="24"/>
          <w:szCs w:val="24"/>
        </w:rPr>
        <w:t>. Available at: https://doi.org/10.13140/RG.2.2.12350.25927.</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Jurevicius, O. (2023) </w:t>
      </w:r>
      <w:r>
        <w:rPr>
          <w:rFonts w:ascii="Calibri" w:cs="Calibri" w:eastAsia="Calibri" w:hAnsi="Calibri"/>
          <w:i/>
          <w:sz w:val="24"/>
          <w:szCs w:val="24"/>
        </w:rPr>
        <w:t>Resource-Based View</w:t>
      </w:r>
      <w:r>
        <w:rPr>
          <w:rFonts w:ascii="Calibri" w:cs="Calibri" w:eastAsia="Calibri" w:hAnsi="Calibri"/>
          <w:sz w:val="24"/>
          <w:szCs w:val="24"/>
        </w:rPr>
        <w:t xml:space="preserve">, </w:t>
      </w:r>
      <w:r>
        <w:rPr>
          <w:rFonts w:ascii="Calibri" w:cs="Calibri" w:eastAsia="Calibri" w:hAnsi="Calibri"/>
          <w:i/>
          <w:sz w:val="24"/>
          <w:szCs w:val="24"/>
        </w:rPr>
        <w:t>Strategic Management Insight</w:t>
      </w:r>
      <w:r>
        <w:rPr>
          <w:rFonts w:ascii="Calibri" w:cs="Calibri" w:eastAsia="Calibri" w:hAnsi="Calibri"/>
          <w:sz w:val="24"/>
          <w:szCs w:val="24"/>
        </w:rPr>
        <w:t>. Available at: https://strategicmanagementinsight.com/tools/resource-based-view/.</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Lane, M. and Saint-Martin, A. (2021) ‘The Impact of Artificial Intelligence on the Labour Market’, </w:t>
      </w:r>
      <w:r>
        <w:rPr>
          <w:rFonts w:ascii="Calibri" w:cs="Calibri" w:eastAsia="Calibri" w:hAnsi="Calibri"/>
          <w:i/>
          <w:sz w:val="24"/>
          <w:szCs w:val="24"/>
        </w:rPr>
        <w:t>OECD Social, Employment and Migration Working Papers</w:t>
      </w:r>
      <w:r>
        <w:rPr>
          <w:rFonts w:ascii="Calibri" w:cs="Calibri" w:eastAsia="Calibri" w:hAnsi="Calibri"/>
          <w:sz w:val="24"/>
          <w:szCs w:val="24"/>
        </w:rPr>
        <w:t>, 256(256).</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Migration Data Portal (2019) </w:t>
      </w:r>
      <w:r>
        <w:rPr>
          <w:rFonts w:ascii="Calibri" w:cs="Calibri" w:eastAsia="Calibri" w:hAnsi="Calibri"/>
          <w:i/>
          <w:sz w:val="24"/>
          <w:szCs w:val="24"/>
        </w:rPr>
        <w:t>Labour Migration</w:t>
      </w:r>
      <w:r>
        <w:rPr>
          <w:rFonts w:ascii="Calibri" w:cs="Calibri" w:eastAsia="Calibri" w:hAnsi="Calibri"/>
          <w:sz w:val="24"/>
          <w:szCs w:val="24"/>
        </w:rPr>
        <w:t xml:space="preserve">, </w:t>
      </w:r>
      <w:r>
        <w:rPr>
          <w:rFonts w:ascii="Calibri" w:cs="Calibri" w:eastAsia="Calibri" w:hAnsi="Calibri"/>
          <w:i/>
          <w:sz w:val="24"/>
          <w:szCs w:val="24"/>
        </w:rPr>
        <w:t>Migration data portal</w:t>
      </w:r>
      <w:r>
        <w:rPr>
          <w:rFonts w:ascii="Calibri" w:cs="Calibri" w:eastAsia="Calibri" w:hAnsi="Calibri"/>
          <w:sz w:val="24"/>
          <w:szCs w:val="24"/>
        </w:rPr>
        <w:t>. Available at: https://www.migrationdataportal.org/themes/labour-migration-statistics.</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Morelock, A. (2024) </w:t>
      </w:r>
      <w:r>
        <w:rPr>
          <w:rFonts w:ascii="Calibri" w:cs="Calibri" w:eastAsia="Calibri" w:hAnsi="Calibri"/>
          <w:i/>
          <w:sz w:val="24"/>
          <w:szCs w:val="24"/>
        </w:rPr>
        <w:t>IT Skills Gap: What It Means and How To Respond</w:t>
      </w:r>
      <w:r>
        <w:rPr>
          <w:rFonts w:ascii="Calibri" w:cs="Calibri" w:eastAsia="Calibri" w:hAnsi="Calibri"/>
          <w:sz w:val="24"/>
          <w:szCs w:val="24"/>
        </w:rPr>
        <w:t xml:space="preserve">, </w:t>
      </w:r>
      <w:r>
        <w:rPr>
          <w:rFonts w:ascii="Calibri" w:cs="Calibri" w:eastAsia="Calibri" w:hAnsi="Calibri"/>
          <w:i/>
          <w:sz w:val="24"/>
          <w:szCs w:val="24"/>
        </w:rPr>
        <w:t>Insight Global</w:t>
      </w:r>
      <w:r>
        <w:rPr>
          <w:rFonts w:ascii="Calibri" w:cs="Calibri" w:eastAsia="Calibri" w:hAnsi="Calibri"/>
          <w:sz w:val="24"/>
          <w:szCs w:val="24"/>
        </w:rPr>
        <w:t>. Available at: https://insightglobal.com/blog/it-skills-gap/.</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Muralidhar, L.B., N. Sathyanarayana, Swapna, H.R., Hukkeri, S.V. and Sultana, R. (2025) ‘Machine Learning Advancing Diversity Equity and Inclusion in Data-Driven HR Practices’, </w:t>
      </w:r>
      <w:r>
        <w:rPr>
          <w:rFonts w:ascii="Calibri" w:cs="Calibri" w:eastAsia="Calibri" w:hAnsi="Calibri"/>
          <w:i/>
          <w:sz w:val="24"/>
          <w:szCs w:val="24"/>
        </w:rPr>
        <w:t>Advances in human resources management and organizational development book series</w:t>
      </w:r>
      <w:r>
        <w:rPr>
          <w:rFonts w:ascii="Calibri" w:cs="Calibri" w:eastAsia="Calibri" w:hAnsi="Calibri"/>
          <w:sz w:val="24"/>
          <w:szCs w:val="24"/>
        </w:rPr>
        <w:t>, pp. 423–444. Available at: https://doi.org/10.4018/979-8-3373-0149-5.ch019.</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NHS England (2024) </w:t>
      </w:r>
      <w:r>
        <w:rPr>
          <w:rFonts w:ascii="Calibri" w:cs="Calibri" w:eastAsia="Calibri" w:hAnsi="Calibri"/>
          <w:i/>
          <w:sz w:val="24"/>
          <w:szCs w:val="24"/>
        </w:rPr>
        <w:t>NHS England - NHS Long Term Workforce Plan</w:t>
      </w:r>
      <w:r>
        <w:rPr>
          <w:rFonts w:ascii="Calibri" w:cs="Calibri" w:eastAsia="Calibri" w:hAnsi="Calibri"/>
          <w:sz w:val="24"/>
          <w:szCs w:val="24"/>
        </w:rPr>
        <w:t xml:space="preserve">, </w:t>
      </w:r>
      <w:r>
        <w:rPr>
          <w:rFonts w:ascii="Calibri" w:cs="Calibri" w:eastAsia="Calibri" w:hAnsi="Calibri"/>
          <w:i/>
          <w:sz w:val="24"/>
          <w:szCs w:val="24"/>
        </w:rPr>
        <w:t>NHS England</w:t>
      </w:r>
      <w:r>
        <w:rPr>
          <w:rFonts w:ascii="Calibri" w:cs="Calibri" w:eastAsia="Calibri" w:hAnsi="Calibri"/>
          <w:sz w:val="24"/>
          <w:szCs w:val="24"/>
        </w:rPr>
        <w:t>. NHS England. Available at: https://www.england.nhs.uk/long-read/nhs-long-term-workforce-plan-2/.</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Odogwu, R., Ogeawuchi, J.C., Abayomi, A.A., Agboola, O.A. and Owoade, S. (2022) ‘Optimizing Productivity in Asynchronous Remote Project Teams Through AI-Augmented Workflow Orchestration and Cognitive Load Balancing’, </w:t>
      </w:r>
      <w:r>
        <w:rPr>
          <w:rFonts w:ascii="Calibri" w:cs="Calibri" w:eastAsia="Calibri" w:hAnsi="Calibri"/>
          <w:i/>
          <w:sz w:val="24"/>
          <w:szCs w:val="24"/>
        </w:rPr>
        <w:t>International Journal of Multidisciplinary Research and Growth Evaluation</w:t>
      </w:r>
      <w:r>
        <w:rPr>
          <w:rFonts w:ascii="Calibri" w:cs="Calibri" w:eastAsia="Calibri" w:hAnsi="Calibri"/>
          <w:sz w:val="24"/>
          <w:szCs w:val="24"/>
        </w:rPr>
        <w:t>, 3(4), pp. 628–634. Available at: https://doi.org/10.54660/.ijmrge.2022.3.4.628-634.</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(2023) ‘Artificial intelligence and labour market matching’, </w:t>
      </w:r>
      <w:r>
        <w:rPr>
          <w:rFonts w:ascii="Calibri" w:cs="Calibri" w:eastAsia="Calibri" w:hAnsi="Calibri"/>
          <w:i/>
          <w:sz w:val="24"/>
          <w:szCs w:val="24"/>
        </w:rPr>
        <w:t>OECD Social, Employment and Migration Working Papers</w:t>
      </w:r>
      <w:r>
        <w:rPr>
          <w:rFonts w:ascii="Calibri" w:cs="Calibri" w:eastAsia="Calibri" w:hAnsi="Calibri"/>
          <w:sz w:val="24"/>
          <w:szCs w:val="24"/>
        </w:rPr>
        <w:t xml:space="preserve"> [Preprint]. Available at: https://doi.org/10.1787/2b440821-en.</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(2024a) </w:t>
      </w:r>
      <w:r>
        <w:rPr>
          <w:rFonts w:ascii="Calibri" w:cs="Calibri" w:eastAsia="Calibri" w:hAnsi="Calibri"/>
          <w:i/>
          <w:sz w:val="24"/>
          <w:szCs w:val="24"/>
        </w:rPr>
        <w:t>Ageing and employment</w:t>
      </w:r>
      <w:r>
        <w:rPr>
          <w:rFonts w:ascii="Calibri" w:cs="Calibri" w:eastAsia="Calibri" w:hAnsi="Calibri"/>
          <w:sz w:val="24"/>
          <w:szCs w:val="24"/>
        </w:rPr>
        <w:t xml:space="preserve">, </w:t>
      </w:r>
      <w:r>
        <w:rPr>
          <w:rFonts w:ascii="Calibri" w:cs="Calibri" w:eastAsia="Calibri" w:hAnsi="Calibri"/>
          <w:i/>
          <w:sz w:val="24"/>
          <w:szCs w:val="24"/>
        </w:rPr>
        <w:t>OECD</w:t>
      </w:r>
      <w:r>
        <w:rPr>
          <w:rFonts w:ascii="Calibri" w:cs="Calibri" w:eastAsia="Calibri" w:hAnsi="Calibri"/>
          <w:sz w:val="24"/>
          <w:szCs w:val="24"/>
        </w:rPr>
        <w:t>. Available at: https://www.oecd.org/en/topics/sub-issues/ageing-and-employment.html.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(2024b) </w:t>
      </w:r>
      <w:r>
        <w:rPr>
          <w:rFonts w:ascii="Calibri" w:cs="Calibri" w:eastAsia="Calibri" w:hAnsi="Calibri"/>
          <w:i/>
          <w:sz w:val="24"/>
          <w:szCs w:val="24"/>
        </w:rPr>
        <w:t>International Migration Outlook 2024: Recent developments in international migration movements and labour market inclusion of immigrants</w:t>
      </w:r>
      <w:r>
        <w:rPr>
          <w:rFonts w:ascii="Calibri" w:cs="Calibri" w:eastAsia="Calibri" w:hAnsi="Calibri"/>
          <w:sz w:val="24"/>
          <w:szCs w:val="24"/>
        </w:rPr>
        <w:t xml:space="preserve">, </w:t>
      </w:r>
      <w:r>
        <w:rPr>
          <w:rFonts w:ascii="Calibri" w:cs="Calibri" w:eastAsia="Calibri" w:hAnsi="Calibri"/>
          <w:i/>
          <w:sz w:val="24"/>
          <w:szCs w:val="24"/>
        </w:rPr>
        <w:t>OECD</w:t>
      </w:r>
      <w:r>
        <w:rPr>
          <w:rFonts w:ascii="Calibri" w:cs="Calibri" w:eastAsia="Calibri" w:hAnsi="Calibri"/>
          <w:sz w:val="24"/>
          <w:szCs w:val="24"/>
        </w:rPr>
        <w:t>. Available at: https://www.oecd.org/en/publications/2024/11/international-migration-outlook-2024_c6f3e803/full-report/recent-developments-in-international-migration-movements-and-labour-market-inclusion-of-immigrants_d9495542.html.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(2024c) </w:t>
      </w:r>
      <w:r>
        <w:rPr>
          <w:rFonts w:ascii="Calibri" w:cs="Calibri" w:eastAsia="Calibri" w:hAnsi="Calibri"/>
          <w:i/>
          <w:sz w:val="24"/>
          <w:szCs w:val="24"/>
        </w:rPr>
        <w:t>Understanding Skill Gaps in Firms</w:t>
      </w:r>
      <w:r>
        <w:rPr>
          <w:rFonts w:ascii="Calibri" w:cs="Calibri" w:eastAsia="Calibri" w:hAnsi="Calibri"/>
          <w:sz w:val="24"/>
          <w:szCs w:val="24"/>
        </w:rPr>
        <w:t xml:space="preserve">, </w:t>
      </w:r>
      <w:r>
        <w:rPr>
          <w:rFonts w:ascii="Calibri" w:cs="Calibri" w:eastAsia="Calibri" w:hAnsi="Calibri"/>
          <w:i/>
          <w:sz w:val="24"/>
          <w:szCs w:val="24"/>
        </w:rPr>
        <w:t>OECD</w:t>
      </w:r>
      <w:r>
        <w:rPr>
          <w:rFonts w:ascii="Calibri" w:cs="Calibri" w:eastAsia="Calibri" w:hAnsi="Calibri"/>
          <w:sz w:val="24"/>
          <w:szCs w:val="24"/>
        </w:rPr>
        <w:t>. Available at: https://www.oecd.org/en/publications/understanding-skill-gaps-in-firms_b388d1da-en.html.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(2025a) </w:t>
      </w:r>
      <w:r>
        <w:rPr>
          <w:rFonts w:ascii="Calibri" w:cs="Calibri" w:eastAsia="Calibri" w:hAnsi="Calibri"/>
          <w:i/>
          <w:sz w:val="24"/>
          <w:szCs w:val="24"/>
        </w:rPr>
        <w:t>Empowering the Workforce in the Context of a Skills-First Approach: Skills signalling in OECD countries</w:t>
      </w:r>
      <w:r>
        <w:rPr>
          <w:rFonts w:ascii="Calibri" w:cs="Calibri" w:eastAsia="Calibri" w:hAnsi="Calibri"/>
          <w:sz w:val="24"/>
          <w:szCs w:val="24"/>
        </w:rPr>
        <w:t xml:space="preserve">, </w:t>
      </w:r>
      <w:r>
        <w:rPr>
          <w:rFonts w:ascii="Calibri" w:cs="Calibri" w:eastAsia="Calibri" w:hAnsi="Calibri"/>
          <w:i/>
          <w:sz w:val="24"/>
          <w:szCs w:val="24"/>
        </w:rPr>
        <w:t>OECD</w:t>
      </w:r>
      <w:r>
        <w:rPr>
          <w:rFonts w:ascii="Calibri" w:cs="Calibri" w:eastAsia="Calibri" w:hAnsi="Calibri"/>
          <w:sz w:val="24"/>
          <w:szCs w:val="24"/>
        </w:rPr>
        <w:t>. Available at: https://www.oecd.org/en/publications/empowering-the-workforce-in-the-context-of-a-skills-first-approach_345b6528-en/full-report/skills-signalling-in-oecd-countries_158ea858.html.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OECD (2025b) </w:t>
      </w:r>
      <w:r>
        <w:rPr>
          <w:rFonts w:ascii="Calibri" w:cs="Calibri" w:eastAsia="Calibri" w:hAnsi="Calibri"/>
          <w:i/>
          <w:sz w:val="24"/>
          <w:szCs w:val="24"/>
        </w:rPr>
        <w:t>Welcome To Zscaler Directory Authentication</w:t>
      </w:r>
      <w:r>
        <w:rPr>
          <w:rFonts w:ascii="Calibri" w:cs="Calibri" w:eastAsia="Calibri" w:hAnsi="Calibri"/>
          <w:sz w:val="24"/>
          <w:szCs w:val="24"/>
        </w:rPr>
        <w:t xml:space="preserve">, </w:t>
      </w:r>
      <w:r>
        <w:rPr>
          <w:rFonts w:ascii="Calibri" w:cs="Calibri" w:eastAsia="Calibri" w:hAnsi="Calibri"/>
          <w:i/>
          <w:sz w:val="24"/>
          <w:szCs w:val="24"/>
        </w:rPr>
        <w:t>Oecd.org</w:t>
      </w:r>
      <w:r>
        <w:rPr>
          <w:rFonts w:ascii="Calibri" w:cs="Calibri" w:eastAsia="Calibri" w:hAnsi="Calibri"/>
          <w:sz w:val="24"/>
          <w:szCs w:val="24"/>
        </w:rPr>
        <w:t>. Available at: https://www.oecd.org/en/publications/2025/07/oecd-employment-outlook-2025_5345f034/full-report/setting-the-scene-demographic-change-economic-growth-and-intergenerational-inequalities_9d481169.html.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Sala, J. and Zaccaria, M. (2025) </w:t>
      </w:r>
      <w:r>
        <w:rPr>
          <w:rFonts w:ascii="Calibri" w:cs="Calibri" w:eastAsia="Calibri" w:hAnsi="Calibri"/>
          <w:i/>
          <w:sz w:val="24"/>
          <w:szCs w:val="24"/>
        </w:rPr>
        <w:t>Can we Overcome the Demographic Crisis? Employment Prospects in the OECD Employment Outlook 2025</w:t>
      </w:r>
      <w:r>
        <w:rPr>
          <w:rFonts w:ascii="Calibri" w:cs="Calibri" w:eastAsia="Calibri" w:hAnsi="Calibri"/>
          <w:sz w:val="24"/>
          <w:szCs w:val="24"/>
        </w:rPr>
        <w:t xml:space="preserve">, </w:t>
      </w:r>
      <w:r>
        <w:rPr>
          <w:rFonts w:ascii="Calibri" w:cs="Calibri" w:eastAsia="Calibri" w:hAnsi="Calibri"/>
          <w:i/>
          <w:sz w:val="24"/>
          <w:szCs w:val="24"/>
        </w:rPr>
        <w:t>English Bullettin</w:t>
      </w:r>
      <w:r>
        <w:rPr>
          <w:rFonts w:ascii="Calibri" w:cs="Calibri" w:eastAsia="Calibri" w:hAnsi="Calibri"/>
          <w:sz w:val="24"/>
          <w:szCs w:val="24"/>
        </w:rPr>
        <w:t>. Available at: https://englishbulletin.adapt.it/can-we-overcome-the-demographic-crisis-employment-prospects-in-the-oecd-employment-outlook-2025/ (Accessed: 9 October 2025).</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Shingal, T. (2018) </w:t>
      </w:r>
      <w:r>
        <w:rPr>
          <w:rFonts w:ascii="Calibri" w:cs="Calibri" w:eastAsia="Calibri" w:hAnsi="Calibri"/>
          <w:i/>
          <w:sz w:val="24"/>
          <w:szCs w:val="24"/>
        </w:rPr>
        <w:t>Managing HR Roles: David Ulrich’s HR Model</w:t>
      </w:r>
      <w:r>
        <w:rPr>
          <w:rFonts w:ascii="Calibri" w:cs="Calibri" w:eastAsia="Calibri" w:hAnsi="Calibri"/>
          <w:sz w:val="24"/>
          <w:szCs w:val="24"/>
        </w:rPr>
        <w:t xml:space="preserve">, </w:t>
      </w:r>
      <w:r>
        <w:rPr>
          <w:rFonts w:ascii="Calibri" w:cs="Calibri" w:eastAsia="Calibri" w:hAnsi="Calibri"/>
          <w:i/>
          <w:sz w:val="24"/>
          <w:szCs w:val="24"/>
        </w:rPr>
        <w:t>mettl</w:t>
      </w:r>
      <w:r>
        <w:rPr>
          <w:rFonts w:ascii="Calibri" w:cs="Calibri" w:eastAsia="Calibri" w:hAnsi="Calibri"/>
          <w:sz w:val="24"/>
          <w:szCs w:val="24"/>
        </w:rPr>
        <w:t>. Available at: https://blog.mettl.com/managing-hr-roles-david-ulrich-model/.</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Stringer, G. (2024) </w:t>
      </w:r>
      <w:r>
        <w:rPr>
          <w:rFonts w:ascii="Calibri" w:cs="Calibri" w:eastAsia="Calibri" w:hAnsi="Calibri"/>
          <w:i/>
          <w:sz w:val="24"/>
          <w:szCs w:val="24"/>
        </w:rPr>
        <w:t>The 27 Best Skills Gap Statistics (In One Blog Post)</w:t>
      </w:r>
      <w:r>
        <w:rPr>
          <w:rFonts w:ascii="Calibri" w:cs="Calibri" w:eastAsia="Calibri" w:hAnsi="Calibri"/>
          <w:sz w:val="24"/>
          <w:szCs w:val="24"/>
        </w:rPr>
        <w:t xml:space="preserve">, </w:t>
      </w:r>
      <w:r>
        <w:rPr>
          <w:rFonts w:ascii="Calibri" w:cs="Calibri" w:eastAsia="Calibri" w:hAnsi="Calibri"/>
          <w:i/>
          <w:sz w:val="24"/>
          <w:szCs w:val="24"/>
        </w:rPr>
        <w:t>Gethownow.com</w:t>
      </w:r>
      <w:r>
        <w:rPr>
          <w:rFonts w:ascii="Calibri" w:cs="Calibri" w:eastAsia="Calibri" w:hAnsi="Calibri"/>
          <w:sz w:val="24"/>
          <w:szCs w:val="24"/>
        </w:rPr>
        <w:t>. Available at: https://www.gethownow.com/blog/skills-gap-statistics.</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Vries, N. de, Lavreysen, O., Boone, A., Bouman, J., Szemik, S., Barański, K., Godderis, L. and Winter, P. de (2023) ‘Retaining healthcare workers: a systematic review of strategies for sustaining power in the workplace’, </w:t>
      </w:r>
      <w:r>
        <w:rPr>
          <w:rFonts w:ascii="Calibri" w:cs="Calibri" w:eastAsia="Calibri" w:hAnsi="Calibri"/>
          <w:i/>
          <w:sz w:val="24"/>
          <w:szCs w:val="24"/>
        </w:rPr>
        <w:t>Healthcare</w:t>
      </w:r>
      <w:r>
        <w:rPr>
          <w:rFonts w:ascii="Calibri" w:cs="Calibri" w:eastAsia="Calibri" w:hAnsi="Calibri"/>
          <w:sz w:val="24"/>
          <w:szCs w:val="24"/>
        </w:rPr>
        <w:t>, 11(13), pp. 1–29. Available at: https://doi.org/10.3390/healthcare11131887.</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World Economic Forum (2025) </w:t>
      </w:r>
      <w:r>
        <w:rPr>
          <w:rFonts w:ascii="Calibri" w:cs="Calibri" w:eastAsia="Calibri" w:hAnsi="Calibri"/>
          <w:i/>
          <w:sz w:val="24"/>
          <w:szCs w:val="24"/>
        </w:rPr>
        <w:t>The Future of Jobs Report 2025</w:t>
      </w:r>
      <w:r>
        <w:rPr>
          <w:rFonts w:ascii="Calibri" w:cs="Calibri" w:eastAsia="Calibri" w:hAnsi="Calibri"/>
          <w:sz w:val="24"/>
          <w:szCs w:val="24"/>
        </w:rPr>
        <w:t xml:space="preserve">, </w:t>
      </w:r>
      <w:r>
        <w:rPr>
          <w:rFonts w:ascii="Calibri" w:cs="Calibri" w:eastAsia="Calibri" w:hAnsi="Calibri"/>
          <w:i/>
          <w:sz w:val="24"/>
          <w:szCs w:val="24"/>
        </w:rPr>
        <w:t>World Economic Forum</w:t>
      </w:r>
      <w:r>
        <w:rPr>
          <w:rFonts w:ascii="Calibri" w:cs="Calibri" w:eastAsia="Calibri" w:hAnsi="Calibri"/>
          <w:sz w:val="24"/>
          <w:szCs w:val="24"/>
        </w:rPr>
        <w:t>. Available at: https://www.weforum.org/publications/the-future-of-jobs-report-2025/digest/.</w:t>
      </w:r>
    </w:p>
    <w:p>
      <w:pPr>
        <w:pStyle w:val="style0"/>
        <w:spacing w:after="240" w:lineRule="auto" w:line="360"/>
        <w:rPr>
          <w:rFonts w:ascii="Calibri" w:cs="Calibri" w:eastAsia="Calibri" w:hAnsi="Calibri"/>
          <w:sz w:val="24"/>
          <w:szCs w:val="24"/>
        </w:rPr>
      </w:pPr>
      <w:r>
        <w:rPr>
          <w:rFonts w:ascii="Calibri" w:cs="Calibri" w:eastAsia="Calibri" w:hAnsi="Calibri"/>
          <w:sz w:val="24"/>
          <w:szCs w:val="24"/>
        </w:rPr>
        <w:t xml:space="preserve">Yadin Yadin, Hi, B., Andri Irawan, Muhammad Aldrin Akbar and Yendra Yendra (2024) ‘Labor Mobility and Wage Dynamics: Understanding the Interplay of Factors in Modern Labor Economics’, </w:t>
      </w:r>
      <w:r>
        <w:rPr>
          <w:rFonts w:ascii="Calibri" w:cs="Calibri" w:eastAsia="Calibri" w:hAnsi="Calibri"/>
          <w:i/>
          <w:sz w:val="24"/>
          <w:szCs w:val="24"/>
        </w:rPr>
        <w:t>Advances in Human Resource Management Research</w:t>
      </w:r>
      <w:r>
        <w:rPr>
          <w:rFonts w:ascii="Calibri" w:cs="Calibri" w:eastAsia="Calibri" w:hAnsi="Calibri"/>
          <w:sz w:val="24"/>
          <w:szCs w:val="24"/>
        </w:rPr>
        <w:t>, 2(2). Available at: https://doi.org/10.60079/ahrmr.v2i2.186.</w:t>
      </w:r>
      <w:r>
        <w:rPr>
          <w:rFonts w:ascii="Calibri" w:cs="Calibri" w:eastAsia="Calibri" w:hAnsi="Calibri"/>
          <w:sz w:val="24"/>
          <w:szCs w:val="24"/>
        </w:rPr>
        <w:br/>
      </w:r>
    </w:p>
    <w:sectPr>
      <w:pgSz w:w="12240" w:h="15840" w:orient="portrait"/>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4030204"/>
    <w:charset w:val="7a"/>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rPr>
    </w:rPrDefault>
    <w:pPrDefault>
      <w:pPr>
        <w:spacing w:lineRule="auto" w:line="276"/>
      </w:pPr>
    </w:pPrDefault>
  </w:docDefaults>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customStyle="1" w:styleId="style4098">
    <w:name w:val="normal"/>
    <w:next w:val="style4098"/>
    <w:pPr/>
  </w:style>
  <w:style w:type="paragraph" w:styleId="style1">
    <w:name w:val="heading 1"/>
    <w:basedOn w:val="style4098"/>
    <w:next w:val="style4098"/>
    <w:pPr>
      <w:keepNext/>
      <w:keepLines/>
      <w:pageBreakBefore w:val="false"/>
      <w:spacing w:before="400" w:after="120"/>
    </w:pPr>
    <w:rPr>
      <w:sz w:val="40"/>
      <w:szCs w:val="40"/>
    </w:rPr>
  </w:style>
  <w:style w:type="paragraph" w:styleId="style2">
    <w:name w:val="heading 2"/>
    <w:basedOn w:val="style4098"/>
    <w:next w:val="style4098"/>
    <w:pPr>
      <w:keepNext/>
      <w:keepLines/>
      <w:pageBreakBefore w:val="false"/>
      <w:spacing w:before="360" w:after="120"/>
    </w:pPr>
    <w:rPr>
      <w:b w:val="false"/>
      <w:sz w:val="32"/>
      <w:szCs w:val="32"/>
    </w:rPr>
  </w:style>
  <w:style w:type="paragraph" w:styleId="style3">
    <w:name w:val="heading 3"/>
    <w:basedOn w:val="style4098"/>
    <w:next w:val="style4098"/>
    <w:pPr>
      <w:keepNext/>
      <w:keepLines/>
      <w:pageBreakBefore w:val="false"/>
      <w:spacing w:before="320" w:after="80"/>
    </w:pPr>
    <w:rPr>
      <w:b w:val="false"/>
      <w:color w:val="434343"/>
      <w:sz w:val="28"/>
      <w:szCs w:val="28"/>
    </w:rPr>
  </w:style>
  <w:style w:type="paragraph" w:styleId="style4">
    <w:name w:val="heading 4"/>
    <w:basedOn w:val="style4098"/>
    <w:next w:val="style4098"/>
    <w:pPr>
      <w:keepNext/>
      <w:keepLines/>
      <w:pageBreakBefore w:val="false"/>
      <w:spacing w:before="280" w:after="80"/>
    </w:pPr>
    <w:rPr>
      <w:color w:val="666666"/>
      <w:sz w:val="24"/>
      <w:szCs w:val="24"/>
    </w:rPr>
  </w:style>
  <w:style w:type="paragraph" w:styleId="style5">
    <w:name w:val="heading 5"/>
    <w:basedOn w:val="style4098"/>
    <w:next w:val="style4098"/>
    <w:pPr>
      <w:keepNext/>
      <w:keepLines/>
      <w:pageBreakBefore w:val="false"/>
      <w:spacing w:before="240" w:after="80"/>
    </w:pPr>
    <w:rPr>
      <w:color w:val="666666"/>
      <w:sz w:val="22"/>
      <w:szCs w:val="22"/>
    </w:rPr>
  </w:style>
  <w:style w:type="paragraph" w:styleId="style6">
    <w:name w:val="heading 6"/>
    <w:basedOn w:val="style4098"/>
    <w:next w:val="style4098"/>
    <w:pPr>
      <w:keepNext/>
      <w:keepLines/>
      <w:pageBreakBefore w:val="false"/>
      <w:spacing w:before="240" w:after="80"/>
    </w:pPr>
    <w:rPr>
      <w:i/>
      <w:color w:val="666666"/>
      <w:sz w:val="22"/>
      <w:szCs w:val="22"/>
    </w:rPr>
  </w:style>
  <w:style w:type="paragraph" w:styleId="style62">
    <w:name w:val="Title"/>
    <w:basedOn w:val="style4098"/>
    <w:next w:val="style4098"/>
    <w:pPr>
      <w:keepNext/>
      <w:keepLines/>
      <w:pageBreakBefore w:val="false"/>
      <w:spacing w:before="0" w:after="60"/>
    </w:pPr>
    <w:rPr>
      <w:sz w:val="52"/>
      <w:szCs w:val="52"/>
    </w:rPr>
  </w:style>
  <w:style w:type="paragraph" w:styleId="style74">
    <w:name w:val="Subtitle"/>
    <w:basedOn w:val="style4098"/>
    <w:next w:val="style4098"/>
    <w:pPr>
      <w:keepNext/>
      <w:keepLines/>
      <w:pageBreakBefore w:val="false"/>
      <w:spacing w:before="0" w:after="320"/>
    </w:pPr>
    <w:rPr>
      <w:rFonts w:ascii="Arial" w:cs="Arial" w:eastAsia="Arial" w:hAnsi="Arial"/>
      <w:i w:val="false"/>
      <w:color w:val="666666"/>
      <w:sz w:val="30"/>
      <w:szCs w:val="30"/>
    </w:r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settings" Target="settings.xml"/><Relationship Id="rId10" Type="http://schemas.openxmlformats.org/officeDocument/2006/relationships/fontTable" Target="fontTable.xml"/><Relationship Id="rId12" Type="http://schemas.openxmlformats.org/officeDocument/2006/relationships/theme" Target="theme/theme1.xml"/><Relationship Id="rId9" Type="http://schemas.openxmlformats.org/officeDocument/2006/relationships/styles" Target="style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3168</Words>
  <Characters>21878</Characters>
  <Application>WPS Office</Application>
  <Paragraphs>117</Paragraphs>
  <CharactersWithSpaces>24941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2025-10-14T10:51:18Z</dcterms:created>
  <dc:creator>WPS Office</dc:creator>
  <lastModifiedBy>24117RN76G</lastModifiedBy>
  <dcterms:modified xsi:type="dcterms:W3CDTF">2025-10-14T10:51:18Z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c4d41585e9bc47f6a63c3c630232feff</vt:lpwstr>
  </property>
</Properties>
</file>