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99B2AB9" w:rsidR="7908378C" w:rsidRDefault="7908378C" w:rsidP="33572C6E">
            <w:pPr>
              <w:ind w:right="237"/>
              <w:rPr>
                <w:b/>
                <w:bCs/>
                <w:color w:val="auto"/>
                <w:sz w:val="32"/>
                <w:szCs w:val="32"/>
              </w:rPr>
            </w:pPr>
            <w:r w:rsidRPr="33572C6E">
              <w:rPr>
                <w:b/>
                <w:bCs/>
                <w:color w:val="auto"/>
                <w:sz w:val="32"/>
                <w:szCs w:val="32"/>
              </w:rPr>
              <w:t>Learner name: _</w:t>
            </w:r>
            <w:r w:rsidR="00073707">
              <w:rPr>
                <w:b/>
                <w:bCs/>
                <w:color w:val="auto"/>
                <w:sz w:val="32"/>
                <w:szCs w:val="32"/>
              </w:rPr>
              <w:t xml:space="preserve">Sian Williams </w:t>
            </w:r>
            <w:r w:rsidRPr="33572C6E">
              <w:rPr>
                <w:b/>
                <w:bCs/>
                <w:color w:val="auto"/>
                <w:sz w:val="32"/>
                <w:szCs w:val="32"/>
              </w:rPr>
              <w:t>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608FD32" w:rsidR="7908378C" w:rsidRDefault="7908378C" w:rsidP="33572C6E">
            <w:pPr>
              <w:ind w:right="237"/>
              <w:rPr>
                <w:b/>
                <w:bCs/>
                <w:color w:val="auto"/>
                <w:sz w:val="32"/>
                <w:szCs w:val="32"/>
              </w:rPr>
            </w:pPr>
            <w:r w:rsidRPr="33572C6E">
              <w:rPr>
                <w:b/>
                <w:bCs/>
                <w:color w:val="auto"/>
                <w:sz w:val="32"/>
                <w:szCs w:val="32"/>
              </w:rPr>
              <w:t>__</w:t>
            </w:r>
            <w:r w:rsidR="00073707">
              <w:rPr>
                <w:b/>
                <w:bCs/>
                <w:color w:val="auto"/>
                <w:sz w:val="32"/>
                <w:szCs w:val="32"/>
              </w:rPr>
              <w:t>2245971</w:t>
            </w:r>
            <w:r w:rsidRPr="33572C6E">
              <w:rPr>
                <w:b/>
                <w:bCs/>
                <w:color w:val="auto"/>
                <w:sz w:val="32"/>
                <w:szCs w:val="32"/>
              </w:rPr>
              <w:t>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lastRenderedPageBreak/>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260D92"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07187D5E" w:rsidR="5B843AF0" w:rsidRDefault="00F70D03" w:rsidP="00D4021E">
      <w:pPr>
        <w:ind w:right="237"/>
        <w:rPr>
          <w:sz w:val="24"/>
          <w:szCs w:val="24"/>
        </w:rPr>
      </w:pPr>
      <w:r>
        <w:rPr>
          <w:sz w:val="24"/>
          <w:szCs w:val="24"/>
        </w:rPr>
        <w:t>The College of Policing states that a person can be defined as vulnerable if they are unable to protect themselves or others from exploitation</w:t>
      </w:r>
      <w:r w:rsidR="0072143D">
        <w:rPr>
          <w:sz w:val="24"/>
          <w:szCs w:val="24"/>
        </w:rPr>
        <w:t>,</w:t>
      </w:r>
      <w:r>
        <w:rPr>
          <w:sz w:val="24"/>
          <w:szCs w:val="24"/>
        </w:rPr>
        <w:t xml:space="preserve"> harm or take care of themselves </w:t>
      </w:r>
      <w:r w:rsidR="006B3A71">
        <w:rPr>
          <w:sz w:val="24"/>
          <w:szCs w:val="24"/>
        </w:rPr>
        <w:t>due to</w:t>
      </w:r>
      <w:r>
        <w:rPr>
          <w:sz w:val="24"/>
          <w:szCs w:val="24"/>
        </w:rPr>
        <w:t xml:space="preserve"> a situation or a range of circumstances</w:t>
      </w:r>
      <w:r w:rsidR="00C52948">
        <w:rPr>
          <w:sz w:val="24"/>
          <w:szCs w:val="24"/>
        </w:rPr>
        <w:t xml:space="preserve">. (College of Policing, 2021). </w:t>
      </w:r>
      <w:r w:rsidR="00073059">
        <w:rPr>
          <w:sz w:val="24"/>
          <w:szCs w:val="24"/>
        </w:rPr>
        <w:t xml:space="preserve">Vulnerability within policing is often referred to victims and witnesses, however the police often deal with vulnerable suspects. This essay is going to focus on an incident whereby a </w:t>
      </w:r>
      <w:r w:rsidR="00A75AE9">
        <w:rPr>
          <w:sz w:val="24"/>
          <w:szCs w:val="24"/>
        </w:rPr>
        <w:t>14-year-old</w:t>
      </w:r>
      <w:r w:rsidR="00073059">
        <w:rPr>
          <w:sz w:val="24"/>
          <w:szCs w:val="24"/>
        </w:rPr>
        <w:t xml:space="preserve"> male raped an </w:t>
      </w:r>
      <w:r w:rsidR="00A75AE9">
        <w:rPr>
          <w:sz w:val="24"/>
          <w:szCs w:val="24"/>
        </w:rPr>
        <w:t>11-year-old</w:t>
      </w:r>
      <w:r w:rsidR="00073059">
        <w:rPr>
          <w:sz w:val="24"/>
          <w:szCs w:val="24"/>
        </w:rPr>
        <w:t xml:space="preserve"> female. Both</w:t>
      </w:r>
      <w:r w:rsidR="00A75AE9">
        <w:rPr>
          <w:sz w:val="24"/>
          <w:szCs w:val="24"/>
        </w:rPr>
        <w:t xml:space="preserve"> </w:t>
      </w:r>
      <w:r w:rsidR="00073059">
        <w:rPr>
          <w:sz w:val="24"/>
          <w:szCs w:val="24"/>
        </w:rPr>
        <w:t>parties in this incident are defined as vulnerable</w:t>
      </w:r>
      <w:r w:rsidR="00A75AE9">
        <w:rPr>
          <w:sz w:val="24"/>
          <w:szCs w:val="24"/>
        </w:rPr>
        <w:t xml:space="preserve"> for </w:t>
      </w:r>
      <w:r w:rsidR="006B3A71">
        <w:rPr>
          <w:sz w:val="24"/>
          <w:szCs w:val="24"/>
        </w:rPr>
        <w:t>several</w:t>
      </w:r>
      <w:r w:rsidR="00A75AE9">
        <w:rPr>
          <w:sz w:val="24"/>
          <w:szCs w:val="24"/>
        </w:rPr>
        <w:t xml:space="preserve"> reasons</w:t>
      </w:r>
      <w:r w:rsidR="00652922">
        <w:rPr>
          <w:sz w:val="24"/>
          <w:szCs w:val="24"/>
        </w:rPr>
        <w:t xml:space="preserve"> </w:t>
      </w:r>
      <w:r w:rsidR="00A75AE9">
        <w:rPr>
          <w:sz w:val="24"/>
          <w:szCs w:val="24"/>
        </w:rPr>
        <w:t>which will be explored in the body of this essa</w:t>
      </w:r>
      <w:r w:rsidR="008C27B6">
        <w:rPr>
          <w:sz w:val="24"/>
          <w:szCs w:val="24"/>
        </w:rPr>
        <w:t xml:space="preserve">y. This incident saw the partnership working by the police and social services for both the victim and the suspect. </w:t>
      </w:r>
      <w:r w:rsidR="00CC5EE5">
        <w:rPr>
          <w:sz w:val="24"/>
          <w:szCs w:val="24"/>
        </w:rPr>
        <w:t xml:space="preserve">Throughout this essay, I will be reflecting on the incident where I played a significant role with the victim </w:t>
      </w:r>
      <w:r w:rsidR="00EE47D8">
        <w:rPr>
          <w:sz w:val="24"/>
          <w:szCs w:val="24"/>
        </w:rPr>
        <w:t>using</w:t>
      </w:r>
      <w:r w:rsidR="00CC5EE5">
        <w:rPr>
          <w:sz w:val="24"/>
          <w:szCs w:val="24"/>
        </w:rPr>
        <w:t xml:space="preserve"> Gibbs Reflective Model. This model is split up into six </w:t>
      </w:r>
      <w:r w:rsidR="007170C1">
        <w:rPr>
          <w:sz w:val="24"/>
          <w:szCs w:val="24"/>
        </w:rPr>
        <w:t>sections:</w:t>
      </w:r>
      <w:r w:rsidR="00CC5EE5">
        <w:rPr>
          <w:sz w:val="24"/>
          <w:szCs w:val="24"/>
        </w:rPr>
        <w:t xml:space="preserve"> Description, Feelings, Evaluation, Analysis, Conclusion and Action Plan</w:t>
      </w:r>
      <w:r w:rsidR="007170C1">
        <w:rPr>
          <w:sz w:val="24"/>
          <w:szCs w:val="24"/>
        </w:rPr>
        <w:t>. The use of this reflective model offers the framework to examine experiences but due to the cycle element, it lets one reflect o</w:t>
      </w:r>
      <w:r w:rsidR="006B3A71">
        <w:rPr>
          <w:sz w:val="24"/>
          <w:szCs w:val="24"/>
        </w:rPr>
        <w:t>n</w:t>
      </w:r>
      <w:r w:rsidR="007170C1">
        <w:rPr>
          <w:sz w:val="24"/>
          <w:szCs w:val="24"/>
        </w:rPr>
        <w:t xml:space="preserve"> repeated experiences and focus on what worked well and what didn’t </w:t>
      </w:r>
      <w:r w:rsidR="006B3A71">
        <w:rPr>
          <w:sz w:val="24"/>
          <w:szCs w:val="24"/>
        </w:rPr>
        <w:t xml:space="preserve">so one can </w:t>
      </w:r>
      <w:r w:rsidR="007170C1">
        <w:rPr>
          <w:sz w:val="24"/>
          <w:szCs w:val="24"/>
        </w:rPr>
        <w:t xml:space="preserve">learn and plan for similar incidents (The University of Edinburgh,2020).  </w:t>
      </w:r>
    </w:p>
    <w:p w14:paraId="21783BEE" w14:textId="77777777" w:rsidR="008C27B6" w:rsidRDefault="008C27B6" w:rsidP="00D4021E">
      <w:pPr>
        <w:ind w:right="237"/>
        <w:rPr>
          <w:sz w:val="24"/>
          <w:szCs w:val="24"/>
        </w:rPr>
      </w:pPr>
    </w:p>
    <w:p w14:paraId="06491356" w14:textId="51085CA5" w:rsidR="00A221AB" w:rsidRDefault="008C27B6" w:rsidP="00847490">
      <w:pPr>
        <w:ind w:right="237"/>
        <w:rPr>
          <w:sz w:val="24"/>
          <w:szCs w:val="24"/>
        </w:rPr>
      </w:pPr>
      <w:r>
        <w:rPr>
          <w:sz w:val="24"/>
          <w:szCs w:val="24"/>
        </w:rPr>
        <w:t>Rape is defined as the intentional penetration of the anus, mouth or vagina with a penis</w:t>
      </w:r>
      <w:r w:rsidR="004B7E65">
        <w:rPr>
          <w:sz w:val="24"/>
          <w:szCs w:val="24"/>
        </w:rPr>
        <w:t>.</w:t>
      </w:r>
      <w:r>
        <w:rPr>
          <w:sz w:val="24"/>
          <w:szCs w:val="24"/>
        </w:rPr>
        <w:t xml:space="preserve"> </w:t>
      </w:r>
      <w:r w:rsidR="004B7E65">
        <w:rPr>
          <w:sz w:val="24"/>
          <w:szCs w:val="24"/>
        </w:rPr>
        <w:t>T</w:t>
      </w:r>
      <w:r>
        <w:rPr>
          <w:sz w:val="24"/>
          <w:szCs w:val="24"/>
        </w:rPr>
        <w:t xml:space="preserve">he other party does not </w:t>
      </w:r>
      <w:r w:rsidR="00951349">
        <w:rPr>
          <w:sz w:val="24"/>
          <w:szCs w:val="24"/>
        </w:rPr>
        <w:t>consent,</w:t>
      </w:r>
      <w:r>
        <w:rPr>
          <w:sz w:val="24"/>
          <w:szCs w:val="24"/>
        </w:rPr>
        <w:t xml:space="preserve"> and the perpetrator does not reasonably believe that the other person consents (</w:t>
      </w:r>
      <w:r w:rsidR="00F3459D">
        <w:rPr>
          <w:sz w:val="24"/>
          <w:szCs w:val="24"/>
        </w:rPr>
        <w:t>Sexual Offences Act, 2003)</w:t>
      </w:r>
      <w:r w:rsidR="004B7E65">
        <w:rPr>
          <w:sz w:val="24"/>
          <w:szCs w:val="24"/>
        </w:rPr>
        <w:t xml:space="preserve">. In relation to sexual offences, the age of consent is 16 </w:t>
      </w:r>
      <w:r w:rsidR="00847490">
        <w:rPr>
          <w:sz w:val="24"/>
          <w:szCs w:val="24"/>
        </w:rPr>
        <w:t xml:space="preserve">years old, therefore the sexual activity with two or more people is unlawful if at least one of them </w:t>
      </w:r>
      <w:r w:rsidR="008C3517">
        <w:rPr>
          <w:sz w:val="24"/>
          <w:szCs w:val="24"/>
        </w:rPr>
        <w:t>is</w:t>
      </w:r>
      <w:r w:rsidR="00847490">
        <w:rPr>
          <w:sz w:val="24"/>
          <w:szCs w:val="24"/>
        </w:rPr>
        <w:t xml:space="preserve"> under the age of 16 (Rape Crisis England and Wales, 2024). </w:t>
      </w:r>
      <w:r w:rsidR="008C3517">
        <w:rPr>
          <w:sz w:val="24"/>
          <w:szCs w:val="24"/>
        </w:rPr>
        <w:t xml:space="preserve">Due to the age of the victim in this investigation, she is legally unable to consent, </w:t>
      </w:r>
      <w:r w:rsidR="002F529B">
        <w:rPr>
          <w:sz w:val="24"/>
          <w:szCs w:val="24"/>
        </w:rPr>
        <w:t xml:space="preserve">regardless </w:t>
      </w:r>
      <w:r w:rsidR="008C3517">
        <w:rPr>
          <w:sz w:val="24"/>
          <w:szCs w:val="24"/>
        </w:rPr>
        <w:t xml:space="preserve">if she verbally consented to the sexual intercourse. </w:t>
      </w:r>
      <w:r w:rsidR="00D00710">
        <w:rPr>
          <w:sz w:val="24"/>
          <w:szCs w:val="24"/>
        </w:rPr>
        <w:t>This is the first legislative issue which ar</w:t>
      </w:r>
      <w:r w:rsidR="00AD3C0A">
        <w:rPr>
          <w:sz w:val="24"/>
          <w:szCs w:val="24"/>
        </w:rPr>
        <w:t>ose</w:t>
      </w:r>
      <w:r w:rsidR="00D00710">
        <w:rPr>
          <w:sz w:val="24"/>
          <w:szCs w:val="24"/>
        </w:rPr>
        <w:t xml:space="preserve"> in this </w:t>
      </w:r>
      <w:r w:rsidR="00D00710">
        <w:rPr>
          <w:sz w:val="24"/>
          <w:szCs w:val="24"/>
        </w:rPr>
        <w:lastRenderedPageBreak/>
        <w:t>investigation. Due to the age of the victim, it is presumed that the offence is going to be that of rape as there is no legal form of consent present.</w:t>
      </w:r>
      <w:r w:rsidR="00EF2DF4">
        <w:rPr>
          <w:sz w:val="24"/>
          <w:szCs w:val="24"/>
        </w:rPr>
        <w:t xml:space="preserve"> This is supported by Cioffi </w:t>
      </w:r>
      <w:r w:rsidR="00EF2DF4" w:rsidRPr="005256A2">
        <w:rPr>
          <w:i/>
          <w:iCs/>
          <w:sz w:val="24"/>
          <w:szCs w:val="24"/>
        </w:rPr>
        <w:t xml:space="preserve">et al </w:t>
      </w:r>
      <w:r w:rsidR="00EF2DF4">
        <w:rPr>
          <w:sz w:val="24"/>
          <w:szCs w:val="24"/>
        </w:rPr>
        <w:t>(2022) who states that the International Community have continuously stated that sex</w:t>
      </w:r>
      <w:r w:rsidR="0052051B">
        <w:rPr>
          <w:sz w:val="24"/>
          <w:szCs w:val="24"/>
        </w:rPr>
        <w:t>ual intercourse</w:t>
      </w:r>
      <w:r w:rsidR="00EF2DF4">
        <w:rPr>
          <w:sz w:val="24"/>
          <w:szCs w:val="24"/>
        </w:rPr>
        <w:t xml:space="preserve"> without consent is in fact rape.</w:t>
      </w:r>
      <w:r w:rsidR="0052051B">
        <w:rPr>
          <w:sz w:val="24"/>
          <w:szCs w:val="24"/>
        </w:rPr>
        <w:t xml:space="preserve"> </w:t>
      </w:r>
      <w:r w:rsidR="002559C6">
        <w:rPr>
          <w:sz w:val="24"/>
          <w:szCs w:val="24"/>
        </w:rPr>
        <w:t>The next issue that arose from this incident is that the perpetrator is a juvenile. A child is defined as a person under the age of 18 and when in custody, the</w:t>
      </w:r>
      <w:r w:rsidR="00356F88">
        <w:rPr>
          <w:sz w:val="24"/>
          <w:szCs w:val="24"/>
        </w:rPr>
        <w:t>re</w:t>
      </w:r>
      <w:r w:rsidR="002559C6">
        <w:rPr>
          <w:sz w:val="24"/>
          <w:szCs w:val="24"/>
        </w:rPr>
        <w:t xml:space="preserve"> are specific rule</w:t>
      </w:r>
      <w:r w:rsidR="00BC0789">
        <w:rPr>
          <w:sz w:val="24"/>
          <w:szCs w:val="24"/>
        </w:rPr>
        <w:t>s</w:t>
      </w:r>
      <w:r w:rsidR="002559C6">
        <w:rPr>
          <w:sz w:val="24"/>
          <w:szCs w:val="24"/>
        </w:rPr>
        <w:t xml:space="preserve"> and responsibilities that need to be adhered to when detaining a juvenile (College of Policing, 2013). </w:t>
      </w:r>
      <w:r w:rsidR="00C6782E">
        <w:rPr>
          <w:sz w:val="24"/>
          <w:szCs w:val="24"/>
        </w:rPr>
        <w:t xml:space="preserve">A child in custody is not only vulnerable because of their age but because of the circumstances that have brought them to the attention of the police (Home Office, 2024). </w:t>
      </w:r>
      <w:r w:rsidR="00D765AA">
        <w:rPr>
          <w:sz w:val="24"/>
          <w:szCs w:val="24"/>
        </w:rPr>
        <w:t>The College of Policing (2013) states that the timing of the arrest of any juvenile should be considered so that they are not detained for longer than necessary and offices should avoid detaining juveniles overnight. When thinking of the arrest of the male in this incident, particular care was taken when deciding when and if the arrest was necessary. The incident was reported to the police seven weeks after the alleged incident so there was no need for the immediate safeguarding measures. However, since the police were made aware, the male made threats to burn the victims house down</w:t>
      </w:r>
      <w:r w:rsidR="005256A2">
        <w:rPr>
          <w:sz w:val="24"/>
          <w:szCs w:val="24"/>
        </w:rPr>
        <w:t xml:space="preserve">. </w:t>
      </w:r>
      <w:r w:rsidR="00D765AA">
        <w:rPr>
          <w:sz w:val="24"/>
          <w:szCs w:val="24"/>
        </w:rPr>
        <w:t xml:space="preserve">This gave us the necessity for the arrest to ensure safeguarding measures were in place. It was also agreed that the arrest would take place in the early hours of a weekend so that the juvenile did not miss school and nor was detained </w:t>
      </w:r>
      <w:r w:rsidR="002F529B">
        <w:rPr>
          <w:sz w:val="24"/>
          <w:szCs w:val="24"/>
        </w:rPr>
        <w:t>overnight</w:t>
      </w:r>
      <w:r w:rsidR="00D765AA">
        <w:rPr>
          <w:sz w:val="24"/>
          <w:szCs w:val="24"/>
        </w:rPr>
        <w:t xml:space="preserve">. </w:t>
      </w:r>
      <w:r w:rsidR="002F529B">
        <w:rPr>
          <w:sz w:val="24"/>
          <w:szCs w:val="24"/>
        </w:rPr>
        <w:t xml:space="preserve">To ensure the juvenile was not detained for longer than necessary we ensured that an appropriate adult and solicitor was lined up to go ahead with the interview as soon as possible after the suspect was booked into custody. </w:t>
      </w:r>
    </w:p>
    <w:p w14:paraId="63593A6F" w14:textId="77777777" w:rsidR="0052051B" w:rsidRDefault="0052051B" w:rsidP="00847490">
      <w:pPr>
        <w:ind w:right="237"/>
        <w:rPr>
          <w:sz w:val="24"/>
          <w:szCs w:val="24"/>
        </w:rPr>
      </w:pPr>
    </w:p>
    <w:p w14:paraId="2E0981C8" w14:textId="6B4A3AE9" w:rsidR="0061594E" w:rsidRDefault="00616CBC" w:rsidP="00847490">
      <w:pPr>
        <w:ind w:right="237"/>
        <w:rPr>
          <w:sz w:val="24"/>
          <w:szCs w:val="24"/>
        </w:rPr>
      </w:pPr>
      <w:r>
        <w:rPr>
          <w:sz w:val="24"/>
          <w:szCs w:val="24"/>
        </w:rPr>
        <w:t xml:space="preserve">A </w:t>
      </w:r>
      <w:r w:rsidR="00507E2B">
        <w:rPr>
          <w:sz w:val="24"/>
          <w:szCs w:val="24"/>
        </w:rPr>
        <w:t xml:space="preserve">victim is a person who has suffered some harm which could be physical, mental emotional or economic loss that was directly </w:t>
      </w:r>
      <w:r w:rsidR="006219AD">
        <w:rPr>
          <w:sz w:val="24"/>
          <w:szCs w:val="24"/>
        </w:rPr>
        <w:t>affected</w:t>
      </w:r>
      <w:r w:rsidR="00507E2B">
        <w:rPr>
          <w:sz w:val="24"/>
          <w:szCs w:val="24"/>
        </w:rPr>
        <w:t xml:space="preserve"> </w:t>
      </w:r>
      <w:r w:rsidR="005256A2">
        <w:rPr>
          <w:sz w:val="24"/>
          <w:szCs w:val="24"/>
        </w:rPr>
        <w:t>because of</w:t>
      </w:r>
      <w:r w:rsidR="00507E2B">
        <w:rPr>
          <w:sz w:val="24"/>
          <w:szCs w:val="24"/>
        </w:rPr>
        <w:t xml:space="preserve"> the commission of a criminal offence (Ministry of Justice, 2020). </w:t>
      </w:r>
      <w:r w:rsidR="006A5EA8">
        <w:rPr>
          <w:sz w:val="24"/>
          <w:szCs w:val="24"/>
        </w:rPr>
        <w:t xml:space="preserve">This is academically known as Victimisation. </w:t>
      </w:r>
      <w:r w:rsidR="006219AD">
        <w:rPr>
          <w:sz w:val="24"/>
          <w:szCs w:val="24"/>
        </w:rPr>
        <w:t xml:space="preserve">In this incident, the victim suffered emotional and physical harm. She was physically harmed by the perpetrator who allegedly pinned her down and punched her multiple times to her body. The victim has also sustained emotional harm </w:t>
      </w:r>
      <w:r w:rsidR="004E04A7">
        <w:rPr>
          <w:sz w:val="24"/>
          <w:szCs w:val="24"/>
        </w:rPr>
        <w:t xml:space="preserve">which according to the Office of National Statistics (2021) emotional and mental harm was the most common effect for victims of rape or penetration. After the incident, the victim became agitated and </w:t>
      </w:r>
      <w:r w:rsidR="005256A2">
        <w:rPr>
          <w:sz w:val="24"/>
          <w:szCs w:val="24"/>
        </w:rPr>
        <w:t>rebellious</w:t>
      </w:r>
      <w:r w:rsidR="001E3D8F">
        <w:rPr>
          <w:sz w:val="24"/>
          <w:szCs w:val="24"/>
        </w:rPr>
        <w:t xml:space="preserve">. She began to miss lessons in school and become extremely emotional with home life. </w:t>
      </w:r>
    </w:p>
    <w:p w14:paraId="3C797939" w14:textId="77777777" w:rsidR="0061594E" w:rsidRDefault="0061594E" w:rsidP="00847490">
      <w:pPr>
        <w:ind w:right="237"/>
        <w:rPr>
          <w:sz w:val="24"/>
          <w:szCs w:val="24"/>
        </w:rPr>
      </w:pPr>
    </w:p>
    <w:p w14:paraId="71B22E10" w14:textId="77E5E35F" w:rsidR="002B2826" w:rsidRPr="00ED1758" w:rsidRDefault="000E446C" w:rsidP="00847490">
      <w:pPr>
        <w:ind w:right="237"/>
        <w:rPr>
          <w:sz w:val="24"/>
          <w:szCs w:val="24"/>
        </w:rPr>
      </w:pPr>
      <w:r>
        <w:rPr>
          <w:sz w:val="24"/>
          <w:szCs w:val="24"/>
        </w:rPr>
        <w:t xml:space="preserve">This was a single investigation for the police; </w:t>
      </w:r>
      <w:r w:rsidR="002B2826">
        <w:rPr>
          <w:sz w:val="24"/>
          <w:szCs w:val="24"/>
        </w:rPr>
        <w:t>however,</w:t>
      </w:r>
      <w:r w:rsidR="00C61350">
        <w:rPr>
          <w:sz w:val="24"/>
          <w:szCs w:val="24"/>
        </w:rPr>
        <w:t xml:space="preserve"> there were </w:t>
      </w:r>
      <w:r w:rsidR="001527FB">
        <w:rPr>
          <w:sz w:val="24"/>
          <w:szCs w:val="24"/>
        </w:rPr>
        <w:t>several</w:t>
      </w:r>
      <w:r w:rsidR="00C61350">
        <w:rPr>
          <w:sz w:val="24"/>
          <w:szCs w:val="24"/>
        </w:rPr>
        <w:t xml:space="preserve"> agencies involved including Social Services, </w:t>
      </w:r>
      <w:r w:rsidR="00FE3EB4">
        <w:rPr>
          <w:sz w:val="24"/>
          <w:szCs w:val="24"/>
        </w:rPr>
        <w:t>Education</w:t>
      </w:r>
      <w:r w:rsidR="00FF5B11">
        <w:rPr>
          <w:sz w:val="24"/>
          <w:szCs w:val="24"/>
        </w:rPr>
        <w:t>, Young Offender Service (YOS) and the victim was referred to the Sexual Assault Referral Centre (SARC).  This is not an exhaustive list</w:t>
      </w:r>
      <w:r w:rsidR="00450934">
        <w:rPr>
          <w:sz w:val="24"/>
          <w:szCs w:val="24"/>
        </w:rPr>
        <w:t>,</w:t>
      </w:r>
      <w:r w:rsidR="00FF5B11">
        <w:rPr>
          <w:sz w:val="24"/>
          <w:szCs w:val="24"/>
        </w:rPr>
        <w:t xml:space="preserve"> there were many other agencies involved in</w:t>
      </w:r>
      <w:r w:rsidR="00450934">
        <w:rPr>
          <w:sz w:val="24"/>
          <w:szCs w:val="24"/>
        </w:rPr>
        <w:t xml:space="preserve"> this investigation </w:t>
      </w:r>
      <w:r w:rsidR="00FF5B11">
        <w:rPr>
          <w:sz w:val="24"/>
          <w:szCs w:val="24"/>
        </w:rPr>
        <w:t xml:space="preserve">which is known as a </w:t>
      </w:r>
      <w:r w:rsidR="001527FB">
        <w:rPr>
          <w:sz w:val="24"/>
          <w:szCs w:val="24"/>
        </w:rPr>
        <w:t>multi-agency</w:t>
      </w:r>
      <w:r w:rsidR="00FF5B11">
        <w:rPr>
          <w:sz w:val="24"/>
          <w:szCs w:val="24"/>
        </w:rPr>
        <w:t xml:space="preserve"> approach to safeguard the victim and young offender. </w:t>
      </w:r>
      <w:r w:rsidR="009C7711">
        <w:rPr>
          <w:color w:val="auto"/>
          <w:sz w:val="24"/>
          <w:szCs w:val="24"/>
        </w:rPr>
        <w:t xml:space="preserve">Multi-agency work to help support and enhance child welfare is at the centre of policies </w:t>
      </w:r>
      <w:r w:rsidR="00ED1758">
        <w:rPr>
          <w:color w:val="auto"/>
          <w:sz w:val="24"/>
          <w:szCs w:val="24"/>
        </w:rPr>
        <w:t xml:space="preserve">in England and Wales. The assumption is that if agencies </w:t>
      </w:r>
      <w:r w:rsidR="001527FB">
        <w:rPr>
          <w:color w:val="auto"/>
          <w:sz w:val="24"/>
          <w:szCs w:val="24"/>
        </w:rPr>
        <w:t>s</w:t>
      </w:r>
      <w:r w:rsidR="00ED1758">
        <w:rPr>
          <w:color w:val="auto"/>
          <w:sz w:val="24"/>
          <w:szCs w:val="24"/>
        </w:rPr>
        <w:t xml:space="preserve">hare their knowledge and skills, it will lead to better safeguarding for children (Baginsky and Manthrope, 2022). </w:t>
      </w:r>
      <w:r w:rsidR="00C724E1">
        <w:rPr>
          <w:color w:val="auto"/>
          <w:sz w:val="24"/>
          <w:szCs w:val="24"/>
        </w:rPr>
        <w:t xml:space="preserve">The use of joint working and information sharing between agencies has been recognised as a fundamental and effective safeguarding method for those working with children (Driscoll, </w:t>
      </w:r>
      <w:r w:rsidR="00C724E1" w:rsidRPr="00C724E1">
        <w:rPr>
          <w:i/>
          <w:iCs/>
          <w:color w:val="auto"/>
          <w:sz w:val="24"/>
          <w:szCs w:val="24"/>
        </w:rPr>
        <w:t>et al</w:t>
      </w:r>
      <w:r w:rsidR="00C724E1">
        <w:rPr>
          <w:color w:val="auto"/>
          <w:sz w:val="24"/>
          <w:szCs w:val="24"/>
        </w:rPr>
        <w:t xml:space="preserve">, 2020). </w:t>
      </w:r>
    </w:p>
    <w:p w14:paraId="001104E5" w14:textId="77777777" w:rsidR="0052051B" w:rsidRDefault="0052051B" w:rsidP="00847490">
      <w:pPr>
        <w:ind w:right="237"/>
        <w:rPr>
          <w:sz w:val="24"/>
          <w:szCs w:val="24"/>
        </w:rPr>
      </w:pPr>
    </w:p>
    <w:p w14:paraId="053357C3" w14:textId="772C3DDF" w:rsidR="00CA339F" w:rsidRDefault="00CA339F" w:rsidP="00847490">
      <w:pPr>
        <w:ind w:right="237"/>
        <w:rPr>
          <w:sz w:val="24"/>
          <w:szCs w:val="24"/>
        </w:rPr>
      </w:pPr>
      <w:r>
        <w:rPr>
          <w:sz w:val="24"/>
          <w:szCs w:val="24"/>
        </w:rPr>
        <w:t xml:space="preserve">This incident was reported </w:t>
      </w:r>
      <w:r w:rsidR="0024235A">
        <w:rPr>
          <w:sz w:val="24"/>
          <w:szCs w:val="24"/>
        </w:rPr>
        <w:t>using</w:t>
      </w:r>
      <w:r>
        <w:rPr>
          <w:sz w:val="24"/>
          <w:szCs w:val="24"/>
        </w:rPr>
        <w:t xml:space="preserve"> a </w:t>
      </w:r>
      <w:r w:rsidR="0024235A">
        <w:rPr>
          <w:sz w:val="24"/>
          <w:szCs w:val="24"/>
        </w:rPr>
        <w:t>Multi-Agency</w:t>
      </w:r>
      <w:r>
        <w:rPr>
          <w:sz w:val="24"/>
          <w:szCs w:val="24"/>
        </w:rPr>
        <w:t xml:space="preserve"> Referral Form (MARF)</w:t>
      </w:r>
      <w:r w:rsidR="0074747D">
        <w:rPr>
          <w:sz w:val="24"/>
          <w:szCs w:val="24"/>
        </w:rPr>
        <w:t xml:space="preserve"> which was submitted by education. </w:t>
      </w:r>
      <w:r w:rsidR="00FE4F92">
        <w:rPr>
          <w:sz w:val="24"/>
          <w:szCs w:val="24"/>
        </w:rPr>
        <w:t xml:space="preserve">The use of this form is the communication between agencies to share information. Cardiff and the Vale Safeguarding </w:t>
      </w:r>
      <w:r w:rsidR="005B2430">
        <w:rPr>
          <w:sz w:val="24"/>
          <w:szCs w:val="24"/>
        </w:rPr>
        <w:t>Board</w:t>
      </w:r>
      <w:r w:rsidR="00FE4F92">
        <w:rPr>
          <w:sz w:val="24"/>
          <w:szCs w:val="24"/>
        </w:rPr>
        <w:t xml:space="preserve"> (2021) </w:t>
      </w:r>
      <w:r w:rsidR="00FE4F92">
        <w:rPr>
          <w:sz w:val="24"/>
          <w:szCs w:val="24"/>
        </w:rPr>
        <w:lastRenderedPageBreak/>
        <w:t xml:space="preserve">states that the </w:t>
      </w:r>
      <w:r w:rsidR="009E6BDE">
        <w:rPr>
          <w:sz w:val="24"/>
          <w:szCs w:val="24"/>
        </w:rPr>
        <w:t>individuals</w:t>
      </w:r>
      <w:r w:rsidR="00FE4F92">
        <w:rPr>
          <w:sz w:val="24"/>
          <w:szCs w:val="24"/>
        </w:rPr>
        <w:t xml:space="preserve"> using this method in their information sharing allows for a better understanding of the child which will assist in their decision making on how best to safeguard. </w:t>
      </w:r>
      <w:r w:rsidR="00533575">
        <w:rPr>
          <w:sz w:val="24"/>
          <w:szCs w:val="24"/>
        </w:rPr>
        <w:t xml:space="preserve">It </w:t>
      </w:r>
      <w:r w:rsidR="00783842">
        <w:rPr>
          <w:sz w:val="24"/>
          <w:szCs w:val="24"/>
        </w:rPr>
        <w:t>became</w:t>
      </w:r>
      <w:r w:rsidR="00533575">
        <w:rPr>
          <w:sz w:val="24"/>
          <w:szCs w:val="24"/>
        </w:rPr>
        <w:t xml:space="preserve"> apparent that </w:t>
      </w:r>
      <w:r w:rsidR="001527FB">
        <w:rPr>
          <w:sz w:val="24"/>
          <w:szCs w:val="24"/>
        </w:rPr>
        <w:t>several</w:t>
      </w:r>
      <w:r w:rsidR="00533575">
        <w:rPr>
          <w:sz w:val="24"/>
          <w:szCs w:val="24"/>
        </w:rPr>
        <w:t xml:space="preserve"> police force areas have also adopted this way of information sharing for example, Manchester, Surrey and Gwent. </w:t>
      </w:r>
      <w:r w:rsidR="0024235A">
        <w:rPr>
          <w:sz w:val="24"/>
          <w:szCs w:val="24"/>
        </w:rPr>
        <w:t>Once this form is submitted it is shared with a Multi-Agency Safeguarding Hub</w:t>
      </w:r>
      <w:r w:rsidR="006A2535">
        <w:rPr>
          <w:sz w:val="24"/>
          <w:szCs w:val="24"/>
        </w:rPr>
        <w:t xml:space="preserve"> (MASH)</w:t>
      </w:r>
      <w:r w:rsidR="0024235A">
        <w:rPr>
          <w:sz w:val="24"/>
          <w:szCs w:val="24"/>
        </w:rPr>
        <w:t xml:space="preserve"> </w:t>
      </w:r>
      <w:r w:rsidR="00D176FB">
        <w:rPr>
          <w:sz w:val="24"/>
          <w:szCs w:val="24"/>
        </w:rPr>
        <w:t xml:space="preserve">or </w:t>
      </w:r>
      <w:r w:rsidR="0024235A">
        <w:rPr>
          <w:sz w:val="24"/>
          <w:szCs w:val="24"/>
        </w:rPr>
        <w:t>equivalent, this is where agencies come together to effectively gather and process information to risk assess and protect (Multi agency Safeguarding Hub, 2024).</w:t>
      </w:r>
      <w:r w:rsidR="009C7711">
        <w:rPr>
          <w:sz w:val="24"/>
          <w:szCs w:val="24"/>
        </w:rPr>
        <w:t xml:space="preserve"> The implementation of a MASH was introduced in 2011 after there were failings from agencies working together to safeguard children. The issue was around not being able to share information in a timely manner </w:t>
      </w:r>
      <w:r w:rsidR="00200B24">
        <w:rPr>
          <w:sz w:val="24"/>
          <w:szCs w:val="24"/>
        </w:rPr>
        <w:t>(Dune and Finalay, 2016).</w:t>
      </w:r>
      <w:r w:rsidR="00D176FB">
        <w:rPr>
          <w:sz w:val="24"/>
          <w:szCs w:val="24"/>
        </w:rPr>
        <w:t xml:space="preserve"> The need to share information in a timely and effective manner is crucial when it comes to incidents which involve young people or the most vulnerable in our communities.</w:t>
      </w:r>
      <w:r w:rsidR="0024235A">
        <w:rPr>
          <w:sz w:val="24"/>
          <w:szCs w:val="24"/>
        </w:rPr>
        <w:t xml:space="preserve"> A report was conducted on five council areas and found that </w:t>
      </w:r>
      <w:r w:rsidR="00585B59">
        <w:rPr>
          <w:sz w:val="24"/>
          <w:szCs w:val="24"/>
        </w:rPr>
        <w:t xml:space="preserve">areas where they had a physical hub where partners were co located could share information and work together more effectively (Ofsted, 2023). </w:t>
      </w:r>
    </w:p>
    <w:p w14:paraId="0D721846" w14:textId="77777777" w:rsidR="00C2326A" w:rsidRDefault="00C2326A" w:rsidP="00847490">
      <w:pPr>
        <w:ind w:right="237"/>
        <w:rPr>
          <w:sz w:val="24"/>
          <w:szCs w:val="24"/>
        </w:rPr>
      </w:pPr>
    </w:p>
    <w:p w14:paraId="17D1E965" w14:textId="77777777" w:rsidR="00C2326A" w:rsidRDefault="00C2326A" w:rsidP="00847490">
      <w:pPr>
        <w:ind w:right="237"/>
        <w:rPr>
          <w:sz w:val="24"/>
          <w:szCs w:val="24"/>
        </w:rPr>
      </w:pPr>
    </w:p>
    <w:p w14:paraId="6CAF0D2D" w14:textId="6E26886D" w:rsidR="00506CDE" w:rsidRDefault="000235D5" w:rsidP="00847490">
      <w:pPr>
        <w:ind w:right="237"/>
        <w:rPr>
          <w:sz w:val="24"/>
          <w:szCs w:val="24"/>
        </w:rPr>
      </w:pPr>
      <w:r>
        <w:rPr>
          <w:sz w:val="24"/>
          <w:szCs w:val="24"/>
        </w:rPr>
        <w:t xml:space="preserve">YOS work with young people who are involved in criminal offences, they delve into the young persons background and help deter them away from crime (Safer Communities Wales, 2024). </w:t>
      </w:r>
      <w:r w:rsidR="006B749A">
        <w:rPr>
          <w:sz w:val="24"/>
          <w:szCs w:val="24"/>
        </w:rPr>
        <w:t xml:space="preserve">These teams cooperate with multi agencies including the police, education and children services (HM Inspectorate of Probation, 2021).  </w:t>
      </w:r>
      <w:r w:rsidR="00DF06AF">
        <w:rPr>
          <w:sz w:val="24"/>
          <w:szCs w:val="24"/>
        </w:rPr>
        <w:t xml:space="preserve">The use of these teams </w:t>
      </w:r>
      <w:r w:rsidR="00054C65">
        <w:rPr>
          <w:sz w:val="24"/>
          <w:szCs w:val="24"/>
        </w:rPr>
        <w:t>is</w:t>
      </w:r>
      <w:r w:rsidR="00DF06AF">
        <w:rPr>
          <w:sz w:val="24"/>
          <w:szCs w:val="24"/>
        </w:rPr>
        <w:t xml:space="preserve"> crucial for the young offender when they come into contact with the police</w:t>
      </w:r>
      <w:r w:rsidR="00847340">
        <w:rPr>
          <w:sz w:val="24"/>
          <w:szCs w:val="24"/>
        </w:rPr>
        <w:t xml:space="preserve"> as this is when they are at their most vulnerable</w:t>
      </w:r>
      <w:r w:rsidR="00E92647">
        <w:rPr>
          <w:sz w:val="24"/>
          <w:szCs w:val="24"/>
        </w:rPr>
        <w:t xml:space="preserve">. These teams are in place to assist the offender and help safeguard them. </w:t>
      </w:r>
      <w:r w:rsidR="005B5CD1">
        <w:rPr>
          <w:sz w:val="24"/>
          <w:szCs w:val="24"/>
        </w:rPr>
        <w:t>Although the young person has come to the attention of the police for the wrong reasons, they are still entitled to be protected and safeguarded. This is supported by HM Government (2023) who stated that c</w:t>
      </w:r>
      <w:r w:rsidR="00506CDE">
        <w:rPr>
          <w:sz w:val="24"/>
          <w:szCs w:val="24"/>
        </w:rPr>
        <w:t>hildren who have been named as offenders or alleged offenders are still entitled to the same safeguarding and protection than any other child</w:t>
      </w:r>
      <w:r w:rsidR="005B5CD1">
        <w:rPr>
          <w:sz w:val="24"/>
          <w:szCs w:val="24"/>
        </w:rPr>
        <w:t xml:space="preserve">. </w:t>
      </w:r>
      <w:r w:rsidR="00AD66EE">
        <w:rPr>
          <w:sz w:val="24"/>
          <w:szCs w:val="24"/>
        </w:rPr>
        <w:t xml:space="preserve">During this incident, </w:t>
      </w:r>
      <w:r w:rsidR="00783842">
        <w:rPr>
          <w:sz w:val="24"/>
          <w:szCs w:val="24"/>
        </w:rPr>
        <w:t>as</w:t>
      </w:r>
      <w:r w:rsidR="00AD66EE">
        <w:rPr>
          <w:sz w:val="24"/>
          <w:szCs w:val="24"/>
        </w:rPr>
        <w:t xml:space="preserve"> soon as the young offender was named to the police, YOS were made awar</w:t>
      </w:r>
      <w:r w:rsidR="00783842">
        <w:rPr>
          <w:sz w:val="24"/>
          <w:szCs w:val="24"/>
        </w:rPr>
        <w:t>e</w:t>
      </w:r>
      <w:r w:rsidR="00AD66EE">
        <w:rPr>
          <w:sz w:val="24"/>
          <w:szCs w:val="24"/>
        </w:rPr>
        <w:t xml:space="preserve">. As the young offender was 14 years old, the use of these teams </w:t>
      </w:r>
      <w:r w:rsidR="000272B1">
        <w:rPr>
          <w:sz w:val="24"/>
          <w:szCs w:val="24"/>
        </w:rPr>
        <w:t>was</w:t>
      </w:r>
      <w:r w:rsidR="00AD66EE">
        <w:rPr>
          <w:sz w:val="24"/>
          <w:szCs w:val="24"/>
        </w:rPr>
        <w:t xml:space="preserve"> paramount </w:t>
      </w:r>
      <w:r w:rsidR="00F87013">
        <w:rPr>
          <w:sz w:val="24"/>
          <w:szCs w:val="24"/>
        </w:rPr>
        <w:t xml:space="preserve">as this is a concerning age to be offending and especially for the type of offence. </w:t>
      </w:r>
      <w:r w:rsidR="00D039DA">
        <w:rPr>
          <w:sz w:val="24"/>
          <w:szCs w:val="24"/>
        </w:rPr>
        <w:t xml:space="preserve">It will be beneficial for the offender to engage with these teams as they provide restorative justice schemes which focus on healing the harm that they caused. They work with young people to decrease the risk of harm and serious harm and in addition, reduce the risk of re offending (HM Inspectorate of Probation, 2017). </w:t>
      </w:r>
      <w:r w:rsidR="00F74FA4">
        <w:rPr>
          <w:sz w:val="24"/>
          <w:szCs w:val="24"/>
        </w:rPr>
        <w:t xml:space="preserve">Although this is a </w:t>
      </w:r>
      <w:r w:rsidR="00F04389">
        <w:rPr>
          <w:sz w:val="24"/>
          <w:szCs w:val="24"/>
        </w:rPr>
        <w:t>positive</w:t>
      </w:r>
      <w:r w:rsidR="00F74FA4">
        <w:rPr>
          <w:sz w:val="24"/>
          <w:szCs w:val="24"/>
        </w:rPr>
        <w:t xml:space="preserve"> process</w:t>
      </w:r>
      <w:r w:rsidR="00783842">
        <w:rPr>
          <w:sz w:val="24"/>
          <w:szCs w:val="24"/>
        </w:rPr>
        <w:t xml:space="preserve">, </w:t>
      </w:r>
      <w:r w:rsidR="00F74FA4">
        <w:rPr>
          <w:sz w:val="24"/>
          <w:szCs w:val="24"/>
        </w:rPr>
        <w:t xml:space="preserve">it is down to the young offender to engage with the teams for it to be beneficial for them. </w:t>
      </w:r>
      <w:r w:rsidR="006B749A">
        <w:rPr>
          <w:sz w:val="24"/>
          <w:szCs w:val="24"/>
        </w:rPr>
        <w:t xml:space="preserve">As mentioned above, YOS </w:t>
      </w:r>
      <w:r w:rsidR="00783842">
        <w:rPr>
          <w:sz w:val="24"/>
          <w:szCs w:val="24"/>
        </w:rPr>
        <w:t>must</w:t>
      </w:r>
      <w:r w:rsidR="006B749A">
        <w:rPr>
          <w:sz w:val="24"/>
          <w:szCs w:val="24"/>
        </w:rPr>
        <w:t xml:space="preserve"> cooperate with </w:t>
      </w:r>
      <w:r w:rsidR="00783842">
        <w:rPr>
          <w:sz w:val="24"/>
          <w:szCs w:val="24"/>
        </w:rPr>
        <w:t>several</w:t>
      </w:r>
      <w:r w:rsidR="006B749A">
        <w:rPr>
          <w:sz w:val="24"/>
          <w:szCs w:val="24"/>
        </w:rPr>
        <w:t xml:space="preserve"> agencies, this will inevitably cause barriers in the service including, different organisation </w:t>
      </w:r>
      <w:r w:rsidR="00F04389">
        <w:rPr>
          <w:sz w:val="24"/>
          <w:szCs w:val="24"/>
        </w:rPr>
        <w:t>has</w:t>
      </w:r>
      <w:r w:rsidR="006B749A">
        <w:rPr>
          <w:sz w:val="24"/>
          <w:szCs w:val="24"/>
        </w:rPr>
        <w:t xml:space="preserve"> differing views and visions, legal and ethical issues around information sharing and problems around differing language and terminology between different agencies</w:t>
      </w:r>
      <w:r w:rsidR="00A00448">
        <w:rPr>
          <w:sz w:val="24"/>
          <w:szCs w:val="24"/>
        </w:rPr>
        <w:t xml:space="preserve"> (HM Inspectorate of Probation, 2021). </w:t>
      </w:r>
    </w:p>
    <w:p w14:paraId="67D4A82B" w14:textId="77777777" w:rsidR="00F04389" w:rsidRDefault="00F04389" w:rsidP="00847490">
      <w:pPr>
        <w:ind w:right="237"/>
        <w:rPr>
          <w:sz w:val="24"/>
          <w:szCs w:val="24"/>
        </w:rPr>
      </w:pPr>
    </w:p>
    <w:p w14:paraId="3E7FE199" w14:textId="46A714EE" w:rsidR="00C4633D" w:rsidRDefault="00EB029D" w:rsidP="00847490">
      <w:pPr>
        <w:ind w:right="237"/>
        <w:rPr>
          <w:sz w:val="24"/>
          <w:szCs w:val="24"/>
        </w:rPr>
      </w:pPr>
      <w:r>
        <w:rPr>
          <w:sz w:val="24"/>
          <w:szCs w:val="24"/>
        </w:rPr>
        <w:t>The SARC</w:t>
      </w:r>
      <w:r w:rsidR="0093125C">
        <w:rPr>
          <w:sz w:val="24"/>
          <w:szCs w:val="24"/>
        </w:rPr>
        <w:t xml:space="preserve"> </w:t>
      </w:r>
      <w:r>
        <w:rPr>
          <w:sz w:val="24"/>
          <w:szCs w:val="24"/>
        </w:rPr>
        <w:t xml:space="preserve">is a location where victims of </w:t>
      </w:r>
      <w:r w:rsidR="0093125C">
        <w:rPr>
          <w:sz w:val="24"/>
          <w:szCs w:val="24"/>
        </w:rPr>
        <w:t xml:space="preserve">sexual abuse </w:t>
      </w:r>
      <w:r>
        <w:rPr>
          <w:sz w:val="24"/>
          <w:szCs w:val="24"/>
        </w:rPr>
        <w:t xml:space="preserve">can receive the appropriate medical care, counselling and where they can assist the police in their investigation by undergoing a forensic examination (Voss, </w:t>
      </w:r>
      <w:r w:rsidRPr="00EB029D">
        <w:rPr>
          <w:i/>
          <w:iCs/>
          <w:sz w:val="24"/>
          <w:szCs w:val="24"/>
        </w:rPr>
        <w:t>et al</w:t>
      </w:r>
      <w:r>
        <w:rPr>
          <w:sz w:val="24"/>
          <w:szCs w:val="24"/>
        </w:rPr>
        <w:t xml:space="preserve">, 2017). </w:t>
      </w:r>
      <w:r w:rsidR="008E6859">
        <w:rPr>
          <w:sz w:val="24"/>
          <w:szCs w:val="24"/>
        </w:rPr>
        <w:t xml:space="preserve">In this investigation, the victim was outside the forensic window so was unable to assist the police with their investigation in that way, however the SARC provide rooms where the victim can give their account on a video interview which will be used as evidence. </w:t>
      </w:r>
      <w:r w:rsidR="00ED0A19">
        <w:rPr>
          <w:sz w:val="24"/>
          <w:szCs w:val="24"/>
        </w:rPr>
        <w:t xml:space="preserve">SARC’s offer the place for victims to obtain counselling and support </w:t>
      </w:r>
      <w:r w:rsidR="00ED0A19">
        <w:rPr>
          <w:sz w:val="24"/>
          <w:szCs w:val="24"/>
        </w:rPr>
        <w:lastRenderedPageBreak/>
        <w:t xml:space="preserve">from Independent Sexual Violence Advisors (IDVA’s) (Lee, </w:t>
      </w:r>
      <w:r w:rsidR="00ED0A19" w:rsidRPr="00ED0A19">
        <w:rPr>
          <w:i/>
          <w:iCs/>
          <w:sz w:val="24"/>
          <w:szCs w:val="24"/>
        </w:rPr>
        <w:t>et al</w:t>
      </w:r>
      <w:r w:rsidR="00ED0A19">
        <w:rPr>
          <w:sz w:val="24"/>
          <w:szCs w:val="24"/>
        </w:rPr>
        <w:t>, 2019).</w:t>
      </w:r>
      <w:r w:rsidR="0093125C">
        <w:rPr>
          <w:sz w:val="24"/>
          <w:szCs w:val="24"/>
        </w:rPr>
        <w:t xml:space="preserve"> These advisors </w:t>
      </w:r>
      <w:r w:rsidR="004107C6">
        <w:rPr>
          <w:sz w:val="24"/>
          <w:szCs w:val="24"/>
        </w:rPr>
        <w:t xml:space="preserve">have provided support to the victim in this case by ensuring she has the relevant support, as mentioned above the victim has suffered mental harm and </w:t>
      </w:r>
      <w:r w:rsidR="0093741B">
        <w:rPr>
          <w:sz w:val="24"/>
          <w:szCs w:val="24"/>
        </w:rPr>
        <w:t>became rebellious</w:t>
      </w:r>
      <w:r w:rsidR="004107C6">
        <w:rPr>
          <w:sz w:val="24"/>
          <w:szCs w:val="24"/>
        </w:rPr>
        <w:t xml:space="preserve">. The advisors have been able to support her and her family throughout this process. Although the SARC is a positive approach to safeguarding there are some </w:t>
      </w:r>
      <w:r w:rsidR="00C4633D">
        <w:rPr>
          <w:sz w:val="24"/>
          <w:szCs w:val="24"/>
        </w:rPr>
        <w:t xml:space="preserve">issues that have been raised by professionals working in these settings. It has been mentioned that it has an emotional toll from the negative emotions of the job. Crisis workers have noted that there is a lack of funding and resources which ultimately result in lack of training, awareness and poor service for the victim (Widanaralalage, </w:t>
      </w:r>
      <w:r w:rsidR="00C4633D" w:rsidRPr="00C4633D">
        <w:rPr>
          <w:i/>
          <w:iCs/>
          <w:sz w:val="24"/>
          <w:szCs w:val="24"/>
        </w:rPr>
        <w:t>et al</w:t>
      </w:r>
      <w:r w:rsidR="00C4633D">
        <w:rPr>
          <w:sz w:val="24"/>
          <w:szCs w:val="24"/>
        </w:rPr>
        <w:t xml:space="preserve">, 2024). </w:t>
      </w:r>
    </w:p>
    <w:p w14:paraId="757A5674" w14:textId="77777777" w:rsidR="00F404A9" w:rsidRDefault="00F404A9" w:rsidP="00847490">
      <w:pPr>
        <w:ind w:right="237"/>
        <w:rPr>
          <w:sz w:val="24"/>
          <w:szCs w:val="24"/>
        </w:rPr>
      </w:pPr>
    </w:p>
    <w:p w14:paraId="12CCD9EC" w14:textId="0A8981E8" w:rsidR="009037B0" w:rsidRDefault="004D257F" w:rsidP="004D257F">
      <w:pPr>
        <w:ind w:right="237"/>
        <w:rPr>
          <w:color w:val="auto"/>
          <w:sz w:val="24"/>
          <w:szCs w:val="24"/>
        </w:rPr>
      </w:pPr>
      <w:r w:rsidRPr="00EE47D8">
        <w:rPr>
          <w:color w:val="auto"/>
          <w:sz w:val="24"/>
          <w:szCs w:val="24"/>
        </w:rPr>
        <w:t xml:space="preserve">Repeat Victimisation </w:t>
      </w:r>
      <w:r>
        <w:rPr>
          <w:color w:val="auto"/>
          <w:sz w:val="24"/>
          <w:szCs w:val="24"/>
        </w:rPr>
        <w:t xml:space="preserve">is the repeated criminal victimisation of a person, place or </w:t>
      </w:r>
      <w:r w:rsidR="00D84487">
        <w:rPr>
          <w:color w:val="auto"/>
          <w:sz w:val="24"/>
          <w:szCs w:val="24"/>
        </w:rPr>
        <w:t>business</w:t>
      </w:r>
      <w:r>
        <w:rPr>
          <w:color w:val="auto"/>
          <w:sz w:val="24"/>
          <w:szCs w:val="24"/>
        </w:rPr>
        <w:t xml:space="preserve"> (Nicholas and Farrell, 2011). A study showed that victims of intimate violence are known to be at high risk of repeat victimisation (Kuijpers, </w:t>
      </w:r>
      <w:r w:rsidRPr="00221119">
        <w:rPr>
          <w:i/>
          <w:iCs/>
          <w:color w:val="auto"/>
          <w:sz w:val="24"/>
          <w:szCs w:val="24"/>
        </w:rPr>
        <w:t>et al</w:t>
      </w:r>
      <w:r>
        <w:rPr>
          <w:color w:val="auto"/>
          <w:sz w:val="24"/>
          <w:szCs w:val="24"/>
        </w:rPr>
        <w:t xml:space="preserve">, 2011). </w:t>
      </w:r>
      <w:r w:rsidR="009037B0">
        <w:rPr>
          <w:color w:val="auto"/>
          <w:sz w:val="24"/>
          <w:szCs w:val="24"/>
        </w:rPr>
        <w:t xml:space="preserve">As mentioned above, the agencies involved </w:t>
      </w:r>
      <w:r w:rsidR="00D84487">
        <w:rPr>
          <w:color w:val="auto"/>
          <w:sz w:val="24"/>
          <w:szCs w:val="24"/>
        </w:rPr>
        <w:t>can</w:t>
      </w:r>
      <w:r w:rsidR="009037B0">
        <w:rPr>
          <w:color w:val="auto"/>
          <w:sz w:val="24"/>
          <w:szCs w:val="24"/>
        </w:rPr>
        <w:t xml:space="preserve"> assist with tackling repeat victimisation. The use of the SARC and IDVA’s are in place to offer the support to victims of such abuse and will be able to refer them to further agencies. </w:t>
      </w:r>
      <w:r w:rsidR="0021362E">
        <w:rPr>
          <w:color w:val="auto"/>
          <w:sz w:val="24"/>
          <w:szCs w:val="24"/>
        </w:rPr>
        <w:t xml:space="preserve">Children Services offer support to the victim and their families and </w:t>
      </w:r>
      <w:r w:rsidR="00D84487">
        <w:rPr>
          <w:color w:val="auto"/>
          <w:sz w:val="24"/>
          <w:szCs w:val="24"/>
        </w:rPr>
        <w:t>can</w:t>
      </w:r>
      <w:r w:rsidR="0021362E">
        <w:rPr>
          <w:color w:val="auto"/>
          <w:sz w:val="24"/>
          <w:szCs w:val="24"/>
        </w:rPr>
        <w:t xml:space="preserve"> refer them to support groups. </w:t>
      </w:r>
    </w:p>
    <w:p w14:paraId="7E300957" w14:textId="77777777" w:rsidR="002B2E78" w:rsidRDefault="002B2E78" w:rsidP="004D257F">
      <w:pPr>
        <w:ind w:right="237"/>
        <w:rPr>
          <w:color w:val="auto"/>
          <w:sz w:val="24"/>
          <w:szCs w:val="24"/>
        </w:rPr>
      </w:pPr>
    </w:p>
    <w:p w14:paraId="10F19CC8" w14:textId="77988224" w:rsidR="002B2E78" w:rsidRPr="00EE47D8" w:rsidRDefault="002B2E78" w:rsidP="004D257F">
      <w:pPr>
        <w:ind w:right="237"/>
        <w:rPr>
          <w:color w:val="auto"/>
          <w:sz w:val="24"/>
          <w:szCs w:val="24"/>
        </w:rPr>
      </w:pPr>
      <w:r>
        <w:rPr>
          <w:color w:val="auto"/>
          <w:sz w:val="24"/>
          <w:szCs w:val="24"/>
        </w:rPr>
        <w:t xml:space="preserve">I have described the incident throughout this essay. </w:t>
      </w:r>
      <w:r w:rsidR="00364126">
        <w:rPr>
          <w:color w:val="auto"/>
          <w:sz w:val="24"/>
          <w:szCs w:val="24"/>
        </w:rPr>
        <w:t>The</w:t>
      </w:r>
      <w:r>
        <w:rPr>
          <w:color w:val="auto"/>
          <w:sz w:val="24"/>
          <w:szCs w:val="24"/>
        </w:rPr>
        <w:t xml:space="preserve"> victim received the adequate support that she required. My feelings </w:t>
      </w:r>
      <w:r w:rsidR="00364126">
        <w:rPr>
          <w:color w:val="auto"/>
          <w:sz w:val="24"/>
          <w:szCs w:val="24"/>
        </w:rPr>
        <w:t>throughout</w:t>
      </w:r>
      <w:r>
        <w:rPr>
          <w:color w:val="auto"/>
          <w:sz w:val="24"/>
          <w:szCs w:val="24"/>
        </w:rPr>
        <w:t xml:space="preserve"> this</w:t>
      </w:r>
      <w:r w:rsidR="00364126">
        <w:rPr>
          <w:color w:val="auto"/>
          <w:sz w:val="24"/>
          <w:szCs w:val="24"/>
        </w:rPr>
        <w:t xml:space="preserve"> incident continued to change. This was one of my first investigations in Child Protection, so I was naturally anxious, but my confidence grew as the case progressed. The fact that all agencies worked well together was a positive about this investigation. If I had to do the same investigation </w:t>
      </w:r>
      <w:r w:rsidR="00E73DFC">
        <w:rPr>
          <w:color w:val="auto"/>
          <w:sz w:val="24"/>
          <w:szCs w:val="24"/>
        </w:rPr>
        <w:t>again,</w:t>
      </w:r>
      <w:r w:rsidR="00364126">
        <w:rPr>
          <w:color w:val="auto"/>
          <w:sz w:val="24"/>
          <w:szCs w:val="24"/>
        </w:rPr>
        <w:t xml:space="preserve"> I would </w:t>
      </w:r>
      <w:r w:rsidR="00A2172D">
        <w:rPr>
          <w:color w:val="auto"/>
          <w:sz w:val="24"/>
          <w:szCs w:val="24"/>
        </w:rPr>
        <w:t xml:space="preserve">try to identify the safeguarding concerns earlier, but with this being one of my first investigations within safeguarding it was inevitable that I was going to have to take some learning away from this. </w:t>
      </w:r>
    </w:p>
    <w:p w14:paraId="2DF39BE5" w14:textId="77777777" w:rsidR="00F404A9" w:rsidRDefault="00F404A9" w:rsidP="00847490">
      <w:pPr>
        <w:ind w:right="237"/>
        <w:rPr>
          <w:sz w:val="24"/>
          <w:szCs w:val="24"/>
        </w:rPr>
      </w:pPr>
    </w:p>
    <w:p w14:paraId="384D8E66" w14:textId="60AB7EB2" w:rsidR="00AC33C6" w:rsidRDefault="00AC33C6" w:rsidP="00847490">
      <w:pPr>
        <w:ind w:right="237"/>
        <w:rPr>
          <w:sz w:val="24"/>
          <w:szCs w:val="24"/>
        </w:rPr>
      </w:pPr>
      <w:r>
        <w:rPr>
          <w:sz w:val="24"/>
          <w:szCs w:val="24"/>
        </w:rPr>
        <w:t xml:space="preserve">In conclusion, it is apparent that a victim of crime has multiple agencies offering support to them. The victim in this case was a victim of a serious sexual offence and is particularly vulnerable due to her age. It is </w:t>
      </w:r>
      <w:r w:rsidR="00DA3671">
        <w:rPr>
          <w:sz w:val="24"/>
          <w:szCs w:val="24"/>
        </w:rPr>
        <w:t xml:space="preserve">clear to see that muti agency working has a positive impact on victims and offenders alike. It is critical that agencies are continuing to share information efficiently and effectively, especially in cases where there is a child or young person involved. </w:t>
      </w:r>
      <w:r w:rsidR="00386E90">
        <w:rPr>
          <w:sz w:val="24"/>
          <w:szCs w:val="24"/>
        </w:rPr>
        <w:t>Overall, I am happy with the way I have dealt with the victim and young offender. I have noticed and addresse</w:t>
      </w:r>
      <w:r w:rsidR="00641FCF">
        <w:rPr>
          <w:sz w:val="24"/>
          <w:szCs w:val="24"/>
        </w:rPr>
        <w:t xml:space="preserve">d </w:t>
      </w:r>
      <w:r w:rsidR="00386E90">
        <w:rPr>
          <w:sz w:val="24"/>
          <w:szCs w:val="24"/>
        </w:rPr>
        <w:t xml:space="preserve">the social and legislative issues and ensured the relevant safeguarding measures are in place for all involved. Going forward, it is crucial for all parties to continue to engage with their support agencies to tackle repeat victimisation and re offending. </w:t>
      </w:r>
    </w:p>
    <w:p w14:paraId="057A97F6" w14:textId="77777777" w:rsidR="00DA3671" w:rsidRDefault="00DA3671" w:rsidP="00847490">
      <w:pPr>
        <w:ind w:right="237"/>
        <w:rPr>
          <w:sz w:val="24"/>
          <w:szCs w:val="24"/>
        </w:rPr>
      </w:pPr>
    </w:p>
    <w:p w14:paraId="7F9B1916" w14:textId="629E237F" w:rsidR="00D65FB2" w:rsidRPr="00D65FB2" w:rsidRDefault="00D65FB2" w:rsidP="00847490">
      <w:pPr>
        <w:ind w:right="237"/>
        <w:rPr>
          <w:color w:val="FF0000"/>
          <w:sz w:val="24"/>
          <w:szCs w:val="24"/>
        </w:rPr>
      </w:pPr>
    </w:p>
    <w:p w14:paraId="6ACDFC37" w14:textId="77777777" w:rsidR="00F04389" w:rsidRDefault="00F04389" w:rsidP="00847490">
      <w:pPr>
        <w:ind w:right="237"/>
        <w:rPr>
          <w:sz w:val="24"/>
          <w:szCs w:val="24"/>
        </w:rPr>
      </w:pPr>
    </w:p>
    <w:p w14:paraId="0B5343FF" w14:textId="60B7F0A3" w:rsidR="00F04389" w:rsidRPr="00D84487" w:rsidRDefault="00D84487" w:rsidP="00847490">
      <w:pPr>
        <w:ind w:right="237"/>
        <w:rPr>
          <w:b/>
          <w:bCs/>
          <w:sz w:val="24"/>
          <w:szCs w:val="24"/>
        </w:rPr>
      </w:pPr>
      <w:r w:rsidRPr="00D84487">
        <w:rPr>
          <w:b/>
          <w:bCs/>
          <w:sz w:val="24"/>
          <w:szCs w:val="24"/>
        </w:rPr>
        <w:t>Word Count</w:t>
      </w:r>
      <w:r w:rsidR="00A2172D">
        <w:rPr>
          <w:b/>
          <w:bCs/>
          <w:sz w:val="24"/>
          <w:szCs w:val="24"/>
        </w:rPr>
        <w:t>: 2011</w:t>
      </w:r>
    </w:p>
    <w:p w14:paraId="23EAC7FA" w14:textId="77777777" w:rsidR="00AD3C0A" w:rsidRDefault="00AD3C0A" w:rsidP="00847490">
      <w:pPr>
        <w:ind w:right="237"/>
        <w:rPr>
          <w:sz w:val="24"/>
          <w:szCs w:val="24"/>
        </w:rPr>
      </w:pPr>
    </w:p>
    <w:p w14:paraId="3683FF6F" w14:textId="77777777" w:rsidR="00AD3C0A" w:rsidRDefault="00AD3C0A" w:rsidP="00847490">
      <w:pPr>
        <w:ind w:right="237"/>
        <w:rPr>
          <w:sz w:val="24"/>
          <w:szCs w:val="24"/>
        </w:rPr>
      </w:pPr>
    </w:p>
    <w:p w14:paraId="0ACC3CB8" w14:textId="77777777" w:rsidR="00C65AA4" w:rsidRDefault="00C65AA4" w:rsidP="00847490">
      <w:pPr>
        <w:ind w:right="237"/>
        <w:rPr>
          <w:sz w:val="24"/>
          <w:szCs w:val="24"/>
        </w:rPr>
      </w:pPr>
    </w:p>
    <w:p w14:paraId="0ACC1BCB" w14:textId="77777777" w:rsidR="00AD3C0A" w:rsidRDefault="00AD3C0A" w:rsidP="00847490">
      <w:pPr>
        <w:ind w:right="237"/>
        <w:rPr>
          <w:sz w:val="24"/>
          <w:szCs w:val="24"/>
        </w:rPr>
      </w:pPr>
    </w:p>
    <w:p w14:paraId="44412009" w14:textId="1FFFBB01" w:rsidR="00AD3C0A" w:rsidRPr="00AB01B4" w:rsidRDefault="00AD3C0A" w:rsidP="00AD3C0A">
      <w:pPr>
        <w:ind w:right="237"/>
        <w:rPr>
          <w:sz w:val="24"/>
          <w:szCs w:val="24"/>
          <w:u w:val="single"/>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0CA17715" w14:textId="77777777" w:rsidR="000E446C" w:rsidRDefault="000E446C" w:rsidP="5CE196A1">
      <w:pPr>
        <w:ind w:right="237"/>
        <w:jc w:val="both"/>
        <w:rPr>
          <w:b/>
          <w:bCs/>
          <w:color w:val="000000" w:themeColor="text1"/>
          <w:sz w:val="24"/>
          <w:szCs w:val="24"/>
        </w:rPr>
      </w:pPr>
    </w:p>
    <w:p w14:paraId="35C93D87" w14:textId="77777777" w:rsidR="000E446C" w:rsidRDefault="000E446C" w:rsidP="5CE196A1">
      <w:pPr>
        <w:ind w:right="237"/>
        <w:jc w:val="both"/>
        <w:rPr>
          <w:b/>
          <w:bCs/>
          <w:color w:val="000000" w:themeColor="text1"/>
          <w:sz w:val="24"/>
          <w:szCs w:val="24"/>
        </w:rPr>
      </w:pPr>
    </w:p>
    <w:p w14:paraId="2FECD07F" w14:textId="77777777" w:rsidR="000E446C" w:rsidRDefault="000E446C" w:rsidP="5CE196A1">
      <w:pPr>
        <w:ind w:right="237"/>
        <w:jc w:val="both"/>
        <w:rPr>
          <w:b/>
          <w:bCs/>
          <w:color w:val="000000" w:themeColor="text1"/>
          <w:sz w:val="24"/>
          <w:szCs w:val="24"/>
        </w:rPr>
      </w:pPr>
    </w:p>
    <w:p w14:paraId="58530DFD" w14:textId="77777777" w:rsidR="000E446C" w:rsidRDefault="000E446C" w:rsidP="5CE196A1">
      <w:pPr>
        <w:ind w:right="237"/>
        <w:jc w:val="both"/>
        <w:rPr>
          <w:b/>
          <w:bCs/>
          <w:color w:val="000000" w:themeColor="text1"/>
          <w:sz w:val="24"/>
          <w:szCs w:val="24"/>
        </w:rPr>
      </w:pPr>
    </w:p>
    <w:p w14:paraId="66B5F13E" w14:textId="77777777" w:rsidR="000E446C" w:rsidRDefault="000E446C" w:rsidP="5CE196A1">
      <w:pPr>
        <w:ind w:right="237"/>
        <w:jc w:val="both"/>
        <w:rPr>
          <w:b/>
          <w:bCs/>
          <w:color w:val="000000" w:themeColor="text1"/>
          <w:sz w:val="24"/>
          <w:szCs w:val="24"/>
        </w:rPr>
      </w:pPr>
    </w:p>
    <w:p w14:paraId="040B3A07" w14:textId="77777777" w:rsidR="000E446C" w:rsidRDefault="000E446C" w:rsidP="5CE196A1">
      <w:pPr>
        <w:ind w:right="237"/>
        <w:jc w:val="both"/>
        <w:rPr>
          <w:b/>
          <w:bCs/>
          <w:color w:val="000000" w:themeColor="text1"/>
          <w:sz w:val="24"/>
          <w:szCs w:val="24"/>
        </w:rPr>
      </w:pPr>
    </w:p>
    <w:p w14:paraId="3645DA74" w14:textId="77777777" w:rsidR="000E446C" w:rsidRDefault="000E446C" w:rsidP="5CE196A1">
      <w:pPr>
        <w:ind w:right="237"/>
        <w:jc w:val="both"/>
        <w:rPr>
          <w:b/>
          <w:bCs/>
          <w:color w:val="000000" w:themeColor="text1"/>
          <w:sz w:val="24"/>
          <w:szCs w:val="24"/>
        </w:rPr>
      </w:pPr>
    </w:p>
    <w:p w14:paraId="4777BF52" w14:textId="77777777" w:rsidR="000E446C" w:rsidRDefault="000E446C" w:rsidP="5CE196A1">
      <w:pPr>
        <w:ind w:right="237"/>
        <w:jc w:val="both"/>
        <w:rPr>
          <w:b/>
          <w:bCs/>
          <w:color w:val="000000" w:themeColor="text1"/>
          <w:sz w:val="24"/>
          <w:szCs w:val="24"/>
        </w:rPr>
      </w:pPr>
    </w:p>
    <w:p w14:paraId="33EB26E3" w14:textId="77777777" w:rsidR="000E446C" w:rsidRDefault="000E446C" w:rsidP="5CE196A1">
      <w:pPr>
        <w:ind w:right="237"/>
        <w:jc w:val="both"/>
        <w:rPr>
          <w:b/>
          <w:bCs/>
          <w:color w:val="000000" w:themeColor="text1"/>
          <w:sz w:val="24"/>
          <w:szCs w:val="24"/>
        </w:rPr>
      </w:pPr>
    </w:p>
    <w:p w14:paraId="264F5A34" w14:textId="77777777" w:rsidR="000E446C" w:rsidRDefault="000E446C" w:rsidP="5CE196A1">
      <w:pPr>
        <w:ind w:right="237"/>
        <w:jc w:val="both"/>
        <w:rPr>
          <w:b/>
          <w:bCs/>
          <w:color w:val="000000" w:themeColor="text1"/>
          <w:sz w:val="24"/>
          <w:szCs w:val="24"/>
        </w:rPr>
      </w:pPr>
    </w:p>
    <w:p w14:paraId="4E563CEC" w14:textId="77777777" w:rsidR="000E446C" w:rsidRDefault="000E446C" w:rsidP="5CE196A1">
      <w:pPr>
        <w:ind w:right="237"/>
        <w:jc w:val="both"/>
        <w:rPr>
          <w:b/>
          <w:bCs/>
          <w:color w:val="000000" w:themeColor="text1"/>
          <w:sz w:val="24"/>
          <w:szCs w:val="24"/>
        </w:rPr>
      </w:pPr>
    </w:p>
    <w:p w14:paraId="11C6C79D" w14:textId="77777777" w:rsidR="000E446C" w:rsidRDefault="000E446C"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69FFEC95" w14:textId="77777777" w:rsidR="000C0AD5" w:rsidRDefault="000C0AD5" w:rsidP="5CE196A1">
      <w:pPr>
        <w:ind w:right="237"/>
        <w:jc w:val="both"/>
        <w:rPr>
          <w:b/>
          <w:bCs/>
          <w:color w:val="000000" w:themeColor="text1"/>
          <w:sz w:val="24"/>
          <w:szCs w:val="24"/>
        </w:rPr>
      </w:pPr>
    </w:p>
    <w:p w14:paraId="6A9EDFA2" w14:textId="77777777" w:rsidR="000A0A65" w:rsidRDefault="000A0A65" w:rsidP="5CE196A1">
      <w:pPr>
        <w:ind w:right="237"/>
        <w:jc w:val="both"/>
        <w:rPr>
          <w:b/>
          <w:bCs/>
          <w:color w:val="000000" w:themeColor="text1"/>
          <w:sz w:val="24"/>
          <w:szCs w:val="24"/>
        </w:rPr>
      </w:pPr>
    </w:p>
    <w:p w14:paraId="5F171433" w14:textId="77777777" w:rsidR="000A0A65" w:rsidRDefault="000A0A65" w:rsidP="5CE196A1">
      <w:pPr>
        <w:ind w:right="237"/>
        <w:jc w:val="both"/>
        <w:rPr>
          <w:b/>
          <w:bCs/>
          <w:color w:val="000000" w:themeColor="text1"/>
          <w:sz w:val="24"/>
          <w:szCs w:val="24"/>
        </w:rPr>
      </w:pPr>
    </w:p>
    <w:p w14:paraId="3DC76803" w14:textId="77777777" w:rsidR="00F41728" w:rsidRDefault="00F41728" w:rsidP="5CE196A1">
      <w:pPr>
        <w:ind w:right="237"/>
        <w:jc w:val="both"/>
        <w:rPr>
          <w:b/>
          <w:bCs/>
          <w:color w:val="000000" w:themeColor="text1"/>
          <w:sz w:val="24"/>
          <w:szCs w:val="24"/>
        </w:rPr>
      </w:pPr>
    </w:p>
    <w:p w14:paraId="1F78EFE7" w14:textId="77777777" w:rsidR="000A0A65" w:rsidRDefault="000A0A65" w:rsidP="5CE196A1">
      <w:pPr>
        <w:ind w:right="237"/>
        <w:jc w:val="both"/>
        <w:rPr>
          <w:b/>
          <w:bCs/>
          <w:color w:val="000000" w:themeColor="text1"/>
          <w:sz w:val="24"/>
          <w:szCs w:val="24"/>
        </w:rPr>
      </w:pPr>
    </w:p>
    <w:p w14:paraId="53BB65B4" w14:textId="77777777" w:rsidR="000A0A65" w:rsidRDefault="000A0A65" w:rsidP="5CE196A1">
      <w:pPr>
        <w:ind w:right="237"/>
        <w:jc w:val="both"/>
        <w:rPr>
          <w:b/>
          <w:bCs/>
          <w:color w:val="000000" w:themeColor="text1"/>
          <w:sz w:val="24"/>
          <w:szCs w:val="24"/>
        </w:rPr>
      </w:pPr>
    </w:p>
    <w:p w14:paraId="6562A294" w14:textId="77777777" w:rsidR="006B1154" w:rsidRDefault="006B1154" w:rsidP="5CE196A1">
      <w:pPr>
        <w:ind w:right="237"/>
        <w:jc w:val="both"/>
        <w:rPr>
          <w:b/>
          <w:bCs/>
          <w:color w:val="000000" w:themeColor="text1"/>
          <w:sz w:val="24"/>
          <w:szCs w:val="24"/>
        </w:rPr>
      </w:pPr>
    </w:p>
    <w:p w14:paraId="75C47407" w14:textId="77777777" w:rsidR="006B1154" w:rsidRDefault="006B1154" w:rsidP="5CE196A1">
      <w:pPr>
        <w:ind w:right="237"/>
        <w:jc w:val="both"/>
        <w:rPr>
          <w:b/>
          <w:bCs/>
          <w:color w:val="000000" w:themeColor="text1"/>
          <w:sz w:val="24"/>
          <w:szCs w:val="24"/>
        </w:rPr>
      </w:pPr>
    </w:p>
    <w:p w14:paraId="0F8D7C8E" w14:textId="77777777" w:rsidR="006B1154" w:rsidRDefault="006B1154" w:rsidP="5CE196A1">
      <w:pPr>
        <w:ind w:right="237"/>
        <w:jc w:val="both"/>
        <w:rPr>
          <w:b/>
          <w:bCs/>
          <w:color w:val="000000" w:themeColor="text1"/>
          <w:sz w:val="24"/>
          <w:szCs w:val="24"/>
        </w:rPr>
      </w:pPr>
    </w:p>
    <w:p w14:paraId="2FF8663C" w14:textId="77777777" w:rsidR="006B1154" w:rsidRDefault="006B1154" w:rsidP="5CE196A1">
      <w:pPr>
        <w:ind w:right="237"/>
        <w:jc w:val="both"/>
        <w:rPr>
          <w:b/>
          <w:bCs/>
          <w:color w:val="000000" w:themeColor="text1"/>
          <w:sz w:val="24"/>
          <w:szCs w:val="24"/>
        </w:rPr>
      </w:pPr>
    </w:p>
    <w:p w14:paraId="57ECC908" w14:textId="77777777" w:rsidR="006B1154" w:rsidRDefault="006B1154" w:rsidP="5CE196A1">
      <w:pPr>
        <w:ind w:right="237"/>
        <w:jc w:val="both"/>
        <w:rPr>
          <w:b/>
          <w:bCs/>
          <w:color w:val="000000" w:themeColor="text1"/>
          <w:sz w:val="24"/>
          <w:szCs w:val="24"/>
        </w:rPr>
      </w:pPr>
    </w:p>
    <w:p w14:paraId="570CAA87" w14:textId="77777777" w:rsidR="006B1154" w:rsidRDefault="006B1154" w:rsidP="5CE196A1">
      <w:pPr>
        <w:ind w:right="237"/>
        <w:jc w:val="both"/>
        <w:rPr>
          <w:b/>
          <w:bCs/>
          <w:color w:val="000000" w:themeColor="text1"/>
          <w:sz w:val="24"/>
          <w:szCs w:val="24"/>
        </w:rPr>
      </w:pPr>
    </w:p>
    <w:p w14:paraId="6C081AF2" w14:textId="77777777" w:rsidR="006B1154" w:rsidRDefault="006B1154" w:rsidP="5CE196A1">
      <w:pPr>
        <w:ind w:right="237"/>
        <w:jc w:val="both"/>
        <w:rPr>
          <w:b/>
          <w:bCs/>
          <w:color w:val="000000" w:themeColor="text1"/>
          <w:sz w:val="24"/>
          <w:szCs w:val="24"/>
        </w:rPr>
      </w:pPr>
    </w:p>
    <w:p w14:paraId="7E4D1DD9" w14:textId="77777777" w:rsidR="006B1154" w:rsidRDefault="006B1154" w:rsidP="5CE196A1">
      <w:pPr>
        <w:ind w:right="237"/>
        <w:jc w:val="both"/>
        <w:rPr>
          <w:b/>
          <w:bCs/>
          <w:color w:val="000000" w:themeColor="text1"/>
          <w:sz w:val="24"/>
          <w:szCs w:val="24"/>
        </w:rPr>
      </w:pPr>
    </w:p>
    <w:p w14:paraId="77D46664" w14:textId="77777777" w:rsidR="006B1154" w:rsidRDefault="006B1154" w:rsidP="5CE196A1">
      <w:pPr>
        <w:ind w:right="237"/>
        <w:jc w:val="both"/>
        <w:rPr>
          <w:b/>
          <w:bCs/>
          <w:color w:val="000000" w:themeColor="text1"/>
          <w:sz w:val="24"/>
          <w:szCs w:val="24"/>
        </w:rPr>
      </w:pPr>
    </w:p>
    <w:p w14:paraId="289C71FA" w14:textId="77777777" w:rsidR="006B1154" w:rsidRDefault="006B1154" w:rsidP="5CE196A1">
      <w:pPr>
        <w:ind w:right="237"/>
        <w:jc w:val="both"/>
        <w:rPr>
          <w:b/>
          <w:bCs/>
          <w:color w:val="000000" w:themeColor="text1"/>
          <w:sz w:val="24"/>
          <w:szCs w:val="24"/>
        </w:rPr>
      </w:pPr>
    </w:p>
    <w:p w14:paraId="213C3FDC" w14:textId="77777777" w:rsidR="006B1154" w:rsidRDefault="006B1154" w:rsidP="5CE196A1">
      <w:pPr>
        <w:ind w:right="237"/>
        <w:jc w:val="both"/>
        <w:rPr>
          <w:b/>
          <w:bCs/>
          <w:color w:val="000000" w:themeColor="text1"/>
          <w:sz w:val="24"/>
          <w:szCs w:val="24"/>
        </w:rPr>
      </w:pPr>
    </w:p>
    <w:p w14:paraId="57E279D6" w14:textId="77777777" w:rsidR="006B1154" w:rsidRDefault="006B1154"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10C72D64" w14:textId="37CC3BD4" w:rsidR="00811FE7" w:rsidRDefault="00D85A60" w:rsidP="009370AE">
      <w:pPr>
        <w:ind w:right="237"/>
        <w:jc w:val="both"/>
        <w:rPr>
          <w:color w:val="000000" w:themeColor="text1"/>
          <w:sz w:val="24"/>
          <w:szCs w:val="24"/>
        </w:rPr>
      </w:pPr>
      <w:r w:rsidRPr="00420ADB">
        <w:rPr>
          <w:color w:val="000000" w:themeColor="text1"/>
          <w:sz w:val="24"/>
          <w:szCs w:val="24"/>
        </w:rPr>
        <w:t xml:space="preserve">The Criminal Procedure and Investigations Act (1996) states that the purpose of a criminal investigation is to ascertain whether a person is guilty of an offence or should be charged with one. </w:t>
      </w:r>
      <w:r w:rsidR="00335B35" w:rsidRPr="00420ADB">
        <w:rPr>
          <w:color w:val="000000" w:themeColor="text1"/>
          <w:sz w:val="24"/>
          <w:szCs w:val="24"/>
        </w:rPr>
        <w:t>Stainton and Ewin (2022) mention that criminal investigations are at the core of policing</w:t>
      </w:r>
      <w:r w:rsidR="00335B35">
        <w:rPr>
          <w:color w:val="000000" w:themeColor="text1"/>
          <w:sz w:val="28"/>
          <w:szCs w:val="28"/>
        </w:rPr>
        <w:t xml:space="preserve">. </w:t>
      </w:r>
      <w:r w:rsidR="00335B35" w:rsidRPr="00420ADB">
        <w:rPr>
          <w:color w:val="000000" w:themeColor="text1"/>
          <w:sz w:val="24"/>
          <w:szCs w:val="24"/>
        </w:rPr>
        <w:t xml:space="preserve">Police officers investigate crimes </w:t>
      </w:r>
      <w:r w:rsidR="00D94AC0" w:rsidRPr="00420ADB">
        <w:rPr>
          <w:color w:val="000000" w:themeColor="text1"/>
          <w:sz w:val="24"/>
          <w:szCs w:val="24"/>
        </w:rPr>
        <w:t>daily</w:t>
      </w:r>
      <w:r w:rsidR="00335B35" w:rsidRPr="00420ADB">
        <w:rPr>
          <w:color w:val="000000" w:themeColor="text1"/>
          <w:sz w:val="24"/>
          <w:szCs w:val="24"/>
        </w:rPr>
        <w:t xml:space="preserve">, ranging from anti-social behaviour to </w:t>
      </w:r>
      <w:r w:rsidR="00993330" w:rsidRPr="00420ADB">
        <w:rPr>
          <w:color w:val="000000" w:themeColor="text1"/>
          <w:sz w:val="24"/>
          <w:szCs w:val="24"/>
        </w:rPr>
        <w:t xml:space="preserve">the most serious crimes, </w:t>
      </w:r>
      <w:r w:rsidR="00335B35" w:rsidRPr="00420ADB">
        <w:rPr>
          <w:color w:val="000000" w:themeColor="text1"/>
          <w:sz w:val="24"/>
          <w:szCs w:val="24"/>
        </w:rPr>
        <w:t xml:space="preserve">murder. </w:t>
      </w:r>
      <w:r w:rsidR="00D94AC0" w:rsidRPr="00420ADB">
        <w:rPr>
          <w:color w:val="000000" w:themeColor="text1"/>
          <w:sz w:val="24"/>
          <w:szCs w:val="24"/>
        </w:rPr>
        <w:t xml:space="preserve">Any police officer that is involved in the criminal investigation is defined as the College of Policing (2013) as a criminal investigator. They have the responsibility of carrying out the duties required for an investigation as well as recording and retaining information. </w:t>
      </w:r>
      <w:r w:rsidR="002A577D" w:rsidRPr="00420ADB">
        <w:rPr>
          <w:color w:val="000000" w:themeColor="text1"/>
          <w:sz w:val="24"/>
          <w:szCs w:val="24"/>
        </w:rPr>
        <w:t xml:space="preserve">This essay is going to focus on an investigation that I was officer in case for. It will explore the processes </w:t>
      </w:r>
      <w:r w:rsidR="00260D92">
        <w:rPr>
          <w:color w:val="000000" w:themeColor="text1"/>
          <w:sz w:val="24"/>
          <w:szCs w:val="24"/>
        </w:rPr>
        <w:t>applied</w:t>
      </w:r>
      <w:r w:rsidR="002A577D" w:rsidRPr="00420ADB">
        <w:rPr>
          <w:color w:val="000000" w:themeColor="text1"/>
          <w:sz w:val="24"/>
          <w:szCs w:val="24"/>
        </w:rPr>
        <w:t xml:space="preserve"> and what support I had in place for the victim, witnesses and offender. I will reflect on the investigation with the use of Kolbs’ reflective cycle. </w:t>
      </w:r>
      <w:r w:rsidR="00D7089C" w:rsidRPr="00420ADB">
        <w:rPr>
          <w:color w:val="000000" w:themeColor="text1"/>
          <w:sz w:val="24"/>
          <w:szCs w:val="24"/>
        </w:rPr>
        <w:t>This model is the most influential and cited model of refection (Morris, 201</w:t>
      </w:r>
      <w:r w:rsidR="00E03FF7" w:rsidRPr="00420ADB">
        <w:rPr>
          <w:color w:val="000000" w:themeColor="text1"/>
          <w:sz w:val="24"/>
          <w:szCs w:val="24"/>
        </w:rPr>
        <w:t>9</w:t>
      </w:r>
      <w:r w:rsidR="00D7089C" w:rsidRPr="00420ADB">
        <w:rPr>
          <w:color w:val="000000" w:themeColor="text1"/>
          <w:sz w:val="24"/>
          <w:szCs w:val="24"/>
        </w:rPr>
        <w:t>). The model is a four-phase cycle detailing concreate experience, reflective observations, abstract conceptualisation and active experimentation (Hartly, 2010).</w:t>
      </w:r>
      <w:r w:rsidR="00E03FF7" w:rsidRPr="00420ADB">
        <w:rPr>
          <w:color w:val="000000" w:themeColor="text1"/>
          <w:sz w:val="24"/>
          <w:szCs w:val="24"/>
        </w:rPr>
        <w:t xml:space="preserve"> The reflection will include the management of my own values and attitudes. </w:t>
      </w:r>
    </w:p>
    <w:p w14:paraId="5B905B5A" w14:textId="77777777" w:rsidR="00811FE7" w:rsidRPr="00420ADB" w:rsidRDefault="00811FE7" w:rsidP="009370AE">
      <w:pPr>
        <w:ind w:right="237"/>
        <w:jc w:val="both"/>
        <w:rPr>
          <w:color w:val="000000" w:themeColor="text1"/>
          <w:sz w:val="24"/>
          <w:szCs w:val="24"/>
        </w:rPr>
      </w:pPr>
    </w:p>
    <w:p w14:paraId="0EEFE76D" w14:textId="77777777" w:rsidR="007A3E60" w:rsidRDefault="00420ADB" w:rsidP="00C16E21">
      <w:pPr>
        <w:ind w:right="237"/>
        <w:jc w:val="both"/>
        <w:rPr>
          <w:color w:val="000000" w:themeColor="text1"/>
          <w:sz w:val="24"/>
          <w:szCs w:val="24"/>
        </w:rPr>
      </w:pPr>
      <w:r w:rsidRPr="00420ADB">
        <w:rPr>
          <w:color w:val="000000" w:themeColor="text1"/>
          <w:sz w:val="24"/>
          <w:szCs w:val="24"/>
        </w:rPr>
        <w:t xml:space="preserve">The case that was being investigated is that of Sexual Assault on a child under 13 and Voyeurism. </w:t>
      </w:r>
      <w:r>
        <w:rPr>
          <w:color w:val="000000" w:themeColor="text1"/>
          <w:sz w:val="24"/>
          <w:szCs w:val="24"/>
        </w:rPr>
        <w:t>Sexual Assault on a child is defined as the intentional touching</w:t>
      </w:r>
      <w:r w:rsidR="00D215D2">
        <w:rPr>
          <w:color w:val="000000" w:themeColor="text1"/>
          <w:sz w:val="24"/>
          <w:szCs w:val="24"/>
        </w:rPr>
        <w:t>,</w:t>
      </w:r>
      <w:r>
        <w:rPr>
          <w:color w:val="000000" w:themeColor="text1"/>
          <w:sz w:val="24"/>
          <w:szCs w:val="24"/>
        </w:rPr>
        <w:t xml:space="preserve"> the touching is </w:t>
      </w:r>
      <w:r w:rsidR="00D215D2">
        <w:rPr>
          <w:color w:val="000000" w:themeColor="text1"/>
          <w:sz w:val="24"/>
          <w:szCs w:val="24"/>
        </w:rPr>
        <w:t>sexual,</w:t>
      </w:r>
      <w:r>
        <w:rPr>
          <w:color w:val="000000" w:themeColor="text1"/>
          <w:sz w:val="24"/>
          <w:szCs w:val="24"/>
        </w:rPr>
        <w:t xml:space="preserve"> and the child is under 13 years old (Sexual Offences Act</w:t>
      </w:r>
      <w:r w:rsidR="00D215D2">
        <w:rPr>
          <w:color w:val="000000" w:themeColor="text1"/>
          <w:sz w:val="24"/>
          <w:szCs w:val="24"/>
        </w:rPr>
        <w:t>,</w:t>
      </w:r>
      <w:r>
        <w:rPr>
          <w:color w:val="000000" w:themeColor="text1"/>
          <w:sz w:val="24"/>
          <w:szCs w:val="24"/>
        </w:rPr>
        <w:t xml:space="preserve"> 2003). </w:t>
      </w:r>
      <w:r w:rsidR="00D215D2">
        <w:rPr>
          <w:color w:val="000000" w:themeColor="text1"/>
          <w:sz w:val="24"/>
          <w:szCs w:val="24"/>
        </w:rPr>
        <w:t xml:space="preserve">Voyeurism is defined as the operating of equipment beneath another’s clothing to observe another’s genitals or buttocks (Voyeurism Act, 2019). </w:t>
      </w:r>
      <w:r w:rsidR="007B501E">
        <w:rPr>
          <w:color w:val="000000" w:themeColor="text1"/>
          <w:sz w:val="24"/>
          <w:szCs w:val="24"/>
        </w:rPr>
        <w:t xml:space="preserve">This allegation was </w:t>
      </w:r>
      <w:r w:rsidR="007B501E">
        <w:rPr>
          <w:color w:val="000000" w:themeColor="text1"/>
          <w:sz w:val="24"/>
          <w:szCs w:val="24"/>
        </w:rPr>
        <w:lastRenderedPageBreak/>
        <w:t xml:space="preserve">that a </w:t>
      </w:r>
      <w:r w:rsidR="00933F16">
        <w:rPr>
          <w:color w:val="000000" w:themeColor="text1"/>
          <w:sz w:val="24"/>
          <w:szCs w:val="24"/>
        </w:rPr>
        <w:t>stepdad</w:t>
      </w:r>
      <w:r w:rsidR="007B501E">
        <w:rPr>
          <w:color w:val="000000" w:themeColor="text1"/>
          <w:sz w:val="24"/>
          <w:szCs w:val="24"/>
        </w:rPr>
        <w:t xml:space="preserve"> had sexually assaulted his </w:t>
      </w:r>
      <w:r w:rsidR="00933F16">
        <w:rPr>
          <w:color w:val="000000" w:themeColor="text1"/>
          <w:sz w:val="24"/>
          <w:szCs w:val="24"/>
        </w:rPr>
        <w:t>stepdaughter</w:t>
      </w:r>
      <w:r w:rsidR="007B501E">
        <w:rPr>
          <w:color w:val="000000" w:themeColor="text1"/>
          <w:sz w:val="24"/>
          <w:szCs w:val="24"/>
        </w:rPr>
        <w:t xml:space="preserve"> and recorded her whilst in the shower. </w:t>
      </w:r>
      <w:r w:rsidR="00933F16">
        <w:rPr>
          <w:color w:val="000000" w:themeColor="text1"/>
          <w:sz w:val="24"/>
          <w:szCs w:val="24"/>
        </w:rPr>
        <w:t xml:space="preserve">This allegation was reported approximately two years later </w:t>
      </w:r>
      <w:r w:rsidR="00F61926">
        <w:rPr>
          <w:color w:val="000000" w:themeColor="text1"/>
          <w:sz w:val="24"/>
          <w:szCs w:val="24"/>
        </w:rPr>
        <w:t>through</w:t>
      </w:r>
      <w:r w:rsidR="00933F16">
        <w:rPr>
          <w:color w:val="000000" w:themeColor="text1"/>
          <w:sz w:val="24"/>
          <w:szCs w:val="24"/>
        </w:rPr>
        <w:t xml:space="preserve"> a disclosure to her friend and teachers.</w:t>
      </w:r>
      <w:r w:rsidR="00F61926">
        <w:rPr>
          <w:color w:val="000000" w:themeColor="text1"/>
          <w:sz w:val="24"/>
          <w:szCs w:val="24"/>
        </w:rPr>
        <w:t xml:space="preserve"> </w:t>
      </w:r>
    </w:p>
    <w:p w14:paraId="77E72B65" w14:textId="77777777" w:rsidR="007A3E60" w:rsidRDefault="007A3E60" w:rsidP="00C16E21">
      <w:pPr>
        <w:ind w:right="237"/>
        <w:jc w:val="both"/>
        <w:rPr>
          <w:color w:val="000000" w:themeColor="text1"/>
          <w:sz w:val="24"/>
          <w:szCs w:val="24"/>
        </w:rPr>
      </w:pPr>
    </w:p>
    <w:p w14:paraId="2A2CCBB4" w14:textId="0A3F9924" w:rsidR="00C16E21" w:rsidRDefault="00C16E21" w:rsidP="00C16E21">
      <w:pPr>
        <w:ind w:right="237"/>
        <w:jc w:val="both"/>
        <w:rPr>
          <w:color w:val="000000" w:themeColor="text1"/>
          <w:sz w:val="24"/>
          <w:szCs w:val="24"/>
        </w:rPr>
      </w:pPr>
      <w:r>
        <w:rPr>
          <w:color w:val="000000" w:themeColor="text1"/>
          <w:sz w:val="24"/>
          <w:szCs w:val="24"/>
        </w:rPr>
        <w:t xml:space="preserve">In order for an investigation to be effective, the term Investigative Mindset comes into play which is used to describe a systematic approach when gathering and assessing information (College of Policing, 2021). The College of Policing (2013) outline a number of factors that investigators need to consider when conducting criminal investigations, for example, Resources, Threat Risk and Harm, Disclosure and Exhibits. </w:t>
      </w:r>
      <w:r w:rsidR="007A3E60">
        <w:rPr>
          <w:color w:val="000000" w:themeColor="text1"/>
          <w:sz w:val="24"/>
          <w:szCs w:val="24"/>
        </w:rPr>
        <w:t xml:space="preserve">When this incident was reported to the police, I was the officer in </w:t>
      </w:r>
      <w:r w:rsidR="00B83F7B">
        <w:rPr>
          <w:color w:val="000000" w:themeColor="text1"/>
          <w:sz w:val="24"/>
          <w:szCs w:val="24"/>
        </w:rPr>
        <w:t>case,</w:t>
      </w:r>
      <w:r w:rsidR="007A3E60">
        <w:rPr>
          <w:color w:val="000000" w:themeColor="text1"/>
          <w:sz w:val="24"/>
          <w:szCs w:val="24"/>
        </w:rPr>
        <w:t xml:space="preserve"> and I had to ensure I applied an investigative mindset from the beginning. My first action was to gather as much information as I can, this resulted in me going to take an account from the victim. As the victim was under the age of 18-year-old, it was not appropriate for me to obtain a written statement from her. </w:t>
      </w:r>
      <w:r w:rsidR="00EC6B93">
        <w:rPr>
          <w:color w:val="000000" w:themeColor="text1"/>
          <w:sz w:val="24"/>
          <w:szCs w:val="24"/>
        </w:rPr>
        <w:t xml:space="preserve">Therefore, I decided to obtain a first account from the victim in a view that she would then provide the police with a video recorded interview which would ultimately be her evidence in the courts. </w:t>
      </w:r>
      <w:r w:rsidR="00B83F7B">
        <w:rPr>
          <w:color w:val="000000" w:themeColor="text1"/>
          <w:sz w:val="24"/>
          <w:szCs w:val="24"/>
        </w:rPr>
        <w:t xml:space="preserve">This video interview is known as Achieving Best </w:t>
      </w:r>
      <w:r w:rsidR="00AA4059">
        <w:rPr>
          <w:color w:val="000000" w:themeColor="text1"/>
          <w:sz w:val="24"/>
          <w:szCs w:val="24"/>
        </w:rPr>
        <w:t>Evidence,</w:t>
      </w:r>
      <w:r w:rsidR="00B83F7B">
        <w:rPr>
          <w:color w:val="000000" w:themeColor="text1"/>
          <w:sz w:val="24"/>
          <w:szCs w:val="24"/>
        </w:rPr>
        <w:t xml:space="preserve"> </w:t>
      </w:r>
      <w:r w:rsidR="00E8645F">
        <w:rPr>
          <w:color w:val="000000" w:themeColor="text1"/>
          <w:sz w:val="24"/>
          <w:szCs w:val="24"/>
        </w:rPr>
        <w:t xml:space="preserve">and it provides child and adult victims and witnesses the chance to produce a recorded interview that will be used as evidence – in -chief in court (Ministry of Justice, 2023). </w:t>
      </w:r>
      <w:r w:rsidR="00EC6B93">
        <w:rPr>
          <w:color w:val="000000" w:themeColor="text1"/>
          <w:sz w:val="24"/>
          <w:szCs w:val="24"/>
        </w:rPr>
        <w:t xml:space="preserve">The purpose of a first account is for the officer to gather the foundations of the investigation (College of Policing, 2020). </w:t>
      </w:r>
      <w:r w:rsidR="00292C0D">
        <w:rPr>
          <w:color w:val="000000" w:themeColor="text1"/>
          <w:sz w:val="24"/>
          <w:szCs w:val="24"/>
        </w:rPr>
        <w:t xml:space="preserve">When first speaking to a child and taking a first account it is essential that the officer does not ask any leading questions and speaks to the child in a language they can understand (College of Policing, 2014). </w:t>
      </w:r>
      <w:r w:rsidR="00843F73">
        <w:rPr>
          <w:color w:val="000000" w:themeColor="text1"/>
          <w:sz w:val="24"/>
          <w:szCs w:val="24"/>
        </w:rPr>
        <w:t>The first account the victim provided was the grounding of the investigation. From this, I was able to identify new lines of enquiry</w:t>
      </w:r>
      <w:r w:rsidR="00230C20">
        <w:rPr>
          <w:color w:val="000000" w:themeColor="text1"/>
          <w:sz w:val="24"/>
          <w:szCs w:val="24"/>
        </w:rPr>
        <w:t xml:space="preserve"> which included new witnesse</w:t>
      </w:r>
      <w:r w:rsidR="00945691">
        <w:rPr>
          <w:color w:val="000000" w:themeColor="text1"/>
          <w:sz w:val="24"/>
          <w:szCs w:val="24"/>
        </w:rPr>
        <w:t xml:space="preserve">s, </w:t>
      </w:r>
      <w:r w:rsidR="00230C20">
        <w:rPr>
          <w:color w:val="000000" w:themeColor="text1"/>
          <w:sz w:val="24"/>
          <w:szCs w:val="24"/>
        </w:rPr>
        <w:t>the seizure of the suspects electronic devices</w:t>
      </w:r>
      <w:r w:rsidR="00945691">
        <w:rPr>
          <w:color w:val="000000" w:themeColor="text1"/>
          <w:sz w:val="24"/>
          <w:szCs w:val="24"/>
        </w:rPr>
        <w:t xml:space="preserve"> and ultimately, the arrest of the suspect. </w:t>
      </w:r>
    </w:p>
    <w:p w14:paraId="1BAD3A62" w14:textId="77777777" w:rsidR="007A3E60" w:rsidRDefault="007A3E60" w:rsidP="009370AE">
      <w:pPr>
        <w:ind w:right="237"/>
        <w:jc w:val="both"/>
        <w:rPr>
          <w:b/>
          <w:bCs/>
          <w:color w:val="000000" w:themeColor="text1"/>
          <w:sz w:val="28"/>
          <w:szCs w:val="28"/>
        </w:rPr>
      </w:pPr>
    </w:p>
    <w:p w14:paraId="3A697CC4" w14:textId="4057FB89" w:rsidR="004331FB" w:rsidRDefault="004331FB" w:rsidP="009370AE">
      <w:pPr>
        <w:ind w:right="237"/>
        <w:jc w:val="both"/>
        <w:rPr>
          <w:color w:val="000000" w:themeColor="text1"/>
          <w:sz w:val="24"/>
          <w:szCs w:val="24"/>
        </w:rPr>
      </w:pPr>
      <w:r>
        <w:rPr>
          <w:color w:val="000000" w:themeColor="text1"/>
          <w:sz w:val="24"/>
          <w:szCs w:val="24"/>
        </w:rPr>
        <w:t xml:space="preserve">When conducting investigations, investigators form hypothesis on what has happened. However, </w:t>
      </w:r>
      <w:r w:rsidR="00DC1CC9">
        <w:rPr>
          <w:color w:val="000000" w:themeColor="text1"/>
          <w:sz w:val="24"/>
          <w:szCs w:val="24"/>
        </w:rPr>
        <w:t>most of the information investigators deal with is incomplete or contradictory (Sunghwan,</w:t>
      </w:r>
      <w:r w:rsidR="00DC1CC9" w:rsidRPr="00DC1CC9">
        <w:rPr>
          <w:i/>
          <w:iCs/>
          <w:color w:val="000000" w:themeColor="text1"/>
          <w:sz w:val="24"/>
          <w:szCs w:val="24"/>
        </w:rPr>
        <w:t>et al</w:t>
      </w:r>
      <w:r w:rsidR="00DC1CC9">
        <w:rPr>
          <w:color w:val="000000" w:themeColor="text1"/>
          <w:sz w:val="24"/>
          <w:szCs w:val="24"/>
        </w:rPr>
        <w:t xml:space="preserve">, 2020). Sunghwan (2009) </w:t>
      </w:r>
      <w:r w:rsidR="00DD27CE">
        <w:rPr>
          <w:color w:val="000000" w:themeColor="text1"/>
          <w:sz w:val="24"/>
          <w:szCs w:val="24"/>
        </w:rPr>
        <w:t xml:space="preserve">later goes onto say that the generation of </w:t>
      </w:r>
      <w:r w:rsidR="004203E4">
        <w:rPr>
          <w:color w:val="000000" w:themeColor="text1"/>
          <w:sz w:val="24"/>
          <w:szCs w:val="24"/>
        </w:rPr>
        <w:t>a</w:t>
      </w:r>
      <w:r w:rsidR="00DD27CE">
        <w:rPr>
          <w:color w:val="000000" w:themeColor="text1"/>
          <w:sz w:val="24"/>
          <w:szCs w:val="24"/>
        </w:rPr>
        <w:t xml:space="preserve"> hypothesis is necessary in investigations </w:t>
      </w:r>
      <w:r w:rsidR="00380912">
        <w:rPr>
          <w:color w:val="000000" w:themeColor="text1"/>
          <w:sz w:val="24"/>
          <w:szCs w:val="24"/>
        </w:rPr>
        <w:t xml:space="preserve">as this leads to the development of varying explanations for an offence and helps them keep an open investigative mindset. </w:t>
      </w:r>
      <w:r w:rsidR="00AA4059">
        <w:rPr>
          <w:color w:val="000000" w:themeColor="text1"/>
          <w:sz w:val="24"/>
          <w:szCs w:val="24"/>
        </w:rPr>
        <w:t xml:space="preserve">The information I had been provided with by the victim was very brief as it was only an initial account. However, after speaking to the disclosure witnesses at the school, it appeared that the victim had told </w:t>
      </w:r>
      <w:r w:rsidR="0043338B">
        <w:rPr>
          <w:color w:val="000000" w:themeColor="text1"/>
          <w:sz w:val="24"/>
          <w:szCs w:val="24"/>
        </w:rPr>
        <w:t xml:space="preserve">differing information to different people making the information contradictory as Sunghwan (2020) explained above. </w:t>
      </w:r>
      <w:r w:rsidR="006252EF">
        <w:rPr>
          <w:color w:val="000000" w:themeColor="text1"/>
          <w:sz w:val="24"/>
          <w:szCs w:val="24"/>
        </w:rPr>
        <w:t>However, I had to keep an open investigative mindset and co</w:t>
      </w:r>
      <w:r w:rsidR="006229F0">
        <w:rPr>
          <w:color w:val="000000" w:themeColor="text1"/>
          <w:sz w:val="24"/>
          <w:szCs w:val="24"/>
        </w:rPr>
        <w:t>nduct</w:t>
      </w:r>
      <w:r w:rsidR="006252EF">
        <w:rPr>
          <w:color w:val="000000" w:themeColor="text1"/>
          <w:sz w:val="24"/>
          <w:szCs w:val="24"/>
        </w:rPr>
        <w:t xml:space="preserve"> all </w:t>
      </w:r>
      <w:r w:rsidR="006229F0">
        <w:rPr>
          <w:color w:val="000000" w:themeColor="text1"/>
          <w:sz w:val="24"/>
          <w:szCs w:val="24"/>
        </w:rPr>
        <w:t xml:space="preserve">reasonable </w:t>
      </w:r>
      <w:r w:rsidR="006252EF">
        <w:rPr>
          <w:color w:val="000000" w:themeColor="text1"/>
          <w:sz w:val="24"/>
          <w:szCs w:val="24"/>
        </w:rPr>
        <w:t xml:space="preserve">lines of enquiry. Throughout the investigation my hypothesis changed as new information was gathered. </w:t>
      </w:r>
    </w:p>
    <w:p w14:paraId="1C8FB790" w14:textId="77777777" w:rsidR="007E60F8" w:rsidRDefault="007E60F8" w:rsidP="009370AE">
      <w:pPr>
        <w:ind w:right="237"/>
        <w:jc w:val="both"/>
        <w:rPr>
          <w:color w:val="000000" w:themeColor="text1"/>
          <w:sz w:val="24"/>
          <w:szCs w:val="24"/>
        </w:rPr>
      </w:pPr>
    </w:p>
    <w:p w14:paraId="65AF1394" w14:textId="02CD77E0" w:rsidR="008B548D" w:rsidRDefault="00AD09DB" w:rsidP="009370AE">
      <w:pPr>
        <w:ind w:right="237"/>
        <w:jc w:val="both"/>
        <w:rPr>
          <w:color w:val="000000" w:themeColor="text1"/>
          <w:sz w:val="24"/>
          <w:szCs w:val="24"/>
        </w:rPr>
      </w:pPr>
      <w:r>
        <w:rPr>
          <w:color w:val="000000" w:themeColor="text1"/>
          <w:sz w:val="24"/>
          <w:szCs w:val="24"/>
        </w:rPr>
        <w:t>I</w:t>
      </w:r>
      <w:r w:rsidR="007E60F8">
        <w:rPr>
          <w:color w:val="000000" w:themeColor="text1"/>
          <w:sz w:val="24"/>
          <w:szCs w:val="24"/>
        </w:rPr>
        <w:t>t is essential that officers develop an investigative strategy. The purpose of a strategy is to identify lines of enquiry, identify the objective</w:t>
      </w:r>
      <w:r w:rsidR="002F7A2F">
        <w:rPr>
          <w:color w:val="000000" w:themeColor="text1"/>
          <w:sz w:val="24"/>
          <w:szCs w:val="24"/>
        </w:rPr>
        <w:t>s</w:t>
      </w:r>
      <w:r w:rsidR="007E60F8">
        <w:rPr>
          <w:color w:val="000000" w:themeColor="text1"/>
          <w:sz w:val="24"/>
          <w:szCs w:val="24"/>
        </w:rPr>
        <w:t xml:space="preserve"> of pursing </w:t>
      </w:r>
      <w:r w:rsidR="002F7A2F">
        <w:rPr>
          <w:color w:val="000000" w:themeColor="text1"/>
          <w:sz w:val="24"/>
          <w:szCs w:val="24"/>
        </w:rPr>
        <w:t xml:space="preserve">the </w:t>
      </w:r>
      <w:r w:rsidR="007E60F8">
        <w:rPr>
          <w:color w:val="000000" w:themeColor="text1"/>
          <w:sz w:val="24"/>
          <w:szCs w:val="24"/>
        </w:rPr>
        <w:t xml:space="preserve">lines of enquiry, identify investigative actions and conduct the actions (Centrex, 2005). </w:t>
      </w:r>
      <w:r w:rsidR="002F7A2F">
        <w:rPr>
          <w:color w:val="000000" w:themeColor="text1"/>
          <w:sz w:val="24"/>
          <w:szCs w:val="24"/>
        </w:rPr>
        <w:t xml:space="preserve">For this investigation, I developed an investigative strategy from the outset. In order to purse the lines of enquiry I had to take into consideration what actions took priority. </w:t>
      </w:r>
      <w:r w:rsidR="0034448D">
        <w:rPr>
          <w:color w:val="000000" w:themeColor="text1"/>
          <w:sz w:val="24"/>
          <w:szCs w:val="24"/>
        </w:rPr>
        <w:t>For</w:t>
      </w:r>
      <w:r w:rsidR="002F7A2F">
        <w:rPr>
          <w:color w:val="000000" w:themeColor="text1"/>
          <w:sz w:val="24"/>
          <w:szCs w:val="24"/>
        </w:rPr>
        <w:t xml:space="preserve"> me to do this, I had to consider the Gold Hour principle</w:t>
      </w:r>
      <w:r w:rsidR="00CC5B87">
        <w:rPr>
          <w:color w:val="000000" w:themeColor="text1"/>
          <w:sz w:val="24"/>
          <w:szCs w:val="24"/>
        </w:rPr>
        <w:t>s</w:t>
      </w:r>
      <w:r w:rsidR="002F7A2F">
        <w:rPr>
          <w:color w:val="000000" w:themeColor="text1"/>
          <w:sz w:val="24"/>
          <w:szCs w:val="24"/>
        </w:rPr>
        <w:t xml:space="preserve">. </w:t>
      </w:r>
      <w:r w:rsidR="005C2C31">
        <w:rPr>
          <w:color w:val="000000" w:themeColor="text1"/>
          <w:sz w:val="24"/>
          <w:szCs w:val="24"/>
        </w:rPr>
        <w:t xml:space="preserve">Golden Hour is described by the College of Policing (2013) as the period immediately after the report of an incident taking place. This is when positive action should be taken in order to preserve life and evidence and to maximise the chance of securing evidential material. </w:t>
      </w:r>
      <w:r w:rsidR="0034448D">
        <w:rPr>
          <w:color w:val="000000" w:themeColor="text1"/>
          <w:sz w:val="24"/>
          <w:szCs w:val="24"/>
        </w:rPr>
        <w:t xml:space="preserve">As mentioned above, this incident was reported some two years </w:t>
      </w:r>
      <w:r w:rsidR="0034448D">
        <w:rPr>
          <w:color w:val="000000" w:themeColor="text1"/>
          <w:sz w:val="24"/>
          <w:szCs w:val="24"/>
        </w:rPr>
        <w:lastRenderedPageBreak/>
        <w:t xml:space="preserve">later so the need for immediate preservation was minimal. The first step in Golden Hour is to identify the victim and witnesses which had already been identified and noted by the call handler and I went straight to speak with the victim and obtained a first account. </w:t>
      </w:r>
      <w:r w:rsidR="00C672A7">
        <w:rPr>
          <w:color w:val="000000" w:themeColor="text1"/>
          <w:sz w:val="24"/>
          <w:szCs w:val="24"/>
        </w:rPr>
        <w:t xml:space="preserve">Once the victim and witnesses were identified, it was essential for me to ensure the relevant safeguarding measures </w:t>
      </w:r>
      <w:r w:rsidR="00C43614">
        <w:rPr>
          <w:color w:val="000000" w:themeColor="text1"/>
          <w:sz w:val="24"/>
          <w:szCs w:val="24"/>
        </w:rPr>
        <w:t xml:space="preserve">were </w:t>
      </w:r>
      <w:r w:rsidR="00C672A7">
        <w:rPr>
          <w:color w:val="000000" w:themeColor="text1"/>
          <w:sz w:val="24"/>
          <w:szCs w:val="24"/>
        </w:rPr>
        <w:t xml:space="preserve">in place. </w:t>
      </w:r>
      <w:r w:rsidR="00C43614">
        <w:rPr>
          <w:color w:val="000000" w:themeColor="text1"/>
          <w:sz w:val="24"/>
          <w:szCs w:val="24"/>
        </w:rPr>
        <w:t xml:space="preserve">Safeguarding is paramount </w:t>
      </w:r>
      <w:r w:rsidR="00423EAF">
        <w:rPr>
          <w:color w:val="000000" w:themeColor="text1"/>
          <w:sz w:val="24"/>
          <w:szCs w:val="24"/>
        </w:rPr>
        <w:t xml:space="preserve">for the </w:t>
      </w:r>
      <w:r w:rsidR="00C43614">
        <w:rPr>
          <w:color w:val="000000" w:themeColor="text1"/>
          <w:sz w:val="24"/>
          <w:szCs w:val="24"/>
        </w:rPr>
        <w:t xml:space="preserve">police and especially as the victim in this case was a child, she is vulnerable due to her age. </w:t>
      </w:r>
      <w:r w:rsidR="00423EAF">
        <w:rPr>
          <w:color w:val="000000" w:themeColor="text1"/>
          <w:sz w:val="24"/>
          <w:szCs w:val="24"/>
        </w:rPr>
        <w:t xml:space="preserve">The first safeguarding measure that was already in place was that the victim and her family had already moved to a different county and had no contact with the family. </w:t>
      </w:r>
      <w:r w:rsidR="0034448D">
        <w:rPr>
          <w:color w:val="000000" w:themeColor="text1"/>
          <w:sz w:val="24"/>
          <w:szCs w:val="24"/>
        </w:rPr>
        <w:t xml:space="preserve"> </w:t>
      </w:r>
      <w:r w:rsidR="00372A6C">
        <w:rPr>
          <w:color w:val="000000" w:themeColor="text1"/>
          <w:sz w:val="24"/>
          <w:szCs w:val="24"/>
        </w:rPr>
        <w:t xml:space="preserve">The second safeguarding issue was that we needed to find out if the suspect had any contact with other children. In order to overcome this, we ensured that one of his bail conditions was not to have any unsupervised contact with children under the age of 18. </w:t>
      </w:r>
    </w:p>
    <w:p w14:paraId="6E927FE9" w14:textId="77777777" w:rsidR="008B548D" w:rsidRDefault="008B548D" w:rsidP="009370AE">
      <w:pPr>
        <w:ind w:right="237"/>
        <w:jc w:val="both"/>
        <w:rPr>
          <w:color w:val="000000" w:themeColor="text1"/>
          <w:sz w:val="24"/>
          <w:szCs w:val="24"/>
        </w:rPr>
      </w:pPr>
    </w:p>
    <w:p w14:paraId="7C91D20F" w14:textId="01BFE89D" w:rsidR="00E15794" w:rsidRDefault="002C2130" w:rsidP="009370AE">
      <w:pPr>
        <w:ind w:right="237"/>
        <w:jc w:val="both"/>
        <w:rPr>
          <w:color w:val="000000" w:themeColor="text1"/>
          <w:sz w:val="24"/>
          <w:szCs w:val="24"/>
        </w:rPr>
      </w:pPr>
      <w:r>
        <w:rPr>
          <w:color w:val="000000" w:themeColor="text1"/>
          <w:sz w:val="24"/>
          <w:szCs w:val="24"/>
        </w:rPr>
        <w:t xml:space="preserve">During the victims first account, she said that it took place at his home address, specifically in the upstairs bathroom. Although there was no requirement to preserve the scene it was essential that we were able to identify where this incident took place. </w:t>
      </w:r>
      <w:r w:rsidR="00B75376">
        <w:rPr>
          <w:color w:val="000000" w:themeColor="text1"/>
          <w:sz w:val="24"/>
          <w:szCs w:val="24"/>
        </w:rPr>
        <w:t>In her first account to the police, the victim stated that she was being filmed whilst she was in the shower, and she was able to provide a description of the mobile device used. Based on this information it was paramount that we seized all devices in the suspects possession. Most of the devices were seized under</w:t>
      </w:r>
      <w:r w:rsidR="00B75376" w:rsidRPr="004905EB">
        <w:rPr>
          <w:color w:val="000000" w:themeColor="text1"/>
          <w:sz w:val="24"/>
          <w:szCs w:val="24"/>
        </w:rPr>
        <w:t xml:space="preserve"> Section 32 PACE</w:t>
      </w:r>
      <w:r w:rsidR="004905EB" w:rsidRPr="004905EB">
        <w:rPr>
          <w:color w:val="000000" w:themeColor="text1"/>
          <w:sz w:val="24"/>
          <w:szCs w:val="24"/>
        </w:rPr>
        <w:t xml:space="preserve"> which is the search of a premises whe</w:t>
      </w:r>
      <w:r w:rsidR="004905EB">
        <w:rPr>
          <w:color w:val="000000" w:themeColor="text1"/>
          <w:sz w:val="24"/>
          <w:szCs w:val="24"/>
        </w:rPr>
        <w:t>re</w:t>
      </w:r>
      <w:r w:rsidR="004905EB" w:rsidRPr="004905EB">
        <w:rPr>
          <w:color w:val="000000" w:themeColor="text1"/>
          <w:sz w:val="24"/>
          <w:szCs w:val="24"/>
        </w:rPr>
        <w:t xml:space="preserve"> a person has been arrested for an indictable offence (Police and Criminal Evidence Act, 1984)</w:t>
      </w:r>
      <w:r w:rsidR="004905EB">
        <w:rPr>
          <w:color w:val="000000" w:themeColor="text1"/>
          <w:sz w:val="24"/>
          <w:szCs w:val="24"/>
        </w:rPr>
        <w:t xml:space="preserve">. </w:t>
      </w:r>
      <w:r w:rsidR="00B75376">
        <w:rPr>
          <w:color w:val="000000" w:themeColor="text1"/>
          <w:sz w:val="24"/>
          <w:szCs w:val="24"/>
        </w:rPr>
        <w:t xml:space="preserve">However, after new information was gathered through lines of enquiry it became apparent that the suspect may have utilised hidden cameras. Therefore, another search was conducted under </w:t>
      </w:r>
      <w:r w:rsidR="00B75376" w:rsidRPr="004905EB">
        <w:rPr>
          <w:color w:val="000000" w:themeColor="text1"/>
          <w:sz w:val="24"/>
          <w:szCs w:val="24"/>
        </w:rPr>
        <w:t>Section 18 PACE</w:t>
      </w:r>
      <w:r w:rsidR="004905EB" w:rsidRPr="004905EB">
        <w:rPr>
          <w:color w:val="000000" w:themeColor="text1"/>
          <w:sz w:val="24"/>
          <w:szCs w:val="24"/>
        </w:rPr>
        <w:t xml:space="preserve"> which is the search of a premises which is controlled or occupied by the arrested person (Police and Criminal Evidence Act, 1984).</w:t>
      </w:r>
      <w:r w:rsidR="00B75376" w:rsidRPr="004905EB">
        <w:rPr>
          <w:color w:val="000000" w:themeColor="text1"/>
          <w:sz w:val="24"/>
          <w:szCs w:val="24"/>
        </w:rPr>
        <w:t xml:space="preserve"> </w:t>
      </w:r>
      <w:r w:rsidR="004905EB">
        <w:rPr>
          <w:color w:val="000000" w:themeColor="text1"/>
          <w:sz w:val="24"/>
          <w:szCs w:val="24"/>
        </w:rPr>
        <w:t xml:space="preserve">This search was conducted as </w:t>
      </w:r>
      <w:r w:rsidR="00B75376">
        <w:rPr>
          <w:color w:val="000000" w:themeColor="text1"/>
          <w:sz w:val="24"/>
          <w:szCs w:val="24"/>
        </w:rPr>
        <w:t xml:space="preserve">the suspect was still in police custody at this time. The searches deemed to be </w:t>
      </w:r>
      <w:r w:rsidR="000B7533">
        <w:rPr>
          <w:color w:val="000000" w:themeColor="text1"/>
          <w:sz w:val="24"/>
          <w:szCs w:val="24"/>
        </w:rPr>
        <w:t>successful,</w:t>
      </w:r>
      <w:r w:rsidR="00B75376">
        <w:rPr>
          <w:color w:val="000000" w:themeColor="text1"/>
          <w:sz w:val="24"/>
          <w:szCs w:val="24"/>
        </w:rPr>
        <w:t xml:space="preserve"> and </w:t>
      </w:r>
      <w:r w:rsidR="00D65FB2">
        <w:rPr>
          <w:color w:val="000000" w:themeColor="text1"/>
          <w:sz w:val="24"/>
          <w:szCs w:val="24"/>
        </w:rPr>
        <w:t>several</w:t>
      </w:r>
      <w:r w:rsidR="00B75376">
        <w:rPr>
          <w:color w:val="000000" w:themeColor="text1"/>
          <w:sz w:val="24"/>
          <w:szCs w:val="24"/>
        </w:rPr>
        <w:t xml:space="preserve"> devices were seized. </w:t>
      </w:r>
      <w:r w:rsidR="000B7533">
        <w:rPr>
          <w:color w:val="000000" w:themeColor="text1"/>
          <w:sz w:val="24"/>
          <w:szCs w:val="24"/>
        </w:rPr>
        <w:t xml:space="preserve">When deciding to seize the devices belonging to the suspect, I took into consideration that this is going to be breach of Human Rights Article 8, the right to a private life. </w:t>
      </w:r>
      <w:r w:rsidR="008D30E8">
        <w:rPr>
          <w:color w:val="000000" w:themeColor="text1"/>
          <w:sz w:val="24"/>
          <w:szCs w:val="24"/>
        </w:rPr>
        <w:t xml:space="preserve">The Human Rights Act 1989 states that everyone has a right to their private life and that there should be no interference with this act unless it is in accordance with the law and it is necessary to prevent crime (Curtice and Hawkins, 2018). </w:t>
      </w:r>
      <w:r w:rsidR="00A40E69">
        <w:rPr>
          <w:color w:val="000000" w:themeColor="text1"/>
          <w:sz w:val="24"/>
          <w:szCs w:val="24"/>
        </w:rPr>
        <w:t>The purpose of seizing and examining the devices was deemed necessary and proportionate as one of the offences, Voyeurism</w:t>
      </w:r>
      <w:r w:rsidR="00DB6ED1">
        <w:rPr>
          <w:color w:val="000000" w:themeColor="text1"/>
          <w:sz w:val="24"/>
          <w:szCs w:val="24"/>
        </w:rPr>
        <w:t>,</w:t>
      </w:r>
      <w:r w:rsidR="00A40E69">
        <w:rPr>
          <w:color w:val="000000" w:themeColor="text1"/>
          <w:sz w:val="24"/>
          <w:szCs w:val="24"/>
        </w:rPr>
        <w:t xml:space="preserve"> was conducted </w:t>
      </w:r>
      <w:r w:rsidR="006B1154">
        <w:rPr>
          <w:color w:val="000000" w:themeColor="text1"/>
          <w:sz w:val="24"/>
          <w:szCs w:val="24"/>
        </w:rPr>
        <w:t>using</w:t>
      </w:r>
      <w:r w:rsidR="00A40E69">
        <w:rPr>
          <w:color w:val="000000" w:themeColor="text1"/>
          <w:sz w:val="24"/>
          <w:szCs w:val="24"/>
        </w:rPr>
        <w:t xml:space="preserve"> a mobile </w:t>
      </w:r>
      <w:r w:rsidR="008E0C1C">
        <w:rPr>
          <w:color w:val="000000" w:themeColor="text1"/>
          <w:sz w:val="24"/>
          <w:szCs w:val="24"/>
        </w:rPr>
        <w:t>device,</w:t>
      </w:r>
      <w:r w:rsidR="00A40E69">
        <w:rPr>
          <w:color w:val="000000" w:themeColor="text1"/>
          <w:sz w:val="24"/>
          <w:szCs w:val="24"/>
        </w:rPr>
        <w:t xml:space="preserve"> and it was essential for us to </w:t>
      </w:r>
      <w:r w:rsidR="00504541">
        <w:rPr>
          <w:color w:val="000000" w:themeColor="text1"/>
          <w:sz w:val="24"/>
          <w:szCs w:val="24"/>
        </w:rPr>
        <w:t xml:space="preserve">try and obtain this footage as this was the only option of proving the offence. </w:t>
      </w:r>
      <w:r w:rsidR="00DB6ED1">
        <w:rPr>
          <w:color w:val="000000" w:themeColor="text1"/>
          <w:sz w:val="24"/>
          <w:szCs w:val="24"/>
        </w:rPr>
        <w:t>As this case involved a child the download of the devices were necessary to examine if the suspect had any sexually explicit material in relation to children. Sexually Explicit Material</w:t>
      </w:r>
      <w:r w:rsidR="00E15794">
        <w:rPr>
          <w:color w:val="000000" w:themeColor="text1"/>
          <w:sz w:val="24"/>
          <w:szCs w:val="24"/>
        </w:rPr>
        <w:t xml:space="preserve"> (SEM)</w:t>
      </w:r>
      <w:r w:rsidR="00DB6ED1">
        <w:rPr>
          <w:color w:val="000000" w:themeColor="text1"/>
          <w:sz w:val="24"/>
          <w:szCs w:val="24"/>
        </w:rPr>
        <w:t xml:space="preserve"> is deemed to be pornographic images or </w:t>
      </w:r>
      <w:r w:rsidR="00E15794">
        <w:rPr>
          <w:color w:val="000000" w:themeColor="text1"/>
          <w:sz w:val="24"/>
          <w:szCs w:val="24"/>
        </w:rPr>
        <w:t xml:space="preserve">videos which are of a nude of semi-nude nature and child SEM is that of an individual under the age of 18 years old (Steel, et al, 2022). </w:t>
      </w:r>
      <w:r w:rsidR="008B548D">
        <w:rPr>
          <w:color w:val="000000" w:themeColor="text1"/>
          <w:sz w:val="24"/>
          <w:szCs w:val="24"/>
        </w:rPr>
        <w:t xml:space="preserve">Although this was a very intrusive process it was deemed necessary for the investigation and as a result, some images have now been found on the devices. After knowing this information, it has confirmed that there is some fluidity to this allegation and that the police need to continue to protect the children connected to the suspect. </w:t>
      </w:r>
    </w:p>
    <w:p w14:paraId="0C96E9AA" w14:textId="77777777" w:rsidR="001612E9" w:rsidRDefault="001612E9" w:rsidP="009370AE">
      <w:pPr>
        <w:ind w:right="237"/>
        <w:jc w:val="both"/>
        <w:rPr>
          <w:color w:val="000000" w:themeColor="text1"/>
          <w:sz w:val="24"/>
          <w:szCs w:val="24"/>
        </w:rPr>
      </w:pPr>
    </w:p>
    <w:p w14:paraId="4518C57F" w14:textId="7E7823AA" w:rsidR="001612E9" w:rsidRDefault="001612E9" w:rsidP="009370AE">
      <w:pPr>
        <w:ind w:right="237"/>
        <w:jc w:val="both"/>
        <w:rPr>
          <w:color w:val="000000" w:themeColor="text1"/>
          <w:sz w:val="24"/>
          <w:szCs w:val="24"/>
        </w:rPr>
      </w:pPr>
      <w:r>
        <w:rPr>
          <w:color w:val="000000" w:themeColor="text1"/>
          <w:sz w:val="24"/>
          <w:szCs w:val="24"/>
        </w:rPr>
        <w:t>The suspect is Irish and spent most of his life over in Ireland. Due to this, it was imperative to conduct a Cross Boarder Investigation</w:t>
      </w:r>
      <w:r w:rsidR="00A1419E">
        <w:rPr>
          <w:color w:val="000000" w:themeColor="text1"/>
          <w:sz w:val="24"/>
          <w:szCs w:val="24"/>
        </w:rPr>
        <w:t xml:space="preserve"> to identify if the suspect had any convictions when he resided in Ireland. I undertook numerous intelligence </w:t>
      </w:r>
      <w:r w:rsidR="00A1419E">
        <w:rPr>
          <w:color w:val="000000" w:themeColor="text1"/>
          <w:sz w:val="24"/>
          <w:szCs w:val="24"/>
        </w:rPr>
        <w:lastRenderedPageBreak/>
        <w:t xml:space="preserve">checks. This included Police National Computer (PNC), Police National Database (PND), and A Criminal Conviction Office check (ACRO). </w:t>
      </w:r>
      <w:r w:rsidR="0039406E">
        <w:rPr>
          <w:color w:val="000000" w:themeColor="text1"/>
          <w:sz w:val="24"/>
          <w:szCs w:val="24"/>
        </w:rPr>
        <w:t xml:space="preserve">The PNC is a computer system that police and law enforcement use to gather real time information, for example a person’s criminal record (HMICFRS, 2023). </w:t>
      </w:r>
      <w:r w:rsidR="009401CC">
        <w:rPr>
          <w:color w:val="000000" w:themeColor="text1"/>
          <w:sz w:val="24"/>
          <w:szCs w:val="24"/>
        </w:rPr>
        <w:t xml:space="preserve">This check is essential for all investigations as this will be able to tell you if the person you are dealing with has been previously convicted in the United Kingdom for a similar offence, or if the person is wanted. The PND </w:t>
      </w:r>
      <w:r w:rsidR="00BF178A">
        <w:rPr>
          <w:color w:val="000000" w:themeColor="text1"/>
          <w:sz w:val="24"/>
          <w:szCs w:val="24"/>
        </w:rPr>
        <w:t xml:space="preserve">is a national information sharing system </w:t>
      </w:r>
      <w:r w:rsidR="00FF43E9">
        <w:rPr>
          <w:color w:val="000000" w:themeColor="text1"/>
          <w:sz w:val="24"/>
          <w:szCs w:val="24"/>
        </w:rPr>
        <w:t>to</w:t>
      </w:r>
      <w:r w:rsidR="00BF178A">
        <w:rPr>
          <w:color w:val="000000" w:themeColor="text1"/>
          <w:sz w:val="24"/>
          <w:szCs w:val="24"/>
        </w:rPr>
        <w:t xml:space="preserve"> help prevent and detect crime (Legisia Legal Services, 2024). </w:t>
      </w:r>
      <w:r w:rsidR="00FF43E9">
        <w:rPr>
          <w:color w:val="000000" w:themeColor="text1"/>
          <w:sz w:val="24"/>
          <w:szCs w:val="24"/>
        </w:rPr>
        <w:t>This check is essential to check if the suspect has committed offences across police boarders. It holds information that would not be included in PNC checks</w:t>
      </w:r>
      <w:r w:rsidR="004724CA">
        <w:rPr>
          <w:color w:val="000000" w:themeColor="text1"/>
          <w:sz w:val="24"/>
          <w:szCs w:val="24"/>
        </w:rPr>
        <w:t>,</w:t>
      </w:r>
      <w:r w:rsidR="00FF43E9">
        <w:rPr>
          <w:color w:val="000000" w:themeColor="text1"/>
          <w:sz w:val="24"/>
          <w:szCs w:val="24"/>
        </w:rPr>
        <w:t xml:space="preserve"> such as intelligence. </w:t>
      </w:r>
      <w:r w:rsidR="00C6257F">
        <w:rPr>
          <w:color w:val="000000" w:themeColor="text1"/>
          <w:sz w:val="24"/>
          <w:szCs w:val="24"/>
        </w:rPr>
        <w:t xml:space="preserve">This check is used mainly in your more serious offences, therefore should always be completed where the offence involved a child. </w:t>
      </w:r>
      <w:r w:rsidR="002B735B">
        <w:rPr>
          <w:color w:val="000000" w:themeColor="text1"/>
          <w:sz w:val="24"/>
          <w:szCs w:val="24"/>
        </w:rPr>
        <w:t xml:space="preserve">In addition, ACRO confirms whether an individual has a criminal record in the United Kingdom or any foreign criminal history if this has been made available to the </w:t>
      </w:r>
      <w:r w:rsidR="00B1646D">
        <w:rPr>
          <w:color w:val="000000" w:themeColor="text1"/>
          <w:sz w:val="24"/>
          <w:szCs w:val="24"/>
        </w:rPr>
        <w:t>United</w:t>
      </w:r>
      <w:r w:rsidR="002B735B">
        <w:rPr>
          <w:color w:val="000000" w:themeColor="text1"/>
          <w:sz w:val="24"/>
          <w:szCs w:val="24"/>
        </w:rPr>
        <w:t xml:space="preserve"> Kingdom (Police.uk, 2024). </w:t>
      </w:r>
      <w:r w:rsidR="00B1646D">
        <w:rPr>
          <w:color w:val="000000" w:themeColor="text1"/>
          <w:sz w:val="24"/>
          <w:szCs w:val="24"/>
        </w:rPr>
        <w:t xml:space="preserve">This intelligence check was crucial in this investigation as the suspect was an Irish </w:t>
      </w:r>
      <w:r w:rsidR="00F30AA9">
        <w:rPr>
          <w:color w:val="000000" w:themeColor="text1"/>
          <w:sz w:val="24"/>
          <w:szCs w:val="24"/>
        </w:rPr>
        <w:t>national,</w:t>
      </w:r>
      <w:r w:rsidR="00B1646D">
        <w:rPr>
          <w:color w:val="000000" w:themeColor="text1"/>
          <w:sz w:val="24"/>
          <w:szCs w:val="24"/>
        </w:rPr>
        <w:t xml:space="preserve"> </w:t>
      </w:r>
      <w:r w:rsidR="00A36271">
        <w:rPr>
          <w:color w:val="000000" w:themeColor="text1"/>
          <w:sz w:val="24"/>
          <w:szCs w:val="24"/>
        </w:rPr>
        <w:t xml:space="preserve">we had to ensure if the suspect had any previous convictions for like offences. </w:t>
      </w:r>
      <w:r w:rsidR="00F30AA9">
        <w:rPr>
          <w:color w:val="000000" w:themeColor="text1"/>
          <w:sz w:val="24"/>
          <w:szCs w:val="24"/>
        </w:rPr>
        <w:t>Although intelligence checks are essential and useful in all investigations, there are some limitations</w:t>
      </w:r>
      <w:r w:rsidR="00B111AF">
        <w:rPr>
          <w:color w:val="000000" w:themeColor="text1"/>
          <w:sz w:val="24"/>
          <w:szCs w:val="24"/>
        </w:rPr>
        <w:t xml:space="preserve"> to Cross Border Investigations, for example, access to information, this may be difficult to share data between forces when they do not share the same system. There could be legal differences in difference countries which makes if difficult in collecting evidence. Lastly, Cultural Differences, </w:t>
      </w:r>
      <w:r w:rsidR="00047E5D">
        <w:rPr>
          <w:color w:val="000000" w:themeColor="text1"/>
          <w:sz w:val="24"/>
          <w:szCs w:val="24"/>
        </w:rPr>
        <w:t xml:space="preserve">this could include language and communications. It could also include differences in recording crimes. For example, one crime might not be classed as a crime in one country but will be deemed illegal in the other (CaseIQ, 2024). </w:t>
      </w:r>
    </w:p>
    <w:p w14:paraId="2B8FAD86" w14:textId="77777777" w:rsidR="000509E3" w:rsidRDefault="000509E3" w:rsidP="009370AE">
      <w:pPr>
        <w:ind w:right="237"/>
        <w:jc w:val="both"/>
        <w:rPr>
          <w:color w:val="000000" w:themeColor="text1"/>
          <w:sz w:val="24"/>
          <w:szCs w:val="24"/>
        </w:rPr>
      </w:pPr>
    </w:p>
    <w:p w14:paraId="0350D930" w14:textId="49E1A3ED" w:rsidR="00A87703" w:rsidRPr="00E73DFC" w:rsidRDefault="000509E3" w:rsidP="009370AE">
      <w:pPr>
        <w:ind w:right="237"/>
        <w:jc w:val="both"/>
        <w:rPr>
          <w:color w:val="000000" w:themeColor="text1"/>
          <w:sz w:val="24"/>
          <w:szCs w:val="24"/>
        </w:rPr>
      </w:pPr>
      <w:r>
        <w:rPr>
          <w:color w:val="000000" w:themeColor="text1"/>
          <w:sz w:val="24"/>
          <w:szCs w:val="24"/>
        </w:rPr>
        <w:t xml:space="preserve">Throughout this investigation, I have provided support the victim. I have liaised with the victim’s school who have been supportive and have offered to provide counselling to assist the victim. I have also referred the victim to the Sexual Assault Referral Centre (SARC) who have a team of Independent Sexual Violence Advisors (ISVA’s) these play a crucial role in supporting and providing guidance to those involved in domestic and sexual assaults (Gov.uk, 2024). </w:t>
      </w:r>
      <w:r w:rsidR="0080574A">
        <w:rPr>
          <w:color w:val="000000" w:themeColor="text1"/>
          <w:sz w:val="24"/>
          <w:szCs w:val="24"/>
        </w:rPr>
        <w:t xml:space="preserve">The victim has also been receiving support from her doctors, they have referred her to the Child and Adolescent Mental Health Servies (CAHMS) which support children predominantly with depression and anxiety (NHS, 2024). </w:t>
      </w:r>
      <w:r w:rsidR="00BC2B3F">
        <w:rPr>
          <w:color w:val="000000" w:themeColor="text1"/>
          <w:sz w:val="24"/>
          <w:szCs w:val="24"/>
        </w:rPr>
        <w:t xml:space="preserve">The victim was referred to this service as she has been mentally affected by these incidents over the years. </w:t>
      </w:r>
      <w:r w:rsidR="00115B6D">
        <w:rPr>
          <w:color w:val="000000" w:themeColor="text1"/>
          <w:sz w:val="24"/>
          <w:szCs w:val="24"/>
        </w:rPr>
        <w:t xml:space="preserve">In relation to the offender, he was provided with ongoing support whilst in custody, I ensured he was seen by the Health Care Professional who underwent a full mental assessment with him as he arrived and left custody. Although he has been </w:t>
      </w:r>
      <w:r w:rsidR="006C6281">
        <w:rPr>
          <w:color w:val="000000" w:themeColor="text1"/>
          <w:sz w:val="24"/>
          <w:szCs w:val="24"/>
        </w:rPr>
        <w:t xml:space="preserve">accused of one of the most serious crimes, it is imperative that officers still offer the support throughout their time in out care. </w:t>
      </w:r>
    </w:p>
    <w:p w14:paraId="4DEE5181" w14:textId="77777777" w:rsidR="00D65FB2" w:rsidRDefault="00D65FB2" w:rsidP="009370AE">
      <w:pPr>
        <w:ind w:right="237"/>
        <w:jc w:val="both"/>
        <w:rPr>
          <w:color w:val="000000" w:themeColor="text1"/>
          <w:sz w:val="24"/>
          <w:szCs w:val="24"/>
        </w:rPr>
      </w:pPr>
    </w:p>
    <w:p w14:paraId="4FE17FAE" w14:textId="37408417" w:rsidR="00D65FB2" w:rsidRDefault="00D65FB2" w:rsidP="009370AE">
      <w:pPr>
        <w:ind w:right="237"/>
        <w:jc w:val="both"/>
        <w:rPr>
          <w:color w:val="000000" w:themeColor="text1"/>
          <w:sz w:val="24"/>
          <w:szCs w:val="24"/>
        </w:rPr>
      </w:pPr>
      <w:r>
        <w:rPr>
          <w:color w:val="000000" w:themeColor="text1"/>
          <w:sz w:val="24"/>
          <w:szCs w:val="24"/>
        </w:rPr>
        <w:t xml:space="preserve">Overall, this is a complex crime in nature. It is interesting to see all the processes come together to tackle such crimes and to protect the most vulnerable in our communities. It is essential that officers prioritise their golden hour enquiries to preserve life, evidence and to protect the victims and witnesses. </w:t>
      </w:r>
      <w:r w:rsidR="00F20477">
        <w:rPr>
          <w:color w:val="000000" w:themeColor="text1"/>
          <w:sz w:val="24"/>
          <w:szCs w:val="24"/>
        </w:rPr>
        <w:t xml:space="preserve">If I was to do this investigation again, I would prioritise the Cross Board and Intelligence Checks as if there were any previous allegations or convictions then this would change my investigative hypothesis and mindset. </w:t>
      </w:r>
      <w:r w:rsidR="003B143D">
        <w:rPr>
          <w:color w:val="000000" w:themeColor="text1"/>
          <w:sz w:val="24"/>
          <w:szCs w:val="24"/>
        </w:rPr>
        <w:t xml:space="preserve">I have worked well with other agencies to ensure that support has been provided to both the victim and the offender where appropriate. </w:t>
      </w:r>
      <w:r w:rsidR="00E73DFC">
        <w:rPr>
          <w:color w:val="000000" w:themeColor="text1"/>
          <w:sz w:val="24"/>
          <w:szCs w:val="24"/>
        </w:rPr>
        <w:t xml:space="preserve">I have taken a considerable amount of learning away from this </w:t>
      </w:r>
      <w:r w:rsidR="00E73DFC">
        <w:rPr>
          <w:color w:val="000000" w:themeColor="text1"/>
          <w:sz w:val="24"/>
          <w:szCs w:val="24"/>
        </w:rPr>
        <w:lastRenderedPageBreak/>
        <w:t xml:space="preserve">investigation, it has been useful to utilise a range of processes which I now feel confident in doing for future cases. </w:t>
      </w:r>
    </w:p>
    <w:p w14:paraId="57333490" w14:textId="77777777" w:rsidR="001D4008" w:rsidRDefault="001D4008" w:rsidP="009370AE">
      <w:pPr>
        <w:ind w:right="237"/>
        <w:jc w:val="both"/>
        <w:rPr>
          <w:color w:val="000000" w:themeColor="text1"/>
          <w:sz w:val="24"/>
          <w:szCs w:val="24"/>
        </w:rPr>
      </w:pPr>
    </w:p>
    <w:p w14:paraId="265A92FE" w14:textId="47FF70F4" w:rsidR="001D4008" w:rsidRPr="001D4008" w:rsidRDefault="001D4008" w:rsidP="009370AE">
      <w:pPr>
        <w:ind w:right="237"/>
        <w:jc w:val="both"/>
        <w:rPr>
          <w:b/>
          <w:bCs/>
          <w:color w:val="000000" w:themeColor="text1"/>
          <w:sz w:val="24"/>
          <w:szCs w:val="24"/>
        </w:rPr>
      </w:pPr>
      <w:r w:rsidRPr="001D4008">
        <w:rPr>
          <w:b/>
          <w:bCs/>
          <w:color w:val="000000" w:themeColor="text1"/>
          <w:sz w:val="24"/>
          <w:szCs w:val="24"/>
        </w:rPr>
        <w:t>Word Count: 2177</w:t>
      </w:r>
    </w:p>
    <w:p w14:paraId="0A3D4BAA" w14:textId="77777777" w:rsidR="004203E4" w:rsidRDefault="004203E4" w:rsidP="009370AE">
      <w:pPr>
        <w:ind w:right="237"/>
        <w:jc w:val="both"/>
        <w:rPr>
          <w:color w:val="000000" w:themeColor="text1"/>
          <w:sz w:val="24"/>
          <w:szCs w:val="24"/>
        </w:rPr>
      </w:pPr>
    </w:p>
    <w:p w14:paraId="7FC378B4" w14:textId="77777777" w:rsidR="001612E9" w:rsidRDefault="001612E9" w:rsidP="009370AE">
      <w:pPr>
        <w:ind w:right="237"/>
        <w:jc w:val="both"/>
        <w:rPr>
          <w:color w:val="000000" w:themeColor="text1"/>
          <w:sz w:val="24"/>
          <w:szCs w:val="24"/>
        </w:rPr>
      </w:pPr>
    </w:p>
    <w:p w14:paraId="63C4B896" w14:textId="77777777" w:rsidR="004203E4" w:rsidRDefault="004203E4" w:rsidP="009370AE">
      <w:pPr>
        <w:ind w:right="237"/>
        <w:jc w:val="both"/>
        <w:rPr>
          <w:color w:val="000000" w:themeColor="text1"/>
          <w:sz w:val="24"/>
          <w:szCs w:val="24"/>
        </w:rPr>
      </w:pPr>
    </w:p>
    <w:p w14:paraId="7D4B1EE9" w14:textId="77777777" w:rsidR="004331FB" w:rsidRDefault="004331FB" w:rsidP="009370AE">
      <w:pPr>
        <w:ind w:right="237"/>
        <w:jc w:val="both"/>
        <w:rPr>
          <w:color w:val="000000" w:themeColor="text1"/>
          <w:sz w:val="24"/>
          <w:szCs w:val="24"/>
        </w:rPr>
      </w:pPr>
    </w:p>
    <w:p w14:paraId="414EC2B0" w14:textId="77777777" w:rsidR="005C2C31" w:rsidRPr="004331FB" w:rsidRDefault="005C2C31" w:rsidP="009370AE">
      <w:pPr>
        <w:ind w:right="237"/>
        <w:jc w:val="both"/>
        <w:rPr>
          <w:color w:val="000000" w:themeColor="text1"/>
          <w:sz w:val="24"/>
          <w:szCs w:val="24"/>
        </w:rPr>
      </w:pPr>
    </w:p>
    <w:p w14:paraId="5EF63AE5" w14:textId="77777777" w:rsidR="00BD7F40" w:rsidRDefault="00BD7F40" w:rsidP="009370AE">
      <w:pPr>
        <w:ind w:right="237"/>
        <w:jc w:val="both"/>
        <w:rPr>
          <w:b/>
          <w:bCs/>
          <w:color w:val="000000" w:themeColor="text1"/>
          <w:sz w:val="28"/>
          <w:szCs w:val="28"/>
        </w:rPr>
      </w:pPr>
    </w:p>
    <w:p w14:paraId="5D021A47" w14:textId="77777777" w:rsidR="00BD7F40" w:rsidRDefault="00BD7F40" w:rsidP="009370AE">
      <w:pPr>
        <w:ind w:right="237"/>
        <w:jc w:val="both"/>
        <w:rPr>
          <w:b/>
          <w:bCs/>
          <w:color w:val="000000" w:themeColor="text1"/>
          <w:sz w:val="28"/>
          <w:szCs w:val="28"/>
        </w:rPr>
      </w:pPr>
    </w:p>
    <w:p w14:paraId="27492A13" w14:textId="77777777" w:rsidR="00275FD3" w:rsidRDefault="00275FD3" w:rsidP="009370AE">
      <w:pPr>
        <w:ind w:right="237"/>
        <w:jc w:val="both"/>
        <w:rPr>
          <w:b/>
          <w:bCs/>
          <w:color w:val="000000" w:themeColor="text1"/>
          <w:sz w:val="28"/>
          <w:szCs w:val="28"/>
        </w:rPr>
      </w:pPr>
    </w:p>
    <w:p w14:paraId="7289DF0F" w14:textId="77777777" w:rsidR="00275FD3" w:rsidRDefault="00275FD3" w:rsidP="009370AE">
      <w:pPr>
        <w:ind w:right="237"/>
        <w:jc w:val="both"/>
        <w:rPr>
          <w:b/>
          <w:bCs/>
          <w:color w:val="000000" w:themeColor="text1"/>
          <w:sz w:val="28"/>
          <w:szCs w:val="28"/>
        </w:rPr>
      </w:pPr>
    </w:p>
    <w:p w14:paraId="4CDE478D" w14:textId="77777777" w:rsidR="00275FD3" w:rsidRDefault="00275FD3" w:rsidP="009370AE">
      <w:pPr>
        <w:ind w:right="237"/>
        <w:jc w:val="both"/>
        <w:rPr>
          <w:b/>
          <w:bCs/>
          <w:color w:val="000000" w:themeColor="text1"/>
          <w:sz w:val="28"/>
          <w:szCs w:val="28"/>
        </w:rPr>
      </w:pPr>
    </w:p>
    <w:p w14:paraId="7071BBC8" w14:textId="77777777" w:rsidR="00275FD3" w:rsidRDefault="00275FD3" w:rsidP="009370AE">
      <w:pPr>
        <w:ind w:right="237"/>
        <w:jc w:val="both"/>
        <w:rPr>
          <w:b/>
          <w:bCs/>
          <w:color w:val="000000" w:themeColor="text1"/>
          <w:sz w:val="28"/>
          <w:szCs w:val="28"/>
        </w:rPr>
      </w:pPr>
    </w:p>
    <w:p w14:paraId="1F90191F" w14:textId="77777777" w:rsidR="00275FD3" w:rsidRDefault="00275FD3" w:rsidP="009370AE">
      <w:pPr>
        <w:ind w:right="237"/>
        <w:jc w:val="both"/>
        <w:rPr>
          <w:b/>
          <w:bCs/>
          <w:color w:val="000000" w:themeColor="text1"/>
          <w:sz w:val="28"/>
          <w:szCs w:val="28"/>
        </w:rPr>
      </w:pPr>
    </w:p>
    <w:p w14:paraId="596BABCD" w14:textId="77777777" w:rsidR="00275FD3" w:rsidRDefault="00275FD3" w:rsidP="009370AE">
      <w:pPr>
        <w:ind w:right="237"/>
        <w:jc w:val="both"/>
        <w:rPr>
          <w:b/>
          <w:bCs/>
          <w:color w:val="000000" w:themeColor="text1"/>
          <w:sz w:val="28"/>
          <w:szCs w:val="28"/>
        </w:rPr>
      </w:pPr>
    </w:p>
    <w:p w14:paraId="3880E5D3" w14:textId="77777777" w:rsidR="00275FD3" w:rsidRDefault="00275FD3" w:rsidP="009370AE">
      <w:pPr>
        <w:ind w:right="237"/>
        <w:jc w:val="both"/>
        <w:rPr>
          <w:b/>
          <w:bCs/>
          <w:color w:val="000000" w:themeColor="text1"/>
          <w:sz w:val="28"/>
          <w:szCs w:val="28"/>
        </w:rPr>
      </w:pPr>
    </w:p>
    <w:p w14:paraId="71B8C258" w14:textId="77777777" w:rsidR="00275FD3" w:rsidRDefault="00275FD3" w:rsidP="009370AE">
      <w:pPr>
        <w:ind w:right="237"/>
        <w:jc w:val="both"/>
        <w:rPr>
          <w:b/>
          <w:bCs/>
          <w:color w:val="000000" w:themeColor="text1"/>
          <w:sz w:val="28"/>
          <w:szCs w:val="28"/>
        </w:rPr>
      </w:pPr>
    </w:p>
    <w:p w14:paraId="44D07971" w14:textId="77777777" w:rsidR="00275FD3" w:rsidRDefault="00275FD3" w:rsidP="009370AE">
      <w:pPr>
        <w:ind w:right="237"/>
        <w:jc w:val="both"/>
        <w:rPr>
          <w:b/>
          <w:bCs/>
          <w:color w:val="000000" w:themeColor="text1"/>
          <w:sz w:val="28"/>
          <w:szCs w:val="28"/>
        </w:rPr>
      </w:pPr>
    </w:p>
    <w:p w14:paraId="162822DC" w14:textId="77777777" w:rsidR="00275FD3" w:rsidRDefault="00275FD3" w:rsidP="009370AE">
      <w:pPr>
        <w:ind w:right="237"/>
        <w:jc w:val="both"/>
        <w:rPr>
          <w:b/>
          <w:bCs/>
          <w:color w:val="000000" w:themeColor="text1"/>
          <w:sz w:val="28"/>
          <w:szCs w:val="28"/>
        </w:rPr>
      </w:pPr>
    </w:p>
    <w:p w14:paraId="28D6F307" w14:textId="77777777" w:rsidR="00275FD3" w:rsidRDefault="00275FD3" w:rsidP="009370AE">
      <w:pPr>
        <w:ind w:right="237"/>
        <w:jc w:val="both"/>
        <w:rPr>
          <w:b/>
          <w:bCs/>
          <w:color w:val="000000" w:themeColor="text1"/>
          <w:sz w:val="28"/>
          <w:szCs w:val="28"/>
        </w:rPr>
      </w:pPr>
    </w:p>
    <w:p w14:paraId="0B6CDD53" w14:textId="77777777" w:rsidR="00275FD3" w:rsidRDefault="00275FD3" w:rsidP="009370AE">
      <w:pPr>
        <w:ind w:right="237"/>
        <w:jc w:val="both"/>
        <w:rPr>
          <w:b/>
          <w:bCs/>
          <w:color w:val="000000" w:themeColor="text1"/>
          <w:sz w:val="28"/>
          <w:szCs w:val="28"/>
        </w:rPr>
      </w:pPr>
    </w:p>
    <w:p w14:paraId="69ADC790" w14:textId="77777777" w:rsidR="00275FD3" w:rsidRDefault="00275FD3" w:rsidP="009370AE">
      <w:pPr>
        <w:ind w:right="237"/>
        <w:jc w:val="both"/>
        <w:rPr>
          <w:b/>
          <w:bCs/>
          <w:color w:val="000000" w:themeColor="text1"/>
          <w:sz w:val="28"/>
          <w:szCs w:val="28"/>
        </w:rPr>
      </w:pPr>
    </w:p>
    <w:p w14:paraId="54331D16" w14:textId="77777777" w:rsidR="00275FD3" w:rsidRDefault="00275FD3" w:rsidP="009370AE">
      <w:pPr>
        <w:ind w:right="237"/>
        <w:jc w:val="both"/>
        <w:rPr>
          <w:b/>
          <w:bCs/>
          <w:color w:val="000000" w:themeColor="text1"/>
          <w:sz w:val="28"/>
          <w:szCs w:val="28"/>
        </w:rPr>
      </w:pPr>
    </w:p>
    <w:p w14:paraId="28A77D0A" w14:textId="77777777" w:rsidR="00E73DFC" w:rsidRDefault="00E73DFC" w:rsidP="009370AE">
      <w:pPr>
        <w:ind w:right="237"/>
        <w:jc w:val="both"/>
        <w:rPr>
          <w:b/>
          <w:bCs/>
          <w:color w:val="000000" w:themeColor="text1"/>
          <w:sz w:val="28"/>
          <w:szCs w:val="28"/>
        </w:rPr>
      </w:pPr>
    </w:p>
    <w:p w14:paraId="64D71ED4" w14:textId="77777777" w:rsidR="00E73DFC" w:rsidRDefault="00E73DFC" w:rsidP="009370AE">
      <w:pPr>
        <w:ind w:right="237"/>
        <w:jc w:val="both"/>
        <w:rPr>
          <w:b/>
          <w:bCs/>
          <w:color w:val="000000" w:themeColor="text1"/>
          <w:sz w:val="28"/>
          <w:szCs w:val="28"/>
        </w:rPr>
      </w:pPr>
    </w:p>
    <w:p w14:paraId="7B78E4FE" w14:textId="77777777" w:rsidR="00E73DFC" w:rsidRDefault="00E73DFC" w:rsidP="009370AE">
      <w:pPr>
        <w:ind w:right="237"/>
        <w:jc w:val="both"/>
        <w:rPr>
          <w:b/>
          <w:bCs/>
          <w:color w:val="000000" w:themeColor="text1"/>
          <w:sz w:val="28"/>
          <w:szCs w:val="28"/>
        </w:rPr>
      </w:pPr>
    </w:p>
    <w:p w14:paraId="5E62189E" w14:textId="77777777" w:rsidR="00E73DFC" w:rsidRDefault="00E73DFC" w:rsidP="009370AE">
      <w:pPr>
        <w:ind w:right="237"/>
        <w:jc w:val="both"/>
        <w:rPr>
          <w:b/>
          <w:bCs/>
          <w:color w:val="000000" w:themeColor="text1"/>
          <w:sz w:val="28"/>
          <w:szCs w:val="28"/>
        </w:rPr>
      </w:pPr>
    </w:p>
    <w:p w14:paraId="526F7557" w14:textId="77777777" w:rsidR="00E73DFC" w:rsidRDefault="00E73DFC" w:rsidP="009370AE">
      <w:pPr>
        <w:ind w:right="237"/>
        <w:jc w:val="both"/>
        <w:rPr>
          <w:b/>
          <w:bCs/>
          <w:color w:val="000000" w:themeColor="text1"/>
          <w:sz w:val="28"/>
          <w:szCs w:val="28"/>
        </w:rPr>
      </w:pPr>
    </w:p>
    <w:p w14:paraId="199F7524" w14:textId="77777777" w:rsidR="00E73DFC" w:rsidRDefault="00E73DFC" w:rsidP="009370AE">
      <w:pPr>
        <w:ind w:right="237"/>
        <w:jc w:val="both"/>
        <w:rPr>
          <w:b/>
          <w:bCs/>
          <w:color w:val="000000" w:themeColor="text1"/>
          <w:sz w:val="28"/>
          <w:szCs w:val="28"/>
        </w:rPr>
      </w:pPr>
    </w:p>
    <w:p w14:paraId="431DAB27" w14:textId="77777777" w:rsidR="00E73DFC" w:rsidRDefault="00E73DFC" w:rsidP="009370AE">
      <w:pPr>
        <w:ind w:right="237"/>
        <w:jc w:val="both"/>
        <w:rPr>
          <w:b/>
          <w:bCs/>
          <w:color w:val="000000" w:themeColor="text1"/>
          <w:sz w:val="28"/>
          <w:szCs w:val="28"/>
        </w:rPr>
      </w:pPr>
    </w:p>
    <w:p w14:paraId="6829B03D" w14:textId="77777777" w:rsidR="00E73DFC" w:rsidRDefault="00E73DFC" w:rsidP="009370AE">
      <w:pPr>
        <w:ind w:right="237"/>
        <w:jc w:val="both"/>
        <w:rPr>
          <w:b/>
          <w:bCs/>
          <w:color w:val="000000" w:themeColor="text1"/>
          <w:sz w:val="28"/>
          <w:szCs w:val="28"/>
        </w:rPr>
      </w:pPr>
    </w:p>
    <w:p w14:paraId="17E1AB39" w14:textId="77777777" w:rsidR="00E73DFC" w:rsidRDefault="00E73DFC" w:rsidP="009370AE">
      <w:pPr>
        <w:ind w:right="237"/>
        <w:jc w:val="both"/>
        <w:rPr>
          <w:b/>
          <w:bCs/>
          <w:color w:val="000000" w:themeColor="text1"/>
          <w:sz w:val="28"/>
          <w:szCs w:val="28"/>
        </w:rPr>
      </w:pPr>
    </w:p>
    <w:p w14:paraId="0B78CE36" w14:textId="77777777" w:rsidR="00E73DFC" w:rsidRDefault="00E73DFC" w:rsidP="009370AE">
      <w:pPr>
        <w:ind w:right="237"/>
        <w:jc w:val="both"/>
        <w:rPr>
          <w:b/>
          <w:bCs/>
          <w:color w:val="000000" w:themeColor="text1"/>
          <w:sz w:val="28"/>
          <w:szCs w:val="28"/>
        </w:rPr>
      </w:pPr>
    </w:p>
    <w:p w14:paraId="6E33CA6B" w14:textId="77777777" w:rsidR="00E73DFC" w:rsidRDefault="00E73DFC" w:rsidP="009370AE">
      <w:pPr>
        <w:ind w:right="237"/>
        <w:jc w:val="both"/>
        <w:rPr>
          <w:b/>
          <w:bCs/>
          <w:color w:val="000000" w:themeColor="text1"/>
          <w:sz w:val="28"/>
          <w:szCs w:val="28"/>
        </w:rPr>
      </w:pPr>
    </w:p>
    <w:p w14:paraId="3C504E90" w14:textId="77777777" w:rsidR="00E73DFC" w:rsidRDefault="00E73DFC" w:rsidP="009370AE">
      <w:pPr>
        <w:ind w:right="237"/>
        <w:jc w:val="both"/>
        <w:rPr>
          <w:b/>
          <w:bCs/>
          <w:color w:val="000000" w:themeColor="text1"/>
          <w:sz w:val="28"/>
          <w:szCs w:val="28"/>
        </w:rPr>
      </w:pPr>
    </w:p>
    <w:p w14:paraId="6AFEAD28" w14:textId="77777777" w:rsidR="00E73DFC" w:rsidRDefault="00E73DFC" w:rsidP="009370AE">
      <w:pPr>
        <w:ind w:right="237"/>
        <w:jc w:val="both"/>
        <w:rPr>
          <w:b/>
          <w:bCs/>
          <w:color w:val="000000" w:themeColor="text1"/>
          <w:sz w:val="28"/>
          <w:szCs w:val="28"/>
        </w:rPr>
      </w:pPr>
    </w:p>
    <w:p w14:paraId="5875D277" w14:textId="77777777" w:rsidR="00E73DFC" w:rsidRDefault="00E73DFC" w:rsidP="009370AE">
      <w:pPr>
        <w:ind w:right="237"/>
        <w:jc w:val="both"/>
        <w:rPr>
          <w:b/>
          <w:bCs/>
          <w:color w:val="000000" w:themeColor="text1"/>
          <w:sz w:val="28"/>
          <w:szCs w:val="28"/>
        </w:rPr>
      </w:pPr>
    </w:p>
    <w:p w14:paraId="20F4A223" w14:textId="77777777" w:rsidR="00E73DFC" w:rsidRDefault="00E73DFC" w:rsidP="009370AE">
      <w:pPr>
        <w:ind w:right="237"/>
        <w:jc w:val="both"/>
        <w:rPr>
          <w:b/>
          <w:bCs/>
          <w:color w:val="000000" w:themeColor="text1"/>
          <w:sz w:val="28"/>
          <w:szCs w:val="28"/>
        </w:rPr>
      </w:pPr>
    </w:p>
    <w:p w14:paraId="767F8AF5" w14:textId="77777777" w:rsidR="00E73DFC" w:rsidRDefault="00E73DFC" w:rsidP="009370AE">
      <w:pPr>
        <w:ind w:right="237"/>
        <w:jc w:val="both"/>
        <w:rPr>
          <w:b/>
          <w:bCs/>
          <w:color w:val="000000" w:themeColor="text1"/>
          <w:sz w:val="28"/>
          <w:szCs w:val="28"/>
        </w:rPr>
      </w:pPr>
    </w:p>
    <w:p w14:paraId="0622BA47" w14:textId="77777777" w:rsidR="00E73DFC" w:rsidRDefault="00E73DFC" w:rsidP="009370AE">
      <w:pPr>
        <w:ind w:right="237"/>
        <w:jc w:val="both"/>
        <w:rPr>
          <w:b/>
          <w:bCs/>
          <w:color w:val="000000" w:themeColor="text1"/>
          <w:sz w:val="28"/>
          <w:szCs w:val="28"/>
        </w:rPr>
      </w:pPr>
    </w:p>
    <w:p w14:paraId="251761F9" w14:textId="77777777" w:rsidR="00E73DFC" w:rsidRDefault="00E73DFC" w:rsidP="009370AE">
      <w:pPr>
        <w:ind w:right="237"/>
        <w:jc w:val="both"/>
        <w:rPr>
          <w:b/>
          <w:bCs/>
          <w:color w:val="000000" w:themeColor="text1"/>
          <w:sz w:val="28"/>
          <w:szCs w:val="28"/>
        </w:rPr>
      </w:pPr>
    </w:p>
    <w:p w14:paraId="2B021446" w14:textId="77777777" w:rsidR="00E73DFC" w:rsidRDefault="00E73DFC" w:rsidP="009370AE">
      <w:pPr>
        <w:ind w:right="237"/>
        <w:jc w:val="both"/>
        <w:rPr>
          <w:b/>
          <w:bCs/>
          <w:color w:val="000000" w:themeColor="text1"/>
          <w:sz w:val="28"/>
          <w:szCs w:val="28"/>
        </w:rPr>
      </w:pPr>
    </w:p>
    <w:p w14:paraId="1E1EAE93" w14:textId="77777777" w:rsidR="00E73DFC" w:rsidRDefault="00E73DFC" w:rsidP="009370AE">
      <w:pPr>
        <w:ind w:right="237"/>
        <w:jc w:val="both"/>
        <w:rPr>
          <w:b/>
          <w:bCs/>
          <w:color w:val="000000" w:themeColor="text1"/>
          <w:sz w:val="28"/>
          <w:szCs w:val="28"/>
        </w:rPr>
      </w:pPr>
    </w:p>
    <w:p w14:paraId="50CB1648" w14:textId="77777777" w:rsidR="00275FD3" w:rsidRPr="009370AE" w:rsidRDefault="00275FD3"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9FB833A" w:rsidR="0FF883D4" w:rsidRDefault="5CE196A1" w:rsidP="5CE196A1">
      <w:r w:rsidRPr="5CE196A1">
        <w:rPr>
          <w:rFonts w:eastAsia="Arial"/>
          <w:b/>
          <w:bCs/>
          <w:color w:val="000000" w:themeColor="text1"/>
          <w:sz w:val="24"/>
          <w:szCs w:val="24"/>
        </w:rPr>
        <w:t xml:space="preserve">Signed: </w:t>
      </w:r>
      <w:r w:rsidR="00E73DFC">
        <w:rPr>
          <w:rFonts w:eastAsia="Arial"/>
          <w:b/>
          <w:bCs/>
          <w:color w:val="000000" w:themeColor="text1"/>
          <w:sz w:val="24"/>
          <w:szCs w:val="24"/>
        </w:rPr>
        <w:t xml:space="preserve">Sian Williams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14BAEE94" w:rsidR="0FF883D4" w:rsidRPr="00E73DFC" w:rsidRDefault="5CE196A1" w:rsidP="00E73DFC">
      <w:pPr>
        <w:sectPr w:rsidR="0FF883D4" w:rsidRPr="00E73DFC"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E73DFC">
        <w:t xml:space="preserve"> </w:t>
      </w:r>
      <w:r w:rsidR="00E73DFC">
        <w:rPr>
          <w:b/>
          <w:bCs/>
          <w:sz w:val="24"/>
          <w:szCs w:val="24"/>
          <w:lang w:eastAsia="zh-TW"/>
        </w:rPr>
        <w:t>2810/2024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1E7C106" w14:textId="77777777" w:rsidR="001569A9" w:rsidRDefault="001569A9" w:rsidP="00EA28F1">
      <w:pPr>
        <w:keepNext/>
        <w:spacing w:before="240" w:after="60"/>
        <w:ind w:right="237"/>
        <w:jc w:val="both"/>
        <w:rPr>
          <w:sz w:val="24"/>
          <w:szCs w:val="24"/>
        </w:rPr>
      </w:pPr>
    </w:p>
    <w:p w14:paraId="717D102E" w14:textId="77777777" w:rsidR="001569A9" w:rsidRDefault="001569A9" w:rsidP="001569A9">
      <w:r>
        <w:t xml:space="preserve">Baginsky, M., and Mathrope, J. (2022). Multiagency working between Childrens Social Care and schools during COVID 19: Case study from English local authorities and international reflections. Journal of Integrated care. 30 (2). 134 – 145. </w:t>
      </w:r>
    </w:p>
    <w:p w14:paraId="65E2A181" w14:textId="77777777" w:rsidR="001569A9" w:rsidRDefault="001569A9" w:rsidP="001569A9"/>
    <w:p w14:paraId="425AC82D" w14:textId="77777777" w:rsidR="001569A9" w:rsidRDefault="001569A9" w:rsidP="001569A9">
      <w:r>
        <w:t xml:space="preserve">Cardiff and Vale Safeguarding Board (2021). Multiagency Report (Referral) Form (Child Safeguarding). [online] Available from: </w:t>
      </w:r>
      <w:hyperlink r:id="rId21" w:history="1">
        <w:r w:rsidRPr="00BA782A">
          <w:rPr>
            <w:rStyle w:val="Hyperlink"/>
          </w:rPr>
          <w:t>SEWSCB - Multi Agency Referral Form (MARF) (cardiffandvalersb.co.uk)</w:t>
        </w:r>
      </w:hyperlink>
      <w:r>
        <w:t xml:space="preserve"> (Accessed on 19</w:t>
      </w:r>
      <w:r w:rsidRPr="00BA782A">
        <w:rPr>
          <w:vertAlign w:val="superscript"/>
        </w:rPr>
        <w:t>th</w:t>
      </w:r>
      <w:r>
        <w:t xml:space="preserve"> October 2024). </w:t>
      </w:r>
    </w:p>
    <w:p w14:paraId="2FBE38EC" w14:textId="77777777" w:rsidR="001569A9" w:rsidRDefault="001569A9" w:rsidP="001569A9"/>
    <w:p w14:paraId="2F9A6FA8" w14:textId="77777777" w:rsidR="001569A9" w:rsidRDefault="001569A9" w:rsidP="001569A9">
      <w:pPr>
        <w:rPr>
          <w:sz w:val="24"/>
          <w:szCs w:val="24"/>
        </w:rPr>
      </w:pPr>
      <w:r>
        <w:rPr>
          <w:sz w:val="24"/>
          <w:szCs w:val="24"/>
        </w:rPr>
        <w:t xml:space="preserve">CaseIQ (2024). 4 Common Problem with Cross-Border Investigations. [online Available from: </w:t>
      </w:r>
      <w:hyperlink r:id="rId22" w:history="1">
        <w:r w:rsidRPr="004A775B">
          <w:rPr>
            <w:rStyle w:val="Hyperlink"/>
            <w:sz w:val="24"/>
            <w:szCs w:val="24"/>
          </w:rPr>
          <w:t>4 Common Problems with Cross-Border Investigations</w:t>
        </w:r>
      </w:hyperlink>
      <w:r>
        <w:rPr>
          <w:sz w:val="24"/>
          <w:szCs w:val="24"/>
        </w:rPr>
        <w:t xml:space="preserve"> (Accessed on 24</w:t>
      </w:r>
      <w:r w:rsidRPr="004A775B">
        <w:rPr>
          <w:sz w:val="24"/>
          <w:szCs w:val="24"/>
          <w:vertAlign w:val="superscript"/>
        </w:rPr>
        <w:t>th</w:t>
      </w:r>
      <w:r>
        <w:rPr>
          <w:sz w:val="24"/>
          <w:szCs w:val="24"/>
        </w:rPr>
        <w:t xml:space="preserve"> October 2024). </w:t>
      </w:r>
    </w:p>
    <w:p w14:paraId="52BA432B" w14:textId="77777777" w:rsidR="001569A9" w:rsidRDefault="001569A9" w:rsidP="001569A9">
      <w:pPr>
        <w:rPr>
          <w:sz w:val="24"/>
          <w:szCs w:val="24"/>
        </w:rPr>
      </w:pPr>
    </w:p>
    <w:p w14:paraId="4EAF98DE" w14:textId="77777777" w:rsidR="001569A9" w:rsidRDefault="001569A9" w:rsidP="001569A9">
      <w:pPr>
        <w:rPr>
          <w:sz w:val="24"/>
          <w:szCs w:val="24"/>
        </w:rPr>
      </w:pPr>
      <w:r>
        <w:rPr>
          <w:sz w:val="24"/>
          <w:szCs w:val="24"/>
        </w:rPr>
        <w:t xml:space="preserve">Centrex (2005). Practice Advice on Core Investigative Doctrine. [online] Available from: </w:t>
      </w:r>
      <w:hyperlink r:id="rId23" w:history="1">
        <w:r w:rsidRPr="003D0256">
          <w:rPr>
            <w:rStyle w:val="Hyperlink"/>
            <w:sz w:val="24"/>
            <w:szCs w:val="24"/>
          </w:rPr>
          <w:t>Guidance to Missing Persons</w:t>
        </w:r>
      </w:hyperlink>
      <w:r>
        <w:rPr>
          <w:sz w:val="24"/>
          <w:szCs w:val="24"/>
        </w:rPr>
        <w:t xml:space="preserve"> (Accessed on 24</w:t>
      </w:r>
      <w:r w:rsidRPr="003D0256">
        <w:rPr>
          <w:sz w:val="24"/>
          <w:szCs w:val="24"/>
          <w:vertAlign w:val="superscript"/>
        </w:rPr>
        <w:t>th</w:t>
      </w:r>
      <w:r>
        <w:rPr>
          <w:sz w:val="24"/>
          <w:szCs w:val="24"/>
        </w:rPr>
        <w:t xml:space="preserve"> October 2024). </w:t>
      </w:r>
    </w:p>
    <w:p w14:paraId="41886B18" w14:textId="77777777" w:rsidR="001569A9" w:rsidRDefault="001569A9" w:rsidP="001569A9">
      <w:pPr>
        <w:rPr>
          <w:sz w:val="24"/>
          <w:szCs w:val="24"/>
        </w:rPr>
      </w:pPr>
    </w:p>
    <w:p w14:paraId="29814785" w14:textId="77777777" w:rsidR="001569A9" w:rsidRDefault="001569A9" w:rsidP="001569A9">
      <w:r>
        <w:t xml:space="preserve">Cioffi, A., Bolino, G, and Cecannecchia, C (2022). </w:t>
      </w:r>
      <w:r w:rsidRPr="008E6372">
        <w:rPr>
          <w:i/>
          <w:iCs/>
        </w:rPr>
        <w:t>Consent for sexual acts and rape offences: A dangerous international difformity. Medicine, science and the law.</w:t>
      </w:r>
      <w:r>
        <w:t xml:space="preserve"> 63 (2).</w:t>
      </w:r>
    </w:p>
    <w:p w14:paraId="5FA17DF3" w14:textId="77777777" w:rsidR="001569A9" w:rsidRDefault="001569A9" w:rsidP="001569A9"/>
    <w:p w14:paraId="5169BBCD" w14:textId="77777777" w:rsidR="001569A9" w:rsidRDefault="001569A9" w:rsidP="001569A9">
      <w:r>
        <w:t xml:space="preserve">College of Policing (2013). Children and Young Persons [online] Available from: </w:t>
      </w:r>
      <w:hyperlink r:id="rId24" w:history="1">
        <w:r w:rsidRPr="006F6492">
          <w:rPr>
            <w:rStyle w:val="Hyperlink"/>
          </w:rPr>
          <w:t>Children and young persons | College of Policing</w:t>
        </w:r>
      </w:hyperlink>
      <w:r>
        <w:t xml:space="preserve"> (Accessed on 15</w:t>
      </w:r>
      <w:r w:rsidRPr="006F6492">
        <w:rPr>
          <w:vertAlign w:val="superscript"/>
        </w:rPr>
        <w:t>th</w:t>
      </w:r>
      <w:r>
        <w:t xml:space="preserve"> October 2024). </w:t>
      </w:r>
    </w:p>
    <w:p w14:paraId="60569039" w14:textId="77777777" w:rsidR="001569A9" w:rsidRDefault="001569A9" w:rsidP="001569A9"/>
    <w:p w14:paraId="73E7B1FF" w14:textId="77777777" w:rsidR="001569A9" w:rsidRDefault="001569A9" w:rsidP="001569A9">
      <w:pPr>
        <w:rPr>
          <w:sz w:val="24"/>
          <w:szCs w:val="24"/>
        </w:rPr>
      </w:pPr>
      <w:r>
        <w:rPr>
          <w:sz w:val="24"/>
          <w:szCs w:val="24"/>
        </w:rPr>
        <w:t xml:space="preserve">College of Policing (2013). Investigation Introduction. [online] Available from: </w:t>
      </w:r>
      <w:hyperlink r:id="rId25" w:history="1">
        <w:r w:rsidRPr="00BC4531">
          <w:rPr>
            <w:rStyle w:val="Hyperlink"/>
            <w:sz w:val="24"/>
            <w:szCs w:val="24"/>
          </w:rPr>
          <w:t>Investigation introduction | College of Policing</w:t>
        </w:r>
      </w:hyperlink>
      <w:r>
        <w:rPr>
          <w:sz w:val="24"/>
          <w:szCs w:val="24"/>
        </w:rPr>
        <w:t xml:space="preserve"> (Accessed on 22</w:t>
      </w:r>
      <w:r w:rsidRPr="00BC4531">
        <w:rPr>
          <w:sz w:val="24"/>
          <w:szCs w:val="24"/>
          <w:vertAlign w:val="superscript"/>
        </w:rPr>
        <w:t>nd</w:t>
      </w:r>
      <w:r>
        <w:rPr>
          <w:sz w:val="24"/>
          <w:szCs w:val="24"/>
        </w:rPr>
        <w:t xml:space="preserve"> October 2024). </w:t>
      </w:r>
    </w:p>
    <w:p w14:paraId="1AA474EE" w14:textId="77777777" w:rsidR="001569A9" w:rsidRDefault="001569A9" w:rsidP="001569A9">
      <w:pPr>
        <w:rPr>
          <w:sz w:val="24"/>
          <w:szCs w:val="24"/>
        </w:rPr>
      </w:pPr>
    </w:p>
    <w:p w14:paraId="32269A84" w14:textId="77777777" w:rsidR="001569A9" w:rsidRDefault="001569A9" w:rsidP="001569A9">
      <w:pPr>
        <w:rPr>
          <w:sz w:val="24"/>
          <w:szCs w:val="24"/>
        </w:rPr>
      </w:pPr>
      <w:r>
        <w:rPr>
          <w:sz w:val="24"/>
          <w:szCs w:val="24"/>
        </w:rPr>
        <w:t xml:space="preserve">College of Policing (2013). Investigative Process [online] Available from: </w:t>
      </w:r>
      <w:hyperlink r:id="rId26" w:anchor="golden-hour-eaaa6299-ad83-4e0d-9e3c-00be51961cdd" w:history="1">
        <w:r w:rsidRPr="00813E75">
          <w:rPr>
            <w:rStyle w:val="Hyperlink"/>
            <w:sz w:val="24"/>
            <w:szCs w:val="24"/>
          </w:rPr>
          <w:t>Investigation process | College of Policing</w:t>
        </w:r>
      </w:hyperlink>
      <w:r>
        <w:rPr>
          <w:sz w:val="24"/>
          <w:szCs w:val="24"/>
        </w:rPr>
        <w:t xml:space="preserve"> (Accessed on 24</w:t>
      </w:r>
      <w:r w:rsidRPr="00813E75">
        <w:rPr>
          <w:sz w:val="24"/>
          <w:szCs w:val="24"/>
          <w:vertAlign w:val="superscript"/>
        </w:rPr>
        <w:t>th</w:t>
      </w:r>
      <w:r>
        <w:rPr>
          <w:sz w:val="24"/>
          <w:szCs w:val="24"/>
        </w:rPr>
        <w:t xml:space="preserve"> October 2024). </w:t>
      </w:r>
    </w:p>
    <w:p w14:paraId="0E027B72" w14:textId="77777777" w:rsidR="001569A9" w:rsidRDefault="001569A9" w:rsidP="001569A9">
      <w:pPr>
        <w:rPr>
          <w:sz w:val="24"/>
          <w:szCs w:val="24"/>
        </w:rPr>
      </w:pPr>
    </w:p>
    <w:p w14:paraId="10466E74" w14:textId="77777777" w:rsidR="001569A9" w:rsidRDefault="001569A9" w:rsidP="001569A9">
      <w:pPr>
        <w:rPr>
          <w:sz w:val="24"/>
          <w:szCs w:val="24"/>
        </w:rPr>
      </w:pPr>
      <w:r>
        <w:rPr>
          <w:sz w:val="24"/>
          <w:szCs w:val="24"/>
        </w:rPr>
        <w:t xml:space="preserve">College of Policing (2014). Police Response to Concern for a Child. [online] Available from: </w:t>
      </w:r>
      <w:hyperlink r:id="rId27" w:history="1">
        <w:r w:rsidRPr="0090573E">
          <w:rPr>
            <w:rStyle w:val="Hyperlink"/>
            <w:sz w:val="24"/>
            <w:szCs w:val="24"/>
          </w:rPr>
          <w:t>Police response to concern for a child | College of Policing</w:t>
        </w:r>
      </w:hyperlink>
      <w:r>
        <w:rPr>
          <w:sz w:val="24"/>
          <w:szCs w:val="24"/>
        </w:rPr>
        <w:t xml:space="preserve"> (Accessed on 24</w:t>
      </w:r>
      <w:r w:rsidRPr="0090573E">
        <w:rPr>
          <w:sz w:val="24"/>
          <w:szCs w:val="24"/>
          <w:vertAlign w:val="superscript"/>
        </w:rPr>
        <w:t>th</w:t>
      </w:r>
      <w:r>
        <w:rPr>
          <w:sz w:val="24"/>
          <w:szCs w:val="24"/>
        </w:rPr>
        <w:t xml:space="preserve"> October 2024). </w:t>
      </w:r>
    </w:p>
    <w:p w14:paraId="790807CB" w14:textId="77777777" w:rsidR="001569A9" w:rsidRDefault="001569A9" w:rsidP="001569A9">
      <w:pPr>
        <w:rPr>
          <w:sz w:val="24"/>
          <w:szCs w:val="24"/>
        </w:rPr>
      </w:pPr>
    </w:p>
    <w:p w14:paraId="441FE4AA" w14:textId="77777777" w:rsidR="001569A9" w:rsidRDefault="001569A9" w:rsidP="001569A9">
      <w:pPr>
        <w:rPr>
          <w:sz w:val="24"/>
          <w:szCs w:val="24"/>
        </w:rPr>
      </w:pPr>
      <w:r>
        <w:rPr>
          <w:sz w:val="24"/>
          <w:szCs w:val="24"/>
        </w:rPr>
        <w:t xml:space="preserve">College of Policing (2020). Introduction to Initial Accounts. [online] Available from: </w:t>
      </w:r>
      <w:hyperlink r:id="rId28" w:history="1">
        <w:r w:rsidRPr="00816F11">
          <w:rPr>
            <w:rStyle w:val="Hyperlink"/>
            <w:sz w:val="24"/>
            <w:szCs w:val="24"/>
          </w:rPr>
          <w:t>Introduction to initial accounts | College of Policing</w:t>
        </w:r>
      </w:hyperlink>
      <w:r>
        <w:rPr>
          <w:sz w:val="24"/>
          <w:szCs w:val="24"/>
        </w:rPr>
        <w:t xml:space="preserve"> (Accessed on 24</w:t>
      </w:r>
      <w:r w:rsidRPr="00816F11">
        <w:rPr>
          <w:sz w:val="24"/>
          <w:szCs w:val="24"/>
          <w:vertAlign w:val="superscript"/>
        </w:rPr>
        <w:t>th</w:t>
      </w:r>
      <w:r>
        <w:rPr>
          <w:sz w:val="24"/>
          <w:szCs w:val="24"/>
        </w:rPr>
        <w:t xml:space="preserve"> October 2024). </w:t>
      </w:r>
    </w:p>
    <w:p w14:paraId="16943995" w14:textId="77777777" w:rsidR="001569A9" w:rsidRDefault="001569A9" w:rsidP="001569A9">
      <w:pPr>
        <w:rPr>
          <w:sz w:val="24"/>
          <w:szCs w:val="24"/>
        </w:rPr>
      </w:pPr>
    </w:p>
    <w:p w14:paraId="4F71CB37" w14:textId="77777777" w:rsidR="001569A9" w:rsidRDefault="001569A9" w:rsidP="001569A9">
      <w:pPr>
        <w:rPr>
          <w:sz w:val="24"/>
          <w:szCs w:val="24"/>
        </w:rPr>
      </w:pPr>
      <w:r>
        <w:rPr>
          <w:sz w:val="24"/>
          <w:szCs w:val="24"/>
        </w:rPr>
        <w:t xml:space="preserve">College of Policing (2021). Effective Investigations. Improving the Application of the Investigative Mindset. [online] Available from: </w:t>
      </w:r>
      <w:hyperlink r:id="rId29" w:history="1">
        <w:r w:rsidRPr="00310B4D">
          <w:rPr>
            <w:rStyle w:val="Hyperlink"/>
            <w:sz w:val="24"/>
            <w:szCs w:val="24"/>
          </w:rPr>
          <w:t>Effective investigations: Improving the application of the investigative mindset</w:t>
        </w:r>
      </w:hyperlink>
      <w:r>
        <w:rPr>
          <w:sz w:val="24"/>
          <w:szCs w:val="24"/>
        </w:rPr>
        <w:t xml:space="preserve"> (Accessed on 22nd October 2024). </w:t>
      </w:r>
    </w:p>
    <w:p w14:paraId="5B8DDEC3" w14:textId="77777777" w:rsidR="001569A9" w:rsidRDefault="001569A9" w:rsidP="001569A9">
      <w:pPr>
        <w:rPr>
          <w:sz w:val="24"/>
          <w:szCs w:val="24"/>
        </w:rPr>
      </w:pPr>
    </w:p>
    <w:p w14:paraId="6CA7BA40" w14:textId="77777777" w:rsidR="001569A9" w:rsidRDefault="001569A9" w:rsidP="001569A9">
      <w:r>
        <w:t xml:space="preserve">College of Policing (2021). </w:t>
      </w:r>
      <w:r w:rsidRPr="00670CF3">
        <w:rPr>
          <w:i/>
          <w:iCs/>
        </w:rPr>
        <w:t>Introduction to vulnerability- related risk.</w:t>
      </w:r>
      <w:r>
        <w:t xml:space="preserve"> [online] Available from: </w:t>
      </w:r>
      <w:hyperlink r:id="rId30" w:history="1">
        <w:r w:rsidRPr="00670CF3">
          <w:rPr>
            <w:rStyle w:val="Hyperlink"/>
          </w:rPr>
          <w:t>Introduction to vulnerability-related risk | College of Policing</w:t>
        </w:r>
      </w:hyperlink>
      <w:r>
        <w:t xml:space="preserve"> (Accessed on 26</w:t>
      </w:r>
      <w:r w:rsidRPr="00670CF3">
        <w:rPr>
          <w:vertAlign w:val="superscript"/>
        </w:rPr>
        <w:t>th</w:t>
      </w:r>
      <w:r>
        <w:t xml:space="preserve"> September 2024). </w:t>
      </w:r>
    </w:p>
    <w:p w14:paraId="79A11A2A" w14:textId="77777777" w:rsidR="001569A9" w:rsidRDefault="001569A9" w:rsidP="001569A9"/>
    <w:p w14:paraId="3475B345" w14:textId="77777777" w:rsidR="001569A9" w:rsidRDefault="001569A9" w:rsidP="001569A9">
      <w:pPr>
        <w:rPr>
          <w:sz w:val="24"/>
          <w:szCs w:val="24"/>
        </w:rPr>
      </w:pPr>
      <w:r>
        <w:rPr>
          <w:sz w:val="24"/>
          <w:szCs w:val="24"/>
        </w:rPr>
        <w:t xml:space="preserve">Criminal Procedure and Investigations Act (1996). [online] Available from: </w:t>
      </w:r>
      <w:hyperlink r:id="rId31" w:history="1">
        <w:r w:rsidRPr="00A701B4">
          <w:rPr>
            <w:rStyle w:val="Hyperlink"/>
            <w:sz w:val="24"/>
            <w:szCs w:val="24"/>
          </w:rPr>
          <w:t>Criminal Procedure and Investigations Act 1996</w:t>
        </w:r>
      </w:hyperlink>
      <w:r>
        <w:rPr>
          <w:sz w:val="24"/>
          <w:szCs w:val="24"/>
        </w:rPr>
        <w:t xml:space="preserve"> (Accessed on 22</w:t>
      </w:r>
      <w:r w:rsidRPr="00A701B4">
        <w:rPr>
          <w:sz w:val="24"/>
          <w:szCs w:val="24"/>
          <w:vertAlign w:val="superscript"/>
        </w:rPr>
        <w:t>nd</w:t>
      </w:r>
      <w:r>
        <w:rPr>
          <w:sz w:val="24"/>
          <w:szCs w:val="24"/>
        </w:rPr>
        <w:t xml:space="preserve"> October 2024). </w:t>
      </w:r>
    </w:p>
    <w:p w14:paraId="226B3B34" w14:textId="77777777" w:rsidR="001569A9" w:rsidRDefault="001569A9" w:rsidP="001569A9">
      <w:pPr>
        <w:rPr>
          <w:sz w:val="24"/>
          <w:szCs w:val="24"/>
        </w:rPr>
      </w:pPr>
    </w:p>
    <w:p w14:paraId="06CB0B44" w14:textId="77777777" w:rsidR="001569A9" w:rsidRDefault="001569A9" w:rsidP="001569A9">
      <w:pPr>
        <w:rPr>
          <w:sz w:val="24"/>
          <w:szCs w:val="24"/>
        </w:rPr>
      </w:pPr>
      <w:r>
        <w:rPr>
          <w:sz w:val="24"/>
          <w:szCs w:val="24"/>
        </w:rPr>
        <w:t xml:space="preserve">Curtice, M., and Hawkins, T., (2018). The Human Rights Act 199: Article 8 case law and child and adolescent mental health service. Cambridge University Press. </w:t>
      </w:r>
    </w:p>
    <w:p w14:paraId="367BED38" w14:textId="77777777" w:rsidR="001569A9" w:rsidRDefault="001569A9" w:rsidP="001569A9">
      <w:pPr>
        <w:rPr>
          <w:sz w:val="24"/>
          <w:szCs w:val="24"/>
        </w:rPr>
      </w:pPr>
    </w:p>
    <w:p w14:paraId="4B485C0E" w14:textId="77777777" w:rsidR="001569A9" w:rsidRDefault="001569A9" w:rsidP="001569A9">
      <w:r>
        <w:t xml:space="preserve">Driscoll, J., Lorek, A., Kinnear, E., and Hutchinson, A,. (2020). Multi-agency safeguarding arrangements: overcoming the challenges of Covid-19 measures. Journal of Childrens Services. 15 (4). 267 – 274. </w:t>
      </w:r>
    </w:p>
    <w:p w14:paraId="32004F57" w14:textId="77777777" w:rsidR="001569A9" w:rsidRDefault="001569A9" w:rsidP="001569A9"/>
    <w:p w14:paraId="50F096AB" w14:textId="77777777" w:rsidR="001569A9" w:rsidRDefault="001569A9" w:rsidP="001569A9">
      <w:r>
        <w:t xml:space="preserve">Dune, J., and Finalay, F. (2016). G625 Multi Agency Safeguarding Hub – A new way or working. Archives of Disease in Childhood. (1) 101 </w:t>
      </w:r>
    </w:p>
    <w:p w14:paraId="38D104B3" w14:textId="77777777" w:rsidR="001569A9" w:rsidRDefault="001569A9" w:rsidP="001569A9"/>
    <w:p w14:paraId="45AE140E" w14:textId="77777777" w:rsidR="001569A9" w:rsidRDefault="001569A9" w:rsidP="001569A9">
      <w:pPr>
        <w:rPr>
          <w:sz w:val="24"/>
          <w:szCs w:val="24"/>
        </w:rPr>
      </w:pPr>
      <w:r>
        <w:rPr>
          <w:sz w:val="24"/>
          <w:szCs w:val="24"/>
        </w:rPr>
        <w:t>Gov.uk (2024). Clause 15: Guidance about Independent Advisors (ISVA and IDVAs). [online] Available from:</w:t>
      </w:r>
    </w:p>
    <w:p w14:paraId="42442C6F" w14:textId="77777777" w:rsidR="001569A9" w:rsidRDefault="00260D92" w:rsidP="001569A9">
      <w:pPr>
        <w:rPr>
          <w:sz w:val="24"/>
          <w:szCs w:val="24"/>
        </w:rPr>
      </w:pPr>
      <w:hyperlink r:id="rId32" w:history="1">
        <w:r w:rsidR="001569A9" w:rsidRPr="00450DE3">
          <w:rPr>
            <w:rStyle w:val="Hyperlink"/>
            <w:sz w:val="24"/>
            <w:szCs w:val="24"/>
          </w:rPr>
          <w:t>https://assets.publishing.service.gov.uk/government/uploads/system/uploads/attachment_data/file/1166544/guidance-about-independent-advisors-isvas-and-idvas-fact-sheet.pdf</w:t>
        </w:r>
      </w:hyperlink>
      <w:r w:rsidR="001569A9">
        <w:rPr>
          <w:sz w:val="24"/>
          <w:szCs w:val="24"/>
        </w:rPr>
        <w:t xml:space="preserve"> (Accessed on 25th October 2024).</w:t>
      </w:r>
    </w:p>
    <w:p w14:paraId="4C6985E0" w14:textId="77777777" w:rsidR="001569A9" w:rsidRDefault="001569A9" w:rsidP="001569A9">
      <w:pPr>
        <w:rPr>
          <w:sz w:val="24"/>
          <w:szCs w:val="24"/>
        </w:rPr>
      </w:pPr>
      <w:r>
        <w:rPr>
          <w:sz w:val="24"/>
          <w:szCs w:val="24"/>
        </w:rPr>
        <w:t>Hartley, M., (2010. Experimental Learning Using Kolb’s Cycle of Learning. Journal of Nursing Education. 49 (2) 120-120</w:t>
      </w:r>
    </w:p>
    <w:p w14:paraId="0741BD44" w14:textId="77777777" w:rsidR="001569A9" w:rsidRDefault="001569A9" w:rsidP="001569A9">
      <w:pPr>
        <w:rPr>
          <w:sz w:val="24"/>
          <w:szCs w:val="24"/>
        </w:rPr>
      </w:pPr>
    </w:p>
    <w:p w14:paraId="000699D9" w14:textId="77777777" w:rsidR="001569A9" w:rsidRDefault="001569A9" w:rsidP="001569A9">
      <w:r>
        <w:t xml:space="preserve">HM Government (2023). Working together to Safeguard Children 2023. A guide to multi-agency working to help, protect and promote the welfare of children. [online] Available from: </w:t>
      </w:r>
      <w:hyperlink r:id="rId33" w:history="1">
        <w:r w:rsidRPr="00451590">
          <w:rPr>
            <w:rStyle w:val="Hyperlink"/>
          </w:rPr>
          <w:t>Working together to safeguard children 2023: statutory guidance (publishing.service.gov.uk)</w:t>
        </w:r>
      </w:hyperlink>
      <w:r>
        <w:t xml:space="preserve"> (Accessed on 19</w:t>
      </w:r>
      <w:r w:rsidRPr="00451590">
        <w:rPr>
          <w:vertAlign w:val="superscript"/>
        </w:rPr>
        <w:t>th</w:t>
      </w:r>
      <w:r>
        <w:t xml:space="preserve"> October 2024). </w:t>
      </w:r>
    </w:p>
    <w:p w14:paraId="1848B988" w14:textId="77777777" w:rsidR="001569A9" w:rsidRDefault="001569A9" w:rsidP="001569A9"/>
    <w:p w14:paraId="39024384" w14:textId="77777777" w:rsidR="001569A9" w:rsidRDefault="001569A9" w:rsidP="001569A9">
      <w:r>
        <w:t xml:space="preserve">HM Inspectorate of Probation (2017). The work of Youth Offending Teams to Protect the Public. [online] Available from: </w:t>
      </w:r>
      <w:hyperlink r:id="rId34" w:anchor=":~:text=Youth%20Offending%20Teams%20supervise%2010-18%20year%20olds%20who,but%20are%20at%20particular%20risk%20of%20doing%20so." w:history="1">
        <w:r w:rsidRPr="00995FD2">
          <w:rPr>
            <w:rStyle w:val="Hyperlink"/>
          </w:rPr>
          <w:t>https://www.justiceinspectorates.gov.uk/hmiprobation/wp-content/uploads/sites/5/2017/10/The-Work-of-Youth-Offending-Teams-to-Protect-the-Public_reportfinal.pdf</w:t>
        </w:r>
      </w:hyperlink>
      <w:r>
        <w:t xml:space="preserve"> (Accessed on 20th October 2024). </w:t>
      </w:r>
    </w:p>
    <w:p w14:paraId="26E4ED6C" w14:textId="77777777" w:rsidR="001569A9" w:rsidRDefault="001569A9" w:rsidP="001569A9"/>
    <w:p w14:paraId="37752106" w14:textId="77777777" w:rsidR="001569A9" w:rsidRDefault="001569A9" w:rsidP="001569A9">
      <w:r>
        <w:t xml:space="preserve">HM Inspectorate of Probation (2021). Multi Agency Work in Youth Offending Services. Research and Analysis Bulletin. [online] Available from: </w:t>
      </w:r>
      <w:hyperlink r:id="rId35" w:history="1">
        <w:r w:rsidRPr="00B65893">
          <w:rPr>
            <w:rStyle w:val="Hyperlink"/>
          </w:rPr>
          <w:t>Multi-agency work in youth offending services (justiceinspectorates.gov.uk)</w:t>
        </w:r>
      </w:hyperlink>
      <w:r>
        <w:t xml:space="preserve"> (Accessed on 20</w:t>
      </w:r>
      <w:r w:rsidRPr="00B65893">
        <w:rPr>
          <w:vertAlign w:val="superscript"/>
        </w:rPr>
        <w:t>th</w:t>
      </w:r>
      <w:r>
        <w:t xml:space="preserve"> October 2024). </w:t>
      </w:r>
    </w:p>
    <w:p w14:paraId="2380C663" w14:textId="77777777" w:rsidR="001569A9" w:rsidRDefault="001569A9" w:rsidP="001569A9"/>
    <w:p w14:paraId="1E478A53" w14:textId="77777777" w:rsidR="001569A9" w:rsidRDefault="001569A9" w:rsidP="001569A9">
      <w:pPr>
        <w:rPr>
          <w:sz w:val="24"/>
          <w:szCs w:val="24"/>
        </w:rPr>
      </w:pPr>
      <w:r>
        <w:rPr>
          <w:sz w:val="24"/>
          <w:szCs w:val="24"/>
        </w:rPr>
        <w:t xml:space="preserve">HMICFRS (2023). Police National Computer [online] Available from: </w:t>
      </w:r>
      <w:hyperlink r:id="rId36" w:history="1">
        <w:r w:rsidRPr="00805EE8">
          <w:rPr>
            <w:rStyle w:val="Hyperlink"/>
            <w:sz w:val="24"/>
            <w:szCs w:val="24"/>
          </w:rPr>
          <w:t>Police National Computer (PNC) - His Majesty’s Inspectorate of Constabulary and Fire &amp; Rescue Services</w:t>
        </w:r>
      </w:hyperlink>
      <w:r>
        <w:rPr>
          <w:sz w:val="24"/>
          <w:szCs w:val="24"/>
        </w:rPr>
        <w:t xml:space="preserve"> (Accessed on October 24</w:t>
      </w:r>
      <w:r w:rsidRPr="00805EE8">
        <w:rPr>
          <w:sz w:val="24"/>
          <w:szCs w:val="24"/>
          <w:vertAlign w:val="superscript"/>
        </w:rPr>
        <w:t>th</w:t>
      </w:r>
      <w:r>
        <w:rPr>
          <w:sz w:val="24"/>
          <w:szCs w:val="24"/>
        </w:rPr>
        <w:t xml:space="preserve"> 2024). </w:t>
      </w:r>
    </w:p>
    <w:p w14:paraId="39925B22" w14:textId="77777777" w:rsidR="001569A9" w:rsidRDefault="001569A9" w:rsidP="001569A9">
      <w:pPr>
        <w:rPr>
          <w:sz w:val="24"/>
          <w:szCs w:val="24"/>
        </w:rPr>
      </w:pPr>
    </w:p>
    <w:p w14:paraId="3EBEFE0B" w14:textId="77777777" w:rsidR="001569A9" w:rsidRDefault="001569A9" w:rsidP="001569A9">
      <w:r>
        <w:t xml:space="preserve">Home Office (2024). Concordat on children in custody [online] Available from: </w:t>
      </w:r>
      <w:hyperlink r:id="rId37" w:history="1">
        <w:r w:rsidRPr="00515418">
          <w:rPr>
            <w:rStyle w:val="Hyperlink"/>
          </w:rPr>
          <w:t>Concordat on Children in Custody (publishing.service.gov.uk)</w:t>
        </w:r>
      </w:hyperlink>
      <w:r>
        <w:t xml:space="preserve"> (Accessed on 15</w:t>
      </w:r>
      <w:r w:rsidRPr="00515418">
        <w:rPr>
          <w:vertAlign w:val="superscript"/>
        </w:rPr>
        <w:t>th</w:t>
      </w:r>
      <w:r>
        <w:t xml:space="preserve"> October 2024). </w:t>
      </w:r>
    </w:p>
    <w:p w14:paraId="4024CBE8" w14:textId="77777777" w:rsidR="001569A9" w:rsidRDefault="001569A9" w:rsidP="001569A9"/>
    <w:p w14:paraId="5EAF49F0" w14:textId="77777777" w:rsidR="001569A9" w:rsidRDefault="001569A9" w:rsidP="001569A9">
      <w:pPr>
        <w:rPr>
          <w:sz w:val="24"/>
          <w:szCs w:val="24"/>
        </w:rPr>
      </w:pPr>
      <w:r>
        <w:rPr>
          <w:sz w:val="24"/>
          <w:szCs w:val="24"/>
        </w:rPr>
        <w:t xml:space="preserve">Kuijpers, K., Knaap, L., and Winkel, F., (2011). Risk of Revictimization of Intimate Partner Violence: The Role of Attachment, Anger and Violent Behaviour of the Victim. National Library of Medicine. 27 (1). 33-44.  </w:t>
      </w:r>
    </w:p>
    <w:p w14:paraId="05B4610B" w14:textId="77777777" w:rsidR="001569A9" w:rsidRDefault="001569A9" w:rsidP="001569A9">
      <w:pPr>
        <w:rPr>
          <w:sz w:val="24"/>
          <w:szCs w:val="24"/>
        </w:rPr>
      </w:pPr>
    </w:p>
    <w:p w14:paraId="73FBA933" w14:textId="77777777" w:rsidR="001569A9" w:rsidRDefault="001569A9" w:rsidP="001569A9">
      <w:pPr>
        <w:rPr>
          <w:sz w:val="24"/>
          <w:szCs w:val="24"/>
        </w:rPr>
      </w:pPr>
      <w:r>
        <w:rPr>
          <w:sz w:val="24"/>
          <w:szCs w:val="24"/>
        </w:rPr>
        <w:t xml:space="preserve">Lee, J., Majeed- Ariss, R., Pederson, A., Yusuf., F., and White, c. (2019). Sexually Assaulted Older Women Attending a UK Sexual Assault Referral Centre for a Forensic Medical Examination. Journal of Forensic and Legal Medicine. 68 (1) 1-9. </w:t>
      </w:r>
    </w:p>
    <w:p w14:paraId="1897114D" w14:textId="77777777" w:rsidR="001569A9" w:rsidRDefault="001569A9" w:rsidP="001569A9">
      <w:pPr>
        <w:rPr>
          <w:sz w:val="24"/>
          <w:szCs w:val="24"/>
        </w:rPr>
      </w:pPr>
    </w:p>
    <w:p w14:paraId="767F6F8A" w14:textId="77777777" w:rsidR="001569A9" w:rsidRDefault="001569A9" w:rsidP="001569A9">
      <w:pPr>
        <w:rPr>
          <w:sz w:val="24"/>
          <w:szCs w:val="24"/>
        </w:rPr>
      </w:pPr>
      <w:r>
        <w:rPr>
          <w:sz w:val="24"/>
          <w:szCs w:val="24"/>
        </w:rPr>
        <w:t xml:space="preserve">Legisia Legal Services (2024). What is the Police National Database? [online] Available from: </w:t>
      </w:r>
      <w:hyperlink r:id="rId38" w:history="1">
        <w:r w:rsidRPr="006A07E0">
          <w:rPr>
            <w:rStyle w:val="Hyperlink"/>
            <w:sz w:val="24"/>
            <w:szCs w:val="24"/>
          </w:rPr>
          <w:t>What is the Police National Database (PND)?</w:t>
        </w:r>
      </w:hyperlink>
      <w:r>
        <w:rPr>
          <w:sz w:val="24"/>
          <w:szCs w:val="24"/>
        </w:rPr>
        <w:t xml:space="preserve"> (Accessed on 24</w:t>
      </w:r>
      <w:r w:rsidRPr="006A07E0">
        <w:rPr>
          <w:sz w:val="24"/>
          <w:szCs w:val="24"/>
          <w:vertAlign w:val="superscript"/>
        </w:rPr>
        <w:t>th</w:t>
      </w:r>
      <w:r>
        <w:rPr>
          <w:sz w:val="24"/>
          <w:szCs w:val="24"/>
        </w:rPr>
        <w:t xml:space="preserve"> October 2024). </w:t>
      </w:r>
    </w:p>
    <w:p w14:paraId="11E706A8" w14:textId="77777777" w:rsidR="001569A9" w:rsidRDefault="001569A9" w:rsidP="001569A9">
      <w:pPr>
        <w:rPr>
          <w:sz w:val="24"/>
          <w:szCs w:val="24"/>
        </w:rPr>
      </w:pPr>
    </w:p>
    <w:p w14:paraId="66F728E1" w14:textId="77777777" w:rsidR="001569A9" w:rsidRDefault="001569A9" w:rsidP="001569A9">
      <w:r>
        <w:t xml:space="preserve">Ministry of Justice (2020). Code of Practice for Victims of crime in England and Wales [online] Available from: </w:t>
      </w:r>
      <w:hyperlink r:id="rId39" w:history="1">
        <w:r w:rsidRPr="00EC1D02">
          <w:rPr>
            <w:rStyle w:val="Hyperlink"/>
          </w:rPr>
          <w:t>MoJ Victims Code 2020 (publishing.service.gov.uk)</w:t>
        </w:r>
      </w:hyperlink>
      <w:r>
        <w:t xml:space="preserve"> (Accessed on 17</w:t>
      </w:r>
      <w:r w:rsidRPr="00EC1D02">
        <w:rPr>
          <w:vertAlign w:val="superscript"/>
        </w:rPr>
        <w:t>th</w:t>
      </w:r>
      <w:r>
        <w:t xml:space="preserve"> October 2024). </w:t>
      </w:r>
    </w:p>
    <w:p w14:paraId="32E83560" w14:textId="77777777" w:rsidR="001569A9" w:rsidRDefault="001569A9" w:rsidP="001569A9"/>
    <w:p w14:paraId="11548476" w14:textId="77777777" w:rsidR="001569A9" w:rsidRDefault="001569A9" w:rsidP="001569A9">
      <w:pPr>
        <w:rPr>
          <w:sz w:val="24"/>
          <w:szCs w:val="24"/>
        </w:rPr>
      </w:pPr>
      <w:r>
        <w:rPr>
          <w:sz w:val="24"/>
          <w:szCs w:val="24"/>
        </w:rPr>
        <w:lastRenderedPageBreak/>
        <w:t xml:space="preserve">Ministry of Justice (2023). Achieving Best Evidence in Criminal Proceedings. [online] Available from: </w:t>
      </w:r>
      <w:hyperlink r:id="rId40" w:history="1">
        <w:r w:rsidRPr="00DF7037">
          <w:rPr>
            <w:rStyle w:val="Hyperlink"/>
            <w:sz w:val="24"/>
            <w:szCs w:val="24"/>
          </w:rPr>
          <w:t>Achieving best evidence in criminal proceedings - GOV.UK</w:t>
        </w:r>
      </w:hyperlink>
      <w:r>
        <w:rPr>
          <w:sz w:val="24"/>
          <w:szCs w:val="24"/>
        </w:rPr>
        <w:t xml:space="preserve"> (Accessed on 24</w:t>
      </w:r>
      <w:r w:rsidRPr="00DF7037">
        <w:rPr>
          <w:sz w:val="24"/>
          <w:szCs w:val="24"/>
          <w:vertAlign w:val="superscript"/>
        </w:rPr>
        <w:t>th</w:t>
      </w:r>
      <w:r>
        <w:rPr>
          <w:sz w:val="24"/>
          <w:szCs w:val="24"/>
        </w:rPr>
        <w:t xml:space="preserve"> October 2024). </w:t>
      </w:r>
    </w:p>
    <w:p w14:paraId="726A5B83" w14:textId="77777777" w:rsidR="001569A9" w:rsidRDefault="001569A9" w:rsidP="001569A9">
      <w:pPr>
        <w:rPr>
          <w:sz w:val="24"/>
          <w:szCs w:val="24"/>
        </w:rPr>
      </w:pPr>
    </w:p>
    <w:p w14:paraId="754596B7" w14:textId="77777777" w:rsidR="001569A9" w:rsidRDefault="001569A9" w:rsidP="001569A9">
      <w:pPr>
        <w:rPr>
          <w:sz w:val="24"/>
          <w:szCs w:val="24"/>
        </w:rPr>
      </w:pPr>
      <w:r>
        <w:rPr>
          <w:sz w:val="24"/>
          <w:szCs w:val="24"/>
        </w:rPr>
        <w:t xml:space="preserve">Morris, T., (2019). Experimental Learning – a systematic review and revision of Kolb Model. Interactive Learning Environment. 20 (8) 1064 – 1077. </w:t>
      </w:r>
    </w:p>
    <w:p w14:paraId="09B3DA80" w14:textId="77777777" w:rsidR="001569A9" w:rsidRDefault="001569A9" w:rsidP="001569A9">
      <w:pPr>
        <w:rPr>
          <w:sz w:val="24"/>
          <w:szCs w:val="24"/>
        </w:rPr>
      </w:pPr>
    </w:p>
    <w:p w14:paraId="53D22941" w14:textId="77777777" w:rsidR="001569A9" w:rsidRDefault="001569A9" w:rsidP="001569A9">
      <w:r>
        <w:t xml:space="preserve">Multi Agency Safeguarding Hub (2024). Information on the MASH. [Online] Available from: </w:t>
      </w:r>
      <w:hyperlink r:id="rId41" w:history="1">
        <w:r w:rsidRPr="00D86D99">
          <w:rPr>
            <w:rStyle w:val="Hyperlink"/>
          </w:rPr>
          <w:t>Multi Agency Safeguarding Hub | Information on the MASH</w:t>
        </w:r>
      </w:hyperlink>
      <w:r>
        <w:t xml:space="preserve"> (Accessed on 19</w:t>
      </w:r>
      <w:r w:rsidRPr="00D86D99">
        <w:rPr>
          <w:vertAlign w:val="superscript"/>
        </w:rPr>
        <w:t>th</w:t>
      </w:r>
      <w:r>
        <w:t xml:space="preserve"> October 2024). </w:t>
      </w:r>
    </w:p>
    <w:p w14:paraId="40858AC4" w14:textId="77777777" w:rsidR="001569A9" w:rsidRDefault="001569A9" w:rsidP="001569A9"/>
    <w:p w14:paraId="5E29471C" w14:textId="77777777" w:rsidR="001569A9" w:rsidRDefault="001569A9" w:rsidP="001569A9">
      <w:r>
        <w:rPr>
          <w:sz w:val="24"/>
          <w:szCs w:val="24"/>
        </w:rPr>
        <w:t xml:space="preserve">NHS (2024). Referral to CAMHS (Child Adolescents Mental Health Services) [online]. Available from: </w:t>
      </w:r>
      <w:hyperlink r:id="rId42" w:history="1">
        <w:r w:rsidRPr="00213A54">
          <w:rPr>
            <w:rStyle w:val="Hyperlink"/>
            <w:sz w:val="24"/>
            <w:szCs w:val="24"/>
          </w:rPr>
          <w:t>Referral to CAMHS (Child and Adolescent Mental Health Services) :: Hounslow Healthier Together</w:t>
        </w:r>
      </w:hyperlink>
      <w:r>
        <w:t>(Accessed on 25</w:t>
      </w:r>
      <w:r w:rsidRPr="00213A54">
        <w:rPr>
          <w:vertAlign w:val="superscript"/>
        </w:rPr>
        <w:t>th</w:t>
      </w:r>
      <w:r>
        <w:t xml:space="preserve"> October 2024). </w:t>
      </w:r>
    </w:p>
    <w:p w14:paraId="7099E911" w14:textId="77777777" w:rsidR="001569A9" w:rsidRPr="00213A54" w:rsidRDefault="001569A9" w:rsidP="001569A9"/>
    <w:p w14:paraId="5B8F2098" w14:textId="77777777" w:rsidR="001569A9" w:rsidRDefault="001569A9" w:rsidP="001569A9">
      <w:pPr>
        <w:rPr>
          <w:sz w:val="24"/>
          <w:szCs w:val="24"/>
        </w:rPr>
      </w:pPr>
      <w:r>
        <w:rPr>
          <w:sz w:val="24"/>
          <w:szCs w:val="24"/>
        </w:rPr>
        <w:t xml:space="preserve">Nicholas, L., and Farrell, G., (2011). Repeat Victimisation. [online] Available from: </w:t>
      </w:r>
      <w:hyperlink r:id="rId43" w:history="1">
        <w:r w:rsidRPr="00102A27">
          <w:rPr>
            <w:rStyle w:val="Hyperlink"/>
            <w:sz w:val="24"/>
            <w:szCs w:val="24"/>
          </w:rPr>
          <w:t>Repeat Victimization - Criminology - Oxford Bibliographies</w:t>
        </w:r>
      </w:hyperlink>
      <w:r>
        <w:rPr>
          <w:sz w:val="24"/>
          <w:szCs w:val="24"/>
        </w:rPr>
        <w:t xml:space="preserve"> (Accessed on 20</w:t>
      </w:r>
      <w:r w:rsidRPr="00102A27">
        <w:rPr>
          <w:sz w:val="24"/>
          <w:szCs w:val="24"/>
          <w:vertAlign w:val="superscript"/>
        </w:rPr>
        <w:t>th</w:t>
      </w:r>
      <w:r>
        <w:rPr>
          <w:sz w:val="24"/>
          <w:szCs w:val="24"/>
        </w:rPr>
        <w:t xml:space="preserve"> October 2024). </w:t>
      </w:r>
    </w:p>
    <w:p w14:paraId="1CE244F5" w14:textId="77777777" w:rsidR="001569A9" w:rsidRDefault="001569A9" w:rsidP="001569A9">
      <w:pPr>
        <w:rPr>
          <w:sz w:val="24"/>
          <w:szCs w:val="24"/>
        </w:rPr>
      </w:pPr>
    </w:p>
    <w:p w14:paraId="2F7C2766" w14:textId="77777777" w:rsidR="001569A9" w:rsidRDefault="001569A9" w:rsidP="001569A9">
      <w:r>
        <w:t xml:space="preserve">Office of National Statistics (2021) The lasting Impact of violence against Women and Girls. [online] Available from: </w:t>
      </w:r>
      <w:hyperlink r:id="rId44" w:history="1">
        <w:r w:rsidRPr="00873F64">
          <w:rPr>
            <w:rStyle w:val="Hyperlink"/>
          </w:rPr>
          <w:t>The lasting impact of violence against women and girls - Office for National Statistics (ons.gov.uk)</w:t>
        </w:r>
      </w:hyperlink>
      <w:r>
        <w:t xml:space="preserve"> (Accessed on 17</w:t>
      </w:r>
      <w:r w:rsidRPr="00873F64">
        <w:rPr>
          <w:vertAlign w:val="superscript"/>
        </w:rPr>
        <w:t>th</w:t>
      </w:r>
      <w:r>
        <w:t xml:space="preserve"> October 2024). </w:t>
      </w:r>
    </w:p>
    <w:p w14:paraId="490036F7" w14:textId="77777777" w:rsidR="001569A9" w:rsidRDefault="001569A9" w:rsidP="001569A9"/>
    <w:p w14:paraId="28498370" w14:textId="77777777" w:rsidR="001569A9" w:rsidRDefault="001569A9" w:rsidP="001569A9">
      <w:r>
        <w:t xml:space="preserve">Ofsted (2023). The Multi- Agency Response to Children and families who need help. [Online] Available from: </w:t>
      </w:r>
      <w:hyperlink r:id="rId45" w:history="1">
        <w:r w:rsidRPr="00F959DE">
          <w:rPr>
            <w:rStyle w:val="Hyperlink"/>
          </w:rPr>
          <w:t>The multi-agency response to children and families who need help - GOV.UK (www.gov.uk)</w:t>
        </w:r>
      </w:hyperlink>
      <w:r>
        <w:t xml:space="preserve"> (Accessed on 19</w:t>
      </w:r>
      <w:r w:rsidRPr="00F959DE">
        <w:rPr>
          <w:vertAlign w:val="superscript"/>
        </w:rPr>
        <w:t>th</w:t>
      </w:r>
      <w:r>
        <w:t xml:space="preserve"> October 2024). </w:t>
      </w:r>
    </w:p>
    <w:p w14:paraId="27443422" w14:textId="77777777" w:rsidR="001569A9" w:rsidRDefault="001569A9" w:rsidP="001569A9"/>
    <w:p w14:paraId="7E90CB06" w14:textId="77777777" w:rsidR="001569A9" w:rsidRDefault="001569A9" w:rsidP="001569A9">
      <w:pPr>
        <w:rPr>
          <w:sz w:val="24"/>
          <w:szCs w:val="24"/>
        </w:rPr>
      </w:pPr>
      <w:r>
        <w:rPr>
          <w:sz w:val="24"/>
          <w:szCs w:val="24"/>
        </w:rPr>
        <w:t xml:space="preserve">Police and Criminal Evidence Act (1984). Section 18 PACE. [Online] Available from: </w:t>
      </w:r>
      <w:hyperlink r:id="rId46" w:history="1">
        <w:r w:rsidRPr="00F4390B">
          <w:rPr>
            <w:rStyle w:val="Hyperlink"/>
            <w:sz w:val="24"/>
            <w:szCs w:val="24"/>
          </w:rPr>
          <w:t>Police and Criminal Evidence Act 1984</w:t>
        </w:r>
      </w:hyperlink>
      <w:r>
        <w:rPr>
          <w:sz w:val="24"/>
          <w:szCs w:val="24"/>
        </w:rPr>
        <w:t xml:space="preserve"> (Accessed on 24</w:t>
      </w:r>
      <w:r w:rsidRPr="00F4390B">
        <w:rPr>
          <w:sz w:val="24"/>
          <w:szCs w:val="24"/>
          <w:vertAlign w:val="superscript"/>
        </w:rPr>
        <w:t>th</w:t>
      </w:r>
      <w:r>
        <w:rPr>
          <w:sz w:val="24"/>
          <w:szCs w:val="24"/>
        </w:rPr>
        <w:t xml:space="preserve"> October 2024). </w:t>
      </w:r>
    </w:p>
    <w:p w14:paraId="13C99ABF" w14:textId="77777777" w:rsidR="001569A9" w:rsidRDefault="001569A9" w:rsidP="001569A9">
      <w:pPr>
        <w:rPr>
          <w:sz w:val="24"/>
          <w:szCs w:val="24"/>
        </w:rPr>
      </w:pPr>
    </w:p>
    <w:p w14:paraId="384244B7" w14:textId="77777777" w:rsidR="001569A9" w:rsidRDefault="001569A9" w:rsidP="001569A9">
      <w:pPr>
        <w:rPr>
          <w:sz w:val="24"/>
          <w:szCs w:val="24"/>
        </w:rPr>
      </w:pPr>
      <w:r>
        <w:rPr>
          <w:sz w:val="24"/>
          <w:szCs w:val="24"/>
        </w:rPr>
        <w:t xml:space="preserve">Police and Criminal Evidence Act (1984). Section 32 PACE. [online] Available from: </w:t>
      </w:r>
      <w:hyperlink r:id="rId47" w:history="1">
        <w:r w:rsidRPr="004336A7">
          <w:rPr>
            <w:rStyle w:val="Hyperlink"/>
            <w:sz w:val="24"/>
            <w:szCs w:val="24"/>
          </w:rPr>
          <w:t>Police and Criminal Evidence Act 1984</w:t>
        </w:r>
      </w:hyperlink>
      <w:r>
        <w:rPr>
          <w:sz w:val="24"/>
          <w:szCs w:val="24"/>
        </w:rPr>
        <w:t xml:space="preserve"> (Accessed on 24</w:t>
      </w:r>
      <w:r w:rsidRPr="004336A7">
        <w:rPr>
          <w:sz w:val="24"/>
          <w:szCs w:val="24"/>
          <w:vertAlign w:val="superscript"/>
        </w:rPr>
        <w:t>th</w:t>
      </w:r>
      <w:r>
        <w:rPr>
          <w:sz w:val="24"/>
          <w:szCs w:val="24"/>
        </w:rPr>
        <w:t xml:space="preserve"> October 2024). </w:t>
      </w:r>
    </w:p>
    <w:p w14:paraId="6152E437" w14:textId="77777777" w:rsidR="001569A9" w:rsidRDefault="001569A9" w:rsidP="001569A9">
      <w:pPr>
        <w:rPr>
          <w:sz w:val="24"/>
          <w:szCs w:val="24"/>
        </w:rPr>
      </w:pPr>
    </w:p>
    <w:p w14:paraId="4409F39D" w14:textId="77777777" w:rsidR="001569A9" w:rsidRDefault="001569A9" w:rsidP="001569A9">
      <w:r>
        <w:t>Rape Crisis England and Wales (2024). [online] Available from:</w:t>
      </w:r>
      <w:r w:rsidRPr="006F543D">
        <w:t xml:space="preserve"> </w:t>
      </w:r>
      <w:hyperlink r:id="rId48" w:history="1">
        <w:r w:rsidRPr="006F543D">
          <w:rPr>
            <w:rStyle w:val="Hyperlink"/>
          </w:rPr>
          <w:t>What is sexual consent? | Rape Crisis England &amp; Wales</w:t>
        </w:r>
      </w:hyperlink>
      <w:r>
        <w:t xml:space="preserve"> (Accessed on 29</w:t>
      </w:r>
      <w:r w:rsidRPr="006F543D">
        <w:rPr>
          <w:vertAlign w:val="superscript"/>
        </w:rPr>
        <w:t>th</w:t>
      </w:r>
      <w:r>
        <w:t xml:space="preserve"> September 2024). </w:t>
      </w:r>
    </w:p>
    <w:p w14:paraId="4CD39B83" w14:textId="77777777" w:rsidR="001569A9" w:rsidRDefault="001569A9" w:rsidP="001569A9"/>
    <w:p w14:paraId="6D01C362" w14:textId="77777777" w:rsidR="001569A9" w:rsidRDefault="001569A9" w:rsidP="001569A9">
      <w:r>
        <w:t xml:space="preserve">Safer Communities Wales (2024). Youth Justice System. [online] Available from: </w:t>
      </w:r>
      <w:hyperlink r:id="rId49" w:anchor=":~:text=Youth%20offending%20services%20or%20teams%20%28YOS%2FTs%29%20work%20with,people%20at%20the%20police%20station%20if%20they%E2%80%99re%20arrested." w:history="1">
        <w:r w:rsidRPr="00541666">
          <w:rPr>
            <w:rStyle w:val="Hyperlink"/>
          </w:rPr>
          <w:t>Youth Justice System (Diversion, Youth Courts, Youth Custody, YOS/Ts) - Wales Safer Communities</w:t>
        </w:r>
      </w:hyperlink>
      <w:r>
        <w:t xml:space="preserve"> (Accessed on 20</w:t>
      </w:r>
      <w:r w:rsidRPr="00541666">
        <w:rPr>
          <w:vertAlign w:val="superscript"/>
        </w:rPr>
        <w:t>th</w:t>
      </w:r>
      <w:r>
        <w:t xml:space="preserve"> October 2024). </w:t>
      </w:r>
    </w:p>
    <w:p w14:paraId="77B17BC9" w14:textId="77777777" w:rsidR="001569A9" w:rsidRDefault="001569A9" w:rsidP="001569A9"/>
    <w:p w14:paraId="6EE6D184" w14:textId="77777777" w:rsidR="001569A9" w:rsidRDefault="001569A9" w:rsidP="001569A9">
      <w:r>
        <w:t>Sexual Offences Act (2003). [online] Available from:</w:t>
      </w:r>
      <w:r w:rsidRPr="00C26B4C">
        <w:t xml:space="preserve"> </w:t>
      </w:r>
      <w:hyperlink r:id="rId50" w:history="1">
        <w:r w:rsidRPr="00C26B4C">
          <w:rPr>
            <w:rStyle w:val="Hyperlink"/>
          </w:rPr>
          <w:t>Sexual Offences Act 2003 (legislation.gov.uk)</w:t>
        </w:r>
      </w:hyperlink>
      <w:r>
        <w:t xml:space="preserve"> (Accessed on 28</w:t>
      </w:r>
      <w:r w:rsidRPr="00C26B4C">
        <w:rPr>
          <w:vertAlign w:val="superscript"/>
        </w:rPr>
        <w:t>th</w:t>
      </w:r>
      <w:r>
        <w:t xml:space="preserve"> September 2024). </w:t>
      </w:r>
    </w:p>
    <w:p w14:paraId="2800ACC4" w14:textId="77777777" w:rsidR="001569A9" w:rsidRDefault="001569A9" w:rsidP="001569A9"/>
    <w:p w14:paraId="3CF09FC3" w14:textId="77777777" w:rsidR="001569A9" w:rsidRDefault="001569A9" w:rsidP="001569A9">
      <w:pPr>
        <w:rPr>
          <w:sz w:val="24"/>
          <w:szCs w:val="24"/>
        </w:rPr>
      </w:pPr>
      <w:r>
        <w:rPr>
          <w:sz w:val="24"/>
          <w:szCs w:val="24"/>
        </w:rPr>
        <w:t>Sexual Offences Act Section 7 (2003) [online] Available from: -</w:t>
      </w:r>
      <w:hyperlink r:id="rId51" w:history="1">
        <w:r w:rsidRPr="00437A23">
          <w:rPr>
            <w:rStyle w:val="Hyperlink"/>
            <w:sz w:val="24"/>
            <w:szCs w:val="24"/>
          </w:rPr>
          <w:t>Sexual Offences Act 2003</w:t>
        </w:r>
      </w:hyperlink>
      <w:r>
        <w:rPr>
          <w:sz w:val="24"/>
          <w:szCs w:val="24"/>
        </w:rPr>
        <w:t xml:space="preserve"> (Accessed on 22</w:t>
      </w:r>
      <w:r w:rsidRPr="00437A23">
        <w:rPr>
          <w:sz w:val="24"/>
          <w:szCs w:val="24"/>
          <w:vertAlign w:val="superscript"/>
        </w:rPr>
        <w:t>nd</w:t>
      </w:r>
      <w:r>
        <w:rPr>
          <w:sz w:val="24"/>
          <w:szCs w:val="24"/>
        </w:rPr>
        <w:t xml:space="preserve"> October 2024). </w:t>
      </w:r>
    </w:p>
    <w:p w14:paraId="762DDD65" w14:textId="77777777" w:rsidR="001569A9" w:rsidRDefault="001569A9" w:rsidP="001569A9">
      <w:pPr>
        <w:rPr>
          <w:sz w:val="24"/>
          <w:szCs w:val="24"/>
        </w:rPr>
      </w:pPr>
    </w:p>
    <w:p w14:paraId="58935890" w14:textId="77777777" w:rsidR="001569A9" w:rsidRDefault="001569A9" w:rsidP="001569A9">
      <w:pPr>
        <w:rPr>
          <w:sz w:val="24"/>
          <w:szCs w:val="24"/>
        </w:rPr>
      </w:pPr>
      <w:r>
        <w:rPr>
          <w:sz w:val="24"/>
          <w:szCs w:val="24"/>
        </w:rPr>
        <w:t xml:space="preserve">Stainton, I., Ewin, R., (2022). Criminal Investigation. Critical Publishing. St Albans. </w:t>
      </w:r>
    </w:p>
    <w:p w14:paraId="27B9634E" w14:textId="77777777" w:rsidR="001569A9" w:rsidRDefault="001569A9" w:rsidP="001569A9">
      <w:pPr>
        <w:rPr>
          <w:sz w:val="24"/>
          <w:szCs w:val="24"/>
        </w:rPr>
      </w:pPr>
    </w:p>
    <w:p w14:paraId="0E237CC2" w14:textId="77777777" w:rsidR="001569A9" w:rsidRDefault="001569A9" w:rsidP="001569A9">
      <w:pPr>
        <w:rPr>
          <w:sz w:val="24"/>
          <w:szCs w:val="24"/>
        </w:rPr>
      </w:pPr>
      <w:r>
        <w:rPr>
          <w:sz w:val="24"/>
          <w:szCs w:val="24"/>
        </w:rPr>
        <w:t xml:space="preserve">Steel, C., Newman, E., O’Rourke, S and Quayle, E. (2022). Technical Behaviours of Child Sexual Exploitation Material Offenders. The Journal of Digital Forensics, Security and Law. 17 (1) 1-15. </w:t>
      </w:r>
    </w:p>
    <w:p w14:paraId="0275D4A7" w14:textId="77777777" w:rsidR="001569A9" w:rsidRDefault="001569A9" w:rsidP="001569A9">
      <w:pPr>
        <w:rPr>
          <w:sz w:val="24"/>
          <w:szCs w:val="24"/>
        </w:rPr>
      </w:pPr>
    </w:p>
    <w:p w14:paraId="7D6BCAA7" w14:textId="77777777" w:rsidR="001569A9" w:rsidRDefault="001569A9" w:rsidP="001569A9">
      <w:pPr>
        <w:rPr>
          <w:sz w:val="24"/>
          <w:szCs w:val="24"/>
        </w:rPr>
      </w:pPr>
      <w:r>
        <w:rPr>
          <w:sz w:val="24"/>
          <w:szCs w:val="24"/>
        </w:rPr>
        <w:t xml:space="preserve">Sunghwan, K., Laurence, A., and Christiansen, P. (2020. The impact of Individual Differences on Investigative Hypothesis Generation Under Time Pressure. International Journal of Police Science Management. 22 (2) 171 – 182. </w:t>
      </w:r>
    </w:p>
    <w:p w14:paraId="2B4A6D85" w14:textId="77777777" w:rsidR="001569A9" w:rsidRDefault="001569A9" w:rsidP="001569A9">
      <w:pPr>
        <w:rPr>
          <w:sz w:val="24"/>
          <w:szCs w:val="24"/>
        </w:rPr>
      </w:pPr>
    </w:p>
    <w:p w14:paraId="615853AB" w14:textId="77777777" w:rsidR="001569A9" w:rsidRDefault="001569A9" w:rsidP="001569A9">
      <w:r>
        <w:t xml:space="preserve">The University of Edinburgh (2020). Gibbs Reflective Cycle. [online] Available from: </w:t>
      </w:r>
      <w:hyperlink r:id="rId52" w:history="1">
        <w:r w:rsidRPr="00015906">
          <w:rPr>
            <w:rStyle w:val="Hyperlink"/>
          </w:rPr>
          <w:t>Gibbs' Reflective Cycle | The University of Edinburgh</w:t>
        </w:r>
      </w:hyperlink>
      <w:r>
        <w:t xml:space="preserve"> (Accessed on 15</w:t>
      </w:r>
      <w:r w:rsidRPr="00015906">
        <w:rPr>
          <w:vertAlign w:val="superscript"/>
        </w:rPr>
        <w:t>th</w:t>
      </w:r>
      <w:r>
        <w:t xml:space="preserve"> October 2024). </w:t>
      </w:r>
    </w:p>
    <w:p w14:paraId="148EA47C" w14:textId="77777777" w:rsidR="001569A9" w:rsidRDefault="001569A9" w:rsidP="001569A9"/>
    <w:p w14:paraId="3F48E8F6" w14:textId="77777777" w:rsidR="001569A9" w:rsidRDefault="001569A9" w:rsidP="001569A9">
      <w:r w:rsidRPr="007D0BCA">
        <w:t xml:space="preserve">Voss, L., Rushforth, H., and Powell, C., (2017). Multiagency response to Childhood Sexual Abuse: A Case Study that Explores the role of a Specialist Centre. </w:t>
      </w:r>
    </w:p>
    <w:p w14:paraId="6B1DFCE2" w14:textId="77777777" w:rsidR="001569A9" w:rsidRPr="007D0BCA" w:rsidRDefault="001569A9" w:rsidP="001569A9"/>
    <w:p w14:paraId="787B49EF" w14:textId="77777777" w:rsidR="001569A9" w:rsidRDefault="001569A9" w:rsidP="001569A9">
      <w:pPr>
        <w:rPr>
          <w:sz w:val="24"/>
          <w:szCs w:val="24"/>
        </w:rPr>
      </w:pPr>
      <w:r>
        <w:rPr>
          <w:sz w:val="24"/>
          <w:szCs w:val="24"/>
        </w:rPr>
        <w:t xml:space="preserve">Voyeurism Act (2019). [online] Available from: </w:t>
      </w:r>
      <w:hyperlink r:id="rId53" w:history="1">
        <w:r w:rsidRPr="005D633A">
          <w:rPr>
            <w:rStyle w:val="Hyperlink"/>
            <w:sz w:val="24"/>
            <w:szCs w:val="24"/>
          </w:rPr>
          <w:t>Voyeurism (Offences) Act 2019</w:t>
        </w:r>
      </w:hyperlink>
      <w:r>
        <w:rPr>
          <w:sz w:val="24"/>
          <w:szCs w:val="24"/>
        </w:rPr>
        <w:t xml:space="preserve"> (Accessed on 22</w:t>
      </w:r>
      <w:r w:rsidRPr="005D633A">
        <w:rPr>
          <w:sz w:val="24"/>
          <w:szCs w:val="24"/>
          <w:vertAlign w:val="superscript"/>
        </w:rPr>
        <w:t>nd</w:t>
      </w:r>
      <w:r>
        <w:rPr>
          <w:sz w:val="24"/>
          <w:szCs w:val="24"/>
        </w:rPr>
        <w:t xml:space="preserve"> October 2024). </w:t>
      </w:r>
    </w:p>
    <w:p w14:paraId="2CD03BF4" w14:textId="77777777" w:rsidR="001569A9" w:rsidRDefault="001569A9" w:rsidP="001569A9">
      <w:pPr>
        <w:rPr>
          <w:sz w:val="24"/>
          <w:szCs w:val="24"/>
        </w:rPr>
      </w:pPr>
    </w:p>
    <w:p w14:paraId="4B98C94B" w14:textId="77777777" w:rsidR="001569A9" w:rsidRDefault="001569A9" w:rsidP="001569A9">
      <w:pPr>
        <w:rPr>
          <w:sz w:val="24"/>
          <w:szCs w:val="24"/>
        </w:rPr>
      </w:pPr>
      <w:r>
        <w:rPr>
          <w:sz w:val="24"/>
          <w:szCs w:val="24"/>
        </w:rPr>
        <w:t xml:space="preserve">Widanaralalage, K., Murphy, A., and Loughlin, C. (2024). Support of Justice: A Triangulated Multi Focal View of Sexual Assault Victim Support in UK Sexual Assault Referral Centre (SARC). International Journal of Mental Health Systems. 18 (1) 1-11. </w:t>
      </w:r>
    </w:p>
    <w:p w14:paraId="1DC6DF9B" w14:textId="77777777" w:rsidR="001569A9" w:rsidRDefault="001569A9" w:rsidP="00EA28F1">
      <w:pPr>
        <w:keepNext/>
        <w:spacing w:before="240" w:after="60"/>
        <w:ind w:right="237"/>
        <w:jc w:val="both"/>
      </w:pPr>
    </w:p>
    <w:sectPr w:rsidR="001569A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A17649"/>
    <w:multiLevelType w:val="hybridMultilevel"/>
    <w:tmpl w:val="44CA846E"/>
    <w:lvl w:ilvl="0" w:tplc="E070B10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8"/>
  </w:num>
  <w:num w:numId="2" w16cid:durableId="417675724">
    <w:abstractNumId w:val="11"/>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3"/>
  </w:num>
  <w:num w:numId="5" w16cid:durableId="292910358">
    <w:abstractNumId w:val="45"/>
  </w:num>
  <w:num w:numId="6" w16cid:durableId="1535117422">
    <w:abstractNumId w:val="47"/>
  </w:num>
  <w:num w:numId="7" w16cid:durableId="497159976">
    <w:abstractNumId w:val="35"/>
  </w:num>
  <w:num w:numId="8" w16cid:durableId="1969892037">
    <w:abstractNumId w:val="33"/>
  </w:num>
  <w:num w:numId="9" w16cid:durableId="1373725377">
    <w:abstractNumId w:val="30"/>
  </w:num>
  <w:num w:numId="10" w16cid:durableId="825324590">
    <w:abstractNumId w:val="31"/>
  </w:num>
  <w:num w:numId="11" w16cid:durableId="813445957">
    <w:abstractNumId w:val="10"/>
  </w:num>
  <w:num w:numId="12" w16cid:durableId="232394586">
    <w:abstractNumId w:val="34"/>
  </w:num>
  <w:num w:numId="13" w16cid:durableId="1039740215">
    <w:abstractNumId w:val="18"/>
  </w:num>
  <w:num w:numId="14" w16cid:durableId="1170288507">
    <w:abstractNumId w:val="17"/>
  </w:num>
  <w:num w:numId="15" w16cid:durableId="456804283">
    <w:abstractNumId w:val="27"/>
  </w:num>
  <w:num w:numId="16" w16cid:durableId="647825036">
    <w:abstractNumId w:val="7"/>
  </w:num>
  <w:num w:numId="17" w16cid:durableId="431701502">
    <w:abstractNumId w:val="26"/>
  </w:num>
  <w:num w:numId="18" w16cid:durableId="55593141">
    <w:abstractNumId w:val="16"/>
  </w:num>
  <w:num w:numId="19" w16cid:durableId="514465446">
    <w:abstractNumId w:val="14"/>
  </w:num>
  <w:num w:numId="20" w16cid:durableId="49160329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4"/>
  </w:num>
  <w:num w:numId="22" w16cid:durableId="2142264046">
    <w:abstractNumId w:val="19"/>
  </w:num>
  <w:num w:numId="23" w16cid:durableId="137846151">
    <w:abstractNumId w:val="15"/>
  </w:num>
  <w:num w:numId="24" w16cid:durableId="1914271120">
    <w:abstractNumId w:val="12"/>
  </w:num>
  <w:num w:numId="25" w16cid:durableId="885063891">
    <w:abstractNumId w:val="28"/>
  </w:num>
  <w:num w:numId="26" w16cid:durableId="236403065">
    <w:abstractNumId w:val="20"/>
  </w:num>
  <w:num w:numId="27" w16cid:durableId="1573000687">
    <w:abstractNumId w:val="41"/>
  </w:num>
  <w:num w:numId="28" w16cid:durableId="66197777">
    <w:abstractNumId w:val="36"/>
  </w:num>
  <w:num w:numId="29" w16cid:durableId="1127815727">
    <w:abstractNumId w:val="40"/>
  </w:num>
  <w:num w:numId="30" w16cid:durableId="1139540040">
    <w:abstractNumId w:val="21"/>
  </w:num>
  <w:num w:numId="31" w16cid:durableId="34090301">
    <w:abstractNumId w:val="43"/>
  </w:num>
  <w:num w:numId="32" w16cid:durableId="222646112">
    <w:abstractNumId w:val="32"/>
  </w:num>
  <w:num w:numId="33" w16cid:durableId="2043940194">
    <w:abstractNumId w:val="13"/>
  </w:num>
  <w:num w:numId="34" w16cid:durableId="1879196244">
    <w:abstractNumId w:val="44"/>
  </w:num>
  <w:num w:numId="35" w16cid:durableId="682361466">
    <w:abstractNumId w:val="39"/>
  </w:num>
  <w:num w:numId="36" w16cid:durableId="1977442909">
    <w:abstractNumId w:val="4"/>
  </w:num>
  <w:num w:numId="37" w16cid:durableId="1583488633">
    <w:abstractNumId w:val="46"/>
  </w:num>
  <w:num w:numId="38" w16cid:durableId="440271129">
    <w:abstractNumId w:val="42"/>
  </w:num>
  <w:num w:numId="39" w16cid:durableId="738553744">
    <w:abstractNumId w:val="37"/>
  </w:num>
  <w:num w:numId="40" w16cid:durableId="1665820156">
    <w:abstractNumId w:val="38"/>
  </w:num>
  <w:num w:numId="41" w16cid:durableId="180051086">
    <w:abstractNumId w:val="3"/>
  </w:num>
  <w:num w:numId="42" w16cid:durableId="659695053">
    <w:abstractNumId w:val="5"/>
  </w:num>
  <w:num w:numId="43" w16cid:durableId="799807383">
    <w:abstractNumId w:val="25"/>
  </w:num>
  <w:num w:numId="44" w16cid:durableId="1438983801">
    <w:abstractNumId w:val="6"/>
  </w:num>
  <w:num w:numId="45" w16cid:durableId="3284368">
    <w:abstractNumId w:val="2"/>
  </w:num>
  <w:num w:numId="46" w16cid:durableId="397748815">
    <w:abstractNumId w:val="0"/>
  </w:num>
  <w:num w:numId="47" w16cid:durableId="220332332">
    <w:abstractNumId w:val="22"/>
  </w:num>
  <w:num w:numId="48" w16cid:durableId="504830301">
    <w:abstractNumId w:val="29"/>
  </w:num>
  <w:num w:numId="49" w16cid:durableId="54592622">
    <w:abstractNumId w:val="49"/>
  </w:num>
  <w:num w:numId="50" w16cid:durableId="158081919">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8AC"/>
    <w:rsid w:val="00020EEC"/>
    <w:rsid w:val="000235D5"/>
    <w:rsid w:val="00025650"/>
    <w:rsid w:val="00026FAB"/>
    <w:rsid w:val="000272B1"/>
    <w:rsid w:val="00027B1F"/>
    <w:rsid w:val="0003088B"/>
    <w:rsid w:val="000325D9"/>
    <w:rsid w:val="00033EAA"/>
    <w:rsid w:val="000372B2"/>
    <w:rsid w:val="0004079F"/>
    <w:rsid w:val="00045B87"/>
    <w:rsid w:val="00045C07"/>
    <w:rsid w:val="00047E5D"/>
    <w:rsid w:val="000509E3"/>
    <w:rsid w:val="00054C65"/>
    <w:rsid w:val="00055D43"/>
    <w:rsid w:val="00056FAC"/>
    <w:rsid w:val="00057751"/>
    <w:rsid w:val="00061C69"/>
    <w:rsid w:val="00062E39"/>
    <w:rsid w:val="0006580E"/>
    <w:rsid w:val="00073059"/>
    <w:rsid w:val="00073707"/>
    <w:rsid w:val="00080E58"/>
    <w:rsid w:val="00083D99"/>
    <w:rsid w:val="00084EA6"/>
    <w:rsid w:val="00085699"/>
    <w:rsid w:val="00087891"/>
    <w:rsid w:val="00091F52"/>
    <w:rsid w:val="00092970"/>
    <w:rsid w:val="00092BC7"/>
    <w:rsid w:val="00093720"/>
    <w:rsid w:val="000938E6"/>
    <w:rsid w:val="00093B3C"/>
    <w:rsid w:val="00093F6D"/>
    <w:rsid w:val="0009488C"/>
    <w:rsid w:val="00095C1B"/>
    <w:rsid w:val="00096DEA"/>
    <w:rsid w:val="0009784E"/>
    <w:rsid w:val="000A0A65"/>
    <w:rsid w:val="000A4240"/>
    <w:rsid w:val="000A469A"/>
    <w:rsid w:val="000B1E96"/>
    <w:rsid w:val="000B7533"/>
    <w:rsid w:val="000C0AD5"/>
    <w:rsid w:val="000C378F"/>
    <w:rsid w:val="000C6892"/>
    <w:rsid w:val="000C6FFE"/>
    <w:rsid w:val="000D0BB6"/>
    <w:rsid w:val="000D1958"/>
    <w:rsid w:val="000E26B0"/>
    <w:rsid w:val="000E446C"/>
    <w:rsid w:val="000F1599"/>
    <w:rsid w:val="000F1769"/>
    <w:rsid w:val="000F6196"/>
    <w:rsid w:val="000F7ECD"/>
    <w:rsid w:val="00102E64"/>
    <w:rsid w:val="0010312C"/>
    <w:rsid w:val="00106DC7"/>
    <w:rsid w:val="00112391"/>
    <w:rsid w:val="00114F52"/>
    <w:rsid w:val="00115B6D"/>
    <w:rsid w:val="0012135C"/>
    <w:rsid w:val="00130E83"/>
    <w:rsid w:val="001347F8"/>
    <w:rsid w:val="00137BB5"/>
    <w:rsid w:val="00137E05"/>
    <w:rsid w:val="001447F6"/>
    <w:rsid w:val="00147DE3"/>
    <w:rsid w:val="00150794"/>
    <w:rsid w:val="001527FB"/>
    <w:rsid w:val="001569A9"/>
    <w:rsid w:val="001608C4"/>
    <w:rsid w:val="001612E9"/>
    <w:rsid w:val="00171418"/>
    <w:rsid w:val="00190913"/>
    <w:rsid w:val="001961CF"/>
    <w:rsid w:val="001A3C4D"/>
    <w:rsid w:val="001A59BB"/>
    <w:rsid w:val="001A6A51"/>
    <w:rsid w:val="001A79C4"/>
    <w:rsid w:val="001B331A"/>
    <w:rsid w:val="001C0E74"/>
    <w:rsid w:val="001C6CEC"/>
    <w:rsid w:val="001D229F"/>
    <w:rsid w:val="001D4008"/>
    <w:rsid w:val="001D6162"/>
    <w:rsid w:val="001E3D8F"/>
    <w:rsid w:val="001E6FAD"/>
    <w:rsid w:val="001E7592"/>
    <w:rsid w:val="001F3878"/>
    <w:rsid w:val="001F4552"/>
    <w:rsid w:val="00200B24"/>
    <w:rsid w:val="002019EB"/>
    <w:rsid w:val="002030F2"/>
    <w:rsid w:val="00205051"/>
    <w:rsid w:val="00211695"/>
    <w:rsid w:val="00211F65"/>
    <w:rsid w:val="0021362E"/>
    <w:rsid w:val="00213A97"/>
    <w:rsid w:val="0022001B"/>
    <w:rsid w:val="00220D06"/>
    <w:rsid w:val="00221119"/>
    <w:rsid w:val="002219BA"/>
    <w:rsid w:val="002246A0"/>
    <w:rsid w:val="00224AF9"/>
    <w:rsid w:val="00230439"/>
    <w:rsid w:val="00230C20"/>
    <w:rsid w:val="00235176"/>
    <w:rsid w:val="00236061"/>
    <w:rsid w:val="00237B73"/>
    <w:rsid w:val="0024100E"/>
    <w:rsid w:val="00241C1B"/>
    <w:rsid w:val="0024235A"/>
    <w:rsid w:val="002423B2"/>
    <w:rsid w:val="0024288B"/>
    <w:rsid w:val="002559C6"/>
    <w:rsid w:val="00255D8E"/>
    <w:rsid w:val="00260D92"/>
    <w:rsid w:val="002629E9"/>
    <w:rsid w:val="002657E9"/>
    <w:rsid w:val="0026665E"/>
    <w:rsid w:val="00270EEB"/>
    <w:rsid w:val="0027147E"/>
    <w:rsid w:val="00274DE8"/>
    <w:rsid w:val="00275FD3"/>
    <w:rsid w:val="002761F4"/>
    <w:rsid w:val="002775E1"/>
    <w:rsid w:val="00277979"/>
    <w:rsid w:val="002808EB"/>
    <w:rsid w:val="0028095D"/>
    <w:rsid w:val="00291ADD"/>
    <w:rsid w:val="00292C0D"/>
    <w:rsid w:val="00294868"/>
    <w:rsid w:val="00295CA1"/>
    <w:rsid w:val="002A291A"/>
    <w:rsid w:val="002A5604"/>
    <w:rsid w:val="002A577D"/>
    <w:rsid w:val="002B1701"/>
    <w:rsid w:val="002B23C3"/>
    <w:rsid w:val="002B2826"/>
    <w:rsid w:val="002B2E78"/>
    <w:rsid w:val="002B30D8"/>
    <w:rsid w:val="002B443A"/>
    <w:rsid w:val="002B5B35"/>
    <w:rsid w:val="002B735B"/>
    <w:rsid w:val="002C2130"/>
    <w:rsid w:val="002C256A"/>
    <w:rsid w:val="002C496D"/>
    <w:rsid w:val="002D05EB"/>
    <w:rsid w:val="002D25E7"/>
    <w:rsid w:val="002D2F29"/>
    <w:rsid w:val="002D2FD3"/>
    <w:rsid w:val="002E7017"/>
    <w:rsid w:val="002F4F6E"/>
    <w:rsid w:val="002F529B"/>
    <w:rsid w:val="002F7A2F"/>
    <w:rsid w:val="003015C3"/>
    <w:rsid w:val="0030698D"/>
    <w:rsid w:val="0031350A"/>
    <w:rsid w:val="00316815"/>
    <w:rsid w:val="003168CA"/>
    <w:rsid w:val="00321255"/>
    <w:rsid w:val="0032230D"/>
    <w:rsid w:val="00322A0B"/>
    <w:rsid w:val="00332F54"/>
    <w:rsid w:val="00335B35"/>
    <w:rsid w:val="00335FC5"/>
    <w:rsid w:val="00340E9A"/>
    <w:rsid w:val="0034448D"/>
    <w:rsid w:val="003516C0"/>
    <w:rsid w:val="00352E59"/>
    <w:rsid w:val="00354DBE"/>
    <w:rsid w:val="00355210"/>
    <w:rsid w:val="003555D5"/>
    <w:rsid w:val="00356F88"/>
    <w:rsid w:val="00364126"/>
    <w:rsid w:val="00365DF9"/>
    <w:rsid w:val="0036668D"/>
    <w:rsid w:val="00372A6C"/>
    <w:rsid w:val="00372DB4"/>
    <w:rsid w:val="0037490C"/>
    <w:rsid w:val="00375AF5"/>
    <w:rsid w:val="003761BD"/>
    <w:rsid w:val="003769F6"/>
    <w:rsid w:val="00380912"/>
    <w:rsid w:val="00385414"/>
    <w:rsid w:val="00386E90"/>
    <w:rsid w:val="00390074"/>
    <w:rsid w:val="0039406E"/>
    <w:rsid w:val="00394EC2"/>
    <w:rsid w:val="0039762B"/>
    <w:rsid w:val="00397679"/>
    <w:rsid w:val="003A0C37"/>
    <w:rsid w:val="003A1B6B"/>
    <w:rsid w:val="003A2F82"/>
    <w:rsid w:val="003A46C0"/>
    <w:rsid w:val="003A600E"/>
    <w:rsid w:val="003A6513"/>
    <w:rsid w:val="003B143D"/>
    <w:rsid w:val="003B16C7"/>
    <w:rsid w:val="003C19F1"/>
    <w:rsid w:val="003C4186"/>
    <w:rsid w:val="003C458C"/>
    <w:rsid w:val="003C6185"/>
    <w:rsid w:val="003C7D20"/>
    <w:rsid w:val="003D0D2D"/>
    <w:rsid w:val="003D4710"/>
    <w:rsid w:val="003E16D7"/>
    <w:rsid w:val="003E197E"/>
    <w:rsid w:val="004046F0"/>
    <w:rsid w:val="0040668F"/>
    <w:rsid w:val="004107C6"/>
    <w:rsid w:val="00412677"/>
    <w:rsid w:val="00416568"/>
    <w:rsid w:val="00417925"/>
    <w:rsid w:val="004203E4"/>
    <w:rsid w:val="00420ADB"/>
    <w:rsid w:val="00423EAF"/>
    <w:rsid w:val="004331FB"/>
    <w:rsid w:val="0043338B"/>
    <w:rsid w:val="004348AE"/>
    <w:rsid w:val="00435E9A"/>
    <w:rsid w:val="004376C0"/>
    <w:rsid w:val="0044115F"/>
    <w:rsid w:val="0044223A"/>
    <w:rsid w:val="00446792"/>
    <w:rsid w:val="00446F80"/>
    <w:rsid w:val="00450934"/>
    <w:rsid w:val="00450C83"/>
    <w:rsid w:val="00451851"/>
    <w:rsid w:val="00453343"/>
    <w:rsid w:val="004565AD"/>
    <w:rsid w:val="004608B9"/>
    <w:rsid w:val="00460ADB"/>
    <w:rsid w:val="00465947"/>
    <w:rsid w:val="004672C1"/>
    <w:rsid w:val="00470BB1"/>
    <w:rsid w:val="004718F7"/>
    <w:rsid w:val="004724CA"/>
    <w:rsid w:val="00473153"/>
    <w:rsid w:val="004743AF"/>
    <w:rsid w:val="00482C17"/>
    <w:rsid w:val="004905EB"/>
    <w:rsid w:val="004911B4"/>
    <w:rsid w:val="0049196A"/>
    <w:rsid w:val="004923DA"/>
    <w:rsid w:val="00493434"/>
    <w:rsid w:val="004962F9"/>
    <w:rsid w:val="004968E2"/>
    <w:rsid w:val="004A07F1"/>
    <w:rsid w:val="004A14C4"/>
    <w:rsid w:val="004A2A49"/>
    <w:rsid w:val="004B1206"/>
    <w:rsid w:val="004B600B"/>
    <w:rsid w:val="004B6822"/>
    <w:rsid w:val="004B69F6"/>
    <w:rsid w:val="004B7E65"/>
    <w:rsid w:val="004C2D3A"/>
    <w:rsid w:val="004D03C4"/>
    <w:rsid w:val="004D0BF1"/>
    <w:rsid w:val="004D24D2"/>
    <w:rsid w:val="004D257F"/>
    <w:rsid w:val="004D35A4"/>
    <w:rsid w:val="004D445F"/>
    <w:rsid w:val="004E04A7"/>
    <w:rsid w:val="004E087B"/>
    <w:rsid w:val="004E44A4"/>
    <w:rsid w:val="004E7B8B"/>
    <w:rsid w:val="004E7BDD"/>
    <w:rsid w:val="004F1E21"/>
    <w:rsid w:val="004F5DB9"/>
    <w:rsid w:val="004F740D"/>
    <w:rsid w:val="004F7B8F"/>
    <w:rsid w:val="00500748"/>
    <w:rsid w:val="005011D6"/>
    <w:rsid w:val="0050167A"/>
    <w:rsid w:val="005042F1"/>
    <w:rsid w:val="00504541"/>
    <w:rsid w:val="00506CDE"/>
    <w:rsid w:val="00507E2B"/>
    <w:rsid w:val="00510D6A"/>
    <w:rsid w:val="00513C7D"/>
    <w:rsid w:val="005169D1"/>
    <w:rsid w:val="0052051B"/>
    <w:rsid w:val="00521123"/>
    <w:rsid w:val="00521221"/>
    <w:rsid w:val="005256A2"/>
    <w:rsid w:val="00533575"/>
    <w:rsid w:val="00536FA9"/>
    <w:rsid w:val="005414F4"/>
    <w:rsid w:val="00545E47"/>
    <w:rsid w:val="00546187"/>
    <w:rsid w:val="005463F1"/>
    <w:rsid w:val="00552220"/>
    <w:rsid w:val="00557D77"/>
    <w:rsid w:val="00562EAA"/>
    <w:rsid w:val="00563B58"/>
    <w:rsid w:val="005640C4"/>
    <w:rsid w:val="00564C53"/>
    <w:rsid w:val="0056684C"/>
    <w:rsid w:val="00574A0C"/>
    <w:rsid w:val="00576E4C"/>
    <w:rsid w:val="0057780F"/>
    <w:rsid w:val="00581E0A"/>
    <w:rsid w:val="00582870"/>
    <w:rsid w:val="005843AA"/>
    <w:rsid w:val="00585B59"/>
    <w:rsid w:val="00586D89"/>
    <w:rsid w:val="005916B8"/>
    <w:rsid w:val="00593D00"/>
    <w:rsid w:val="005A1B4C"/>
    <w:rsid w:val="005A1BA3"/>
    <w:rsid w:val="005A545C"/>
    <w:rsid w:val="005B2430"/>
    <w:rsid w:val="005B5CD1"/>
    <w:rsid w:val="005C1567"/>
    <w:rsid w:val="005C2C31"/>
    <w:rsid w:val="005C6CE5"/>
    <w:rsid w:val="005C76DE"/>
    <w:rsid w:val="005D3F07"/>
    <w:rsid w:val="005D5618"/>
    <w:rsid w:val="005D583E"/>
    <w:rsid w:val="005E13EA"/>
    <w:rsid w:val="005E53BD"/>
    <w:rsid w:val="005E7B15"/>
    <w:rsid w:val="00601B04"/>
    <w:rsid w:val="00606E27"/>
    <w:rsid w:val="006108C9"/>
    <w:rsid w:val="0061594E"/>
    <w:rsid w:val="00615C7E"/>
    <w:rsid w:val="00616CBC"/>
    <w:rsid w:val="0062158D"/>
    <w:rsid w:val="006219AD"/>
    <w:rsid w:val="006229F0"/>
    <w:rsid w:val="006252EF"/>
    <w:rsid w:val="00630F39"/>
    <w:rsid w:val="006326D1"/>
    <w:rsid w:val="00632E0A"/>
    <w:rsid w:val="00633165"/>
    <w:rsid w:val="00636B6C"/>
    <w:rsid w:val="00641FCF"/>
    <w:rsid w:val="006447DE"/>
    <w:rsid w:val="0065276E"/>
    <w:rsid w:val="00652922"/>
    <w:rsid w:val="00654329"/>
    <w:rsid w:val="00654CEC"/>
    <w:rsid w:val="00655507"/>
    <w:rsid w:val="006712A7"/>
    <w:rsid w:val="006733CC"/>
    <w:rsid w:val="00674FC2"/>
    <w:rsid w:val="006765B3"/>
    <w:rsid w:val="00677E42"/>
    <w:rsid w:val="00682334"/>
    <w:rsid w:val="00684B16"/>
    <w:rsid w:val="00694C00"/>
    <w:rsid w:val="00696F65"/>
    <w:rsid w:val="006A2535"/>
    <w:rsid w:val="006A5EA8"/>
    <w:rsid w:val="006A7A6D"/>
    <w:rsid w:val="006B1154"/>
    <w:rsid w:val="006B3A71"/>
    <w:rsid w:val="006B5E67"/>
    <w:rsid w:val="006B749A"/>
    <w:rsid w:val="006C2EB5"/>
    <w:rsid w:val="006C3F19"/>
    <w:rsid w:val="006C6281"/>
    <w:rsid w:val="006D18A3"/>
    <w:rsid w:val="006D2B4F"/>
    <w:rsid w:val="006D5970"/>
    <w:rsid w:val="006E0751"/>
    <w:rsid w:val="006E481E"/>
    <w:rsid w:val="006E795F"/>
    <w:rsid w:val="006E7BE9"/>
    <w:rsid w:val="006F2F9C"/>
    <w:rsid w:val="00700249"/>
    <w:rsid w:val="0070459F"/>
    <w:rsid w:val="0070604C"/>
    <w:rsid w:val="007069CD"/>
    <w:rsid w:val="00710D69"/>
    <w:rsid w:val="007110E6"/>
    <w:rsid w:val="00711A70"/>
    <w:rsid w:val="00712E6F"/>
    <w:rsid w:val="00712E90"/>
    <w:rsid w:val="00713B7E"/>
    <w:rsid w:val="0071499F"/>
    <w:rsid w:val="007170C1"/>
    <w:rsid w:val="007203DA"/>
    <w:rsid w:val="007204AE"/>
    <w:rsid w:val="0072143D"/>
    <w:rsid w:val="0072678F"/>
    <w:rsid w:val="00727C4C"/>
    <w:rsid w:val="00734809"/>
    <w:rsid w:val="0073644B"/>
    <w:rsid w:val="007406E1"/>
    <w:rsid w:val="00743E40"/>
    <w:rsid w:val="0074747D"/>
    <w:rsid w:val="00750399"/>
    <w:rsid w:val="00751263"/>
    <w:rsid w:val="00756425"/>
    <w:rsid w:val="0075704F"/>
    <w:rsid w:val="00763B2D"/>
    <w:rsid w:val="00772924"/>
    <w:rsid w:val="0077602E"/>
    <w:rsid w:val="00783842"/>
    <w:rsid w:val="00784EC4"/>
    <w:rsid w:val="007872F2"/>
    <w:rsid w:val="007874BC"/>
    <w:rsid w:val="007908E0"/>
    <w:rsid w:val="00793EB3"/>
    <w:rsid w:val="00794205"/>
    <w:rsid w:val="00797012"/>
    <w:rsid w:val="007A1F6A"/>
    <w:rsid w:val="007A3E60"/>
    <w:rsid w:val="007A655C"/>
    <w:rsid w:val="007B0DE3"/>
    <w:rsid w:val="007B491F"/>
    <w:rsid w:val="007B501E"/>
    <w:rsid w:val="007B5CB2"/>
    <w:rsid w:val="007B7191"/>
    <w:rsid w:val="007C1634"/>
    <w:rsid w:val="007C1D94"/>
    <w:rsid w:val="007C2879"/>
    <w:rsid w:val="007C6A87"/>
    <w:rsid w:val="007C705D"/>
    <w:rsid w:val="007D0A07"/>
    <w:rsid w:val="007D0C96"/>
    <w:rsid w:val="007D133D"/>
    <w:rsid w:val="007D3EB4"/>
    <w:rsid w:val="007D3F16"/>
    <w:rsid w:val="007D78CC"/>
    <w:rsid w:val="007E60F8"/>
    <w:rsid w:val="007F3F7E"/>
    <w:rsid w:val="007F5497"/>
    <w:rsid w:val="0080574A"/>
    <w:rsid w:val="00811FE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3F73"/>
    <w:rsid w:val="00844D98"/>
    <w:rsid w:val="00846D84"/>
    <w:rsid w:val="00847340"/>
    <w:rsid w:val="00847490"/>
    <w:rsid w:val="0085230E"/>
    <w:rsid w:val="0085355E"/>
    <w:rsid w:val="008550A1"/>
    <w:rsid w:val="00861035"/>
    <w:rsid w:val="00861038"/>
    <w:rsid w:val="00865008"/>
    <w:rsid w:val="00866B50"/>
    <w:rsid w:val="008708F1"/>
    <w:rsid w:val="008765CA"/>
    <w:rsid w:val="00880539"/>
    <w:rsid w:val="008859E8"/>
    <w:rsid w:val="0088737B"/>
    <w:rsid w:val="00892716"/>
    <w:rsid w:val="00893067"/>
    <w:rsid w:val="008933DE"/>
    <w:rsid w:val="00895FCE"/>
    <w:rsid w:val="00897F3E"/>
    <w:rsid w:val="008A1BA8"/>
    <w:rsid w:val="008A21B4"/>
    <w:rsid w:val="008A4576"/>
    <w:rsid w:val="008B07DE"/>
    <w:rsid w:val="008B28E7"/>
    <w:rsid w:val="008B548D"/>
    <w:rsid w:val="008C00EC"/>
    <w:rsid w:val="008C14C7"/>
    <w:rsid w:val="008C27B6"/>
    <w:rsid w:val="008C2FFB"/>
    <w:rsid w:val="008C3517"/>
    <w:rsid w:val="008C6EEA"/>
    <w:rsid w:val="008D30E8"/>
    <w:rsid w:val="008D5813"/>
    <w:rsid w:val="008D634E"/>
    <w:rsid w:val="008D778A"/>
    <w:rsid w:val="008E0C1C"/>
    <w:rsid w:val="008E6859"/>
    <w:rsid w:val="008F22BD"/>
    <w:rsid w:val="009014D6"/>
    <w:rsid w:val="009037B0"/>
    <w:rsid w:val="009079BD"/>
    <w:rsid w:val="00912BD9"/>
    <w:rsid w:val="00916CFB"/>
    <w:rsid w:val="00920E5B"/>
    <w:rsid w:val="009249F8"/>
    <w:rsid w:val="00926436"/>
    <w:rsid w:val="0093018C"/>
    <w:rsid w:val="0093125C"/>
    <w:rsid w:val="00932CCA"/>
    <w:rsid w:val="009330D3"/>
    <w:rsid w:val="00933F16"/>
    <w:rsid w:val="009370AE"/>
    <w:rsid w:val="0093741B"/>
    <w:rsid w:val="009401CC"/>
    <w:rsid w:val="00941436"/>
    <w:rsid w:val="00945691"/>
    <w:rsid w:val="00951349"/>
    <w:rsid w:val="009544C0"/>
    <w:rsid w:val="00954FA4"/>
    <w:rsid w:val="00956AE9"/>
    <w:rsid w:val="00964CC6"/>
    <w:rsid w:val="00986F2F"/>
    <w:rsid w:val="00991FDA"/>
    <w:rsid w:val="009927A1"/>
    <w:rsid w:val="00993330"/>
    <w:rsid w:val="0099774D"/>
    <w:rsid w:val="009A1832"/>
    <w:rsid w:val="009A310E"/>
    <w:rsid w:val="009A5F3B"/>
    <w:rsid w:val="009B0B61"/>
    <w:rsid w:val="009B28C0"/>
    <w:rsid w:val="009B395A"/>
    <w:rsid w:val="009B7136"/>
    <w:rsid w:val="009B7806"/>
    <w:rsid w:val="009C0D18"/>
    <w:rsid w:val="009C3AC2"/>
    <w:rsid w:val="009C7711"/>
    <w:rsid w:val="009D4365"/>
    <w:rsid w:val="009D4E3B"/>
    <w:rsid w:val="009D6B6F"/>
    <w:rsid w:val="009D7BC9"/>
    <w:rsid w:val="009E0C5A"/>
    <w:rsid w:val="009E1982"/>
    <w:rsid w:val="009E4D2C"/>
    <w:rsid w:val="009E6BDE"/>
    <w:rsid w:val="009F0978"/>
    <w:rsid w:val="009F3AEC"/>
    <w:rsid w:val="00A00081"/>
    <w:rsid w:val="00A00448"/>
    <w:rsid w:val="00A015F7"/>
    <w:rsid w:val="00A10D56"/>
    <w:rsid w:val="00A12AAE"/>
    <w:rsid w:val="00A1419E"/>
    <w:rsid w:val="00A16DD1"/>
    <w:rsid w:val="00A2172D"/>
    <w:rsid w:val="00A221AB"/>
    <w:rsid w:val="00A22441"/>
    <w:rsid w:val="00A22FBD"/>
    <w:rsid w:val="00A23F3B"/>
    <w:rsid w:val="00A24406"/>
    <w:rsid w:val="00A25F64"/>
    <w:rsid w:val="00A27CC2"/>
    <w:rsid w:val="00A3273B"/>
    <w:rsid w:val="00A36271"/>
    <w:rsid w:val="00A40E69"/>
    <w:rsid w:val="00A40ED6"/>
    <w:rsid w:val="00A470EE"/>
    <w:rsid w:val="00A47621"/>
    <w:rsid w:val="00A479CD"/>
    <w:rsid w:val="00A50C5F"/>
    <w:rsid w:val="00A50CFC"/>
    <w:rsid w:val="00A54D67"/>
    <w:rsid w:val="00A55A3F"/>
    <w:rsid w:val="00A56BC4"/>
    <w:rsid w:val="00A652F6"/>
    <w:rsid w:val="00A732EA"/>
    <w:rsid w:val="00A7489E"/>
    <w:rsid w:val="00A75AE9"/>
    <w:rsid w:val="00A8015F"/>
    <w:rsid w:val="00A80BD2"/>
    <w:rsid w:val="00A85039"/>
    <w:rsid w:val="00A851F7"/>
    <w:rsid w:val="00A87703"/>
    <w:rsid w:val="00A906AA"/>
    <w:rsid w:val="00A94C5E"/>
    <w:rsid w:val="00AA241A"/>
    <w:rsid w:val="00AA252C"/>
    <w:rsid w:val="00AA4059"/>
    <w:rsid w:val="00AA61FB"/>
    <w:rsid w:val="00AA666E"/>
    <w:rsid w:val="00AB01B4"/>
    <w:rsid w:val="00AB40B1"/>
    <w:rsid w:val="00AB5518"/>
    <w:rsid w:val="00AC01D4"/>
    <w:rsid w:val="00AC33C6"/>
    <w:rsid w:val="00AC4A04"/>
    <w:rsid w:val="00AD09DB"/>
    <w:rsid w:val="00AD336F"/>
    <w:rsid w:val="00AD3550"/>
    <w:rsid w:val="00AD3C0A"/>
    <w:rsid w:val="00AD66EE"/>
    <w:rsid w:val="00AE2564"/>
    <w:rsid w:val="00AE301F"/>
    <w:rsid w:val="00AE3302"/>
    <w:rsid w:val="00AE7077"/>
    <w:rsid w:val="00AF61C2"/>
    <w:rsid w:val="00AF6CC6"/>
    <w:rsid w:val="00B011CD"/>
    <w:rsid w:val="00B0296A"/>
    <w:rsid w:val="00B111AF"/>
    <w:rsid w:val="00B12295"/>
    <w:rsid w:val="00B137BE"/>
    <w:rsid w:val="00B1646D"/>
    <w:rsid w:val="00B17F3F"/>
    <w:rsid w:val="00B17FA0"/>
    <w:rsid w:val="00B24344"/>
    <w:rsid w:val="00B26769"/>
    <w:rsid w:val="00B31C91"/>
    <w:rsid w:val="00B3747F"/>
    <w:rsid w:val="00B43194"/>
    <w:rsid w:val="00B47734"/>
    <w:rsid w:val="00B50FBA"/>
    <w:rsid w:val="00B558EB"/>
    <w:rsid w:val="00B577D3"/>
    <w:rsid w:val="00B60466"/>
    <w:rsid w:val="00B6548F"/>
    <w:rsid w:val="00B7502A"/>
    <w:rsid w:val="00B75376"/>
    <w:rsid w:val="00B77305"/>
    <w:rsid w:val="00B82CC2"/>
    <w:rsid w:val="00B83F7B"/>
    <w:rsid w:val="00B84A23"/>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0789"/>
    <w:rsid w:val="00BC1C22"/>
    <w:rsid w:val="00BC2B3F"/>
    <w:rsid w:val="00BC460B"/>
    <w:rsid w:val="00BC5725"/>
    <w:rsid w:val="00BD30B1"/>
    <w:rsid w:val="00BD7F40"/>
    <w:rsid w:val="00BE0F7B"/>
    <w:rsid w:val="00BE10C2"/>
    <w:rsid w:val="00BE2858"/>
    <w:rsid w:val="00BF04E5"/>
    <w:rsid w:val="00BF178A"/>
    <w:rsid w:val="00BF3B48"/>
    <w:rsid w:val="00C01D14"/>
    <w:rsid w:val="00C025B4"/>
    <w:rsid w:val="00C0275F"/>
    <w:rsid w:val="00C11F61"/>
    <w:rsid w:val="00C161FD"/>
    <w:rsid w:val="00C16E21"/>
    <w:rsid w:val="00C2326A"/>
    <w:rsid w:val="00C23F17"/>
    <w:rsid w:val="00C26A95"/>
    <w:rsid w:val="00C26D0D"/>
    <w:rsid w:val="00C27C95"/>
    <w:rsid w:val="00C300D2"/>
    <w:rsid w:val="00C3270F"/>
    <w:rsid w:val="00C3278B"/>
    <w:rsid w:val="00C33375"/>
    <w:rsid w:val="00C34C23"/>
    <w:rsid w:val="00C42005"/>
    <w:rsid w:val="00C43614"/>
    <w:rsid w:val="00C44446"/>
    <w:rsid w:val="00C4633D"/>
    <w:rsid w:val="00C4664D"/>
    <w:rsid w:val="00C472AA"/>
    <w:rsid w:val="00C50A05"/>
    <w:rsid w:val="00C52948"/>
    <w:rsid w:val="00C54AED"/>
    <w:rsid w:val="00C55B2F"/>
    <w:rsid w:val="00C61350"/>
    <w:rsid w:val="00C6257F"/>
    <w:rsid w:val="00C63D00"/>
    <w:rsid w:val="00C6441B"/>
    <w:rsid w:val="00C65AA4"/>
    <w:rsid w:val="00C65B08"/>
    <w:rsid w:val="00C672A7"/>
    <w:rsid w:val="00C6782E"/>
    <w:rsid w:val="00C7108B"/>
    <w:rsid w:val="00C724E1"/>
    <w:rsid w:val="00C8089F"/>
    <w:rsid w:val="00C836CC"/>
    <w:rsid w:val="00C87A74"/>
    <w:rsid w:val="00C90A71"/>
    <w:rsid w:val="00C91574"/>
    <w:rsid w:val="00C91BC2"/>
    <w:rsid w:val="00C92C71"/>
    <w:rsid w:val="00C93F8F"/>
    <w:rsid w:val="00C94BF2"/>
    <w:rsid w:val="00CA2453"/>
    <w:rsid w:val="00CA2745"/>
    <w:rsid w:val="00CA339F"/>
    <w:rsid w:val="00CA3593"/>
    <w:rsid w:val="00CA7F4F"/>
    <w:rsid w:val="00CB258E"/>
    <w:rsid w:val="00CB3C8F"/>
    <w:rsid w:val="00CB730C"/>
    <w:rsid w:val="00CB75CE"/>
    <w:rsid w:val="00CC02F1"/>
    <w:rsid w:val="00CC11A6"/>
    <w:rsid w:val="00CC135E"/>
    <w:rsid w:val="00CC5B87"/>
    <w:rsid w:val="00CC5EE5"/>
    <w:rsid w:val="00CD5D3F"/>
    <w:rsid w:val="00CF1E90"/>
    <w:rsid w:val="00CF3DB3"/>
    <w:rsid w:val="00CF3FCA"/>
    <w:rsid w:val="00CF5FAC"/>
    <w:rsid w:val="00D00710"/>
    <w:rsid w:val="00D039DA"/>
    <w:rsid w:val="00D052BC"/>
    <w:rsid w:val="00D07026"/>
    <w:rsid w:val="00D070B6"/>
    <w:rsid w:val="00D07BAB"/>
    <w:rsid w:val="00D11C62"/>
    <w:rsid w:val="00D176FB"/>
    <w:rsid w:val="00D215D2"/>
    <w:rsid w:val="00D22C8F"/>
    <w:rsid w:val="00D33491"/>
    <w:rsid w:val="00D4021E"/>
    <w:rsid w:val="00D44F8E"/>
    <w:rsid w:val="00D44FD0"/>
    <w:rsid w:val="00D45108"/>
    <w:rsid w:val="00D5733C"/>
    <w:rsid w:val="00D607EF"/>
    <w:rsid w:val="00D60F88"/>
    <w:rsid w:val="00D625E7"/>
    <w:rsid w:val="00D646BD"/>
    <w:rsid w:val="00D65FB2"/>
    <w:rsid w:val="00D70239"/>
    <w:rsid w:val="00D7089C"/>
    <w:rsid w:val="00D71201"/>
    <w:rsid w:val="00D720C7"/>
    <w:rsid w:val="00D765AA"/>
    <w:rsid w:val="00D77A04"/>
    <w:rsid w:val="00D81D06"/>
    <w:rsid w:val="00D84487"/>
    <w:rsid w:val="00D85A60"/>
    <w:rsid w:val="00D8652C"/>
    <w:rsid w:val="00D876E6"/>
    <w:rsid w:val="00D94AC0"/>
    <w:rsid w:val="00DA1025"/>
    <w:rsid w:val="00DA22EC"/>
    <w:rsid w:val="00DA3671"/>
    <w:rsid w:val="00DA5860"/>
    <w:rsid w:val="00DB2767"/>
    <w:rsid w:val="00DB2B45"/>
    <w:rsid w:val="00DB2EE2"/>
    <w:rsid w:val="00DB6ED1"/>
    <w:rsid w:val="00DC08B3"/>
    <w:rsid w:val="00DC1CC9"/>
    <w:rsid w:val="00DC4729"/>
    <w:rsid w:val="00DC5751"/>
    <w:rsid w:val="00DD27CE"/>
    <w:rsid w:val="00DE556F"/>
    <w:rsid w:val="00DF06AF"/>
    <w:rsid w:val="00DF1180"/>
    <w:rsid w:val="00DF756B"/>
    <w:rsid w:val="00E03B6D"/>
    <w:rsid w:val="00E03FF7"/>
    <w:rsid w:val="00E0649E"/>
    <w:rsid w:val="00E15794"/>
    <w:rsid w:val="00E17160"/>
    <w:rsid w:val="00E211BF"/>
    <w:rsid w:val="00E35BEC"/>
    <w:rsid w:val="00E50821"/>
    <w:rsid w:val="00E50EF8"/>
    <w:rsid w:val="00E51F91"/>
    <w:rsid w:val="00E64677"/>
    <w:rsid w:val="00E676F7"/>
    <w:rsid w:val="00E7086E"/>
    <w:rsid w:val="00E7374A"/>
    <w:rsid w:val="00E73C41"/>
    <w:rsid w:val="00E73DFC"/>
    <w:rsid w:val="00E7598F"/>
    <w:rsid w:val="00E76F60"/>
    <w:rsid w:val="00E83D90"/>
    <w:rsid w:val="00E83F28"/>
    <w:rsid w:val="00E83F91"/>
    <w:rsid w:val="00E8645F"/>
    <w:rsid w:val="00E9107A"/>
    <w:rsid w:val="00E91869"/>
    <w:rsid w:val="00E91F62"/>
    <w:rsid w:val="00E92647"/>
    <w:rsid w:val="00E929FD"/>
    <w:rsid w:val="00E93240"/>
    <w:rsid w:val="00E9479B"/>
    <w:rsid w:val="00EA28F1"/>
    <w:rsid w:val="00EA4D48"/>
    <w:rsid w:val="00EB029D"/>
    <w:rsid w:val="00EB2173"/>
    <w:rsid w:val="00EB62E6"/>
    <w:rsid w:val="00EC69AA"/>
    <w:rsid w:val="00EC6B93"/>
    <w:rsid w:val="00ED0A19"/>
    <w:rsid w:val="00ED1758"/>
    <w:rsid w:val="00ED1B30"/>
    <w:rsid w:val="00ED250E"/>
    <w:rsid w:val="00ED3971"/>
    <w:rsid w:val="00ED6535"/>
    <w:rsid w:val="00EE1AC1"/>
    <w:rsid w:val="00EE39D6"/>
    <w:rsid w:val="00EE413C"/>
    <w:rsid w:val="00EE47D8"/>
    <w:rsid w:val="00EE52AD"/>
    <w:rsid w:val="00EF2DF4"/>
    <w:rsid w:val="00F01F92"/>
    <w:rsid w:val="00F04389"/>
    <w:rsid w:val="00F10A08"/>
    <w:rsid w:val="00F139CF"/>
    <w:rsid w:val="00F20477"/>
    <w:rsid w:val="00F22AC5"/>
    <w:rsid w:val="00F254D1"/>
    <w:rsid w:val="00F30AA9"/>
    <w:rsid w:val="00F32B82"/>
    <w:rsid w:val="00F3459D"/>
    <w:rsid w:val="00F4043E"/>
    <w:rsid w:val="00F404A9"/>
    <w:rsid w:val="00F40CB5"/>
    <w:rsid w:val="00F41728"/>
    <w:rsid w:val="00F41BBC"/>
    <w:rsid w:val="00F43B9D"/>
    <w:rsid w:val="00F444F0"/>
    <w:rsid w:val="00F50847"/>
    <w:rsid w:val="00F53F27"/>
    <w:rsid w:val="00F546D1"/>
    <w:rsid w:val="00F61926"/>
    <w:rsid w:val="00F6513F"/>
    <w:rsid w:val="00F66272"/>
    <w:rsid w:val="00F6ACA0"/>
    <w:rsid w:val="00F709C0"/>
    <w:rsid w:val="00F70D03"/>
    <w:rsid w:val="00F74FA4"/>
    <w:rsid w:val="00F8256F"/>
    <w:rsid w:val="00F8610A"/>
    <w:rsid w:val="00F86F49"/>
    <w:rsid w:val="00F87013"/>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0CBC"/>
    <w:rsid w:val="00FD3D7C"/>
    <w:rsid w:val="00FD4F8F"/>
    <w:rsid w:val="00FD4FF1"/>
    <w:rsid w:val="00FD68B6"/>
    <w:rsid w:val="00FE0C16"/>
    <w:rsid w:val="00FE14AD"/>
    <w:rsid w:val="00FE14B1"/>
    <w:rsid w:val="00FE1F6A"/>
    <w:rsid w:val="00FE3EB4"/>
    <w:rsid w:val="00FE4F92"/>
    <w:rsid w:val="00FF0070"/>
    <w:rsid w:val="00FF31EC"/>
    <w:rsid w:val="00FF43E9"/>
    <w:rsid w:val="00FF5B11"/>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ollege.police.uk/app/investigation/investigation-process" TargetMode="External"/><Relationship Id="rId39" Type="http://schemas.openxmlformats.org/officeDocument/2006/relationships/hyperlink" Target="https://assets.publishing.service.gov.uk/government/uploads/system/uploads/attachment_data/file/936239/victims-code-2020.pdf" TargetMode="External"/><Relationship Id="rId21" Type="http://schemas.openxmlformats.org/officeDocument/2006/relationships/hyperlink" Target="https://www.cardiffandvalersb.co.uk/wp-content/uploads/Multi-Agency-Report-Referral-Form-MARF-FINAL-updated-Dec-2022.pdf" TargetMode="External"/><Relationship Id="rId34" Type="http://schemas.openxmlformats.org/officeDocument/2006/relationships/hyperlink" Target="https://www.justiceinspectorates.gov.uk/hmiprobation/wp-content/uploads/sites/5/2017/10/The-Work-of-Youth-Offending-Teams-to-Protect-the-Public_reportfinal.pdf" TargetMode="External"/><Relationship Id="rId42" Type="http://schemas.openxmlformats.org/officeDocument/2006/relationships/hyperlink" Target="https://healthiertogether.hrch.nhs.uk/health-for-young-people/mental-health-and-wellbeing/support-advice-and-guidance/camhs-child-and-adolescent-mental-health-services" TargetMode="External"/><Relationship Id="rId47" Type="http://schemas.openxmlformats.org/officeDocument/2006/relationships/hyperlink" Target="https://www.legislation.gov.uk/ukpga/1984/60/section/32" TargetMode="External"/><Relationship Id="rId50" Type="http://schemas.openxmlformats.org/officeDocument/2006/relationships/hyperlink" Target="https://www.legislation.gov.uk/ukpga/2003/42/part/1/crossheading/rape"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assets.college.police.uk/s3fs-public/2021-04/effective-investigations-scope-of-guidelines-0421.pdf" TargetMode="External"/><Relationship Id="rId11" Type="http://schemas.openxmlformats.org/officeDocument/2006/relationships/image" Target="media/image1.png"/><Relationship Id="rId24" Type="http://schemas.openxmlformats.org/officeDocument/2006/relationships/hyperlink" Target="https://www.college.police.uk/app/detention-and-custody/detainee-care/children-and-young-persons" TargetMode="External"/><Relationship Id="rId32" Type="http://schemas.openxmlformats.org/officeDocument/2006/relationships/hyperlink" Target="https://assets.publishing.service.gov.uk/government/uploads/system/uploads/attachment_data/file/1166544/guidance-about-independent-advisors-isvas-and-idvas-fact-sheet.pdf" TargetMode="External"/><Relationship Id="rId37" Type="http://schemas.openxmlformats.org/officeDocument/2006/relationships/hyperlink" Target="https://assets.publishing.service.gov.uk/media/5a82211140f0b6230269afee/Concordat_on_Children_in_Custody_ISBN_Accessible.pdf" TargetMode="External"/><Relationship Id="rId40" Type="http://schemas.openxmlformats.org/officeDocument/2006/relationships/hyperlink" Target="https://www.gov.uk/government/publications/achieving-best-evidence-in-criminal-proceedings" TargetMode="External"/><Relationship Id="rId45" Type="http://schemas.openxmlformats.org/officeDocument/2006/relationships/hyperlink" Target="https://www.gov.uk/government/publications/the-multi-agency-response-to-children-and-families-who-need-help/the-multi-agency-response-to-children-and-families-who-need-help" TargetMode="External"/><Relationship Id="rId53" Type="http://schemas.openxmlformats.org/officeDocument/2006/relationships/hyperlink" Target="https://www.legislation.gov.uk/ukpga/2019/2"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legislation.gov.uk/ukpga/1996/25/section/22" TargetMode="External"/><Relationship Id="rId44" Type="http://schemas.openxmlformats.org/officeDocument/2006/relationships/hyperlink" Target="https://www.ons.gov.uk/peoplepopulationandcommunity/crimeandjustice/articles/thelastingimpactofviolenceagainstwomenandgirls/2021-11-24" TargetMode="External"/><Relationship Id="rId52" Type="http://schemas.openxmlformats.org/officeDocument/2006/relationships/hyperlink" Target="https://www.ed.ac.uk/reflection/reflectors-toolkit/reflecting-on-experience/gibbs-reflective-cyc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aseiq.com/resources/5-common-problems-with-cross-border-investigations/" TargetMode="External"/><Relationship Id="rId27" Type="http://schemas.openxmlformats.org/officeDocument/2006/relationships/hyperlink" Target="https://www.college.police.uk/app/major-investigation-and-public-protection/investigating-child-abuse-and-safeguarding-children/police-response-concern-child" TargetMode="External"/><Relationship Id="rId30" Type="http://schemas.openxmlformats.org/officeDocument/2006/relationships/hyperlink" Target="https://www.college.police.uk/guidance/vulnerability-related-risks/introduction-vulnerability-related-risk" TargetMode="External"/><Relationship Id="rId35" Type="http://schemas.openxmlformats.org/officeDocument/2006/relationships/hyperlink" Target="https://www.justiceinspectorates.gov.uk/hmiprobation/wp-content/uploads/sites/5/2021/07/Youth-multi-agency-work-RAB-v1.0-1-1.pdf" TargetMode="External"/><Relationship Id="rId43" Type="http://schemas.openxmlformats.org/officeDocument/2006/relationships/hyperlink" Target="https://www.oxfordbibliographies.com/display/document/obo-9780195396607/obo-9780195396607-0119.xml" TargetMode="External"/><Relationship Id="rId48" Type="http://schemas.openxmlformats.org/officeDocument/2006/relationships/hyperlink" Target="https://rapecrisis.org.uk/get-informed/about-sexual-violence/sexual-consent/" TargetMode="External"/><Relationship Id="rId56"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hyperlink" Target="https://www.legislation.gov.uk/ukpga/2003/42/section/7"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app/investigation/investigation-introduction" TargetMode="External"/><Relationship Id="rId33" Type="http://schemas.openxmlformats.org/officeDocument/2006/relationships/hyperlink" Target="https://assets.publishing.service.gov.uk/media/669e7501ab418ab055592a7b/Working_together_to_safeguard_children_2023.pdf" TargetMode="External"/><Relationship Id="rId38" Type="http://schemas.openxmlformats.org/officeDocument/2006/relationships/hyperlink" Target="https://policecautions.uk/2019/01/28/what-is-the-police-national-database-pnd/" TargetMode="External"/><Relationship Id="rId46" Type="http://schemas.openxmlformats.org/officeDocument/2006/relationships/hyperlink" Target="https://www.legislation.gov.uk/ukpga/1984/60/section/18" TargetMode="External"/><Relationship Id="rId20" Type="http://schemas.openxmlformats.org/officeDocument/2006/relationships/footer" Target="footer3.xml"/><Relationship Id="rId41" Type="http://schemas.openxmlformats.org/officeDocument/2006/relationships/hyperlink" Target="https://www.multiagencysafeguardinghub.co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library.college.police.uk/docs/acpo/Core-Investigative-Doctrine.pdf" TargetMode="External"/><Relationship Id="rId28" Type="http://schemas.openxmlformats.org/officeDocument/2006/relationships/hyperlink" Target="https://www.college.police.uk/guidance/obtaining-initial-accounts/introduction-initial-accounts" TargetMode="External"/><Relationship Id="rId36" Type="http://schemas.openxmlformats.org/officeDocument/2006/relationships/hyperlink" Target="https://hmicfrs.justiceinspectorates.gov.uk/glossary/police-national-computer/" TargetMode="External"/><Relationship Id="rId49" Type="http://schemas.openxmlformats.org/officeDocument/2006/relationships/hyperlink" Target="https://safercommunities.wales/offending-justice/youth-justice-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10997</TotalTime>
  <Pages>21</Pages>
  <Words>6504</Words>
  <Characters>40418</Characters>
  <Application>Microsoft Office Word</Application>
  <DocSecurity>0</DocSecurity>
  <Lines>336</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Williams,Sian swp8671</cp:lastModifiedBy>
  <cp:revision>161</cp:revision>
  <cp:lastPrinted>2014-08-26T08:55:00Z</cp:lastPrinted>
  <dcterms:created xsi:type="dcterms:W3CDTF">2024-10-17T15:52:00Z</dcterms:created>
  <dcterms:modified xsi:type="dcterms:W3CDTF">2024-10-28T17:08:00Z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