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F8B11BD" w:rsidR="003C154B" w:rsidRPr="00753CE4" w:rsidRDefault="005D239C" w:rsidP="00945CEC">
            <w:pPr>
              <w:rPr>
                <w:sz w:val="28"/>
                <w:szCs w:val="28"/>
              </w:rPr>
            </w:pPr>
            <w:r>
              <w:rPr>
                <w:sz w:val="28"/>
                <w:szCs w:val="28"/>
              </w:rPr>
              <w:t>Sabha Mahmood (2006732)</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E0DBDBA" w14:textId="103445B7" w:rsidR="005D239C"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11A6F179" w:rsidR="009648D6" w:rsidRDefault="009648D6" w:rsidP="00945CEC">
            <w:pPr>
              <w:rPr>
                <w:i/>
                <w:sz w:val="20"/>
                <w:szCs w:val="28"/>
              </w:rPr>
            </w:pPr>
          </w:p>
          <w:p w14:paraId="4C8A73F7" w14:textId="052FDC2A" w:rsidR="005D239C" w:rsidRPr="005D239C" w:rsidRDefault="005D239C" w:rsidP="00945CEC">
            <w:pPr>
              <w:rPr>
                <w:b/>
                <w:bCs/>
                <w:i/>
                <w:sz w:val="20"/>
                <w:szCs w:val="28"/>
              </w:rPr>
            </w:pPr>
            <w:r w:rsidRPr="005D239C">
              <w:rPr>
                <w:b/>
                <w:bCs/>
                <w:i/>
                <w:sz w:val="20"/>
                <w:szCs w:val="28"/>
              </w:rPr>
              <w:t>Dr</w:t>
            </w:r>
            <w:r>
              <w:rPr>
                <w:b/>
                <w:bCs/>
                <w:i/>
                <w:sz w:val="20"/>
                <w:szCs w:val="28"/>
              </w:rPr>
              <w:t xml:space="preserve"> </w:t>
            </w:r>
            <w:r w:rsidRPr="005D239C">
              <w:rPr>
                <w:b/>
                <w:bCs/>
                <w:i/>
                <w:sz w:val="20"/>
                <w:szCs w:val="28"/>
              </w:rPr>
              <w:t>Judith Marshall</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38B03655" w:rsidR="00E24A0F" w:rsidRDefault="00E24A0F" w:rsidP="00C15547">
            <w:pPr>
              <w:rPr>
                <w:rFonts w:ascii="Arial" w:hAnsi="Arial" w:cs="Arial"/>
                <w:sz w:val="20"/>
                <w:szCs w:val="20"/>
              </w:rPr>
            </w:pPr>
            <w:r>
              <w:rPr>
                <w:rFonts w:ascii="Arial" w:hAnsi="Arial" w:cs="Arial"/>
                <w:sz w:val="20"/>
                <w:szCs w:val="20"/>
              </w:rPr>
              <w:t xml:space="preserve">Social Psychology </w:t>
            </w:r>
            <w:r w:rsidR="005D239C">
              <w:rPr>
                <w:rFonts w:ascii="Arial" w:hAnsi="Arial" w:cs="Arial"/>
                <w:noProof/>
                <w:sz w:val="20"/>
                <w:szCs w:val="20"/>
              </w:rPr>
              <w:drawing>
                <wp:inline distT="0" distB="0" distL="0" distR="0" wp14:anchorId="5B213FF5" wp14:editId="259F751E">
                  <wp:extent cx="165100" cy="165100"/>
                  <wp:effectExtent l="0" t="0" r="6350" b="6350"/>
                  <wp:docPr id="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5100" cy="165100"/>
                          </a:xfrm>
                          <a:prstGeom prst="rect">
                            <a:avLst/>
                          </a:prstGeom>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4E2AA6D3" w:rsidR="009648D6" w:rsidRDefault="00F80900" w:rsidP="00C15547">
            <w:pPr>
              <w:rPr>
                <w:rFonts w:ascii="Arial" w:hAnsi="Arial" w:cs="Arial"/>
                <w:sz w:val="20"/>
                <w:szCs w:val="20"/>
              </w:rPr>
            </w:pPr>
            <w:r>
              <w:rPr>
                <w:rFonts w:ascii="Arial" w:hAnsi="Arial" w:cs="Arial"/>
                <w:sz w:val="20"/>
                <w:szCs w:val="20"/>
              </w:rPr>
              <w:t xml:space="preserve">Individual Differences </w:t>
            </w:r>
            <w:r w:rsidR="005D239C">
              <w:rPr>
                <w:rFonts w:ascii="Arial" w:hAnsi="Arial" w:cs="Arial"/>
                <w:noProof/>
                <w:sz w:val="20"/>
                <w:szCs w:val="20"/>
              </w:rPr>
              <w:drawing>
                <wp:inline distT="0" distB="0" distL="0" distR="0" wp14:anchorId="554EBA47" wp14:editId="25ACD2BA">
                  <wp:extent cx="165100" cy="165100"/>
                  <wp:effectExtent l="0" t="0" r="6350" b="6350"/>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5100" cy="165100"/>
                          </a:xfrm>
                          <a:prstGeom prst="rect">
                            <a:avLst/>
                          </a:prstGeom>
                        </pic:spPr>
                      </pic:pic>
                    </a:graphicData>
                  </a:graphic>
                </wp:inline>
              </w:drawing>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0B3D4BC3" w:rsidR="0031057E" w:rsidRPr="00A05E89" w:rsidRDefault="00216108" w:rsidP="00F73A03">
            <w:pPr>
              <w:rPr>
                <w:rFonts w:ascii="Arial" w:hAnsi="Arial" w:cs="Arial"/>
                <w:sz w:val="20"/>
                <w:szCs w:val="20"/>
              </w:rPr>
            </w:pPr>
            <w:r>
              <w:rPr>
                <w:rFonts w:ascii="Arial" w:hAnsi="Arial" w:cs="Arial"/>
                <w:noProof/>
                <w:sz w:val="20"/>
                <w:szCs w:val="20"/>
              </w:rPr>
              <w:drawing>
                <wp:anchor distT="0" distB="0" distL="114300" distR="114300" simplePos="0" relativeHeight="251662336" behindDoc="0" locked="0" layoutInCell="1" allowOverlap="1" wp14:anchorId="6FF8349E" wp14:editId="6F4A393F">
                  <wp:simplePos x="0" y="0"/>
                  <wp:positionH relativeFrom="column">
                    <wp:posOffset>1339850</wp:posOffset>
                  </wp:positionH>
                  <wp:positionV relativeFrom="paragraph">
                    <wp:posOffset>31750</wp:posOffset>
                  </wp:positionV>
                  <wp:extent cx="171450" cy="171450"/>
                  <wp:effectExtent l="0" t="0" r="0" b="0"/>
                  <wp:wrapSquare wrapText="bothSides"/>
                  <wp:docPr id="4"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r w:rsidR="002F3741" w:rsidRPr="00A05E89">
              <w:rPr>
                <w:rFonts w:ascii="Arial" w:hAnsi="Arial" w:cs="Arial"/>
                <w:sz w:val="20"/>
                <w:szCs w:val="20"/>
              </w:rPr>
              <w:t xml:space="preserve">Quantitative </w:t>
            </w:r>
          </w:p>
          <w:p w14:paraId="1E91FAEB" w14:textId="79F359B2"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07C50CE2" w:rsidR="0031057E" w:rsidRPr="00A05E89" w:rsidRDefault="00216108" w:rsidP="005D239C">
            <w:pPr>
              <w:tabs>
                <w:tab w:val="right" w:pos="2361"/>
              </w:tabs>
              <w:rPr>
                <w:rFonts w:ascii="Arial" w:hAnsi="Arial" w:cs="Arial"/>
                <w:sz w:val="20"/>
                <w:szCs w:val="20"/>
              </w:rPr>
            </w:pPr>
            <w:r>
              <w:rPr>
                <w:rFonts w:ascii="Arial" w:hAnsi="Arial" w:cs="Arial"/>
                <w:noProof/>
                <w:sz w:val="20"/>
                <w:szCs w:val="20"/>
              </w:rPr>
              <w:drawing>
                <wp:anchor distT="0" distB="0" distL="114300" distR="114300" simplePos="0" relativeHeight="251664384" behindDoc="0" locked="0" layoutInCell="1" allowOverlap="1" wp14:anchorId="3C24A5AB" wp14:editId="764A4366">
                  <wp:simplePos x="0" y="0"/>
                  <wp:positionH relativeFrom="column">
                    <wp:posOffset>1352550</wp:posOffset>
                  </wp:positionH>
                  <wp:positionV relativeFrom="paragraph">
                    <wp:posOffset>0</wp:posOffset>
                  </wp:positionV>
                  <wp:extent cx="171450" cy="171450"/>
                  <wp:effectExtent l="0" t="0" r="0" b="0"/>
                  <wp:wrapSquare wrapText="bothSides"/>
                  <wp:docPr id="7" name="Graphic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r w:rsidR="002F3741" w:rsidRPr="00A05E89">
              <w:rPr>
                <w:rFonts w:ascii="Arial" w:hAnsi="Arial" w:cs="Arial"/>
                <w:sz w:val="20"/>
                <w:szCs w:val="20"/>
              </w:rPr>
              <w:t xml:space="preserve">Qualitative </w:t>
            </w:r>
            <w:r w:rsidR="005D239C">
              <w:rPr>
                <w:rFonts w:ascii="Arial" w:hAnsi="Arial" w:cs="Arial"/>
                <w:sz w:val="20"/>
                <w:szCs w:val="20"/>
              </w:rPr>
              <w:tab/>
            </w:r>
          </w:p>
          <w:p w14:paraId="0EBB082E" w14:textId="4A2CC83F"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04118AB8" w14:textId="355C2DE5" w:rsidR="002F3741" w:rsidRPr="00A05E89" w:rsidRDefault="002F3741" w:rsidP="00F73A03">
            <w:pPr>
              <w:rPr>
                <w:rFonts w:ascii="Arial" w:hAnsi="Arial" w:cs="Arial"/>
                <w:sz w:val="20"/>
                <w:szCs w:val="20"/>
              </w:rPr>
            </w:pPr>
            <w:r w:rsidRPr="00A05E89">
              <w:rPr>
                <w:rFonts w:ascii="Arial" w:hAnsi="Arial" w:cs="Arial"/>
                <w:sz w:val="20"/>
                <w:szCs w:val="20"/>
              </w:rPr>
              <w:t>Mixed Methods</w:t>
            </w: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09BFB453" w:rsidR="00A5268F" w:rsidRDefault="005D239C" w:rsidP="00C15547">
            <w:r>
              <w:t>Can positive or negative based media sources shape an individual</w:t>
            </w:r>
            <w:r w:rsidR="00F8522D">
              <w:t>’s</w:t>
            </w:r>
            <w:r>
              <w:t xml:space="preserve"> perspective</w:t>
            </w:r>
            <w:r w:rsidR="005853DC">
              <w:t>?</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3FE9EAA6" w:rsidR="00992264" w:rsidRDefault="00992264" w:rsidP="00360E4B">
            <w:pPr>
              <w:rPr>
                <w:rFonts w:ascii="Arial" w:hAnsi="Arial" w:cs="Arial"/>
                <w:b/>
              </w:rPr>
            </w:pPr>
          </w:p>
          <w:p w14:paraId="0BDBA631" w14:textId="1340D03D" w:rsidR="00FD3BDD" w:rsidRDefault="0006100D" w:rsidP="00360E4B">
            <w:r w:rsidRPr="00AB52C7">
              <w:rPr>
                <w:bCs/>
              </w:rPr>
              <w:t>M</w:t>
            </w:r>
            <w:r w:rsidRPr="00AB52C7">
              <w:t>edia is used worldwide to inform and connect individuals through similar activities and beliefs</w:t>
            </w:r>
            <w:r w:rsidR="004A6B80" w:rsidRPr="00AB52C7">
              <w:t xml:space="preserve">. </w:t>
            </w:r>
            <w:r w:rsidR="004A6B80" w:rsidRPr="00AB52C7">
              <w:t>Szeidl and Szucs (2021)</w:t>
            </w:r>
            <w:r w:rsidR="004A6B80" w:rsidRPr="00AB52C7">
              <w:t xml:space="preserve"> discovered </w:t>
            </w:r>
            <w:r w:rsidR="00240994" w:rsidRPr="00AB52C7">
              <w:t xml:space="preserve">that the Hungarian government </w:t>
            </w:r>
            <w:r w:rsidR="005C7606" w:rsidRPr="00AB52C7">
              <w:t xml:space="preserve">used their connection to media outlets </w:t>
            </w:r>
            <w:r w:rsidR="001C1DCC" w:rsidRPr="00AB52C7">
              <w:t>and in return</w:t>
            </w:r>
            <w:r w:rsidR="004273EB" w:rsidRPr="00AB52C7">
              <w:t xml:space="preserve"> these specific media sources</w:t>
            </w:r>
            <w:r w:rsidR="001C1DCC" w:rsidRPr="00AB52C7">
              <w:t xml:space="preserve"> portrayed the government in a positive light. </w:t>
            </w:r>
            <w:r w:rsidR="0093006E" w:rsidRPr="00AB52C7">
              <w:t xml:space="preserve">This shows how media can be </w:t>
            </w:r>
            <w:r w:rsidR="00D56AF6" w:rsidRPr="00AB52C7">
              <w:t>manipulated</w:t>
            </w:r>
            <w:r w:rsidR="004F3D72" w:rsidRPr="00AB52C7">
              <w:t xml:space="preserve"> and </w:t>
            </w:r>
            <w:r w:rsidR="0093006E" w:rsidRPr="00AB52C7">
              <w:t>used to influence the public</w:t>
            </w:r>
            <w:r w:rsidR="004F3D72" w:rsidRPr="00AB52C7">
              <w:t>’s views</w:t>
            </w:r>
            <w:r w:rsidR="0093006E" w:rsidRPr="00AB52C7">
              <w:t xml:space="preserve"> </w:t>
            </w:r>
            <w:r w:rsidR="00D56AF6" w:rsidRPr="00AB52C7">
              <w:t>in a biased way</w:t>
            </w:r>
            <w:r w:rsidR="008D1883" w:rsidRPr="00AB52C7">
              <w:t xml:space="preserve"> </w:t>
            </w:r>
            <w:r w:rsidR="008D1883" w:rsidRPr="00AB52C7">
              <w:t>(Fagen, 1964)</w:t>
            </w:r>
            <w:r w:rsidR="00D56AF6" w:rsidRPr="00AB52C7">
              <w:t>.</w:t>
            </w:r>
            <w:r w:rsidR="00DC4B03" w:rsidRPr="00AB52C7">
              <w:t xml:space="preserve"> </w:t>
            </w:r>
            <w:r w:rsidRPr="00AB52C7">
              <w:t>Activism</w:t>
            </w:r>
            <w:r w:rsidR="00B649E2" w:rsidRPr="00AB52C7">
              <w:t xml:space="preserve"> </w:t>
            </w:r>
            <w:r w:rsidR="00F018DE" w:rsidRPr="00AB52C7">
              <w:t>can also be</w:t>
            </w:r>
            <w:r w:rsidR="00BF76E7" w:rsidRPr="00AB52C7">
              <w:t xml:space="preserve"> used in a similar way however it </w:t>
            </w:r>
            <w:r w:rsidR="00B226FB" w:rsidRPr="00AB52C7">
              <w:t>normally refers to a group of likeminded people who share the same belief</w:t>
            </w:r>
            <w:r w:rsidR="00F018DE" w:rsidRPr="00AB52C7">
              <w:t xml:space="preserve"> or goal</w:t>
            </w:r>
            <w:r w:rsidR="006F01DE">
              <w:t xml:space="preserve"> </w:t>
            </w:r>
            <w:r w:rsidR="006F01DE">
              <w:t>(McFarland, 2011)</w:t>
            </w:r>
            <w:r w:rsidR="00F018DE" w:rsidRPr="00AB52C7">
              <w:t xml:space="preserve">. </w:t>
            </w:r>
            <w:r w:rsidR="00FD3BDD" w:rsidRPr="00AB52C7">
              <w:rPr>
                <w:bCs/>
              </w:rPr>
              <w:t xml:space="preserve">Research into the </w:t>
            </w:r>
            <w:r w:rsidR="00FD3BDD" w:rsidRPr="00AB52C7">
              <w:rPr>
                <w:rStyle w:val="hgkelc"/>
                <w:bCs/>
              </w:rPr>
              <w:t>Lesbian Gay Bisexual Transgender Queer Intersex</w:t>
            </w:r>
            <w:r w:rsidR="00A55593" w:rsidRPr="00AB52C7">
              <w:rPr>
                <w:rStyle w:val="hgkelc"/>
                <w:bCs/>
              </w:rPr>
              <w:t xml:space="preserve"> (LGBTQI+) activists and activism regarding religion have had biased media sources depending upon the culture and country</w:t>
            </w:r>
            <w:r w:rsidR="00AB52C7" w:rsidRPr="00AB52C7">
              <w:rPr>
                <w:rStyle w:val="hgkelc"/>
                <w:bCs/>
              </w:rPr>
              <w:t xml:space="preserve"> </w:t>
            </w:r>
            <w:r w:rsidR="00AB52C7" w:rsidRPr="00AB52C7">
              <w:t>(Ayoub &amp; Garretson, 2016)</w:t>
            </w:r>
            <w:r w:rsidR="00A55593" w:rsidRPr="00AB52C7">
              <w:rPr>
                <w:rStyle w:val="hgkelc"/>
                <w:bCs/>
              </w:rPr>
              <w:t xml:space="preserve">. </w:t>
            </w:r>
            <w:r w:rsidR="00AB2E99" w:rsidRPr="00AB52C7">
              <w:rPr>
                <w:rStyle w:val="hgkelc"/>
                <w:bCs/>
              </w:rPr>
              <w:t>Norris and Inglehart (2009) did however conduct a project which delved into the influence of media on liberal attitudes</w:t>
            </w:r>
            <w:r w:rsidR="00AB2E99" w:rsidRPr="00AB52C7">
              <w:rPr>
                <w:rStyle w:val="hgkelc"/>
                <w:bCs/>
              </w:rPr>
              <w:t xml:space="preserve"> </w:t>
            </w:r>
            <w:r w:rsidR="002578C3" w:rsidRPr="00AB52C7">
              <w:rPr>
                <w:rStyle w:val="hgkelc"/>
                <w:bCs/>
              </w:rPr>
              <w:t>which found</w:t>
            </w:r>
            <w:r w:rsidR="00024FEF" w:rsidRPr="00AB52C7">
              <w:rPr>
                <w:rStyle w:val="hgkelc"/>
                <w:bCs/>
              </w:rPr>
              <w:t xml:space="preserve"> a potential correlation in younger cohorts and acceptance compared to older generations. </w:t>
            </w:r>
            <w:r w:rsidR="008E1FC3" w:rsidRPr="00AB52C7">
              <w:rPr>
                <w:rStyle w:val="hgkelc"/>
                <w:bCs/>
              </w:rPr>
              <w:t>The</w:t>
            </w:r>
            <w:r w:rsidR="00024FEF" w:rsidRPr="00AB52C7">
              <w:rPr>
                <w:rStyle w:val="hgkelc"/>
                <w:bCs/>
              </w:rPr>
              <w:t xml:space="preserve"> beginning of acceptance in the LGBTQI+ community has initiated more representation throughout all media sources such as films, social media and over time laws have been changed in their favour</w:t>
            </w:r>
            <w:r w:rsidR="00272AF1" w:rsidRPr="00AB52C7">
              <w:rPr>
                <w:rStyle w:val="hgkelc"/>
                <w:bCs/>
              </w:rPr>
              <w:t xml:space="preserve"> </w:t>
            </w:r>
            <w:r w:rsidR="00272AF1" w:rsidRPr="00AB52C7">
              <w:t>(Coon, 2018)</w:t>
            </w:r>
            <w:r w:rsidR="00024FEF" w:rsidRPr="00AB52C7">
              <w:rPr>
                <w:rStyle w:val="hgkelc"/>
                <w:bCs/>
              </w:rPr>
              <w:t xml:space="preserve">. </w:t>
            </w:r>
            <w:r w:rsidR="00B17968" w:rsidRPr="00AB52C7">
              <w:rPr>
                <w:rStyle w:val="hgkelc"/>
                <w:bCs/>
              </w:rPr>
              <w:t>C</w:t>
            </w:r>
            <w:r w:rsidR="00024FEF" w:rsidRPr="00AB52C7">
              <w:rPr>
                <w:rStyle w:val="hgkelc"/>
                <w:bCs/>
              </w:rPr>
              <w:t xml:space="preserve">ountries </w:t>
            </w:r>
            <w:r w:rsidR="00B31DF8" w:rsidRPr="00AB52C7">
              <w:rPr>
                <w:rStyle w:val="hgkelc"/>
                <w:bCs/>
              </w:rPr>
              <w:t>under Sharia Law</w:t>
            </w:r>
            <w:r w:rsidR="00024FEF" w:rsidRPr="00AB52C7">
              <w:rPr>
                <w:rStyle w:val="hgkelc"/>
                <w:bCs/>
              </w:rPr>
              <w:t xml:space="preserve"> </w:t>
            </w:r>
            <w:r w:rsidR="00445B75" w:rsidRPr="00AB52C7">
              <w:rPr>
                <w:rStyle w:val="hgkelc"/>
                <w:bCs/>
              </w:rPr>
              <w:t xml:space="preserve">such as Saudia Arabia, </w:t>
            </w:r>
            <w:r w:rsidR="007E5B6F" w:rsidRPr="00AB52C7">
              <w:rPr>
                <w:rStyle w:val="hgkelc"/>
                <w:bCs/>
              </w:rPr>
              <w:t xml:space="preserve">still </w:t>
            </w:r>
            <w:r w:rsidR="00011FB2" w:rsidRPr="00AB52C7">
              <w:rPr>
                <w:rStyle w:val="hgkelc"/>
                <w:bCs/>
              </w:rPr>
              <w:t xml:space="preserve">have </w:t>
            </w:r>
            <w:r w:rsidR="00A75B69" w:rsidRPr="00AB52C7">
              <w:rPr>
                <w:rStyle w:val="hgkelc"/>
                <w:bCs/>
              </w:rPr>
              <w:t>regulations</w:t>
            </w:r>
            <w:r w:rsidR="00011FB2" w:rsidRPr="00AB52C7">
              <w:rPr>
                <w:rStyle w:val="hgkelc"/>
                <w:bCs/>
              </w:rPr>
              <w:t xml:space="preserve"> </w:t>
            </w:r>
            <w:r w:rsidR="00024FEF" w:rsidRPr="00AB52C7">
              <w:rPr>
                <w:rStyle w:val="hgkelc"/>
                <w:bCs/>
              </w:rPr>
              <w:t>where</w:t>
            </w:r>
            <w:r w:rsidR="00A75B69" w:rsidRPr="00AB52C7">
              <w:rPr>
                <w:rStyle w:val="hgkelc"/>
                <w:bCs/>
              </w:rPr>
              <w:t xml:space="preserve"> </w:t>
            </w:r>
            <w:r w:rsidR="004B0949" w:rsidRPr="00AB52C7">
              <w:rPr>
                <w:rStyle w:val="hgkelc"/>
                <w:bCs/>
              </w:rPr>
              <w:t>the maximum penalty is</w:t>
            </w:r>
            <w:r w:rsidR="00024FEF" w:rsidRPr="00AB52C7">
              <w:rPr>
                <w:rStyle w:val="hgkelc"/>
                <w:bCs/>
              </w:rPr>
              <w:t xml:space="preserve"> death to be gay</w:t>
            </w:r>
            <w:r w:rsidR="00E16BF2" w:rsidRPr="00AB52C7">
              <w:rPr>
                <w:rStyle w:val="hgkelc"/>
                <w:bCs/>
              </w:rPr>
              <w:t xml:space="preserve"> </w:t>
            </w:r>
            <w:r w:rsidR="00E16BF2" w:rsidRPr="00AB52C7">
              <w:t>(Human Dignity Trust, 2018)</w:t>
            </w:r>
            <w:r w:rsidR="00024FEF" w:rsidRPr="00AB52C7">
              <w:rPr>
                <w:rStyle w:val="hgkelc"/>
                <w:bCs/>
              </w:rPr>
              <w:t xml:space="preserve">. </w:t>
            </w:r>
            <w:r w:rsidR="00BE0A04" w:rsidRPr="00AB52C7">
              <w:rPr>
                <w:rStyle w:val="hgkelc"/>
                <w:bCs/>
              </w:rPr>
              <w:t>Nevertheless</w:t>
            </w:r>
            <w:r w:rsidR="00525D96" w:rsidRPr="00AB52C7">
              <w:rPr>
                <w:rStyle w:val="hgkelc"/>
                <w:bCs/>
              </w:rPr>
              <w:t>,</w:t>
            </w:r>
            <w:r w:rsidR="00024FEF" w:rsidRPr="00AB52C7">
              <w:rPr>
                <w:rStyle w:val="hgkelc"/>
                <w:bCs/>
              </w:rPr>
              <w:t xml:space="preserve"> </w:t>
            </w:r>
            <w:r w:rsidR="00D50AA8" w:rsidRPr="00AB52C7">
              <w:rPr>
                <w:rStyle w:val="hgkelc"/>
                <w:bCs/>
              </w:rPr>
              <w:t>some religions have evolved</w:t>
            </w:r>
            <w:r w:rsidR="00D35458" w:rsidRPr="00AB52C7">
              <w:rPr>
                <w:rStyle w:val="hgkelc"/>
                <w:bCs/>
              </w:rPr>
              <w:t xml:space="preserve"> </w:t>
            </w:r>
            <w:r w:rsidR="00024FEF" w:rsidRPr="00AB52C7">
              <w:rPr>
                <w:rStyle w:val="hgkelc"/>
                <w:bCs/>
              </w:rPr>
              <w:t xml:space="preserve">for example </w:t>
            </w:r>
            <w:r w:rsidRPr="00AB52C7">
              <w:rPr>
                <w:rStyle w:val="hgkelc"/>
                <w:bCs/>
              </w:rPr>
              <w:t>the Church of Scotland has allowed deacons to conduct same-sex marriages</w:t>
            </w:r>
            <w:r w:rsidR="006B793C" w:rsidRPr="00AB52C7">
              <w:rPr>
                <w:rStyle w:val="hgkelc"/>
                <w:bCs/>
              </w:rPr>
              <w:t>.</w:t>
            </w:r>
            <w:r w:rsidR="00BE0A04" w:rsidRPr="00AB52C7">
              <w:rPr>
                <w:rStyle w:val="hgkelc"/>
                <w:bCs/>
              </w:rPr>
              <w:t xml:space="preserve"> However</w:t>
            </w:r>
            <w:r w:rsidR="00525D96" w:rsidRPr="00AB52C7">
              <w:rPr>
                <w:rStyle w:val="hgkelc"/>
                <w:bCs/>
              </w:rPr>
              <w:t>,</w:t>
            </w:r>
            <w:r w:rsidR="006B793C" w:rsidRPr="00AB52C7">
              <w:rPr>
                <w:rStyle w:val="hgkelc"/>
                <w:bCs/>
              </w:rPr>
              <w:t xml:space="preserve"> </w:t>
            </w:r>
            <w:proofErr w:type="spellStart"/>
            <w:r w:rsidR="0089508E" w:rsidRPr="00AB52C7">
              <w:t>Rothblum</w:t>
            </w:r>
            <w:proofErr w:type="spellEnd"/>
            <w:r w:rsidR="0089508E" w:rsidRPr="00AB52C7">
              <w:t xml:space="preserve"> </w:t>
            </w:r>
            <w:r w:rsidR="0089508E" w:rsidRPr="00AB52C7">
              <w:t>(</w:t>
            </w:r>
            <w:r w:rsidR="0089508E" w:rsidRPr="00AB52C7">
              <w:t>2005)</w:t>
            </w:r>
            <w:r w:rsidR="0053295A" w:rsidRPr="00AB52C7">
              <w:t xml:space="preserve"> found that alongside </w:t>
            </w:r>
            <w:r w:rsidR="003816A0" w:rsidRPr="00AB52C7">
              <w:t xml:space="preserve">the </w:t>
            </w:r>
            <w:r w:rsidR="00AF6A6A" w:rsidRPr="00AB52C7">
              <w:t>public</w:t>
            </w:r>
            <w:r w:rsidR="00BE6514" w:rsidRPr="00AB52C7">
              <w:t xml:space="preserve">, individuals who identified as gay or lesbian also displayed having mixed views on </w:t>
            </w:r>
            <w:r w:rsidR="00AF6A6A" w:rsidRPr="00AB52C7">
              <w:t>the topic.</w:t>
            </w:r>
            <w:r w:rsidR="00BE6514" w:rsidRPr="00AB52C7">
              <w:t xml:space="preserve"> </w:t>
            </w:r>
          </w:p>
          <w:p w14:paraId="7FA645B2" w14:textId="77777777" w:rsidR="00E7347E" w:rsidRDefault="00E7347E" w:rsidP="00360E4B"/>
          <w:p w14:paraId="50522E31" w14:textId="4201CB80" w:rsidR="00E7347E" w:rsidRDefault="00E7347E" w:rsidP="00360E4B">
            <w:r>
              <w:t>Reference List:</w:t>
            </w:r>
          </w:p>
          <w:p w14:paraId="493DE8DA" w14:textId="77777777" w:rsidR="00837C46" w:rsidRDefault="00837C46" w:rsidP="00837C46">
            <w:pPr>
              <w:pStyle w:val="NormalWeb"/>
              <w:ind w:left="567" w:hanging="567"/>
            </w:pPr>
            <w:r>
              <w:t xml:space="preserve">Ayoub, P. M., &amp; Garretson, J. (2016). Getting the message out: Media context and global changes in attitudes toward homosexuality. </w:t>
            </w:r>
            <w:r>
              <w:rPr>
                <w:i/>
                <w:iCs/>
              </w:rPr>
              <w:t>Comparative Political Studies</w:t>
            </w:r>
            <w:r>
              <w:t xml:space="preserve">, </w:t>
            </w:r>
            <w:r>
              <w:rPr>
                <w:i/>
                <w:iCs/>
              </w:rPr>
              <w:t>50</w:t>
            </w:r>
            <w:r>
              <w:t xml:space="preserve">(8), 1055–1085. https://doi.org/10.1177/0010414016666836 </w:t>
            </w:r>
          </w:p>
          <w:p w14:paraId="671AD87F" w14:textId="77777777" w:rsidR="00837C46" w:rsidRDefault="00837C46" w:rsidP="00837C46">
            <w:pPr>
              <w:pStyle w:val="NormalWeb"/>
              <w:ind w:left="567" w:hanging="567"/>
            </w:pPr>
            <w:r>
              <w:t>Berg, J. (2022, March 16). Students reject anti-</w:t>
            </w:r>
            <w:proofErr w:type="spellStart"/>
            <w:r>
              <w:t>Lgbt</w:t>
            </w:r>
            <w:proofErr w:type="spellEnd"/>
            <w:r>
              <w:t xml:space="preserve"> speakers: Becker school board heard from the "other side" of equity struggle. </w:t>
            </w:r>
            <w:r>
              <w:rPr>
                <w:i/>
                <w:iCs/>
              </w:rPr>
              <w:t>Star Tribune</w:t>
            </w:r>
            <w:r>
              <w:t xml:space="preserve">. </w:t>
            </w:r>
          </w:p>
          <w:p w14:paraId="0BF07028" w14:textId="77777777" w:rsidR="00837C46" w:rsidRDefault="00837C46" w:rsidP="00837C46">
            <w:pPr>
              <w:pStyle w:val="NormalWeb"/>
              <w:ind w:left="567" w:hanging="567"/>
            </w:pPr>
            <w:proofErr w:type="spellStart"/>
            <w:r>
              <w:t>Carratalá</w:t>
            </w:r>
            <w:proofErr w:type="spellEnd"/>
            <w:r>
              <w:t xml:space="preserve">, A. (2017). The Voices of Journalism and the LGBTQI movement in response to violence in same-sex couples: Towards the construction of a social problem? </w:t>
            </w:r>
            <w:r>
              <w:rPr>
                <w:i/>
                <w:iCs/>
              </w:rPr>
              <w:t>Catalan Journal of Communication &amp; Cultural Studies</w:t>
            </w:r>
            <w:r>
              <w:t xml:space="preserve">, </w:t>
            </w:r>
            <w:r>
              <w:rPr>
                <w:i/>
                <w:iCs/>
              </w:rPr>
              <w:t>9</w:t>
            </w:r>
            <w:r>
              <w:t xml:space="preserve">(2), 201–215. https://doi.org/10.1386/cjcs.9.2.201_1 </w:t>
            </w:r>
          </w:p>
          <w:p w14:paraId="220B7737" w14:textId="77777777" w:rsidR="00837C46" w:rsidRDefault="00837C46" w:rsidP="00837C46">
            <w:pPr>
              <w:pStyle w:val="NormalWeb"/>
              <w:ind w:left="567" w:hanging="567"/>
            </w:pPr>
            <w:r>
              <w:t xml:space="preserve">The Church </w:t>
            </w:r>
            <w:proofErr w:type="gramStart"/>
            <w:r>
              <w:t>Of</w:t>
            </w:r>
            <w:proofErr w:type="gramEnd"/>
            <w:r>
              <w:t xml:space="preserve"> Scotland, T. C. O. S. (2022, May). </w:t>
            </w:r>
            <w:r>
              <w:rPr>
                <w:i/>
                <w:iCs/>
              </w:rPr>
              <w:t>Same-sex marriage</w:t>
            </w:r>
            <w:r>
              <w:t xml:space="preserve">. The Church of Scotland. Retrieved June 12, 2022, from https://www.churchofscotland.org.uk/about-us/our-views/same-sex-marriage </w:t>
            </w:r>
          </w:p>
          <w:p w14:paraId="2CE933CD" w14:textId="77777777" w:rsidR="00837C46" w:rsidRDefault="00837C46" w:rsidP="00837C46">
            <w:pPr>
              <w:pStyle w:val="NormalWeb"/>
              <w:ind w:left="567" w:hanging="567"/>
            </w:pPr>
            <w:r>
              <w:t xml:space="preserve">Coon, D. R. (2018). Turning the page. </w:t>
            </w:r>
            <w:r>
              <w:rPr>
                <w:i/>
                <w:iCs/>
              </w:rPr>
              <w:t>Turning the Page: Storytelling as Activism in Queer Film and Media</w:t>
            </w:r>
            <w:r>
              <w:t xml:space="preserve">. https://doi.org/10.2307/j.ctv18sqxsg </w:t>
            </w:r>
          </w:p>
          <w:p w14:paraId="09750981" w14:textId="77777777" w:rsidR="00837C46" w:rsidRDefault="00837C46" w:rsidP="00837C46">
            <w:pPr>
              <w:pStyle w:val="NormalWeb"/>
              <w:ind w:left="567" w:hanging="567"/>
            </w:pPr>
            <w:r>
              <w:t xml:space="preserve">Ellis, J. R. (2021). The </w:t>
            </w:r>
            <w:proofErr w:type="gramStart"/>
            <w:r>
              <w:t>Social Media</w:t>
            </w:r>
            <w:proofErr w:type="gramEnd"/>
            <w:r>
              <w:t xml:space="preserve"> Test. </w:t>
            </w:r>
            <w:r>
              <w:rPr>
                <w:i/>
                <w:iCs/>
              </w:rPr>
              <w:t>Crime and Justice in Digital Society</w:t>
            </w:r>
            <w:r>
              <w:t xml:space="preserve">, 1–21. https://doi.org/10.1007/978-3-030-73519-7_1 </w:t>
            </w:r>
          </w:p>
          <w:p w14:paraId="69FA5F05" w14:textId="77777777" w:rsidR="00837C46" w:rsidRDefault="00837C46" w:rsidP="00837C46">
            <w:pPr>
              <w:pStyle w:val="NormalWeb"/>
              <w:ind w:left="567" w:hanging="567"/>
            </w:pPr>
            <w:r>
              <w:t xml:space="preserve">Fagen, R. R. (1964). Mass media growth: A comparison of Communist and other countries. </w:t>
            </w:r>
            <w:r>
              <w:rPr>
                <w:i/>
                <w:iCs/>
              </w:rPr>
              <w:t>Journalism Quarterly</w:t>
            </w:r>
            <w:r>
              <w:t xml:space="preserve">, </w:t>
            </w:r>
            <w:r>
              <w:rPr>
                <w:i/>
                <w:iCs/>
              </w:rPr>
              <w:t>41</w:t>
            </w:r>
            <w:r>
              <w:t xml:space="preserve">(4), 563–572. https://doi.org/10.1177/107769906404100410 </w:t>
            </w:r>
          </w:p>
          <w:p w14:paraId="451C35C2" w14:textId="77777777" w:rsidR="00837C46" w:rsidRDefault="00837C46" w:rsidP="00837C46">
            <w:pPr>
              <w:pStyle w:val="NormalWeb"/>
              <w:ind w:left="567" w:hanging="567"/>
            </w:pPr>
            <w:r>
              <w:lastRenderedPageBreak/>
              <w:t xml:space="preserve">Hallas, R. (2009). </w:t>
            </w:r>
            <w:r>
              <w:rPr>
                <w:i/>
                <w:iCs/>
              </w:rPr>
              <w:t>Reframing Bodies: Aids, Bearing Witness, and the queer moving image</w:t>
            </w:r>
            <w:r>
              <w:t xml:space="preserve">. Duke University Press. </w:t>
            </w:r>
          </w:p>
          <w:p w14:paraId="66471F60" w14:textId="77777777" w:rsidR="00837C46" w:rsidRDefault="00837C46" w:rsidP="00837C46">
            <w:pPr>
              <w:pStyle w:val="NormalWeb"/>
              <w:ind w:left="567" w:hanging="567"/>
            </w:pPr>
            <w:r>
              <w:t xml:space="preserve">Huber, S., &amp; Huber, O. W. (2012). The centrality of religiosity scale (CRS). </w:t>
            </w:r>
            <w:r>
              <w:rPr>
                <w:i/>
                <w:iCs/>
              </w:rPr>
              <w:t>Religions</w:t>
            </w:r>
            <w:r>
              <w:t xml:space="preserve">, </w:t>
            </w:r>
            <w:r>
              <w:rPr>
                <w:i/>
                <w:iCs/>
              </w:rPr>
              <w:t>3</w:t>
            </w:r>
            <w:r>
              <w:t xml:space="preserve">(3), 710–724. https://doi.org/10.3390/rel3030710 </w:t>
            </w:r>
          </w:p>
          <w:p w14:paraId="518BA627" w14:textId="77777777" w:rsidR="00837C46" w:rsidRDefault="00837C46" w:rsidP="00837C46">
            <w:pPr>
              <w:pStyle w:val="NormalWeb"/>
              <w:ind w:left="567" w:hanging="567"/>
            </w:pPr>
            <w:r>
              <w:t xml:space="preserve">Human Dignity Trust, H. D. T. (2018, March). </w:t>
            </w:r>
            <w:r>
              <w:rPr>
                <w:i/>
                <w:iCs/>
              </w:rPr>
              <w:t>Saudi Arabia</w:t>
            </w:r>
            <w:r>
              <w:t xml:space="preserve">. Human Dignity Trust. Retrieved June 11, 2022, from https://www.humandignitytrust.org/country-profile/saudi-arabia/ </w:t>
            </w:r>
          </w:p>
          <w:p w14:paraId="7571FECE" w14:textId="77777777" w:rsidR="00837C46" w:rsidRDefault="00837C46" w:rsidP="00837C46">
            <w:pPr>
              <w:pStyle w:val="NormalWeb"/>
              <w:ind w:left="567" w:hanging="567"/>
            </w:pPr>
            <w:r>
              <w:t xml:space="preserve">Jones, K. N., &amp; Brewster, M. E. (2017). From awareness to action: Examining predictors of lesbian, gay, bisexual, and transgender (LGBT) activism for heterosexual people. </w:t>
            </w:r>
            <w:r>
              <w:rPr>
                <w:i/>
                <w:iCs/>
              </w:rPr>
              <w:t>American Journal of Orthopsychiatry</w:t>
            </w:r>
            <w:r>
              <w:t xml:space="preserve">, </w:t>
            </w:r>
            <w:r>
              <w:rPr>
                <w:i/>
                <w:iCs/>
              </w:rPr>
              <w:t>87</w:t>
            </w:r>
            <w:r>
              <w:t xml:space="preserve">(6), 680–689. https://doi.org/10.1037/ort0000219 </w:t>
            </w:r>
          </w:p>
          <w:p w14:paraId="31492078" w14:textId="77777777" w:rsidR="00837C46" w:rsidRDefault="00837C46" w:rsidP="00837C46">
            <w:pPr>
              <w:pStyle w:val="NormalWeb"/>
              <w:ind w:left="567" w:hanging="567"/>
            </w:pPr>
            <w:r>
              <w:t xml:space="preserve">McFarland, K. (2011). Media influence and frame diversity in the debate over same-sex marriage. </w:t>
            </w:r>
            <w:r>
              <w:rPr>
                <w:i/>
                <w:iCs/>
              </w:rPr>
              <w:t>The Communication Review</w:t>
            </w:r>
            <w:r>
              <w:t xml:space="preserve">, </w:t>
            </w:r>
            <w:r>
              <w:rPr>
                <w:i/>
                <w:iCs/>
              </w:rPr>
              <w:t>14</w:t>
            </w:r>
            <w:r>
              <w:t xml:space="preserve">(4), 255–278. https://doi.org/10.1080/10714421.2011.624002 </w:t>
            </w:r>
          </w:p>
          <w:p w14:paraId="5D6F6A58" w14:textId="77777777" w:rsidR="00837C46" w:rsidRDefault="00837C46" w:rsidP="00837C46">
            <w:pPr>
              <w:pStyle w:val="NormalWeb"/>
              <w:ind w:left="567" w:hanging="567"/>
            </w:pPr>
            <w:proofErr w:type="spellStart"/>
            <w:r>
              <w:t>Rothblum</w:t>
            </w:r>
            <w:proofErr w:type="spellEnd"/>
            <w:r>
              <w:t xml:space="preserve">, E. D. (2005). Same-sex marriage and legalized relationships. </w:t>
            </w:r>
            <w:r>
              <w:rPr>
                <w:i/>
                <w:iCs/>
              </w:rPr>
              <w:t>Journal of GLBT Family Studies</w:t>
            </w:r>
            <w:r>
              <w:t xml:space="preserve">, </w:t>
            </w:r>
            <w:r>
              <w:rPr>
                <w:i/>
                <w:iCs/>
              </w:rPr>
              <w:t>1</w:t>
            </w:r>
            <w:r>
              <w:t xml:space="preserve">(1), 21–31. https://doi.org/10.1300/j461v01n01_03 </w:t>
            </w: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1B5AB298" w14:textId="5541D02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8DB4980" w14:textId="6F9F8B77" w:rsidR="00275D93" w:rsidRDefault="00275D93" w:rsidP="00B24417">
            <w:pPr>
              <w:rPr>
                <w:rFonts w:ascii="Arial" w:hAnsi="Arial" w:cs="Arial"/>
                <w:b/>
                <w:sz w:val="20"/>
              </w:rPr>
            </w:pPr>
          </w:p>
          <w:p w14:paraId="56B63782" w14:textId="7A55020F" w:rsidR="00275D93" w:rsidRDefault="00275D93" w:rsidP="00B24417">
            <w:pPr>
              <w:rPr>
                <w:rFonts w:ascii="Arial" w:hAnsi="Arial" w:cs="Arial"/>
                <w:b/>
                <w:sz w:val="20"/>
              </w:rPr>
            </w:pPr>
            <w:r>
              <w:rPr>
                <w:rFonts w:ascii="Arial" w:hAnsi="Arial" w:cs="Arial"/>
                <w:b/>
                <w:sz w:val="20"/>
              </w:rPr>
              <w:t>Research questions:</w:t>
            </w:r>
          </w:p>
          <w:p w14:paraId="2A3CF0F6" w14:textId="6A7F129C" w:rsidR="00275D93" w:rsidRDefault="00275D93" w:rsidP="00B24417">
            <w:pPr>
              <w:rPr>
                <w:rFonts w:ascii="Arial" w:hAnsi="Arial" w:cs="Arial"/>
                <w:bCs/>
                <w:sz w:val="20"/>
              </w:rPr>
            </w:pPr>
          </w:p>
          <w:p w14:paraId="01B13F3E" w14:textId="6190F181" w:rsidR="00776AF9" w:rsidRDefault="00776AF9" w:rsidP="00732F37">
            <w:pPr>
              <w:pStyle w:val="ListParagraph"/>
              <w:numPr>
                <w:ilvl w:val="0"/>
                <w:numId w:val="5"/>
              </w:numPr>
              <w:rPr>
                <w:rFonts w:ascii="Arial" w:hAnsi="Arial" w:cs="Arial"/>
                <w:bCs/>
                <w:sz w:val="20"/>
              </w:rPr>
            </w:pPr>
            <w:r>
              <w:rPr>
                <w:rFonts w:ascii="Arial" w:hAnsi="Arial" w:cs="Arial"/>
                <w:bCs/>
                <w:sz w:val="20"/>
              </w:rPr>
              <w:t>Can an individual who would be shown both positive and negative media on the same subject maintain the same answers for each questionnaire?</w:t>
            </w:r>
          </w:p>
          <w:p w14:paraId="7F1C002A" w14:textId="02D00735" w:rsidR="00732F37" w:rsidRDefault="00732F37" w:rsidP="00732F37">
            <w:pPr>
              <w:pStyle w:val="ListParagraph"/>
              <w:numPr>
                <w:ilvl w:val="0"/>
                <w:numId w:val="5"/>
              </w:numPr>
              <w:rPr>
                <w:rFonts w:ascii="Arial" w:hAnsi="Arial" w:cs="Arial"/>
                <w:bCs/>
                <w:sz w:val="20"/>
              </w:rPr>
            </w:pPr>
            <w:r>
              <w:rPr>
                <w:rFonts w:ascii="Arial" w:hAnsi="Arial" w:cs="Arial"/>
                <w:bCs/>
                <w:sz w:val="20"/>
              </w:rPr>
              <w:t>Can an individual’s perspective change when presented with negative and/or positive media?</w:t>
            </w:r>
          </w:p>
          <w:p w14:paraId="440C6DC3" w14:textId="397619FE" w:rsidR="00732F37" w:rsidRPr="00776AF9" w:rsidRDefault="00732F37" w:rsidP="00776AF9">
            <w:pPr>
              <w:pStyle w:val="ListParagraph"/>
              <w:rPr>
                <w:rFonts w:ascii="Arial" w:hAnsi="Arial" w:cs="Arial"/>
                <w:bCs/>
                <w:sz w:val="20"/>
              </w:rPr>
            </w:pPr>
          </w:p>
          <w:p w14:paraId="018244B1" w14:textId="6C1AD7B9" w:rsidR="00B24417" w:rsidRPr="00776AF9" w:rsidRDefault="00776AF9" w:rsidP="00B24417">
            <w:pPr>
              <w:rPr>
                <w:rFonts w:ascii="Arial" w:hAnsi="Arial" w:cs="Arial"/>
                <w:bCs/>
                <w:sz w:val="20"/>
              </w:rPr>
            </w:pPr>
            <w:r w:rsidRPr="00776AF9">
              <w:rPr>
                <w:rFonts w:ascii="Arial" w:hAnsi="Arial" w:cs="Arial"/>
                <w:bCs/>
                <w:sz w:val="20"/>
              </w:rPr>
              <w:t xml:space="preserve">It is hypothesised that individual’s </w:t>
            </w:r>
            <w:r>
              <w:rPr>
                <w:rFonts w:ascii="Arial" w:hAnsi="Arial" w:cs="Arial"/>
                <w:bCs/>
                <w:sz w:val="20"/>
              </w:rPr>
              <w:t xml:space="preserve">who have strong beliefs will </w:t>
            </w:r>
            <w:r w:rsidR="005E3C80">
              <w:rPr>
                <w:rFonts w:ascii="Arial" w:hAnsi="Arial" w:cs="Arial"/>
                <w:bCs/>
                <w:sz w:val="20"/>
              </w:rPr>
              <w:t xml:space="preserve">be biased in answering some of the questions. However, it is also hypothesised that younger the individual the more liberal and accepting the answer will be. </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6E4FF77C" w:rsidR="00E00F78" w:rsidRDefault="005E3C80" w:rsidP="00360E4B">
            <w:pPr>
              <w:rPr>
                <w:rFonts w:ascii="Arial" w:hAnsi="Arial" w:cs="Arial"/>
                <w:b/>
              </w:rPr>
            </w:pPr>
            <w:r>
              <w:rPr>
                <w:rFonts w:ascii="Arial" w:hAnsi="Arial" w:cs="Arial"/>
                <w:b/>
              </w:rPr>
              <w:t xml:space="preserve">Participants: </w:t>
            </w:r>
          </w:p>
          <w:p w14:paraId="161A1B27" w14:textId="1658C540" w:rsidR="00025AE9" w:rsidRPr="003A3EC6" w:rsidRDefault="00025AE9" w:rsidP="00360E4B">
            <w:pPr>
              <w:rPr>
                <w:bCs/>
              </w:rPr>
            </w:pPr>
            <w:r w:rsidRPr="003A3EC6">
              <w:rPr>
                <w:bCs/>
              </w:rPr>
              <w:t xml:space="preserve">Undergraduate </w:t>
            </w:r>
            <w:r w:rsidR="00A51686" w:rsidRPr="003A3EC6">
              <w:rPr>
                <w:bCs/>
              </w:rPr>
              <w:t xml:space="preserve">students over the age of </w:t>
            </w:r>
            <w:r w:rsidR="00F223C0" w:rsidRPr="003A3EC6">
              <w:rPr>
                <w:bCs/>
              </w:rPr>
              <w:t xml:space="preserve">18 studying both Psychology and Counselling related courses at UWTSD. </w:t>
            </w:r>
            <w:r w:rsidR="00344A1A" w:rsidRPr="003A3EC6">
              <w:rPr>
                <w:bCs/>
              </w:rPr>
              <w:t xml:space="preserve">The </w:t>
            </w:r>
            <w:r w:rsidR="00E63597" w:rsidRPr="003A3EC6">
              <w:rPr>
                <w:bCs/>
              </w:rPr>
              <w:t>individuals</w:t>
            </w:r>
            <w:r w:rsidR="00344A1A" w:rsidRPr="003A3EC6">
              <w:rPr>
                <w:bCs/>
              </w:rPr>
              <w:t xml:space="preserve"> would sign up using the </w:t>
            </w:r>
            <w:r w:rsidR="006C5CEF" w:rsidRPr="003A3EC6">
              <w:rPr>
                <w:bCs/>
              </w:rPr>
              <w:t xml:space="preserve">Experimental Management System (EMS) in exchange for course credit. </w:t>
            </w:r>
            <w:r w:rsidR="00E63597" w:rsidRPr="003A3EC6">
              <w:rPr>
                <w:bCs/>
              </w:rPr>
              <w:t>Th</w:t>
            </w:r>
            <w:r w:rsidR="00B6541E" w:rsidRPr="003A3EC6">
              <w:rPr>
                <w:bCs/>
              </w:rPr>
              <w:t xml:space="preserve">e participants will be </w:t>
            </w:r>
            <w:r w:rsidR="00DF35ED" w:rsidRPr="003A3EC6">
              <w:rPr>
                <w:bCs/>
              </w:rPr>
              <w:t>put into</w:t>
            </w:r>
            <w:r w:rsidR="006D2CA1" w:rsidRPr="003A3EC6">
              <w:rPr>
                <w:bCs/>
              </w:rPr>
              <w:t xml:space="preserve"> groups depending on the</w:t>
            </w:r>
            <w:r w:rsidR="00DF35ED" w:rsidRPr="003A3EC6">
              <w:rPr>
                <w:bCs/>
              </w:rPr>
              <w:t xml:space="preserve">ir score on the </w:t>
            </w:r>
            <w:r w:rsidR="00D55E6B" w:rsidRPr="003A3EC6">
              <w:t>Centrality of Religiosity Scale (CRS10; Huber and Huber 2012)</w:t>
            </w:r>
            <w:r w:rsidR="00D55E6B" w:rsidRPr="003A3EC6">
              <w:t xml:space="preserve"> </w:t>
            </w:r>
            <w:r w:rsidR="00DF35ED" w:rsidRPr="003A3EC6">
              <w:rPr>
                <w:bCs/>
              </w:rPr>
              <w:t>and then</w:t>
            </w:r>
            <w:r w:rsidR="0077341D" w:rsidRPr="003A3EC6">
              <w:rPr>
                <w:bCs/>
              </w:rPr>
              <w:t xml:space="preserve"> interviewed on their views on same-sex marriage. The study will require </w:t>
            </w:r>
            <w:r w:rsidR="00DE0CFC" w:rsidRPr="003A3EC6">
              <w:rPr>
                <w:bCs/>
              </w:rPr>
              <w:t xml:space="preserve">6 </w:t>
            </w:r>
            <w:r w:rsidR="00DD5247" w:rsidRPr="003A3EC6">
              <w:rPr>
                <w:bCs/>
              </w:rPr>
              <w:t xml:space="preserve">participants </w:t>
            </w:r>
            <w:r w:rsidR="00EF2E9A" w:rsidRPr="003A3EC6">
              <w:rPr>
                <w:bCs/>
              </w:rPr>
              <w:t xml:space="preserve">as it is </w:t>
            </w:r>
            <w:r w:rsidR="004E417F" w:rsidRPr="003A3EC6">
              <w:rPr>
                <w:bCs/>
              </w:rPr>
              <w:t xml:space="preserve">one-to-one </w:t>
            </w:r>
            <w:r w:rsidR="003A3EC6" w:rsidRPr="003A3EC6">
              <w:rPr>
                <w:bCs/>
              </w:rPr>
              <w:t>interview-based</w:t>
            </w:r>
            <w:r w:rsidR="004F136C" w:rsidRPr="003A3EC6">
              <w:rPr>
                <w:bCs/>
              </w:rPr>
              <w:t xml:space="preserve"> study.</w:t>
            </w:r>
          </w:p>
          <w:p w14:paraId="0CD637AD" w14:textId="1122A36B" w:rsidR="005E3C80" w:rsidRDefault="005E3C80" w:rsidP="00360E4B">
            <w:pPr>
              <w:rPr>
                <w:rFonts w:ascii="Arial" w:hAnsi="Arial" w:cs="Arial"/>
                <w:b/>
              </w:rPr>
            </w:pPr>
          </w:p>
          <w:p w14:paraId="78E402DB" w14:textId="3BEFEC92" w:rsidR="005E3C80" w:rsidRDefault="005E3C80" w:rsidP="00360E4B">
            <w:pPr>
              <w:rPr>
                <w:rFonts w:ascii="Arial" w:hAnsi="Arial" w:cs="Arial"/>
                <w:b/>
              </w:rPr>
            </w:pPr>
            <w:r>
              <w:rPr>
                <w:rFonts w:ascii="Arial" w:hAnsi="Arial" w:cs="Arial"/>
                <w:b/>
              </w:rPr>
              <w:t>Design:</w:t>
            </w:r>
            <w:r w:rsidR="008D1541">
              <w:rPr>
                <w:rFonts w:ascii="Arial" w:hAnsi="Arial" w:cs="Arial"/>
                <w:b/>
              </w:rPr>
              <w:t xml:space="preserve"> </w:t>
            </w:r>
          </w:p>
          <w:p w14:paraId="4D21DB6A" w14:textId="00B88B59" w:rsidR="003A3EC6" w:rsidRPr="003A3EC6" w:rsidRDefault="00A50B67" w:rsidP="00360E4B">
            <w:pPr>
              <w:rPr>
                <w:bCs/>
              </w:rPr>
            </w:pPr>
            <w:r>
              <w:rPr>
                <w:bCs/>
              </w:rPr>
              <w:lastRenderedPageBreak/>
              <w:t xml:space="preserve">A thematic analysis will be used against the </w:t>
            </w:r>
            <w:r w:rsidR="00A3242A">
              <w:rPr>
                <w:bCs/>
              </w:rPr>
              <w:t>CRS10 to compare whether being</w:t>
            </w:r>
            <w:r w:rsidR="00213F72">
              <w:rPr>
                <w:bCs/>
              </w:rPr>
              <w:t xml:space="preserve"> grouped into</w:t>
            </w:r>
            <w:r w:rsidR="00A3242A">
              <w:rPr>
                <w:bCs/>
              </w:rPr>
              <w:t xml:space="preserve"> highly religi</w:t>
            </w:r>
            <w:r w:rsidR="00E9018D">
              <w:rPr>
                <w:bCs/>
              </w:rPr>
              <w:t xml:space="preserve">ous would </w:t>
            </w:r>
            <w:r w:rsidR="008F453D">
              <w:rPr>
                <w:bCs/>
              </w:rPr>
              <w:t xml:space="preserve">influence their </w:t>
            </w:r>
            <w:r w:rsidR="00D926DB">
              <w:rPr>
                <w:bCs/>
              </w:rPr>
              <w:t>view on same-sex marriage</w:t>
            </w:r>
            <w:r w:rsidR="00481120">
              <w:rPr>
                <w:bCs/>
              </w:rPr>
              <w:t xml:space="preserve">. </w:t>
            </w:r>
            <w:r w:rsidR="005B42CE">
              <w:rPr>
                <w:bCs/>
              </w:rPr>
              <w:t xml:space="preserve">The </w:t>
            </w:r>
            <w:r w:rsidR="00191021">
              <w:rPr>
                <w:bCs/>
              </w:rPr>
              <w:t xml:space="preserve">data </w:t>
            </w:r>
            <w:r w:rsidR="006266D3">
              <w:rPr>
                <w:bCs/>
              </w:rPr>
              <w:t xml:space="preserve">from the CRS10 </w:t>
            </w:r>
            <w:r w:rsidR="00191021">
              <w:rPr>
                <w:bCs/>
              </w:rPr>
              <w:t xml:space="preserve">will be collected using </w:t>
            </w:r>
            <w:r w:rsidR="006266D3">
              <w:rPr>
                <w:bCs/>
              </w:rPr>
              <w:t>Qualtrics</w:t>
            </w:r>
            <w:r w:rsidR="00D80728">
              <w:rPr>
                <w:bCs/>
              </w:rPr>
              <w:t xml:space="preserve"> on the </w:t>
            </w:r>
            <w:r w:rsidR="006266D3">
              <w:rPr>
                <w:bCs/>
              </w:rPr>
              <w:t>Ps</w:t>
            </w:r>
            <w:r w:rsidR="00D80728">
              <w:rPr>
                <w:bCs/>
              </w:rPr>
              <w:t xml:space="preserve">ychology </w:t>
            </w:r>
            <w:r w:rsidR="006266D3">
              <w:rPr>
                <w:bCs/>
              </w:rPr>
              <w:t xml:space="preserve">computers. </w:t>
            </w:r>
            <w:r w:rsidR="00D1328D">
              <w:rPr>
                <w:bCs/>
              </w:rPr>
              <w:t xml:space="preserve">Then using a thematic analysis on the participants </w:t>
            </w:r>
            <w:r w:rsidR="00015644">
              <w:rPr>
                <w:bCs/>
              </w:rPr>
              <w:t xml:space="preserve">opinions and beliefs on activism, religion, LGBTQI+ and same-sex marriages will be recorded then transcribed. </w:t>
            </w:r>
          </w:p>
          <w:p w14:paraId="132848C0" w14:textId="0B7BAFB1" w:rsidR="005E3C80" w:rsidRDefault="005E3C80" w:rsidP="00360E4B">
            <w:pPr>
              <w:rPr>
                <w:rFonts w:ascii="Arial" w:hAnsi="Arial" w:cs="Arial"/>
                <w:b/>
              </w:rPr>
            </w:pPr>
          </w:p>
          <w:p w14:paraId="230FC6C9" w14:textId="1BC99260" w:rsidR="005E3C80" w:rsidRDefault="005E3C80" w:rsidP="00360E4B">
            <w:pPr>
              <w:rPr>
                <w:rFonts w:ascii="Arial" w:hAnsi="Arial" w:cs="Arial"/>
                <w:b/>
              </w:rPr>
            </w:pPr>
            <w:r>
              <w:rPr>
                <w:rFonts w:ascii="Arial" w:hAnsi="Arial" w:cs="Arial"/>
                <w:b/>
              </w:rPr>
              <w:t>Materials:</w:t>
            </w:r>
          </w:p>
          <w:p w14:paraId="1F011F74" w14:textId="0814373E" w:rsidR="005E3C80" w:rsidRDefault="0044266F" w:rsidP="00360E4B">
            <w:pPr>
              <w:rPr>
                <w:rFonts w:ascii="Arial" w:hAnsi="Arial" w:cs="Arial"/>
                <w:b/>
              </w:rPr>
            </w:pPr>
            <w:r>
              <w:t>T</w:t>
            </w:r>
            <w:r w:rsidRPr="00C77886">
              <w:t xml:space="preserve">he participant would have been presented with a debrief form, consent form, and an information sheet. The interviewer researcher and supervisor's contact </w:t>
            </w:r>
            <w:r>
              <w:rPr>
                <w:color w:val="0E101A"/>
              </w:rPr>
              <w:t>details are provided for further clarification. The</w:t>
            </w:r>
            <w:r w:rsidR="00D21227">
              <w:rPr>
                <w:color w:val="0E101A"/>
              </w:rPr>
              <w:t xml:space="preserve"> participant</w:t>
            </w:r>
            <w:r>
              <w:rPr>
                <w:color w:val="0E101A"/>
              </w:rPr>
              <w:t xml:space="preserve"> would also</w:t>
            </w:r>
            <w:r w:rsidR="00393859">
              <w:rPr>
                <w:color w:val="0E101A"/>
              </w:rPr>
              <w:t xml:space="preserve"> be informed the interview would be recorded</w:t>
            </w:r>
            <w:r w:rsidR="00381C5B">
              <w:rPr>
                <w:color w:val="0E101A"/>
              </w:rPr>
              <w:t xml:space="preserve"> and therefore a recorde</w:t>
            </w:r>
            <w:r w:rsidR="00FC40C1">
              <w:rPr>
                <w:color w:val="0E101A"/>
              </w:rPr>
              <w:t>r</w:t>
            </w:r>
            <w:r w:rsidR="00381C5B">
              <w:rPr>
                <w:color w:val="0E101A"/>
              </w:rPr>
              <w:t xml:space="preserve"> will be used</w:t>
            </w:r>
            <w:r w:rsidR="00E97856">
              <w:rPr>
                <w:color w:val="0E101A"/>
              </w:rPr>
              <w:t xml:space="preserve">. </w:t>
            </w:r>
          </w:p>
          <w:p w14:paraId="2740872D" w14:textId="77777777" w:rsidR="007A0FDA" w:rsidRDefault="007A0FDA" w:rsidP="00360E4B">
            <w:pPr>
              <w:rPr>
                <w:rFonts w:ascii="Arial" w:hAnsi="Arial" w:cs="Arial"/>
                <w:b/>
              </w:rPr>
            </w:pPr>
          </w:p>
          <w:p w14:paraId="7845AC4F" w14:textId="77777777" w:rsidR="007A0FDA" w:rsidRDefault="007A0FDA" w:rsidP="00360E4B">
            <w:pPr>
              <w:rPr>
                <w:rFonts w:ascii="Arial" w:hAnsi="Arial" w:cs="Arial"/>
                <w:b/>
              </w:rPr>
            </w:pPr>
          </w:p>
          <w:p w14:paraId="00EE4FE7" w14:textId="2914128F" w:rsidR="008A5635" w:rsidRDefault="005E3C80" w:rsidP="00360E4B">
            <w:pPr>
              <w:rPr>
                <w:rFonts w:ascii="Arial" w:hAnsi="Arial" w:cs="Arial"/>
                <w:b/>
              </w:rPr>
            </w:pPr>
            <w:r>
              <w:rPr>
                <w:rFonts w:ascii="Arial" w:hAnsi="Arial" w:cs="Arial"/>
                <w:b/>
              </w:rPr>
              <w:t>Procedure:</w:t>
            </w:r>
          </w:p>
          <w:p w14:paraId="1FF7AEE4" w14:textId="0BB67A18" w:rsidR="008A5635" w:rsidRDefault="008A5635" w:rsidP="00360E4B">
            <w:pPr>
              <w:rPr>
                <w:rFonts w:ascii="Arial" w:hAnsi="Arial" w:cs="Arial"/>
                <w:b/>
              </w:rPr>
            </w:pPr>
            <w:r>
              <w:rPr>
                <w:color w:val="0E101A"/>
              </w:rPr>
              <w:t>F</w:t>
            </w:r>
            <w:r w:rsidRPr="0053250F">
              <w:rPr>
                <w:color w:val="0E101A"/>
              </w:rPr>
              <w:t xml:space="preserve">ollowing procedures to ensure BACP guidelines were followed. An introduction would </w:t>
            </w:r>
            <w:r w:rsidR="00313E4B">
              <w:rPr>
                <w:color w:val="0E101A"/>
              </w:rPr>
              <w:t>initiate</w:t>
            </w:r>
            <w:r w:rsidRPr="0053250F">
              <w:rPr>
                <w:color w:val="0E101A"/>
              </w:rPr>
              <w:t xml:space="preserve"> to establish a </w:t>
            </w:r>
            <w:r w:rsidRPr="0053250F">
              <w:t xml:space="preserve">rapport and </w:t>
            </w:r>
            <w:r w:rsidR="00BE11C1" w:rsidRPr="0053250F">
              <w:t>confirm</w:t>
            </w:r>
            <w:r w:rsidRPr="0053250F">
              <w:t xml:space="preserve"> the participant </w:t>
            </w:r>
            <w:r w:rsidR="00BE11C1">
              <w:t xml:space="preserve">felt relaxed enough to </w:t>
            </w:r>
            <w:r w:rsidR="00313E4B">
              <w:t>answer the questions</w:t>
            </w:r>
            <w:r w:rsidR="00BE11C1">
              <w:t xml:space="preserve"> freely</w:t>
            </w:r>
            <w:r w:rsidRPr="0053250F">
              <w:t xml:space="preserve">. </w:t>
            </w:r>
            <w:r w:rsidR="00313E4B">
              <w:t>T</w:t>
            </w:r>
            <w:r w:rsidRPr="0053250F">
              <w:t xml:space="preserve">he participant's anonymity would have been ensured following data protection guidelines (Service, 2015). </w:t>
            </w:r>
            <w:r w:rsidR="00CC7313">
              <w:t xml:space="preserve">The </w:t>
            </w:r>
            <w:r w:rsidRPr="0053250F">
              <w:t>consent form would ensure the participant understood what the interview would entail, understanding that they could leave the interview and retract their data at any point.</w:t>
            </w:r>
            <w:r w:rsidR="00594C3C">
              <w:t xml:space="preserve"> </w:t>
            </w:r>
            <w:r w:rsidR="00AA4DE7">
              <w:t>The participant would then fill out the CRS10</w:t>
            </w:r>
            <w:r w:rsidR="00FB5E15">
              <w:t xml:space="preserve"> in the</w:t>
            </w:r>
            <w:r w:rsidR="00BD72AB">
              <w:t xml:space="preserve"> Psychology </w:t>
            </w:r>
            <w:r w:rsidR="00FB5E15">
              <w:t>lab</w:t>
            </w:r>
            <w:r w:rsidRPr="0053250F">
              <w:t xml:space="preserve">. </w:t>
            </w:r>
            <w:r w:rsidR="00FB5E15">
              <w:t xml:space="preserve">Upon completion the </w:t>
            </w:r>
            <w:r w:rsidR="00E4534A">
              <w:t>participant</w:t>
            </w:r>
            <w:r w:rsidR="00FB5E15">
              <w:t xml:space="preserve"> will then</w:t>
            </w:r>
            <w:r w:rsidR="00936CF1">
              <w:t xml:space="preserve"> </w:t>
            </w:r>
            <w:r w:rsidR="00C56EB2">
              <w:t xml:space="preserve">get </w:t>
            </w:r>
            <w:r w:rsidR="00936CF1">
              <w:t>randomly assigned to read a positive or negative article on same-sex marriage</w:t>
            </w:r>
            <w:r w:rsidR="00C56EB2">
              <w:t>. Once read they will be</w:t>
            </w:r>
            <w:r w:rsidR="00936CF1">
              <w:t xml:space="preserve"> </w:t>
            </w:r>
            <w:r w:rsidR="00FB5E15">
              <w:t>asked to go to a private room where they will b</w:t>
            </w:r>
            <w:r w:rsidR="007A0FDA">
              <w:t>e</w:t>
            </w:r>
            <w:r w:rsidR="00FB5E15">
              <w:t xml:space="preserve"> asked about their views on activism, </w:t>
            </w:r>
            <w:r w:rsidR="00E4534A">
              <w:t>religion,</w:t>
            </w:r>
            <w:r w:rsidR="00FB5E15">
              <w:t xml:space="preserve"> </w:t>
            </w:r>
            <w:r w:rsidR="008C1FFC">
              <w:t xml:space="preserve">LGBTQI+ </w:t>
            </w:r>
            <w:r w:rsidR="00FB5E15">
              <w:t xml:space="preserve">and same-sex marriages. </w:t>
            </w:r>
            <w:r w:rsidRPr="0053250F">
              <w:t>Finally, the debrief would thank them for their time and include the research question and</w:t>
            </w:r>
            <w:r w:rsidR="007A0FDA">
              <w:t xml:space="preserve"> hypothesis alongside</w:t>
            </w:r>
            <w:r w:rsidRPr="0053250F">
              <w:t xml:space="preserve"> their supervisor's contact details for further clarification or aftercare. </w:t>
            </w: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w:t>
            </w:r>
            <w:r w:rsidR="004F5195" w:rsidRPr="00A34C36">
              <w:rPr>
                <w:rFonts w:ascii="Arial" w:hAnsi="Arial" w:cs="Arial"/>
                <w:bCs/>
                <w:i/>
                <w:iCs/>
                <w:sz w:val="22"/>
                <w:szCs w:val="22"/>
              </w:rPr>
              <w:lastRenderedPageBreak/>
              <w:t xml:space="preserve">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24442F4F" w14:textId="3B7B7332" w:rsidR="006F712B" w:rsidRPr="006F712B" w:rsidRDefault="009132B7" w:rsidP="00E24E04">
            <w:pPr>
              <w:rPr>
                <w:bCs/>
              </w:rPr>
            </w:pPr>
            <w:r>
              <w:rPr>
                <w:bCs/>
              </w:rPr>
              <w:t>There will be some deception as the participants until fully briefe</w:t>
            </w:r>
            <w:r w:rsidR="000A1699">
              <w:rPr>
                <w:bCs/>
              </w:rPr>
              <w:t xml:space="preserve">d will be unaware that they will be grouped into different categories. </w:t>
            </w:r>
            <w:r w:rsidR="00E057F7">
              <w:rPr>
                <w:bCs/>
              </w:rPr>
              <w:t xml:space="preserve">With the </w:t>
            </w:r>
            <w:r w:rsidR="00E76E9D">
              <w:rPr>
                <w:bCs/>
              </w:rPr>
              <w:t>questions there</w:t>
            </w:r>
            <w:r w:rsidR="00361A1C">
              <w:rPr>
                <w:bCs/>
              </w:rPr>
              <w:t xml:space="preserve"> may be some potential triggering </w:t>
            </w:r>
            <w:r w:rsidR="00FE39B6">
              <w:rPr>
                <w:bCs/>
              </w:rPr>
              <w:t xml:space="preserve">with </w:t>
            </w:r>
            <w:r w:rsidR="00E057F7">
              <w:rPr>
                <w:bCs/>
              </w:rPr>
              <w:t>an</w:t>
            </w:r>
            <w:r w:rsidR="00361A1C">
              <w:rPr>
                <w:bCs/>
              </w:rPr>
              <w:t xml:space="preserve"> individual</w:t>
            </w:r>
            <w:r w:rsidR="00B42A1F">
              <w:rPr>
                <w:bCs/>
              </w:rPr>
              <w:t xml:space="preserve">’s belief regarding </w:t>
            </w:r>
            <w:r w:rsidR="00361A1C">
              <w:rPr>
                <w:bCs/>
              </w:rPr>
              <w:t>religion and</w:t>
            </w:r>
            <w:r w:rsidR="00B42A1F">
              <w:rPr>
                <w:bCs/>
              </w:rPr>
              <w:t xml:space="preserve">/or </w:t>
            </w:r>
            <w:r w:rsidR="00361A1C">
              <w:rPr>
                <w:bCs/>
              </w:rPr>
              <w:t xml:space="preserve">LGBTQI+ </w:t>
            </w:r>
            <w:r w:rsidR="00B42A1F">
              <w:rPr>
                <w:bCs/>
              </w:rPr>
              <w:t>views</w:t>
            </w:r>
            <w:r w:rsidR="00F150EF">
              <w:rPr>
                <w:bCs/>
              </w:rPr>
              <w:t>. H</w:t>
            </w:r>
            <w:r w:rsidR="00197E66">
              <w:rPr>
                <w:bCs/>
              </w:rPr>
              <w:t xml:space="preserve">owever, </w:t>
            </w:r>
            <w:r w:rsidR="000F04DE">
              <w:rPr>
                <w:bCs/>
              </w:rPr>
              <w:t>participants</w:t>
            </w:r>
            <w:r w:rsidR="00197E66">
              <w:rPr>
                <w:bCs/>
              </w:rPr>
              <w:t xml:space="preserve"> will be informed </w:t>
            </w:r>
            <w:r w:rsidR="005D02F1">
              <w:rPr>
                <w:bCs/>
              </w:rPr>
              <w:t xml:space="preserve">of this and that </w:t>
            </w:r>
            <w:r w:rsidR="00197E66">
              <w:rPr>
                <w:bCs/>
              </w:rPr>
              <w:t>they can leave the study at any time</w:t>
            </w:r>
            <w:r w:rsidR="000F04DE">
              <w:rPr>
                <w:bCs/>
              </w:rPr>
              <w:t xml:space="preserve"> which</w:t>
            </w:r>
            <w:r w:rsidR="004418BF">
              <w:rPr>
                <w:bCs/>
              </w:rPr>
              <w:t xml:space="preserve"> will also be rei</w:t>
            </w:r>
            <w:r w:rsidR="00F150EF">
              <w:rPr>
                <w:bCs/>
              </w:rPr>
              <w:t>t</w:t>
            </w:r>
            <w:r w:rsidR="004418BF">
              <w:rPr>
                <w:bCs/>
              </w:rPr>
              <w:t>erated in the information sheet</w:t>
            </w:r>
            <w:r w:rsidR="00F150EF">
              <w:rPr>
                <w:bCs/>
              </w:rPr>
              <w:t>.</w:t>
            </w:r>
            <w:r w:rsidR="005D02F1">
              <w:rPr>
                <w:bCs/>
              </w:rPr>
              <w:t xml:space="preserve"> The participant will not be able to complete the study until the information sheet </w:t>
            </w:r>
            <w:r w:rsidR="00FF09B7">
              <w:rPr>
                <w:bCs/>
              </w:rPr>
              <w:t>has</w:t>
            </w:r>
            <w:r w:rsidR="005D02F1">
              <w:rPr>
                <w:bCs/>
              </w:rPr>
              <w:t xml:space="preserve"> been read and consent has been given.</w:t>
            </w:r>
            <w:r w:rsidR="00CC78CA">
              <w:rPr>
                <w:bCs/>
              </w:rPr>
              <w:t xml:space="preserve"> </w:t>
            </w:r>
            <w:r w:rsidR="001063F9">
              <w:rPr>
                <w:bCs/>
              </w:rPr>
              <w:t xml:space="preserve">Alongside this </w:t>
            </w:r>
            <w:r w:rsidR="008223FC">
              <w:rPr>
                <w:bCs/>
              </w:rPr>
              <w:t xml:space="preserve">all answers and opinions will be </w:t>
            </w:r>
            <w:r w:rsidR="00E76E9D">
              <w:rPr>
                <w:bCs/>
              </w:rPr>
              <w:t>anonymous,</w:t>
            </w:r>
            <w:r w:rsidR="008223FC">
              <w:rPr>
                <w:bCs/>
              </w:rPr>
              <w:t xml:space="preserve"> and all data will be </w:t>
            </w:r>
            <w:r w:rsidR="00A965B4">
              <w:rPr>
                <w:bCs/>
              </w:rPr>
              <w:t xml:space="preserve">confidential with no way of tracing back the answers to the participant. </w:t>
            </w:r>
            <w:r w:rsidR="007606E5">
              <w:rPr>
                <w:bCs/>
              </w:rPr>
              <w:t xml:space="preserve">The participant will be fully debriefed </w:t>
            </w:r>
            <w:r w:rsidR="00B12030">
              <w:rPr>
                <w:bCs/>
              </w:rPr>
              <w:t xml:space="preserve">upon completion as well as given the opportunity to ask further question and </w:t>
            </w:r>
            <w:r w:rsidR="000B17FB">
              <w:rPr>
                <w:bCs/>
              </w:rPr>
              <w:t>given the concept of the study.</w:t>
            </w:r>
            <w:r w:rsidR="00F31A92">
              <w:rPr>
                <w:bCs/>
              </w:rPr>
              <w:t xml:space="preserve"> It is vital that the participant does not leave in a distressed state</w:t>
            </w:r>
            <w:r w:rsidR="0095549A">
              <w:rPr>
                <w:bCs/>
              </w:rPr>
              <w:t xml:space="preserve"> so it is imperative they understand what they are consenting to and that it will remain anonymous. </w:t>
            </w: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485C99E" w14:textId="77777777" w:rsidR="00D076DA" w:rsidRDefault="00D076DA" w:rsidP="00F73A03">
      <w:pPr>
        <w:rPr>
          <w:rFonts w:ascii="Arial" w:hAnsi="Arial" w:cs="Arial"/>
          <w:b/>
        </w:rPr>
      </w:pPr>
    </w:p>
    <w:p w14:paraId="2CE4E554" w14:textId="3495E0C8" w:rsidR="00D076DA" w:rsidRDefault="00D076DA" w:rsidP="00F73A03">
      <w:pPr>
        <w:rPr>
          <w:rFonts w:ascii="Arial" w:hAnsi="Arial" w:cs="Arial"/>
          <w:b/>
        </w:rPr>
      </w:pPr>
    </w:p>
    <w:p w14:paraId="7C41F7C2" w14:textId="77777777" w:rsidR="006478C1" w:rsidRDefault="006478C1" w:rsidP="005E1739"/>
    <w:p w14:paraId="41531FC9" w14:textId="77777777" w:rsidR="006478C1" w:rsidRDefault="006478C1" w:rsidP="005E1739"/>
    <w:p w14:paraId="25FC3EDC" w14:textId="77777777" w:rsidR="006478C1" w:rsidRDefault="006478C1" w:rsidP="005E1739"/>
    <w:p w14:paraId="146B9F40" w14:textId="77777777" w:rsidR="006478C1" w:rsidRDefault="006478C1" w:rsidP="005E1739"/>
    <w:p w14:paraId="6139F20E" w14:textId="77777777" w:rsidR="006478C1" w:rsidRDefault="006478C1" w:rsidP="005E1739"/>
    <w:p w14:paraId="58E34605" w14:textId="77777777" w:rsidR="006478C1" w:rsidRDefault="006478C1" w:rsidP="005E1739"/>
    <w:p w14:paraId="44FD71E8" w14:textId="77777777" w:rsidR="006478C1" w:rsidRDefault="006478C1" w:rsidP="005E1739"/>
    <w:p w14:paraId="68E34743" w14:textId="22021572" w:rsidR="005E1739" w:rsidRDefault="005E1739" w:rsidP="005E1739">
      <w:pPr>
        <w:rPr>
          <w:rFonts w:ascii="Arial" w:hAnsi="Arial" w:cs="Arial"/>
          <w:b/>
        </w:rPr>
      </w:pPr>
      <w:r>
        <w:t>Centrality of Religiosity Scale (CRS10; Huber and Huber 2012)</w:t>
      </w:r>
    </w:p>
    <w:p w14:paraId="6B457326" w14:textId="5022E021" w:rsidR="00544BD6" w:rsidRDefault="00544BD6" w:rsidP="00F73A03">
      <w:pPr>
        <w:rPr>
          <w:rFonts w:ascii="Arial" w:hAnsi="Arial" w:cs="Arial"/>
          <w:b/>
        </w:rPr>
      </w:pPr>
      <w:r>
        <w:rPr>
          <w:rFonts w:ascii="Arial" w:hAnsi="Arial" w:cs="Arial"/>
          <w:b/>
        </w:rPr>
        <w:br w:type="textWrapping" w:clear="all"/>
      </w:r>
    </w:p>
    <w:p w14:paraId="79E338FC" w14:textId="77777777" w:rsidR="003054C4" w:rsidRDefault="003054C4" w:rsidP="0067154A">
      <w:pPr>
        <w:pStyle w:val="SMUNORMALARIAL"/>
        <w:rPr>
          <w:sz w:val="4"/>
          <w:szCs w:val="4"/>
        </w:rPr>
      </w:pPr>
    </w:p>
    <w:p w14:paraId="3FEF9638" w14:textId="77777777" w:rsidR="003054C4" w:rsidRDefault="003054C4" w:rsidP="0067154A">
      <w:pPr>
        <w:pStyle w:val="SMUNORMALARIAL"/>
        <w:rPr>
          <w:sz w:val="4"/>
          <w:szCs w:val="4"/>
        </w:rPr>
      </w:pPr>
    </w:p>
    <w:p w14:paraId="1A81A454" w14:textId="1D0E12AF" w:rsidR="00C50C14" w:rsidRPr="005B6657" w:rsidRDefault="00715F9E" w:rsidP="0067154A">
      <w:pPr>
        <w:pStyle w:val="SMUNORMALARIAL"/>
        <w:rPr>
          <w:sz w:val="4"/>
          <w:szCs w:val="4"/>
        </w:rPr>
      </w:pPr>
      <w:r>
        <w:rPr>
          <w:noProof/>
        </w:rPr>
        <w:lastRenderedPageBreak/>
        <w:drawing>
          <wp:anchor distT="0" distB="0" distL="114300" distR="114300" simplePos="0" relativeHeight="251660288" behindDoc="0" locked="0" layoutInCell="1" allowOverlap="1" wp14:anchorId="4387330C" wp14:editId="0CD9A38B">
            <wp:simplePos x="0" y="0"/>
            <wp:positionH relativeFrom="column">
              <wp:posOffset>715010</wp:posOffset>
            </wp:positionH>
            <wp:positionV relativeFrom="paragraph">
              <wp:posOffset>7872730</wp:posOffset>
            </wp:positionV>
            <wp:extent cx="2108200" cy="355600"/>
            <wp:effectExtent l="0" t="0" r="6350" b="6350"/>
            <wp:wrapTopAndBottom/>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1">
                      <a:extLst>
                        <a:ext uri="{28A0092B-C50C-407E-A947-70E740481C1C}">
                          <a14:useLocalDpi xmlns:a14="http://schemas.microsoft.com/office/drawing/2010/main" val="0"/>
                        </a:ext>
                      </a:extLst>
                    </a:blip>
                    <a:srcRect l="10352" t="33337" r="53804" b="46829"/>
                    <a:stretch/>
                  </pic:blipFill>
                  <pic:spPr bwMode="auto">
                    <a:xfrm>
                      <a:off x="0" y="0"/>
                      <a:ext cx="2108200" cy="35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1739">
        <w:rPr>
          <w:noProof/>
        </w:rPr>
        <w:drawing>
          <wp:anchor distT="0" distB="0" distL="114300" distR="114300" simplePos="0" relativeHeight="251659264" behindDoc="0" locked="0" layoutInCell="1" allowOverlap="1" wp14:anchorId="03C91271" wp14:editId="53B35F01">
            <wp:simplePos x="0" y="0"/>
            <wp:positionH relativeFrom="column">
              <wp:posOffset>416560</wp:posOffset>
            </wp:positionH>
            <wp:positionV relativeFrom="paragraph">
              <wp:posOffset>87630</wp:posOffset>
            </wp:positionV>
            <wp:extent cx="5638800" cy="7778750"/>
            <wp:effectExtent l="0" t="0" r="0" b="0"/>
            <wp:wrapTopAndBottom/>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12">
                      <a:extLst>
                        <a:ext uri="{28A0092B-C50C-407E-A947-70E740481C1C}">
                          <a14:useLocalDpi xmlns:a14="http://schemas.microsoft.com/office/drawing/2010/main" val="0"/>
                        </a:ext>
                      </a:extLst>
                    </a:blip>
                    <a:srcRect l="6312" t="5429" r="6114" b="5920"/>
                    <a:stretch/>
                  </pic:blipFill>
                  <pic:spPr bwMode="auto">
                    <a:xfrm>
                      <a:off x="0" y="0"/>
                      <a:ext cx="5638800" cy="7778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50C14" w:rsidRPr="005B6657" w:rsidSect="003E444F">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34D7F3D"/>
    <w:multiLevelType w:val="hybridMultilevel"/>
    <w:tmpl w:val="BA1A1900"/>
    <w:lvl w:ilvl="0" w:tplc="6414EF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7348029">
    <w:abstractNumId w:val="0"/>
  </w:num>
  <w:num w:numId="2" w16cid:durableId="925116076">
    <w:abstractNumId w:val="2"/>
  </w:num>
  <w:num w:numId="3" w16cid:durableId="1572537955">
    <w:abstractNumId w:val="1"/>
  </w:num>
  <w:num w:numId="4" w16cid:durableId="1318417478">
    <w:abstractNumId w:val="3"/>
  </w:num>
  <w:num w:numId="5" w16cid:durableId="19432245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1FB2"/>
    <w:rsid w:val="00013306"/>
    <w:rsid w:val="00015644"/>
    <w:rsid w:val="0001799E"/>
    <w:rsid w:val="00024FEF"/>
    <w:rsid w:val="00025AE9"/>
    <w:rsid w:val="000260A6"/>
    <w:rsid w:val="0003080F"/>
    <w:rsid w:val="00031B03"/>
    <w:rsid w:val="00034993"/>
    <w:rsid w:val="0004064E"/>
    <w:rsid w:val="0004703C"/>
    <w:rsid w:val="00052010"/>
    <w:rsid w:val="0005245C"/>
    <w:rsid w:val="00057223"/>
    <w:rsid w:val="0006100D"/>
    <w:rsid w:val="00066E0A"/>
    <w:rsid w:val="00073E06"/>
    <w:rsid w:val="00086D4F"/>
    <w:rsid w:val="00087BF3"/>
    <w:rsid w:val="000920D2"/>
    <w:rsid w:val="000A1699"/>
    <w:rsid w:val="000A5C77"/>
    <w:rsid w:val="000B17FB"/>
    <w:rsid w:val="000C1972"/>
    <w:rsid w:val="000C45C6"/>
    <w:rsid w:val="000C7356"/>
    <w:rsid w:val="000E4E3F"/>
    <w:rsid w:val="000F04DE"/>
    <w:rsid w:val="000F514D"/>
    <w:rsid w:val="001063F9"/>
    <w:rsid w:val="00107694"/>
    <w:rsid w:val="00137D0F"/>
    <w:rsid w:val="001466E6"/>
    <w:rsid w:val="00161012"/>
    <w:rsid w:val="001704C8"/>
    <w:rsid w:val="00175793"/>
    <w:rsid w:val="00183928"/>
    <w:rsid w:val="00185FED"/>
    <w:rsid w:val="00186F40"/>
    <w:rsid w:val="001879DB"/>
    <w:rsid w:val="00191021"/>
    <w:rsid w:val="00197E66"/>
    <w:rsid w:val="001A749D"/>
    <w:rsid w:val="001B4095"/>
    <w:rsid w:val="001B449D"/>
    <w:rsid w:val="001B71B7"/>
    <w:rsid w:val="001C1DCC"/>
    <w:rsid w:val="001C3564"/>
    <w:rsid w:val="001C6D7D"/>
    <w:rsid w:val="001D0B68"/>
    <w:rsid w:val="001D1828"/>
    <w:rsid w:val="001D499B"/>
    <w:rsid w:val="001E59FF"/>
    <w:rsid w:val="001E5D06"/>
    <w:rsid w:val="001F72DE"/>
    <w:rsid w:val="001F76EE"/>
    <w:rsid w:val="00202E91"/>
    <w:rsid w:val="00207F50"/>
    <w:rsid w:val="00212B24"/>
    <w:rsid w:val="00213F72"/>
    <w:rsid w:val="00216108"/>
    <w:rsid w:val="00225F9B"/>
    <w:rsid w:val="00232B86"/>
    <w:rsid w:val="00232FD9"/>
    <w:rsid w:val="00235567"/>
    <w:rsid w:val="00237A84"/>
    <w:rsid w:val="00240994"/>
    <w:rsid w:val="002421F2"/>
    <w:rsid w:val="0024425B"/>
    <w:rsid w:val="00246F70"/>
    <w:rsid w:val="002505E0"/>
    <w:rsid w:val="00253DD0"/>
    <w:rsid w:val="002578C3"/>
    <w:rsid w:val="002602A3"/>
    <w:rsid w:val="00264490"/>
    <w:rsid w:val="00267B3E"/>
    <w:rsid w:val="00272AF1"/>
    <w:rsid w:val="00274FDF"/>
    <w:rsid w:val="00275D93"/>
    <w:rsid w:val="00283C0D"/>
    <w:rsid w:val="00290741"/>
    <w:rsid w:val="002961C8"/>
    <w:rsid w:val="002A018E"/>
    <w:rsid w:val="002A2D52"/>
    <w:rsid w:val="002B27DB"/>
    <w:rsid w:val="002C73E4"/>
    <w:rsid w:val="002C7EA7"/>
    <w:rsid w:val="002D557D"/>
    <w:rsid w:val="002E1017"/>
    <w:rsid w:val="002E3A03"/>
    <w:rsid w:val="002E51EC"/>
    <w:rsid w:val="002E55B3"/>
    <w:rsid w:val="002E6135"/>
    <w:rsid w:val="002F3741"/>
    <w:rsid w:val="003054C4"/>
    <w:rsid w:val="003060CA"/>
    <w:rsid w:val="00310104"/>
    <w:rsid w:val="0031057E"/>
    <w:rsid w:val="00311A2C"/>
    <w:rsid w:val="0031308C"/>
    <w:rsid w:val="00313E4B"/>
    <w:rsid w:val="003149C3"/>
    <w:rsid w:val="00314D21"/>
    <w:rsid w:val="00315B36"/>
    <w:rsid w:val="00331897"/>
    <w:rsid w:val="003403C0"/>
    <w:rsid w:val="003449A1"/>
    <w:rsid w:val="00344A1A"/>
    <w:rsid w:val="00345F13"/>
    <w:rsid w:val="00347768"/>
    <w:rsid w:val="0036040C"/>
    <w:rsid w:val="00360E4B"/>
    <w:rsid w:val="00361A1C"/>
    <w:rsid w:val="00380155"/>
    <w:rsid w:val="003816A0"/>
    <w:rsid w:val="00381C5B"/>
    <w:rsid w:val="00393019"/>
    <w:rsid w:val="00393859"/>
    <w:rsid w:val="003A3EC6"/>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273EB"/>
    <w:rsid w:val="00430197"/>
    <w:rsid w:val="004319CC"/>
    <w:rsid w:val="00441243"/>
    <w:rsid w:val="004418BF"/>
    <w:rsid w:val="0044266F"/>
    <w:rsid w:val="00442DF8"/>
    <w:rsid w:val="00444AE4"/>
    <w:rsid w:val="00445302"/>
    <w:rsid w:val="00445B75"/>
    <w:rsid w:val="00451E6F"/>
    <w:rsid w:val="004601EE"/>
    <w:rsid w:val="00463D09"/>
    <w:rsid w:val="004804FA"/>
    <w:rsid w:val="00481120"/>
    <w:rsid w:val="00481945"/>
    <w:rsid w:val="00485CDE"/>
    <w:rsid w:val="00487A6A"/>
    <w:rsid w:val="004A2264"/>
    <w:rsid w:val="004A3146"/>
    <w:rsid w:val="004A6B80"/>
    <w:rsid w:val="004B0949"/>
    <w:rsid w:val="004B2991"/>
    <w:rsid w:val="004B50AF"/>
    <w:rsid w:val="004B653C"/>
    <w:rsid w:val="004B747F"/>
    <w:rsid w:val="004C0B85"/>
    <w:rsid w:val="004E2539"/>
    <w:rsid w:val="004E417F"/>
    <w:rsid w:val="004E60DC"/>
    <w:rsid w:val="004E6584"/>
    <w:rsid w:val="004F136C"/>
    <w:rsid w:val="004F3D72"/>
    <w:rsid w:val="004F5195"/>
    <w:rsid w:val="00500534"/>
    <w:rsid w:val="00507F85"/>
    <w:rsid w:val="00521B3C"/>
    <w:rsid w:val="00525D96"/>
    <w:rsid w:val="00531677"/>
    <w:rsid w:val="0053295A"/>
    <w:rsid w:val="00532F30"/>
    <w:rsid w:val="00535993"/>
    <w:rsid w:val="0054440F"/>
    <w:rsid w:val="00544BD6"/>
    <w:rsid w:val="00561B52"/>
    <w:rsid w:val="00563CEA"/>
    <w:rsid w:val="00565657"/>
    <w:rsid w:val="00575BFA"/>
    <w:rsid w:val="005853DC"/>
    <w:rsid w:val="00594C3C"/>
    <w:rsid w:val="00595D29"/>
    <w:rsid w:val="005B42CE"/>
    <w:rsid w:val="005B6580"/>
    <w:rsid w:val="005B6657"/>
    <w:rsid w:val="005B72AB"/>
    <w:rsid w:val="005C2348"/>
    <w:rsid w:val="005C3249"/>
    <w:rsid w:val="005C3D7B"/>
    <w:rsid w:val="005C7606"/>
    <w:rsid w:val="005D02F1"/>
    <w:rsid w:val="005D16E0"/>
    <w:rsid w:val="005D239C"/>
    <w:rsid w:val="005E1739"/>
    <w:rsid w:val="005E3C80"/>
    <w:rsid w:val="005E4647"/>
    <w:rsid w:val="005E74F1"/>
    <w:rsid w:val="005F279E"/>
    <w:rsid w:val="0060533C"/>
    <w:rsid w:val="00614C25"/>
    <w:rsid w:val="00622E8A"/>
    <w:rsid w:val="006252E3"/>
    <w:rsid w:val="006266D3"/>
    <w:rsid w:val="0063618F"/>
    <w:rsid w:val="00640A44"/>
    <w:rsid w:val="006476EE"/>
    <w:rsid w:val="006478C1"/>
    <w:rsid w:val="00652C6E"/>
    <w:rsid w:val="0066661E"/>
    <w:rsid w:val="0067154A"/>
    <w:rsid w:val="00673604"/>
    <w:rsid w:val="00673DA3"/>
    <w:rsid w:val="00682F1A"/>
    <w:rsid w:val="006838D7"/>
    <w:rsid w:val="00685815"/>
    <w:rsid w:val="0069011B"/>
    <w:rsid w:val="00692968"/>
    <w:rsid w:val="00695B21"/>
    <w:rsid w:val="006A17E5"/>
    <w:rsid w:val="006B793C"/>
    <w:rsid w:val="006C13E0"/>
    <w:rsid w:val="006C2BAF"/>
    <w:rsid w:val="006C5CEF"/>
    <w:rsid w:val="006C752F"/>
    <w:rsid w:val="006D10AC"/>
    <w:rsid w:val="006D2CA1"/>
    <w:rsid w:val="006D31CA"/>
    <w:rsid w:val="006E4763"/>
    <w:rsid w:val="006E670A"/>
    <w:rsid w:val="006E6E6E"/>
    <w:rsid w:val="006F01DE"/>
    <w:rsid w:val="006F3D33"/>
    <w:rsid w:val="006F712B"/>
    <w:rsid w:val="00704616"/>
    <w:rsid w:val="00704F63"/>
    <w:rsid w:val="00707654"/>
    <w:rsid w:val="00715F9E"/>
    <w:rsid w:val="0071671E"/>
    <w:rsid w:val="007209B9"/>
    <w:rsid w:val="00720E1E"/>
    <w:rsid w:val="00727EE0"/>
    <w:rsid w:val="00732F37"/>
    <w:rsid w:val="00733B4E"/>
    <w:rsid w:val="00745035"/>
    <w:rsid w:val="0075060E"/>
    <w:rsid w:val="0075107C"/>
    <w:rsid w:val="00753CE4"/>
    <w:rsid w:val="00754BA9"/>
    <w:rsid w:val="007552D9"/>
    <w:rsid w:val="00756104"/>
    <w:rsid w:val="007579F4"/>
    <w:rsid w:val="007606E5"/>
    <w:rsid w:val="007615DD"/>
    <w:rsid w:val="0077341D"/>
    <w:rsid w:val="00776AF9"/>
    <w:rsid w:val="00782BB6"/>
    <w:rsid w:val="00794630"/>
    <w:rsid w:val="007A028B"/>
    <w:rsid w:val="007A0FDA"/>
    <w:rsid w:val="007A30FE"/>
    <w:rsid w:val="007A643E"/>
    <w:rsid w:val="007B4FA1"/>
    <w:rsid w:val="007B61DD"/>
    <w:rsid w:val="007C24DF"/>
    <w:rsid w:val="007C61A6"/>
    <w:rsid w:val="007D1054"/>
    <w:rsid w:val="007D6395"/>
    <w:rsid w:val="007D673A"/>
    <w:rsid w:val="007E1B79"/>
    <w:rsid w:val="007E279A"/>
    <w:rsid w:val="007E5B6F"/>
    <w:rsid w:val="007E787E"/>
    <w:rsid w:val="007F7679"/>
    <w:rsid w:val="008066ED"/>
    <w:rsid w:val="00812DC7"/>
    <w:rsid w:val="008164EB"/>
    <w:rsid w:val="008223FC"/>
    <w:rsid w:val="008226C0"/>
    <w:rsid w:val="0083364B"/>
    <w:rsid w:val="00837C46"/>
    <w:rsid w:val="0085195B"/>
    <w:rsid w:val="0086342C"/>
    <w:rsid w:val="008653F3"/>
    <w:rsid w:val="008656B7"/>
    <w:rsid w:val="00865984"/>
    <w:rsid w:val="0086773C"/>
    <w:rsid w:val="0087576C"/>
    <w:rsid w:val="00880183"/>
    <w:rsid w:val="008815E0"/>
    <w:rsid w:val="00885B67"/>
    <w:rsid w:val="00887014"/>
    <w:rsid w:val="008944B8"/>
    <w:rsid w:val="0089508E"/>
    <w:rsid w:val="008A5635"/>
    <w:rsid w:val="008C0046"/>
    <w:rsid w:val="008C1FFC"/>
    <w:rsid w:val="008C23D4"/>
    <w:rsid w:val="008C496F"/>
    <w:rsid w:val="008C4B50"/>
    <w:rsid w:val="008C62A5"/>
    <w:rsid w:val="008D1541"/>
    <w:rsid w:val="008D1883"/>
    <w:rsid w:val="008D428B"/>
    <w:rsid w:val="008E1FC3"/>
    <w:rsid w:val="008F453D"/>
    <w:rsid w:val="008F6C40"/>
    <w:rsid w:val="0091227C"/>
    <w:rsid w:val="009132B7"/>
    <w:rsid w:val="00913CDB"/>
    <w:rsid w:val="00915A2E"/>
    <w:rsid w:val="00925A3C"/>
    <w:rsid w:val="0093006E"/>
    <w:rsid w:val="00933BA5"/>
    <w:rsid w:val="00936CF1"/>
    <w:rsid w:val="00940155"/>
    <w:rsid w:val="00942AA0"/>
    <w:rsid w:val="0094419B"/>
    <w:rsid w:val="00945CEC"/>
    <w:rsid w:val="009510D3"/>
    <w:rsid w:val="0095549A"/>
    <w:rsid w:val="00957E4F"/>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2EC9"/>
    <w:rsid w:val="009C0B5A"/>
    <w:rsid w:val="009D14AD"/>
    <w:rsid w:val="009E0450"/>
    <w:rsid w:val="009E43FE"/>
    <w:rsid w:val="009F0537"/>
    <w:rsid w:val="009F6541"/>
    <w:rsid w:val="00A01F77"/>
    <w:rsid w:val="00A05E89"/>
    <w:rsid w:val="00A07CA3"/>
    <w:rsid w:val="00A1196A"/>
    <w:rsid w:val="00A13ED4"/>
    <w:rsid w:val="00A3242A"/>
    <w:rsid w:val="00A34C36"/>
    <w:rsid w:val="00A355AB"/>
    <w:rsid w:val="00A40E97"/>
    <w:rsid w:val="00A456C7"/>
    <w:rsid w:val="00A47A7F"/>
    <w:rsid w:val="00A50B67"/>
    <w:rsid w:val="00A51686"/>
    <w:rsid w:val="00A5268F"/>
    <w:rsid w:val="00A55593"/>
    <w:rsid w:val="00A56BB3"/>
    <w:rsid w:val="00A6250E"/>
    <w:rsid w:val="00A627FC"/>
    <w:rsid w:val="00A64E67"/>
    <w:rsid w:val="00A727C7"/>
    <w:rsid w:val="00A75B69"/>
    <w:rsid w:val="00A949FC"/>
    <w:rsid w:val="00A965B4"/>
    <w:rsid w:val="00A9677C"/>
    <w:rsid w:val="00AA4DE7"/>
    <w:rsid w:val="00AA52E9"/>
    <w:rsid w:val="00AA7F18"/>
    <w:rsid w:val="00AB2E99"/>
    <w:rsid w:val="00AB52C7"/>
    <w:rsid w:val="00AC543E"/>
    <w:rsid w:val="00AD0F90"/>
    <w:rsid w:val="00AD2A3F"/>
    <w:rsid w:val="00AF0884"/>
    <w:rsid w:val="00AF4D4E"/>
    <w:rsid w:val="00AF5D51"/>
    <w:rsid w:val="00AF6A6A"/>
    <w:rsid w:val="00B00EEE"/>
    <w:rsid w:val="00B03110"/>
    <w:rsid w:val="00B05B70"/>
    <w:rsid w:val="00B06C5B"/>
    <w:rsid w:val="00B07417"/>
    <w:rsid w:val="00B12030"/>
    <w:rsid w:val="00B15FD5"/>
    <w:rsid w:val="00B17968"/>
    <w:rsid w:val="00B226FB"/>
    <w:rsid w:val="00B22CEA"/>
    <w:rsid w:val="00B24417"/>
    <w:rsid w:val="00B248BA"/>
    <w:rsid w:val="00B31DF8"/>
    <w:rsid w:val="00B37733"/>
    <w:rsid w:val="00B41577"/>
    <w:rsid w:val="00B42A1F"/>
    <w:rsid w:val="00B42D84"/>
    <w:rsid w:val="00B43AE5"/>
    <w:rsid w:val="00B649E2"/>
    <w:rsid w:val="00B6541E"/>
    <w:rsid w:val="00B6567E"/>
    <w:rsid w:val="00B70DA8"/>
    <w:rsid w:val="00B76769"/>
    <w:rsid w:val="00B91B51"/>
    <w:rsid w:val="00B94A46"/>
    <w:rsid w:val="00B9786C"/>
    <w:rsid w:val="00BA756C"/>
    <w:rsid w:val="00BA7620"/>
    <w:rsid w:val="00BB4BDA"/>
    <w:rsid w:val="00BC0096"/>
    <w:rsid w:val="00BC22BC"/>
    <w:rsid w:val="00BD32A4"/>
    <w:rsid w:val="00BD4768"/>
    <w:rsid w:val="00BD72AB"/>
    <w:rsid w:val="00BE0A04"/>
    <w:rsid w:val="00BE11C1"/>
    <w:rsid w:val="00BE6514"/>
    <w:rsid w:val="00BF0A01"/>
    <w:rsid w:val="00BF76E7"/>
    <w:rsid w:val="00C01536"/>
    <w:rsid w:val="00C035B1"/>
    <w:rsid w:val="00C061EC"/>
    <w:rsid w:val="00C11D79"/>
    <w:rsid w:val="00C26700"/>
    <w:rsid w:val="00C46A0A"/>
    <w:rsid w:val="00C471CE"/>
    <w:rsid w:val="00C50C14"/>
    <w:rsid w:val="00C51858"/>
    <w:rsid w:val="00C56EB2"/>
    <w:rsid w:val="00C61291"/>
    <w:rsid w:val="00C6636C"/>
    <w:rsid w:val="00C675F1"/>
    <w:rsid w:val="00C752EF"/>
    <w:rsid w:val="00C76FDA"/>
    <w:rsid w:val="00C83B07"/>
    <w:rsid w:val="00C92065"/>
    <w:rsid w:val="00C92A53"/>
    <w:rsid w:val="00CB0805"/>
    <w:rsid w:val="00CB366C"/>
    <w:rsid w:val="00CC030D"/>
    <w:rsid w:val="00CC41BB"/>
    <w:rsid w:val="00CC7313"/>
    <w:rsid w:val="00CC78CA"/>
    <w:rsid w:val="00CD6F8E"/>
    <w:rsid w:val="00CD79E9"/>
    <w:rsid w:val="00CE66C4"/>
    <w:rsid w:val="00CF5F56"/>
    <w:rsid w:val="00D01C1B"/>
    <w:rsid w:val="00D076DA"/>
    <w:rsid w:val="00D077E1"/>
    <w:rsid w:val="00D128EA"/>
    <w:rsid w:val="00D1328D"/>
    <w:rsid w:val="00D21227"/>
    <w:rsid w:val="00D2461D"/>
    <w:rsid w:val="00D35458"/>
    <w:rsid w:val="00D40D39"/>
    <w:rsid w:val="00D50AA8"/>
    <w:rsid w:val="00D55E6B"/>
    <w:rsid w:val="00D56AF6"/>
    <w:rsid w:val="00D7426D"/>
    <w:rsid w:val="00D744CC"/>
    <w:rsid w:val="00D80728"/>
    <w:rsid w:val="00D83BA6"/>
    <w:rsid w:val="00D85854"/>
    <w:rsid w:val="00D926DB"/>
    <w:rsid w:val="00D9285C"/>
    <w:rsid w:val="00D92BA9"/>
    <w:rsid w:val="00DA2212"/>
    <w:rsid w:val="00DA7F18"/>
    <w:rsid w:val="00DB1B13"/>
    <w:rsid w:val="00DB4F0B"/>
    <w:rsid w:val="00DB7633"/>
    <w:rsid w:val="00DB7AE5"/>
    <w:rsid w:val="00DC4B03"/>
    <w:rsid w:val="00DC77E1"/>
    <w:rsid w:val="00DD5247"/>
    <w:rsid w:val="00DE0CFC"/>
    <w:rsid w:val="00DE121A"/>
    <w:rsid w:val="00DF35ED"/>
    <w:rsid w:val="00DF4D67"/>
    <w:rsid w:val="00DF7A76"/>
    <w:rsid w:val="00E00F78"/>
    <w:rsid w:val="00E025AC"/>
    <w:rsid w:val="00E0289D"/>
    <w:rsid w:val="00E057F7"/>
    <w:rsid w:val="00E16BF2"/>
    <w:rsid w:val="00E24A0F"/>
    <w:rsid w:val="00E24E04"/>
    <w:rsid w:val="00E26247"/>
    <w:rsid w:val="00E271BA"/>
    <w:rsid w:val="00E31518"/>
    <w:rsid w:val="00E37438"/>
    <w:rsid w:val="00E4534A"/>
    <w:rsid w:val="00E50BFF"/>
    <w:rsid w:val="00E63597"/>
    <w:rsid w:val="00E63A9A"/>
    <w:rsid w:val="00E667C8"/>
    <w:rsid w:val="00E7347E"/>
    <w:rsid w:val="00E76E9D"/>
    <w:rsid w:val="00E84E80"/>
    <w:rsid w:val="00E9018D"/>
    <w:rsid w:val="00E92508"/>
    <w:rsid w:val="00E97856"/>
    <w:rsid w:val="00EA230D"/>
    <w:rsid w:val="00EC2A13"/>
    <w:rsid w:val="00EC7F37"/>
    <w:rsid w:val="00ED37E5"/>
    <w:rsid w:val="00EE1217"/>
    <w:rsid w:val="00EF25ED"/>
    <w:rsid w:val="00EF2E9A"/>
    <w:rsid w:val="00EF4440"/>
    <w:rsid w:val="00EF6B3C"/>
    <w:rsid w:val="00F018DE"/>
    <w:rsid w:val="00F06B1D"/>
    <w:rsid w:val="00F150EF"/>
    <w:rsid w:val="00F15CBA"/>
    <w:rsid w:val="00F17B14"/>
    <w:rsid w:val="00F200A1"/>
    <w:rsid w:val="00F223C0"/>
    <w:rsid w:val="00F30359"/>
    <w:rsid w:val="00F31A92"/>
    <w:rsid w:val="00F341B6"/>
    <w:rsid w:val="00F4311E"/>
    <w:rsid w:val="00F4415B"/>
    <w:rsid w:val="00F472B8"/>
    <w:rsid w:val="00F5547A"/>
    <w:rsid w:val="00F62C23"/>
    <w:rsid w:val="00F73A03"/>
    <w:rsid w:val="00F75934"/>
    <w:rsid w:val="00F80900"/>
    <w:rsid w:val="00F84809"/>
    <w:rsid w:val="00F8522D"/>
    <w:rsid w:val="00FA21DE"/>
    <w:rsid w:val="00FA5550"/>
    <w:rsid w:val="00FA650A"/>
    <w:rsid w:val="00FB21C2"/>
    <w:rsid w:val="00FB5E15"/>
    <w:rsid w:val="00FB5FF5"/>
    <w:rsid w:val="00FC06E5"/>
    <w:rsid w:val="00FC40C1"/>
    <w:rsid w:val="00FD2FD7"/>
    <w:rsid w:val="00FD3BDD"/>
    <w:rsid w:val="00FD4AF1"/>
    <w:rsid w:val="00FD5ECB"/>
    <w:rsid w:val="00FE363A"/>
    <w:rsid w:val="00FE39B6"/>
    <w:rsid w:val="00FF09B7"/>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hgkelc">
    <w:name w:val="hgkelc"/>
    <w:basedOn w:val="DefaultParagraphFont"/>
    <w:rsid w:val="00FD3BDD"/>
  </w:style>
  <w:style w:type="paragraph" w:styleId="NormalWeb">
    <w:name w:val="Normal (Web)"/>
    <w:basedOn w:val="Normal"/>
    <w:uiPriority w:val="99"/>
    <w:unhideWhenUsed/>
    <w:rsid w:val="006C13E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349425">
      <w:bodyDiv w:val="1"/>
      <w:marLeft w:val="0"/>
      <w:marRight w:val="0"/>
      <w:marTop w:val="0"/>
      <w:marBottom w:val="0"/>
      <w:divBdr>
        <w:top w:val="none" w:sz="0" w:space="0" w:color="auto"/>
        <w:left w:val="none" w:sz="0" w:space="0" w:color="auto"/>
        <w:bottom w:val="none" w:sz="0" w:space="0" w:color="auto"/>
        <w:right w:val="none" w:sz="0" w:space="0" w:color="auto"/>
      </w:divBdr>
    </w:div>
    <w:div w:id="1079405988">
      <w:bodyDiv w:val="1"/>
      <w:marLeft w:val="0"/>
      <w:marRight w:val="0"/>
      <w:marTop w:val="0"/>
      <w:marBottom w:val="0"/>
      <w:divBdr>
        <w:top w:val="none" w:sz="0" w:space="0" w:color="auto"/>
        <w:left w:val="none" w:sz="0" w:space="0" w:color="auto"/>
        <w:bottom w:val="none" w:sz="0" w:space="0" w:color="auto"/>
        <w:right w:val="none" w:sz="0" w:space="0" w:color="auto"/>
      </w:divBdr>
    </w:div>
    <w:div w:id="165001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1088</TotalTime>
  <Pages>6</Pages>
  <Words>1638</Words>
  <Characters>9785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Sabha Mahmood</cp:lastModifiedBy>
  <cp:revision>149</cp:revision>
  <cp:lastPrinted>2008-04-14T13:39:00Z</cp:lastPrinted>
  <dcterms:created xsi:type="dcterms:W3CDTF">2022-06-19T23:18:00Z</dcterms:created>
  <dcterms:modified xsi:type="dcterms:W3CDTF">2022-06-20T17:58:00Z</dcterms:modified>
</cp:coreProperties>
</file>