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FEC9C" w14:textId="77777777" w:rsidR="002308FF" w:rsidRDefault="002308FF" w:rsidP="002308FF">
      <w:pPr>
        <w:jc w:val="center"/>
        <w:rPr>
          <w:b/>
          <w:sz w:val="48"/>
        </w:rPr>
      </w:pPr>
    </w:p>
    <w:p w14:paraId="2C84F8AF" w14:textId="77777777" w:rsidR="002308FF" w:rsidRDefault="002308FF" w:rsidP="002308FF">
      <w:pPr>
        <w:jc w:val="center"/>
        <w:rPr>
          <w:b/>
          <w:sz w:val="48"/>
        </w:rPr>
      </w:pPr>
    </w:p>
    <w:p w14:paraId="04452D84" w14:textId="77777777" w:rsidR="002308FF" w:rsidRDefault="002308FF" w:rsidP="002308FF">
      <w:pPr>
        <w:jc w:val="center"/>
        <w:rPr>
          <w:b/>
          <w:sz w:val="48"/>
        </w:rPr>
      </w:pPr>
    </w:p>
    <w:p w14:paraId="6CEFCF8E" w14:textId="77777777" w:rsidR="002308FF" w:rsidRDefault="002308FF" w:rsidP="002308FF">
      <w:pPr>
        <w:jc w:val="center"/>
        <w:rPr>
          <w:b/>
          <w:sz w:val="48"/>
        </w:rPr>
      </w:pPr>
    </w:p>
    <w:p w14:paraId="46FA7A0A" w14:textId="77777777" w:rsidR="002308FF" w:rsidRDefault="002308FF" w:rsidP="002308FF">
      <w:pPr>
        <w:jc w:val="center"/>
        <w:rPr>
          <w:b/>
          <w:sz w:val="48"/>
        </w:rPr>
      </w:pPr>
    </w:p>
    <w:p w14:paraId="1228AA6D" w14:textId="77777777" w:rsidR="00DE78E0" w:rsidRPr="002308FF" w:rsidRDefault="002308FF" w:rsidP="002308FF">
      <w:pPr>
        <w:jc w:val="center"/>
        <w:rPr>
          <w:sz w:val="48"/>
        </w:rPr>
      </w:pPr>
      <w:r w:rsidRPr="002308FF">
        <w:rPr>
          <w:b/>
          <w:sz w:val="48"/>
        </w:rPr>
        <w:t>TITLE:</w:t>
      </w:r>
      <w:r w:rsidRPr="002308FF">
        <w:rPr>
          <w:sz w:val="48"/>
        </w:rPr>
        <w:t xml:space="preserve"> </w:t>
      </w:r>
      <w:r w:rsidR="00BF1A8C" w:rsidRPr="002308FF">
        <w:rPr>
          <w:sz w:val="48"/>
        </w:rPr>
        <w:t>Introduction to Physiology</w:t>
      </w:r>
      <w:r w:rsidRPr="002308FF">
        <w:rPr>
          <w:sz w:val="48"/>
        </w:rPr>
        <w:t xml:space="preserve"> </w:t>
      </w:r>
      <w:r w:rsidR="00BF1A8C" w:rsidRPr="002308FF">
        <w:rPr>
          <w:sz w:val="48"/>
          <w:szCs w:val="28"/>
        </w:rPr>
        <w:t>Case Study 1: Diabetes</w:t>
      </w:r>
    </w:p>
    <w:p w14:paraId="3D1ED471" w14:textId="77777777" w:rsidR="002308FF" w:rsidRDefault="002308FF" w:rsidP="002308FF">
      <w:pPr>
        <w:jc w:val="center"/>
        <w:rPr>
          <w:sz w:val="48"/>
        </w:rPr>
      </w:pPr>
      <w:r w:rsidRPr="002308FF">
        <w:rPr>
          <w:b/>
          <w:bCs/>
          <w:sz w:val="48"/>
          <w:szCs w:val="26"/>
        </w:rPr>
        <w:t xml:space="preserve">NAME: </w:t>
      </w:r>
      <w:r w:rsidRPr="002308FF">
        <w:rPr>
          <w:sz w:val="48"/>
        </w:rPr>
        <w:t>Saba chaudhary</w:t>
      </w:r>
    </w:p>
    <w:p w14:paraId="3B3511A5" w14:textId="3D79A24D" w:rsidR="00A00187" w:rsidRDefault="00A00187" w:rsidP="002308FF">
      <w:pPr>
        <w:jc w:val="center"/>
        <w:rPr>
          <w:sz w:val="48"/>
        </w:rPr>
      </w:pPr>
      <w:r>
        <w:rPr>
          <w:b/>
          <w:bCs/>
          <w:sz w:val="48"/>
        </w:rPr>
        <w:t>Lecture Name:</w:t>
      </w:r>
      <w:r w:rsidR="00FB79EE">
        <w:rPr>
          <w:sz w:val="48"/>
        </w:rPr>
        <w:t>Gillian</w:t>
      </w:r>
      <w:r w:rsidR="008E49D7">
        <w:rPr>
          <w:sz w:val="48"/>
        </w:rPr>
        <w:t xml:space="preserve"> Weaver</w:t>
      </w:r>
    </w:p>
    <w:p w14:paraId="7ED19D61" w14:textId="77777777" w:rsidR="008E49D7" w:rsidRPr="00A00187" w:rsidRDefault="008E49D7" w:rsidP="002308FF">
      <w:pPr>
        <w:jc w:val="center"/>
        <w:rPr>
          <w:sz w:val="48"/>
          <w:szCs w:val="26"/>
        </w:rPr>
      </w:pPr>
    </w:p>
    <w:p w14:paraId="62C8B968" w14:textId="77777777" w:rsidR="002308FF" w:rsidRPr="002308FF" w:rsidRDefault="002308FF" w:rsidP="002308FF">
      <w:pPr>
        <w:jc w:val="center"/>
        <w:rPr>
          <w:b/>
          <w:bCs/>
          <w:sz w:val="48"/>
          <w:szCs w:val="26"/>
        </w:rPr>
      </w:pPr>
      <w:r w:rsidRPr="002308FF">
        <w:rPr>
          <w:b/>
          <w:bCs/>
          <w:sz w:val="48"/>
          <w:szCs w:val="26"/>
        </w:rPr>
        <w:t xml:space="preserve">ID: </w:t>
      </w:r>
      <w:r w:rsidRPr="002308FF">
        <w:rPr>
          <w:sz w:val="48"/>
        </w:rPr>
        <w:t>2407036</w:t>
      </w:r>
    </w:p>
    <w:p w14:paraId="497DBA20" w14:textId="19739C9E" w:rsidR="001B4EB5" w:rsidRDefault="002308FF" w:rsidP="002308FF">
      <w:pPr>
        <w:jc w:val="center"/>
        <w:rPr>
          <w:b/>
          <w:bCs/>
          <w:sz w:val="26"/>
          <w:szCs w:val="26"/>
        </w:rPr>
      </w:pPr>
      <w:r w:rsidRPr="002308FF">
        <w:rPr>
          <w:b/>
          <w:bCs/>
          <w:sz w:val="48"/>
          <w:szCs w:val="26"/>
        </w:rPr>
        <w:t>DATE:</w:t>
      </w:r>
      <w:r w:rsidR="008E49D7">
        <w:rPr>
          <w:b/>
          <w:bCs/>
          <w:sz w:val="48"/>
          <w:szCs w:val="26"/>
        </w:rPr>
        <w:t>02/10/2026</w:t>
      </w:r>
      <w:r w:rsidR="001B4EB5">
        <w:rPr>
          <w:bCs/>
          <w:sz w:val="26"/>
          <w:szCs w:val="26"/>
        </w:rPr>
        <w:br w:type="page"/>
      </w:r>
    </w:p>
    <w:sdt>
      <w:sdtPr>
        <w:rPr>
          <w:rFonts w:ascii="Times New Roman" w:eastAsia="Times New Roman" w:hAnsi="Times New Roman" w:cs="Times New Roman"/>
          <w:color w:val="000000" w:themeColor="text1"/>
          <w:sz w:val="24"/>
          <w:szCs w:val="20"/>
        </w:rPr>
        <w:id w:val="1194198933"/>
        <w:docPartObj>
          <w:docPartGallery w:val="Table of Contents"/>
          <w:docPartUnique/>
        </w:docPartObj>
      </w:sdtPr>
      <w:sdtEndPr>
        <w:rPr>
          <w:b/>
          <w:bCs/>
          <w:noProof/>
        </w:rPr>
      </w:sdtEndPr>
      <w:sdtContent>
        <w:p w14:paraId="775A3450" w14:textId="77777777" w:rsidR="002308FF" w:rsidRPr="002308FF" w:rsidRDefault="002308FF" w:rsidP="002308FF">
          <w:pPr>
            <w:pStyle w:val="TOCHeading"/>
            <w:spacing w:line="360" w:lineRule="auto"/>
            <w:jc w:val="center"/>
            <w:rPr>
              <w:rFonts w:ascii="Times New Roman" w:hAnsi="Times New Roman" w:cs="Times New Roman"/>
              <w:b/>
              <w:color w:val="000000" w:themeColor="text1"/>
            </w:rPr>
          </w:pPr>
          <w:r w:rsidRPr="002308FF">
            <w:rPr>
              <w:rFonts w:ascii="Times New Roman" w:hAnsi="Times New Roman" w:cs="Times New Roman"/>
              <w:b/>
              <w:color w:val="000000" w:themeColor="text1"/>
            </w:rPr>
            <w:t>Table of Contents</w:t>
          </w:r>
        </w:p>
        <w:p w14:paraId="71899970" w14:textId="304444C8" w:rsidR="00800172" w:rsidRDefault="002308FF">
          <w:pPr>
            <w:pStyle w:val="TOC1"/>
            <w:tabs>
              <w:tab w:val="right" w:leader="dot" w:pos="9016"/>
            </w:tabs>
            <w:rPr>
              <w:rFonts w:asciiTheme="minorHAnsi" w:eastAsiaTheme="minorEastAsia" w:hAnsiTheme="minorHAnsi" w:cstheme="minorBidi"/>
              <w:noProof/>
              <w:color w:val="auto"/>
              <w:kern w:val="2"/>
              <w:szCs w:val="24"/>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41211875" w:history="1">
            <w:r w:rsidR="00800172" w:rsidRPr="00C732DC">
              <w:rPr>
                <w:rStyle w:val="Hyperlink"/>
                <w:noProof/>
              </w:rPr>
              <w:t>1. Introduction</w:t>
            </w:r>
            <w:r w:rsidR="00800172">
              <w:rPr>
                <w:noProof/>
                <w:webHidden/>
              </w:rPr>
              <w:tab/>
            </w:r>
            <w:r w:rsidR="00800172">
              <w:rPr>
                <w:noProof/>
                <w:webHidden/>
              </w:rPr>
              <w:fldChar w:fldCharType="begin"/>
            </w:r>
            <w:r w:rsidR="00800172">
              <w:rPr>
                <w:noProof/>
                <w:webHidden/>
              </w:rPr>
              <w:instrText xml:space="preserve"> PAGEREF _Toc241211875 \h </w:instrText>
            </w:r>
            <w:r w:rsidR="00800172">
              <w:rPr>
                <w:noProof/>
                <w:webHidden/>
              </w:rPr>
            </w:r>
            <w:r w:rsidR="00800172">
              <w:rPr>
                <w:noProof/>
                <w:webHidden/>
              </w:rPr>
              <w:fldChar w:fldCharType="separate"/>
            </w:r>
            <w:r w:rsidR="00800172">
              <w:rPr>
                <w:noProof/>
                <w:webHidden/>
              </w:rPr>
              <w:t>3</w:t>
            </w:r>
            <w:r w:rsidR="00800172">
              <w:rPr>
                <w:noProof/>
                <w:webHidden/>
              </w:rPr>
              <w:fldChar w:fldCharType="end"/>
            </w:r>
          </w:hyperlink>
        </w:p>
        <w:p w14:paraId="46D05785" w14:textId="5C348CFB"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76" w:history="1">
            <w:r w:rsidRPr="00C732DC">
              <w:rPr>
                <w:rStyle w:val="Hyperlink"/>
                <w:noProof/>
              </w:rPr>
              <w:t>2. How blood sugar levels are maintained at a safe and effective level</w:t>
            </w:r>
            <w:r>
              <w:rPr>
                <w:noProof/>
                <w:webHidden/>
              </w:rPr>
              <w:tab/>
            </w:r>
            <w:r>
              <w:rPr>
                <w:noProof/>
                <w:webHidden/>
              </w:rPr>
              <w:fldChar w:fldCharType="begin"/>
            </w:r>
            <w:r>
              <w:rPr>
                <w:noProof/>
                <w:webHidden/>
              </w:rPr>
              <w:instrText xml:space="preserve"> PAGEREF _Toc241211876 \h </w:instrText>
            </w:r>
            <w:r>
              <w:rPr>
                <w:noProof/>
                <w:webHidden/>
              </w:rPr>
            </w:r>
            <w:r>
              <w:rPr>
                <w:noProof/>
                <w:webHidden/>
              </w:rPr>
              <w:fldChar w:fldCharType="separate"/>
            </w:r>
            <w:r>
              <w:rPr>
                <w:noProof/>
                <w:webHidden/>
              </w:rPr>
              <w:t>3</w:t>
            </w:r>
            <w:r>
              <w:rPr>
                <w:noProof/>
                <w:webHidden/>
              </w:rPr>
              <w:fldChar w:fldCharType="end"/>
            </w:r>
          </w:hyperlink>
        </w:p>
        <w:p w14:paraId="41BA70A5" w14:textId="204E8BF9"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77" w:history="1">
            <w:r w:rsidRPr="00C732DC">
              <w:rPr>
                <w:rStyle w:val="Hyperlink"/>
                <w:noProof/>
              </w:rPr>
              <w:t>3. How oxygen and glucose are used to produce energy via cell metabolism</w:t>
            </w:r>
            <w:r>
              <w:rPr>
                <w:noProof/>
                <w:webHidden/>
              </w:rPr>
              <w:tab/>
            </w:r>
            <w:r>
              <w:rPr>
                <w:noProof/>
                <w:webHidden/>
              </w:rPr>
              <w:fldChar w:fldCharType="begin"/>
            </w:r>
            <w:r>
              <w:rPr>
                <w:noProof/>
                <w:webHidden/>
              </w:rPr>
              <w:instrText xml:space="preserve"> PAGEREF _Toc241211877 \h </w:instrText>
            </w:r>
            <w:r>
              <w:rPr>
                <w:noProof/>
                <w:webHidden/>
              </w:rPr>
            </w:r>
            <w:r>
              <w:rPr>
                <w:noProof/>
                <w:webHidden/>
              </w:rPr>
              <w:fldChar w:fldCharType="separate"/>
            </w:r>
            <w:r>
              <w:rPr>
                <w:noProof/>
                <w:webHidden/>
              </w:rPr>
              <w:t>4</w:t>
            </w:r>
            <w:r>
              <w:rPr>
                <w:noProof/>
                <w:webHidden/>
              </w:rPr>
              <w:fldChar w:fldCharType="end"/>
            </w:r>
          </w:hyperlink>
        </w:p>
        <w:p w14:paraId="28802FED" w14:textId="79D84851"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78" w:history="1">
            <w:r w:rsidRPr="00C732DC">
              <w:rPr>
                <w:rStyle w:val="Hyperlink"/>
                <w:noProof/>
              </w:rPr>
              <w:t>4. How recording and tracking blood sugar helps type 2 diabetics manage their condition</w:t>
            </w:r>
            <w:r>
              <w:rPr>
                <w:noProof/>
                <w:webHidden/>
              </w:rPr>
              <w:tab/>
            </w:r>
            <w:r>
              <w:rPr>
                <w:noProof/>
                <w:webHidden/>
              </w:rPr>
              <w:fldChar w:fldCharType="begin"/>
            </w:r>
            <w:r>
              <w:rPr>
                <w:noProof/>
                <w:webHidden/>
              </w:rPr>
              <w:instrText xml:space="preserve"> PAGEREF _Toc241211878 \h </w:instrText>
            </w:r>
            <w:r>
              <w:rPr>
                <w:noProof/>
                <w:webHidden/>
              </w:rPr>
            </w:r>
            <w:r>
              <w:rPr>
                <w:noProof/>
                <w:webHidden/>
              </w:rPr>
              <w:fldChar w:fldCharType="separate"/>
            </w:r>
            <w:r>
              <w:rPr>
                <w:noProof/>
                <w:webHidden/>
              </w:rPr>
              <w:t>5</w:t>
            </w:r>
            <w:r>
              <w:rPr>
                <w:noProof/>
                <w:webHidden/>
              </w:rPr>
              <w:fldChar w:fldCharType="end"/>
            </w:r>
          </w:hyperlink>
        </w:p>
        <w:p w14:paraId="58BB6399" w14:textId="3FC4705C"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79" w:history="1">
            <w:r w:rsidRPr="00C732DC">
              <w:rPr>
                <w:rStyle w:val="Hyperlink"/>
                <w:noProof/>
              </w:rPr>
              <w:t>5. Evidence-based lifestyle recommendations</w:t>
            </w:r>
            <w:r>
              <w:rPr>
                <w:noProof/>
                <w:webHidden/>
              </w:rPr>
              <w:tab/>
            </w:r>
            <w:r>
              <w:rPr>
                <w:noProof/>
                <w:webHidden/>
              </w:rPr>
              <w:fldChar w:fldCharType="begin"/>
            </w:r>
            <w:r>
              <w:rPr>
                <w:noProof/>
                <w:webHidden/>
              </w:rPr>
              <w:instrText xml:space="preserve"> PAGEREF _Toc241211879 \h </w:instrText>
            </w:r>
            <w:r>
              <w:rPr>
                <w:noProof/>
                <w:webHidden/>
              </w:rPr>
            </w:r>
            <w:r>
              <w:rPr>
                <w:noProof/>
                <w:webHidden/>
              </w:rPr>
              <w:fldChar w:fldCharType="separate"/>
            </w:r>
            <w:r>
              <w:rPr>
                <w:noProof/>
                <w:webHidden/>
              </w:rPr>
              <w:t>6</w:t>
            </w:r>
            <w:r>
              <w:rPr>
                <w:noProof/>
                <w:webHidden/>
              </w:rPr>
              <w:fldChar w:fldCharType="end"/>
            </w:r>
          </w:hyperlink>
        </w:p>
        <w:p w14:paraId="27E8CFE2" w14:textId="12042A71"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80" w:history="1">
            <w:r w:rsidRPr="00C732DC">
              <w:rPr>
                <w:rStyle w:val="Hyperlink"/>
                <w:noProof/>
              </w:rPr>
              <w:t>5. Conclusion</w:t>
            </w:r>
            <w:r>
              <w:rPr>
                <w:noProof/>
                <w:webHidden/>
              </w:rPr>
              <w:tab/>
            </w:r>
            <w:r>
              <w:rPr>
                <w:noProof/>
                <w:webHidden/>
              </w:rPr>
              <w:fldChar w:fldCharType="begin"/>
            </w:r>
            <w:r>
              <w:rPr>
                <w:noProof/>
                <w:webHidden/>
              </w:rPr>
              <w:instrText xml:space="preserve"> PAGEREF _Toc241211880 \h </w:instrText>
            </w:r>
            <w:r>
              <w:rPr>
                <w:noProof/>
                <w:webHidden/>
              </w:rPr>
            </w:r>
            <w:r>
              <w:rPr>
                <w:noProof/>
                <w:webHidden/>
              </w:rPr>
              <w:fldChar w:fldCharType="separate"/>
            </w:r>
            <w:r>
              <w:rPr>
                <w:noProof/>
                <w:webHidden/>
              </w:rPr>
              <w:t>6</w:t>
            </w:r>
            <w:r>
              <w:rPr>
                <w:noProof/>
                <w:webHidden/>
              </w:rPr>
              <w:fldChar w:fldCharType="end"/>
            </w:r>
          </w:hyperlink>
        </w:p>
        <w:p w14:paraId="297BC8C6" w14:textId="6C8ABA6F" w:rsidR="00800172" w:rsidRDefault="0080017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41211881" w:history="1">
            <w:r w:rsidRPr="00C732DC">
              <w:rPr>
                <w:rStyle w:val="Hyperlink"/>
                <w:noProof/>
              </w:rPr>
              <w:t>References</w:t>
            </w:r>
            <w:r>
              <w:rPr>
                <w:noProof/>
                <w:webHidden/>
              </w:rPr>
              <w:tab/>
            </w:r>
            <w:r>
              <w:rPr>
                <w:noProof/>
                <w:webHidden/>
              </w:rPr>
              <w:fldChar w:fldCharType="begin"/>
            </w:r>
            <w:r>
              <w:rPr>
                <w:noProof/>
                <w:webHidden/>
              </w:rPr>
              <w:instrText xml:space="preserve"> PAGEREF _Toc241211881 \h </w:instrText>
            </w:r>
            <w:r>
              <w:rPr>
                <w:noProof/>
                <w:webHidden/>
              </w:rPr>
            </w:r>
            <w:r>
              <w:rPr>
                <w:noProof/>
                <w:webHidden/>
              </w:rPr>
              <w:fldChar w:fldCharType="separate"/>
            </w:r>
            <w:r>
              <w:rPr>
                <w:noProof/>
                <w:webHidden/>
              </w:rPr>
              <w:t>8</w:t>
            </w:r>
            <w:r>
              <w:rPr>
                <w:noProof/>
                <w:webHidden/>
              </w:rPr>
              <w:fldChar w:fldCharType="end"/>
            </w:r>
          </w:hyperlink>
        </w:p>
        <w:p w14:paraId="4EB55AC1" w14:textId="0CD22C33" w:rsidR="002308FF" w:rsidRDefault="002308FF">
          <w:r>
            <w:rPr>
              <w:b/>
              <w:bCs/>
              <w:noProof/>
            </w:rPr>
            <w:fldChar w:fldCharType="end"/>
          </w:r>
        </w:p>
      </w:sdtContent>
    </w:sdt>
    <w:p w14:paraId="1E6785E4" w14:textId="77777777" w:rsidR="001B4EB5" w:rsidRDefault="001B4EB5">
      <w:pPr>
        <w:rPr>
          <w:b/>
          <w:bCs/>
          <w:sz w:val="26"/>
          <w:szCs w:val="26"/>
        </w:rPr>
      </w:pPr>
      <w:r>
        <w:rPr>
          <w:bCs/>
          <w:sz w:val="26"/>
          <w:szCs w:val="26"/>
        </w:rPr>
        <w:br w:type="page"/>
      </w:r>
    </w:p>
    <w:p w14:paraId="04884543" w14:textId="77777777" w:rsidR="00DE78E0" w:rsidRPr="001B4EB5" w:rsidRDefault="001B4EB5" w:rsidP="001B4EB5">
      <w:pPr>
        <w:pStyle w:val="Heading1"/>
      </w:pPr>
      <w:bookmarkStart w:id="0" w:name="_Toc241211875"/>
      <w:r>
        <w:t xml:space="preserve">1. </w:t>
      </w:r>
      <w:r w:rsidR="00BF1A8C" w:rsidRPr="001B4EB5">
        <w:t>Introduction</w:t>
      </w:r>
      <w:bookmarkEnd w:id="0"/>
    </w:p>
    <w:p w14:paraId="10B667AA" w14:textId="716D084E" w:rsidR="006B6348" w:rsidRPr="002015CF" w:rsidRDefault="002015CF" w:rsidP="002015CF">
      <w:r w:rsidRPr="002015CF">
        <w:t xml:space="preserve">Diabetes mellitus describes a group of metabolic disorders characterized by hyperglycaemia or hyperglycemia, which is an elevated level of blood glucose as a result of the body not producing enough insulin, the insulin being not effective, or both (International Diabetes Federation, 2021). Diabetes mellitus type 1 is when the cells of the pancreas that produce insulin or the beta cells die and the body can no longer use insulin. This condition is usually developed in childhood or during the teen years. </w:t>
      </w:r>
      <w:r>
        <w:t xml:space="preserve"> </w:t>
      </w:r>
      <w:r w:rsidRPr="002015CF">
        <w:t xml:space="preserve">Yet, there is another condition known as Type 2 diabetes mellitus (T2DM) is the condition when the cells of the pancreas do not produce enough insulin or the insulin can be used effectively (Norton et al., 2022). </w:t>
      </w:r>
      <w:r>
        <w:t xml:space="preserve"> </w:t>
      </w:r>
      <w:r w:rsidRPr="002015CF">
        <w:t>The burden of T2DM, including the incidence, prevalence, and YLD, had increased from 1990, and it is expected to increase in the next 30 years to 2050 caused by population growth, aging, and obesity (Global Burden of Disease 2025 report).</w:t>
      </w:r>
    </w:p>
    <w:p w14:paraId="719D8431" w14:textId="77777777" w:rsidR="002015CF" w:rsidRPr="002015CF" w:rsidRDefault="006B6348" w:rsidP="002015CF">
      <w:r w:rsidRPr="006B6348">
        <w:t xml:space="preserve">The risk factors associated with T2DM are different from non-modifiable, with the use of the latter, a person of South Asian, Black African-Caribbean, and other minority ethnic groups having 4–6 times increased risk of developing T2DM when compared to a person outside this group (International Diabetes Federation, 2021). The are Modifiable Risk Factors which are the main contributors for the current escalation world wide. These include being overweight or obese, living sedentary lifestyle and abdominal obesity, identified by waist circumference measurements (NIDDK, 2023). </w:t>
      </w:r>
      <w:r w:rsidR="002015CF" w:rsidRPr="002015CF">
        <w:t>Excessive visceral fat has been found to cause insulin resistance in skeletal muscle, liver, and adipose tissue leading to tissue insensitivity to circulating insulin (Norton et al., 2022).</w:t>
      </w:r>
    </w:p>
    <w:p w14:paraId="2D9B5D02" w14:textId="06B77985" w:rsidR="007C6E89" w:rsidRPr="007C6E89" w:rsidRDefault="002015CF" w:rsidP="002015CF">
      <w:r w:rsidRPr="002015CF">
        <w:t>Additional risk factors include hypertension, dislipidaemia, previous history of GDM and prediabetes (IFG or IGT) (NIDDK, 2023)</w:t>
      </w:r>
      <w:r>
        <w:t>.</w:t>
      </w:r>
      <w:r w:rsidR="006B6348" w:rsidRPr="006B6348">
        <w:t xml:space="preserve"> Early in the course of T2DM, individuals may have a near-normal blood glucose close to the normal (silent phenotype) and it is important to gain a foundational understanding of the mechanisms that keep glucose in a near-normal range and the tools used to monitor and manage the disease</w:t>
      </w:r>
      <w:r w:rsidR="007C6E89" w:rsidRPr="007C6E89">
        <w:t>.</w:t>
      </w:r>
    </w:p>
    <w:p w14:paraId="77777914" w14:textId="58F421F3" w:rsidR="001B4EB5" w:rsidRPr="007C6E89" w:rsidRDefault="001B4EB5" w:rsidP="001B4EB5">
      <w:pPr>
        <w:rPr>
          <w:b/>
          <w:szCs w:val="24"/>
        </w:rPr>
      </w:pPr>
    </w:p>
    <w:p w14:paraId="3D6CE3AF" w14:textId="77777777" w:rsidR="00DE78E0" w:rsidRPr="001B4EB5" w:rsidRDefault="001B4EB5" w:rsidP="001B4EB5">
      <w:pPr>
        <w:pStyle w:val="Heading1"/>
      </w:pPr>
      <w:bookmarkStart w:id="1" w:name="_Toc241211876"/>
      <w:r w:rsidRPr="001B4EB5">
        <w:t xml:space="preserve">2. </w:t>
      </w:r>
      <w:r w:rsidR="00BF1A8C" w:rsidRPr="001B4EB5">
        <w:t>How blood sugar levels are maintained at a safe and effective level</w:t>
      </w:r>
      <w:bookmarkEnd w:id="1"/>
    </w:p>
    <w:p w14:paraId="036BD53F" w14:textId="77777777" w:rsidR="002015CF" w:rsidRPr="002015CF" w:rsidRDefault="006B6348" w:rsidP="002015CF">
      <w:r w:rsidRPr="006B6348">
        <w:t xml:space="preserve">The maintenance of glucose homeostasis depends on a negative feedback loop of hormones that are mostly regulated in the pancreas with insulin and glucagon opposing each other to maintain glucose levels within a narrow range of physiological concentration (Norton et al., 2022). </w:t>
      </w:r>
      <w:r w:rsidR="002015CF" w:rsidRPr="002015CF">
        <w:t>Regarding food intake, the digestion process in the stomach would cause an elevation in the concentration of glucose molecules in the blood stream and causes the pancreatic islet cells (beta cell) to secrete insulin. Insulin acts on the blood glucose level in many ways: take the glucose molecules from the blood stream to the muscles and fat (increasing the GLUT4 receptor movement to the cell membrane from storage); inhibit the breakdown of body fat (lipolysis); inhibit glycogen formation (glycogenesis) in the liver; and inhibit glucose formation in the liver through the inhibition of glycolysis and gluconeogenesis pathways (Norton et al., 2022).</w:t>
      </w:r>
    </w:p>
    <w:p w14:paraId="526D8B07" w14:textId="04D68AF3" w:rsidR="006B6348" w:rsidRPr="006B6348" w:rsidRDefault="002015CF" w:rsidP="002015CF">
      <w:r w:rsidRPr="002015CF">
        <w:t>Role of glucagon is produced when blood glucose levels fall such as activity, fasting, sleeping or meal times by the alpha cells of the pancreas and has its primary action on the liver (Betts et al., 2022). It causes glycogen to break down into glucose (glycogenolysis) and to cause the formation of new glucose from amino acids and glycerol (glucosenogenesis) in the liver. Glucagon therefore raises the blood glucose level to normal.</w:t>
      </w:r>
      <w:r w:rsidR="006B6348" w:rsidRPr="006B6348">
        <w:t xml:space="preserve"> The action of insulin and glucagon is a form of negative feedback as the hormones release changes in blood glucose levels (Norton et al., 2022).</w:t>
      </w:r>
    </w:p>
    <w:p w14:paraId="7C2A529A" w14:textId="4C8B4B29" w:rsidR="007C6E89" w:rsidRPr="007C6E89" w:rsidRDefault="006B6348" w:rsidP="006B6348">
      <w:r w:rsidRPr="006B6348">
        <w:t>This feedback is impaired in T2DM. Insulin resistance is defined as the decreased responsiveness to insulin particularly present in tissue cells, such as the skeletal muscles, liver and adipose tissues. As a result, there is a failure to inhibit hepatic glucose production and decreased uptake by muscles. The secretion of glucagon is also facilitated with high glucose levels and over time there will be a decrease in function as the normal demand for more insulin will be met by insulin resistance, resulting in greater glucagon secretion</w:t>
      </w:r>
      <w:r w:rsidR="007C6E89" w:rsidRPr="007C6E89">
        <w:t>.</w:t>
      </w:r>
    </w:p>
    <w:p w14:paraId="52B3FE6A" w14:textId="657C6FB2" w:rsidR="001B4EB5" w:rsidRPr="007C6E89" w:rsidRDefault="001B4EB5" w:rsidP="001B4EB5"/>
    <w:p w14:paraId="5E340A36" w14:textId="77777777" w:rsidR="00DE78E0" w:rsidRPr="00757E84" w:rsidRDefault="00757E84" w:rsidP="00757E84">
      <w:pPr>
        <w:pStyle w:val="Heading1"/>
      </w:pPr>
      <w:bookmarkStart w:id="2" w:name="_Toc241211877"/>
      <w:r w:rsidRPr="00757E84">
        <w:t xml:space="preserve">3. </w:t>
      </w:r>
      <w:r w:rsidR="00BF1A8C" w:rsidRPr="00757E84">
        <w:t>How oxygen and glucose are used to produce energy via cell metabolism</w:t>
      </w:r>
      <w:bookmarkEnd w:id="2"/>
    </w:p>
    <w:p w14:paraId="0A2EF87F" w14:textId="6C6BF502" w:rsidR="006B6348" w:rsidRPr="006B6348" w:rsidRDefault="002015CF" w:rsidP="006B6348">
      <w:r w:rsidRPr="002015CF">
        <w:t>In cells, glucose is the most accessible fuel source, and the process of converting glucose to a form of energy in the cell (adenosine triphosphate) is called cellular respiration (Betts et al., 2022). Glycolysis is the first phase of glucose breakdown which is anaerobic (without oxygen) in nature, in which 1 glucose molecule is converted into 2 molecules of Pyruvate, releasing 2 Molecules of ATP and 2 Molecules of NADH (Betts et al., 2022).</w:t>
      </w:r>
      <w:r w:rsidR="006B6348" w:rsidRPr="006B6348">
        <w:t xml:space="preserve"> Pyruvate is then transported to the mitochondrion (with the presence of oxygen) and enters into the Krebs cycle to become acetyl coenzyme A and transferred to the cycle (Betts et al., 2022). A small amount of ATP is produced and a lot of molecules of NADH and FADH2 are produced in this cycle, and all of the glucose is oxidized (Betts et al., 2022).</w:t>
      </w:r>
    </w:p>
    <w:p w14:paraId="46FFC3CD" w14:textId="77777777" w:rsidR="006B6348" w:rsidRPr="006B6348" w:rsidRDefault="006B6348" w:rsidP="006B6348">
      <w:r w:rsidRPr="006B6348">
        <w:t xml:space="preserve">The electrons that are carried by the electron carriers are transferred to the electron transport chain in the cristae of the mitochondria, from the Krebs cycle. As the electrons are passed down series of protein complexes in the inner membrane oxygen can be reduced to water by binding with the electrons and hydrogens in the intermembrane space thus A chain of redox reactions occurs with each releasing energy for the translocation of hydrogen ions across the membrane. This forms a gradient of ions which can drive the enzyme ATP Synthase to produce ATP, this process is termed oxidative phosphorylation (Betts et al 2022). </w:t>
      </w:r>
    </w:p>
    <w:p w14:paraId="5D077AFE" w14:textId="77777777" w:rsidR="006B6348" w:rsidRPr="006B6348" w:rsidRDefault="006B6348" w:rsidP="006B6348">
      <w:r w:rsidRPr="006B6348">
        <w:t xml:space="preserve">Oxygen is important in this process as the final acceptor of the electrons however a main factor of this process being aerobic is that oxygen and its interaction with the electrons and hydrogen is what causes water to be formed thus if oxygen was to be absent no ATP formation by this process would occur as the electron chain would be blocked. </w:t>
      </w:r>
    </w:p>
    <w:p w14:paraId="46BD2F21" w14:textId="35958585" w:rsidR="00AE7D9F" w:rsidRPr="00C444FE" w:rsidRDefault="006B6348" w:rsidP="006B6348">
      <w:r w:rsidRPr="006B6348">
        <w:t xml:space="preserve">When talking about T2DM, it is imperative to understand the relationship between transporter and the metabolisms of glucose in the body. The skeletal muscle is basically the principal contributor of insulin stimulated glucose uptake into the cell and is affected by insulin resistance. </w:t>
      </w:r>
      <w:r w:rsidR="00C444FE" w:rsidRPr="00C444FE">
        <w:t>Recent study has shown a contribution and consequence of the mitochondrial dysfunction (Oxidative capacity, ATP production) in skeletal muscle to insulin resistance (Zhu et al., 2025). In fact, a 2025 systematic review and meta-analysis found that structured physical exercise interventions (high-intensity exercise, aerobic and resistance training) were more effective than other types of physical activity in improving the mitochondrial oxidative capacity of skeletal muscle cells amongst people with T2DM (Zhu et al., 2025).</w:t>
      </w:r>
    </w:p>
    <w:p w14:paraId="44AEB4A1" w14:textId="42A9FD5C" w:rsidR="00757E84" w:rsidRPr="00AE7D9F" w:rsidRDefault="00757E84" w:rsidP="00757E84">
      <w:pPr>
        <w:rPr>
          <w:b/>
        </w:rPr>
      </w:pPr>
    </w:p>
    <w:p w14:paraId="7D545E19" w14:textId="77777777" w:rsidR="00DE78E0" w:rsidRPr="00757E84" w:rsidRDefault="00757E84" w:rsidP="00757E84">
      <w:pPr>
        <w:pStyle w:val="Heading1"/>
      </w:pPr>
      <w:bookmarkStart w:id="3" w:name="_Toc241211878"/>
      <w:r w:rsidRPr="00757E84">
        <w:t xml:space="preserve">4. </w:t>
      </w:r>
      <w:r w:rsidR="00BF1A8C" w:rsidRPr="00757E84">
        <w:t>How recording and tracking blood sugar helps type 2 diabetics manage their condition</w:t>
      </w:r>
      <w:bookmarkEnd w:id="3"/>
    </w:p>
    <w:p w14:paraId="58338EE6" w14:textId="77777777" w:rsidR="006B6348" w:rsidRPr="006B6348" w:rsidRDefault="006B6348" w:rsidP="006B6348">
      <w:r w:rsidRPr="006B6348">
        <w:t>The monitoring of blood glucose levels regularly can aid patients with T2DM and their healthcare providers by offering more precise information about how factors influence blood glucose levels. In addition, it aids in the fine-tuning of the current treatment plan, when necessary. Conventional use of SMBG and laboratory HbA1c analysis have been used to monitor blood glucose levels and overall glycaemic control for a period of 2-3 months (Davies et al., 2022). While not proven to be advantageous in non-insulin dependent patients with T2DM, a 2023 review and meta-analysis found that structured SMBG may offer marginal benefits in HbA1c and self-confidence in T2DM self-management compared to usual treatment and unstructured blood glucose monitoring (Holmes-Truscott et al., 2023).</w:t>
      </w:r>
    </w:p>
    <w:p w14:paraId="44855B07" w14:textId="43F35BBE" w:rsidR="00AE7D9F" w:rsidRPr="00EC53D5" w:rsidRDefault="006B6348" w:rsidP="006B6348">
      <w:r w:rsidRPr="006B6348">
        <w:t>With technological advances, there are alternative means of blood glucose monitoring. Mobile apps and digital platforms that track blood glucose levels as well as dietary and activity information, may be linked to reduced HbA1c as a result of Greater involvement and awareness of the individual's glycaemic profile and input from health care professionals (Kerr et al., 2024). In addition, a systematic review of RCTs of using real-time CGM (Badawi et al., 2025) showed that using Continuous Glucose Monitoring (CGM) a technique used to measure the glucose level in interstitial fluid by a sensor was linked to better glycaemic management. Therefore, patients with diabetes and their healthcare provider can use either finger-prick blood test, HbA1C or CGM to see the pattern of their diabetes and how lifestyle or medication adjustments like eating meals that raise glucose levels or longer periods of hypoglycaemia later in the day may affect the diabetes</w:t>
      </w:r>
      <w:r w:rsidR="00EC53D5" w:rsidRPr="00EC53D5">
        <w:t>.</w:t>
      </w:r>
    </w:p>
    <w:p w14:paraId="408F633B" w14:textId="74235B4D" w:rsidR="00757E84" w:rsidRPr="00AE7D9F" w:rsidRDefault="00757E84" w:rsidP="00757E84">
      <w:pPr>
        <w:rPr>
          <w:b/>
        </w:rPr>
      </w:pPr>
    </w:p>
    <w:p w14:paraId="57DEA281" w14:textId="77777777" w:rsidR="00DE78E0" w:rsidRPr="00757E84" w:rsidRDefault="00757E84" w:rsidP="00757E84">
      <w:pPr>
        <w:pStyle w:val="Heading1"/>
      </w:pPr>
      <w:bookmarkStart w:id="4" w:name="_Toc241211879"/>
      <w:r w:rsidRPr="00757E84">
        <w:t xml:space="preserve">5. </w:t>
      </w:r>
      <w:r w:rsidR="00BF1A8C" w:rsidRPr="00757E84">
        <w:t>Evidence-based lifestyle recommendations</w:t>
      </w:r>
      <w:bookmarkEnd w:id="4"/>
    </w:p>
    <w:p w14:paraId="092F35FC" w14:textId="77777777" w:rsidR="006B6348" w:rsidRPr="006B6348" w:rsidRDefault="006B6348" w:rsidP="006B6348">
      <w:r w:rsidRPr="006B6348">
        <w:t>As well as tablet medicines as required, lifestyle changes have been recognized as a necessary component of managing T2DM. The European Association for the Study of Diabetes and the American Diabetes Association in 2022 published a consensus statement calling for nutrition counseling and education, and physical activity (Davies et al., 2022) to be offered to all adults with T2DM. The recommendations might apply to the UK, as NICE guidelines for adults with T2DM recommend a personalised care plan which should include guidance on diet and physical activity, a weight loss plan and treatment for smoking cessation (National Institute for Health and Care Excellence, 2022).</w:t>
      </w:r>
    </w:p>
    <w:p w14:paraId="7336B59F" w14:textId="77777777" w:rsidR="006B6348" w:rsidRPr="006B6348" w:rsidRDefault="006B6348" w:rsidP="006B6348">
      <w:r w:rsidRPr="006B6348">
        <w:t>The umbrella review of meta-analyses shows that both weight management diets and improved glycaemic parameters are clinically important, and especially, larger weight reduction (Wang et al., 2025), such as low calorie diets and low carbohydrate diets. In the systematic review on lifestyle interventions in LMICs, the authors find that, compared to usual care, physical activity and dietary intervention is likely to be more effective on fasting blood glucose, HbA1c and BMI (O'Donoghue et al., 2021). The 2025 ACSHPAP strongly recommends treatment and remission strategies for T2DM by incorporating aerobic and muscle strengthening exercise prescription, and reducing sedentary time (Rosenfeld et al., 2025). This matches physiological evidence, which shows that exercise training can increase the mitochondria and the oxidative capacity of skeletal muscles (Zhu et al., 2025).</w:t>
      </w:r>
    </w:p>
    <w:p w14:paraId="2287384B" w14:textId="77777777" w:rsidR="006B6348" w:rsidRPr="006B6348" w:rsidRDefault="006B6348" w:rsidP="006B6348">
      <w:r w:rsidRPr="006B6348">
        <w:t>Overall, the evidence indicates that a multi-disciplinary approach is needed, incorporating personalised dietary changes with a target of a healthy diet and maintenance, regular aerobic and resistance exercise, and minimising sitting time and, if applicable, alcohol moderation and smoking cessation support provided in the form of structured education and behavioural support. (Rosenfeld et al., 2025; NICE, 2022).</w:t>
      </w:r>
    </w:p>
    <w:p w14:paraId="47D6E729" w14:textId="77777777" w:rsidR="006B6348" w:rsidRDefault="006B6348" w:rsidP="006B6348">
      <w:pPr>
        <w:pStyle w:val="Heading1"/>
        <w:rPr>
          <w:b w:val="0"/>
          <w:szCs w:val="20"/>
        </w:rPr>
      </w:pPr>
    </w:p>
    <w:p w14:paraId="302F1283" w14:textId="1FDAA8B7" w:rsidR="00DE78E0" w:rsidRPr="00757E84" w:rsidRDefault="00757E84" w:rsidP="006B6348">
      <w:pPr>
        <w:pStyle w:val="Heading1"/>
      </w:pPr>
      <w:bookmarkStart w:id="5" w:name="_Toc241211880"/>
      <w:r w:rsidRPr="00757E84">
        <w:t xml:space="preserve">5. </w:t>
      </w:r>
      <w:r w:rsidR="00BF1A8C" w:rsidRPr="00757E84">
        <w:t>Conclusion</w:t>
      </w:r>
      <w:bookmarkEnd w:id="5"/>
    </w:p>
    <w:p w14:paraId="0F056A10" w14:textId="2F45BE27" w:rsidR="00AE7D9F" w:rsidRPr="00AE7D9F" w:rsidRDefault="006B6348" w:rsidP="00AE7D9F">
      <w:r w:rsidRPr="006B6348">
        <w:t>The cause of type 2 diabetes is a failure of the finely orchestrated endocrine system responsible for maintaining a balance of blood sugar levels – insulin resistance of the muscle, liver and fat, plus a progressive loss of the pancreatic beta cells. As glucose and oxygen are the vital ingredients for cellular respiration and energy production, the impairment of glucose intake and usage, especially associated mitochondrial dysfunction (an area currently of research focus in skeletal muscle), forms the physiological basis for the disease. Identification of risk factors for T2DM, understanding the physiological mechanism involved in the normal glucose regulation as well as the pathophysiology of T2DM and the evidence-base behind the various interventions in the regulation of blood glucose and lifestyle modification provide the systematic approach for the management of T2DM</w:t>
      </w:r>
      <w:r w:rsidR="00AE7D9F" w:rsidRPr="00AE7D9F">
        <w:t>.</w:t>
      </w:r>
    </w:p>
    <w:p w14:paraId="18E5E5F6" w14:textId="7BF55D33" w:rsidR="00757E84" w:rsidRPr="00AE7D9F" w:rsidRDefault="00757E84" w:rsidP="00757E84">
      <w:pPr>
        <w:rPr>
          <w:b/>
        </w:rPr>
      </w:pPr>
    </w:p>
    <w:p w14:paraId="46B3D4F3" w14:textId="77777777" w:rsidR="00757E84" w:rsidRDefault="00757E84">
      <w:pPr>
        <w:spacing w:line="240" w:lineRule="auto"/>
        <w:jc w:val="left"/>
        <w:rPr>
          <w:szCs w:val="24"/>
        </w:rPr>
      </w:pPr>
      <w:r>
        <w:rPr>
          <w:b/>
          <w:szCs w:val="24"/>
        </w:rPr>
        <w:br w:type="page"/>
      </w:r>
    </w:p>
    <w:p w14:paraId="7BFD4C29" w14:textId="77777777" w:rsidR="00DE78E0" w:rsidRPr="00757E84" w:rsidRDefault="00757E84" w:rsidP="00757E84">
      <w:pPr>
        <w:pStyle w:val="Heading1"/>
      </w:pPr>
      <w:bookmarkStart w:id="6" w:name="_Toc241211881"/>
      <w:r>
        <w:t>References</w:t>
      </w:r>
      <w:bookmarkEnd w:id="6"/>
    </w:p>
    <w:p w14:paraId="3F5FB196" w14:textId="77777777" w:rsidR="00757E84" w:rsidRPr="00757E84" w:rsidRDefault="00757E84" w:rsidP="00757E84">
      <w:pPr>
        <w:ind w:left="720" w:hanging="720"/>
      </w:pPr>
      <w:r w:rsidRPr="00757E84">
        <w:t xml:space="preserve">Badawi, S.A.A., Alhajri, A.H.M., Altayb, N.M.O., Mohmmed, E., Hassabelrasoul, R.K.E., Mohammed, S.A.S., Mohammed, W.H.A. and El Ghali, J.A. (2025) 'Efficacy of real-time continuous glucose monitoring in improving glycemic outcomes among adults with type 2 diabetes: a systematic review of randomized controlled trials', Cureus, 17(8), e89534. Available at: </w:t>
      </w:r>
      <w:hyperlink r:id="rId8" w:history="1">
        <w:r w:rsidRPr="006213ED">
          <w:rPr>
            <w:rStyle w:val="Hyperlink"/>
          </w:rPr>
          <w:t>https://www.ncbi.nlm.nih.gov/pmc/articles/PMC12413689/</w:t>
        </w:r>
      </w:hyperlink>
      <w:r w:rsidRPr="00757E84">
        <w:t>.</w:t>
      </w:r>
      <w:r>
        <w:t xml:space="preserve"> </w:t>
      </w:r>
    </w:p>
    <w:p w14:paraId="552CA886" w14:textId="77777777" w:rsidR="00757E84" w:rsidRPr="00757E84" w:rsidRDefault="00757E84" w:rsidP="00757E84">
      <w:pPr>
        <w:ind w:left="720" w:hanging="720"/>
      </w:pPr>
      <w:r w:rsidRPr="00757E84">
        <w:t xml:space="preserve">Betts, J.G., Young, K.A., Wise, J.A., Johnson, E. and Poe, B. (2022) Anatomy and Physiology 2e. Houston, TX: OpenStax. Available at: </w:t>
      </w:r>
      <w:hyperlink r:id="rId9" w:history="1">
        <w:r w:rsidRPr="006213ED">
          <w:rPr>
            <w:rStyle w:val="Hyperlink"/>
          </w:rPr>
          <w:t>https://openstax.org/details/books/anatomy-and-physiology-2e</w:t>
        </w:r>
      </w:hyperlink>
      <w:r w:rsidRPr="00757E84">
        <w:t>.</w:t>
      </w:r>
      <w:r>
        <w:t xml:space="preserve"> </w:t>
      </w:r>
    </w:p>
    <w:p w14:paraId="2D49FF23" w14:textId="77777777" w:rsidR="00757E84" w:rsidRPr="00757E84" w:rsidRDefault="00757E84" w:rsidP="00757E84">
      <w:pPr>
        <w:ind w:left="720" w:hanging="720"/>
      </w:pPr>
      <w:r w:rsidRPr="00757E84">
        <w:t xml:space="preserve">Davies, M.J., Aroda, V.R., Collins, B.S., Gabbay, R.A., Green, J., Maruthur, N.M., Rosas, S.E., Del Prato, S., Mathieu, C., Mingrone, G., Rossing, P., Tankova, T., Tsapas, A. and Buse, J.B. (2022) 'Management of hyperglycemia in type 2 diabetes, 2022. A consensus report by the American Diabetes Association (ADA) and the European Association for the Study of Diabetes (EASD)', Diabetologia, 65(12), pp.1925–1966. Available at: </w:t>
      </w:r>
      <w:hyperlink r:id="rId10" w:history="1">
        <w:r w:rsidRPr="006213ED">
          <w:rPr>
            <w:rStyle w:val="Hyperlink"/>
          </w:rPr>
          <w:t>https://doi.org/10.1007/s00125-022-05787-2</w:t>
        </w:r>
      </w:hyperlink>
      <w:r w:rsidRPr="00757E84">
        <w:t>.</w:t>
      </w:r>
      <w:r>
        <w:t xml:space="preserve"> </w:t>
      </w:r>
    </w:p>
    <w:p w14:paraId="0ACDAF1F" w14:textId="77777777" w:rsidR="00757E84" w:rsidRPr="00757E84" w:rsidRDefault="00757E84" w:rsidP="00757E84">
      <w:pPr>
        <w:ind w:left="720" w:hanging="720"/>
      </w:pPr>
      <w:r w:rsidRPr="00757E84">
        <w:t xml:space="preserve">Holmes-Truscott, E., Baptista, S., Ling, M., Collins, E., Ekinci, E.I., Furler, J., Hagger, V., Manski-Nankervis, J-A., Wells, C. and Speight, J. (2023) 'The impact of structured self-monitoring of blood glucose on clinical, behavioral, and psychosocial outcomes among adults with non-insulin-treated type 2 diabetes: a systematic review and meta-analysis', Frontiers in Clinical Diabetes and Healthcare, 4, 1177030. Available at: </w:t>
      </w:r>
      <w:hyperlink r:id="rId11" w:history="1">
        <w:r w:rsidRPr="006213ED">
          <w:rPr>
            <w:rStyle w:val="Hyperlink"/>
          </w:rPr>
          <w:t>https://doi.org/10.3389/fcdhc.2023.1177030</w:t>
        </w:r>
      </w:hyperlink>
      <w:r w:rsidRPr="00757E84">
        <w:t>.</w:t>
      </w:r>
      <w:r>
        <w:t xml:space="preserve"> </w:t>
      </w:r>
    </w:p>
    <w:p w14:paraId="0FC3DDBB" w14:textId="77777777" w:rsidR="00757E84" w:rsidRPr="00757E84" w:rsidRDefault="00757E84" w:rsidP="00757E84">
      <w:pPr>
        <w:ind w:left="720" w:hanging="720"/>
      </w:pPr>
      <w:r w:rsidRPr="00757E84">
        <w:t xml:space="preserve">Huang, Q., Li, Y., Yu, M., Lv, Z., Lu, F., Xu, N., Zhang, Q., Shen, J. and Jiang, H. (2025) 'Global burden and risk factors of type 2 diabetes mellitus from 1990 to 2021, with forecasts to 2050', Frontiers in Endocrinology, 16, 1538143. Available at: </w:t>
      </w:r>
      <w:hyperlink r:id="rId12" w:history="1">
        <w:r w:rsidRPr="006213ED">
          <w:rPr>
            <w:rStyle w:val="Hyperlink"/>
          </w:rPr>
          <w:t>https://doi.org/10.3389/fendo.2025.1538143</w:t>
        </w:r>
      </w:hyperlink>
      <w:r w:rsidRPr="00757E84">
        <w:t>.</w:t>
      </w:r>
      <w:r>
        <w:t xml:space="preserve"> </w:t>
      </w:r>
    </w:p>
    <w:p w14:paraId="681DFB84" w14:textId="77777777" w:rsidR="00757E84" w:rsidRPr="00757E84" w:rsidRDefault="00757E84" w:rsidP="00757E84">
      <w:pPr>
        <w:ind w:left="720" w:hanging="720"/>
      </w:pPr>
      <w:r w:rsidRPr="00757E84">
        <w:t xml:space="preserve">International Diabetes Federation (2021) IDF Diabetes Atlas. 10th edn. Brussels: International Diabetes Federation. Available at: </w:t>
      </w:r>
      <w:hyperlink r:id="rId13" w:history="1">
        <w:r w:rsidRPr="006213ED">
          <w:rPr>
            <w:rStyle w:val="Hyperlink"/>
          </w:rPr>
          <w:t>https://www.diabetesatlas.org</w:t>
        </w:r>
      </w:hyperlink>
      <w:r w:rsidRPr="00757E84">
        <w:t>.</w:t>
      </w:r>
      <w:r>
        <w:t xml:space="preserve"> </w:t>
      </w:r>
    </w:p>
    <w:p w14:paraId="6146D3B6" w14:textId="77777777" w:rsidR="00757E84" w:rsidRPr="00757E84" w:rsidRDefault="00757E84" w:rsidP="00757E84">
      <w:pPr>
        <w:ind w:left="720" w:hanging="720"/>
      </w:pPr>
      <w:r w:rsidRPr="00757E84">
        <w:t xml:space="preserve">Kerr, D., Ahn, D., Waki, K., Wang, J., Breznen, B. and Klonoff, D.C. (2024) 'Digital interventions for self-management of type 2 diabetes mellitus: systematic literature review and meta-analysis', Journal of Medical Internet Research, 26, e55757. Available at: </w:t>
      </w:r>
      <w:hyperlink r:id="rId14" w:history="1">
        <w:r w:rsidRPr="006213ED">
          <w:rPr>
            <w:rStyle w:val="Hyperlink"/>
          </w:rPr>
          <w:t>https://doi.org/10.2196/55757</w:t>
        </w:r>
      </w:hyperlink>
      <w:r w:rsidRPr="00757E84">
        <w:t>.</w:t>
      </w:r>
      <w:r>
        <w:t xml:space="preserve"> </w:t>
      </w:r>
    </w:p>
    <w:p w14:paraId="7534E85F" w14:textId="77777777" w:rsidR="00757E84" w:rsidRPr="00757E84" w:rsidRDefault="00757E84" w:rsidP="00757E84">
      <w:pPr>
        <w:ind w:left="720" w:hanging="720"/>
      </w:pPr>
      <w:r w:rsidRPr="00757E84">
        <w:t xml:space="preserve">National Institute for Health and Care Excellence (NICE) (2022) Type 2 diabetes in adults: management (NG28). Available at: </w:t>
      </w:r>
      <w:hyperlink r:id="rId15" w:history="1">
        <w:r w:rsidRPr="006213ED">
          <w:rPr>
            <w:rStyle w:val="Hyperlink"/>
          </w:rPr>
          <w:t>https://www.nice.org.uk/guidance/ng28</w:t>
        </w:r>
      </w:hyperlink>
      <w:r w:rsidRPr="00757E84">
        <w:t>.</w:t>
      </w:r>
      <w:r>
        <w:t xml:space="preserve"> </w:t>
      </w:r>
    </w:p>
    <w:p w14:paraId="09C37D00" w14:textId="77777777" w:rsidR="00757E84" w:rsidRPr="00757E84" w:rsidRDefault="00757E84" w:rsidP="00757E84">
      <w:pPr>
        <w:ind w:left="720" w:hanging="720"/>
      </w:pPr>
      <w:r w:rsidRPr="00757E84">
        <w:t xml:space="preserve">National Institute of Diabetes and Digestive and Kidney Diseases (NIDDK) (2023) Risk factors for type 2 diabetes. Available at: </w:t>
      </w:r>
      <w:hyperlink r:id="rId16" w:history="1">
        <w:r w:rsidRPr="006213ED">
          <w:rPr>
            <w:rStyle w:val="Hyperlink"/>
          </w:rPr>
          <w:t>https://www.niddk.nih.gov/health-information/diabetes/overview/risk-factors-type-2-diabetes</w:t>
        </w:r>
      </w:hyperlink>
      <w:r w:rsidRPr="00757E84">
        <w:t>.</w:t>
      </w:r>
      <w:r>
        <w:t xml:space="preserve"> </w:t>
      </w:r>
    </w:p>
    <w:p w14:paraId="2B9F1F79" w14:textId="77777777" w:rsidR="00757E84" w:rsidRPr="00757E84" w:rsidRDefault="00757E84" w:rsidP="00757E84">
      <w:pPr>
        <w:ind w:left="720" w:hanging="720"/>
      </w:pPr>
      <w:r w:rsidRPr="00757E84">
        <w:t xml:space="preserve">Norton, L., Shannon, C., Gastaldelli, A. and DeFronzo, R.A. (2022) 'Insulin: the master regulator of glucose metabolism', Metabolism, 129, 155142. Available at: </w:t>
      </w:r>
      <w:hyperlink r:id="rId17" w:history="1">
        <w:r w:rsidRPr="006213ED">
          <w:rPr>
            <w:rStyle w:val="Hyperlink"/>
          </w:rPr>
          <w:t>https://doi.org/10.1016/j.metabol.2022.155142</w:t>
        </w:r>
      </w:hyperlink>
      <w:r w:rsidRPr="00757E84">
        <w:t>.</w:t>
      </w:r>
      <w:r>
        <w:t xml:space="preserve"> </w:t>
      </w:r>
    </w:p>
    <w:p w14:paraId="128740D2" w14:textId="77777777" w:rsidR="00757E84" w:rsidRPr="00757E84" w:rsidRDefault="00757E84" w:rsidP="00757E84">
      <w:pPr>
        <w:ind w:left="720" w:hanging="720"/>
      </w:pPr>
      <w:r w:rsidRPr="00757E84">
        <w:t xml:space="preserve">O'Donoghue, G., O'Sullivan, C., Corridan, I., Daly, J., Finn, R., Melvin, K. and Peiris, C. (2021) 'Lifestyle interventions to improve glycemic control in adults with type 2 diabetes living in low-and-middle income countries: a systematic review and meta-analysis of randomized controlled trials (RCTs)', International Journal of Environmental Research and Public Health, 18(12), 6273. Available at: </w:t>
      </w:r>
      <w:hyperlink r:id="rId18" w:history="1">
        <w:r w:rsidRPr="006213ED">
          <w:rPr>
            <w:rStyle w:val="Hyperlink"/>
          </w:rPr>
          <w:t>https://doi.org/10.3390/ijerph18126273</w:t>
        </w:r>
      </w:hyperlink>
      <w:r w:rsidRPr="00757E84">
        <w:t>.</w:t>
      </w:r>
      <w:r>
        <w:t xml:space="preserve"> </w:t>
      </w:r>
    </w:p>
    <w:p w14:paraId="69CE864A" w14:textId="77777777" w:rsidR="00757E84" w:rsidRPr="00757E84" w:rsidRDefault="00757E84" w:rsidP="00757E84">
      <w:pPr>
        <w:ind w:left="720" w:hanging="720"/>
      </w:pPr>
      <w:r w:rsidRPr="00757E84">
        <w:t xml:space="preserve">Rosenfeld, R.M., Donnell, L., Noe, D.R., Kapustin, J., Panigrahi, G., Ram, A., Levine Reisner, L.S., Valencia, W.M., Weatherspoon, L.J., Weber, J.M., Staffier, K.L. and Gulati, M. (2025) 'Executive summary of lifestyle interventions for treatment and remission of type 2 diabetes and prediabetes in adults: a clinical practice guideline from the American College of Lifestyle Medicine', American Journal of Lifestyle Medicine, 19(2 Suppl), pp.132S–154S. Available at: </w:t>
      </w:r>
      <w:hyperlink r:id="rId19" w:history="1">
        <w:r w:rsidRPr="006213ED">
          <w:rPr>
            <w:rStyle w:val="Hyperlink"/>
          </w:rPr>
          <w:t>https://doi.org/10.1177/15598276251325485</w:t>
        </w:r>
      </w:hyperlink>
      <w:r w:rsidRPr="00757E84">
        <w:t>.</w:t>
      </w:r>
      <w:r>
        <w:t xml:space="preserve"> </w:t>
      </w:r>
    </w:p>
    <w:p w14:paraId="3302A218" w14:textId="77777777" w:rsidR="00757E84" w:rsidRPr="00757E84" w:rsidRDefault="00757E84" w:rsidP="00757E84">
      <w:pPr>
        <w:ind w:left="720" w:hanging="720"/>
      </w:pPr>
      <w:r w:rsidRPr="00757E84">
        <w:t xml:space="preserve">Wang, H., Chen, F., Zhang, Q., Chen, J., Zhang, W., Fang, L. and Xiong, P. (2025) 'Evidence-based synthesis for practice: lifestyle interventions in type 2 diabetes with obesity', Diabetes, Metabolic Syndrome and Obesity. Dove Press. Available at: </w:t>
      </w:r>
      <w:hyperlink r:id="rId20" w:history="1">
        <w:r w:rsidRPr="006213ED">
          <w:rPr>
            <w:rStyle w:val="Hyperlink"/>
          </w:rPr>
          <w:t>https://www.dovepress.com/article/download/107438</w:t>
        </w:r>
      </w:hyperlink>
      <w:r w:rsidRPr="00757E84">
        <w:t>.</w:t>
      </w:r>
      <w:r>
        <w:t xml:space="preserve"> </w:t>
      </w:r>
    </w:p>
    <w:p w14:paraId="07114B10" w14:textId="77777777" w:rsidR="00757E84" w:rsidRPr="00757E84" w:rsidRDefault="00757E84" w:rsidP="00757E84">
      <w:pPr>
        <w:ind w:left="720" w:hanging="720"/>
      </w:pPr>
      <w:r w:rsidRPr="00757E84">
        <w:t xml:space="preserve">Zhu, W., Zhou, Z., Sun, J. and Si, J. (2025) 'Effects of exercise training on skeletal muscle mitochondrial outcomes in type 2 diabetes: a systematic review and meta-analysis', Frontiers in Physiology, 16, 1671926. Available at: </w:t>
      </w:r>
      <w:hyperlink r:id="rId21" w:history="1">
        <w:r w:rsidRPr="006213ED">
          <w:rPr>
            <w:rStyle w:val="Hyperlink"/>
          </w:rPr>
          <w:t>https://doi.org/10.3389/fphys.2025.1671926</w:t>
        </w:r>
      </w:hyperlink>
      <w:r w:rsidRPr="00757E84">
        <w:t>.</w:t>
      </w:r>
      <w:r>
        <w:t xml:space="preserve"> </w:t>
      </w:r>
    </w:p>
    <w:sectPr w:rsidR="00757E84" w:rsidRPr="00757E84">
      <w:headerReference w:type="default" r:id="rId22"/>
      <w:footerReference w:type="default" r:id="rId2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27B05" w14:textId="77777777" w:rsidR="009128E7" w:rsidRDefault="009128E7">
      <w:pPr>
        <w:spacing w:line="240" w:lineRule="auto"/>
      </w:pPr>
      <w:r>
        <w:separator/>
      </w:r>
    </w:p>
  </w:endnote>
  <w:endnote w:type="continuationSeparator" w:id="0">
    <w:p w14:paraId="4D999161" w14:textId="77777777" w:rsidR="009128E7" w:rsidRDefault="009128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E1FE5" w14:textId="77777777" w:rsidR="00DE78E0" w:rsidRDefault="00BF1A8C">
    <w:pPr>
      <w:jc w:val="center"/>
    </w:pPr>
    <w:r>
      <w:fldChar w:fldCharType="begin"/>
    </w:r>
    <w:r>
      <w:rPr>
        <w:sz w:val="20"/>
      </w:rPr>
      <w:instrText>PAGE</w:instrText>
    </w:r>
    <w:r>
      <w:fldChar w:fldCharType="separate"/>
    </w:r>
    <w:r w:rsidR="002308FF">
      <w:rPr>
        <w:noProof/>
        <w:sz w:val="20"/>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8FD33" w14:textId="77777777" w:rsidR="009128E7" w:rsidRDefault="009128E7">
      <w:pPr>
        <w:spacing w:line="240" w:lineRule="auto"/>
      </w:pPr>
      <w:r>
        <w:separator/>
      </w:r>
    </w:p>
  </w:footnote>
  <w:footnote w:type="continuationSeparator" w:id="0">
    <w:p w14:paraId="63B3F7A9" w14:textId="77777777" w:rsidR="009128E7" w:rsidRDefault="009128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C7A84" w14:textId="77777777" w:rsidR="00DE78E0" w:rsidRDefault="00DE78E0">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9E7B0E"/>
    <w:multiLevelType w:val="hybridMultilevel"/>
    <w:tmpl w:val="155E085E"/>
    <w:lvl w:ilvl="0" w:tplc="66402C8A">
      <w:start w:val="1"/>
      <w:numFmt w:val="bullet"/>
      <w:lvlText w:val="●"/>
      <w:lvlJc w:val="left"/>
      <w:pPr>
        <w:ind w:left="720" w:hanging="360"/>
      </w:pPr>
    </w:lvl>
    <w:lvl w:ilvl="1" w:tplc="09C64492">
      <w:start w:val="1"/>
      <w:numFmt w:val="bullet"/>
      <w:lvlText w:val="○"/>
      <w:lvlJc w:val="left"/>
      <w:pPr>
        <w:ind w:left="1440" w:hanging="360"/>
      </w:pPr>
    </w:lvl>
    <w:lvl w:ilvl="2" w:tplc="0152FC02">
      <w:start w:val="1"/>
      <w:numFmt w:val="bullet"/>
      <w:lvlText w:val="■"/>
      <w:lvlJc w:val="left"/>
      <w:pPr>
        <w:ind w:left="2160" w:hanging="360"/>
      </w:pPr>
    </w:lvl>
    <w:lvl w:ilvl="3" w:tplc="95DED05A">
      <w:start w:val="1"/>
      <w:numFmt w:val="bullet"/>
      <w:lvlText w:val="●"/>
      <w:lvlJc w:val="left"/>
      <w:pPr>
        <w:ind w:left="2880" w:hanging="360"/>
      </w:pPr>
    </w:lvl>
    <w:lvl w:ilvl="4" w:tplc="911679E8">
      <w:start w:val="1"/>
      <w:numFmt w:val="bullet"/>
      <w:lvlText w:val="○"/>
      <w:lvlJc w:val="left"/>
      <w:pPr>
        <w:ind w:left="3600" w:hanging="360"/>
      </w:pPr>
    </w:lvl>
    <w:lvl w:ilvl="5" w:tplc="1DDCD87A">
      <w:start w:val="1"/>
      <w:numFmt w:val="bullet"/>
      <w:lvlText w:val="■"/>
      <w:lvlJc w:val="left"/>
      <w:pPr>
        <w:ind w:left="4320" w:hanging="360"/>
      </w:pPr>
    </w:lvl>
    <w:lvl w:ilvl="6" w:tplc="6C7EA030">
      <w:start w:val="1"/>
      <w:numFmt w:val="bullet"/>
      <w:lvlText w:val="●"/>
      <w:lvlJc w:val="left"/>
      <w:pPr>
        <w:ind w:left="5040" w:hanging="360"/>
      </w:pPr>
    </w:lvl>
    <w:lvl w:ilvl="7" w:tplc="EB90903E">
      <w:start w:val="1"/>
      <w:numFmt w:val="bullet"/>
      <w:lvlText w:val="●"/>
      <w:lvlJc w:val="left"/>
      <w:pPr>
        <w:ind w:left="5760" w:hanging="360"/>
      </w:pPr>
    </w:lvl>
    <w:lvl w:ilvl="8" w:tplc="4434EBAA">
      <w:start w:val="1"/>
      <w:numFmt w:val="bullet"/>
      <w:lvlText w:val="●"/>
      <w:lvlJc w:val="left"/>
      <w:pPr>
        <w:ind w:left="6480" w:hanging="360"/>
      </w:pPr>
    </w:lvl>
  </w:abstractNum>
  <w:num w:numId="1" w16cid:durableId="5446789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8E0"/>
    <w:rsid w:val="00031159"/>
    <w:rsid w:val="0011583E"/>
    <w:rsid w:val="001B4EB5"/>
    <w:rsid w:val="002015CF"/>
    <w:rsid w:val="002308FF"/>
    <w:rsid w:val="00235FEA"/>
    <w:rsid w:val="00254DD1"/>
    <w:rsid w:val="00407F80"/>
    <w:rsid w:val="00421CE4"/>
    <w:rsid w:val="00652855"/>
    <w:rsid w:val="006B6348"/>
    <w:rsid w:val="007457F1"/>
    <w:rsid w:val="00757E84"/>
    <w:rsid w:val="007C6E89"/>
    <w:rsid w:val="00800172"/>
    <w:rsid w:val="008B4C33"/>
    <w:rsid w:val="008C5146"/>
    <w:rsid w:val="008E49D7"/>
    <w:rsid w:val="009128E7"/>
    <w:rsid w:val="00920CEE"/>
    <w:rsid w:val="009C01E0"/>
    <w:rsid w:val="00A00187"/>
    <w:rsid w:val="00AE7D9F"/>
    <w:rsid w:val="00B26942"/>
    <w:rsid w:val="00BF1A8C"/>
    <w:rsid w:val="00C2743D"/>
    <w:rsid w:val="00C444FE"/>
    <w:rsid w:val="00C52EFE"/>
    <w:rsid w:val="00C622DC"/>
    <w:rsid w:val="00CC6ADB"/>
    <w:rsid w:val="00CF35F1"/>
    <w:rsid w:val="00D72CDD"/>
    <w:rsid w:val="00DC37A1"/>
    <w:rsid w:val="00DE78E0"/>
    <w:rsid w:val="00E16B3B"/>
    <w:rsid w:val="00E429A0"/>
    <w:rsid w:val="00EC53D5"/>
    <w:rsid w:val="00F16EA0"/>
    <w:rsid w:val="00FB79EE"/>
    <w:rsid w:val="00FE3B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4A27"/>
  <w15:docId w15:val="{8C9F363D-2F06-4610-B97F-EFACE89D4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EB5"/>
    <w:pPr>
      <w:spacing w:line="360" w:lineRule="auto"/>
      <w:jc w:val="both"/>
    </w:pPr>
    <w:rPr>
      <w:color w:val="000000" w:themeColor="text1"/>
      <w:sz w:val="24"/>
    </w:rPr>
  </w:style>
  <w:style w:type="paragraph" w:styleId="Heading1">
    <w:name w:val="heading 1"/>
    <w:qFormat/>
    <w:rsid w:val="001B4EB5"/>
    <w:pPr>
      <w:spacing w:line="360" w:lineRule="auto"/>
      <w:jc w:val="both"/>
      <w:outlineLvl w:val="0"/>
    </w:pPr>
    <w:rPr>
      <w:b/>
      <w:color w:val="000000" w:themeColor="text1"/>
      <w:sz w:val="24"/>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B4EB5"/>
    <w:pPr>
      <w:tabs>
        <w:tab w:val="center" w:pos="4680"/>
        <w:tab w:val="right" w:pos="9360"/>
      </w:tabs>
    </w:pPr>
  </w:style>
  <w:style w:type="character" w:customStyle="1" w:styleId="HeaderChar">
    <w:name w:val="Header Char"/>
    <w:basedOn w:val="DefaultParagraphFont"/>
    <w:link w:val="Header"/>
    <w:uiPriority w:val="99"/>
    <w:rsid w:val="001B4EB5"/>
  </w:style>
  <w:style w:type="paragraph" w:styleId="Footer">
    <w:name w:val="footer"/>
    <w:basedOn w:val="Normal"/>
    <w:link w:val="FooterChar"/>
    <w:uiPriority w:val="99"/>
    <w:unhideWhenUsed/>
    <w:rsid w:val="001B4EB5"/>
    <w:pPr>
      <w:tabs>
        <w:tab w:val="center" w:pos="4680"/>
        <w:tab w:val="right" w:pos="9360"/>
      </w:tabs>
    </w:pPr>
  </w:style>
  <w:style w:type="character" w:customStyle="1" w:styleId="FooterChar">
    <w:name w:val="Footer Char"/>
    <w:basedOn w:val="DefaultParagraphFont"/>
    <w:link w:val="Footer"/>
    <w:uiPriority w:val="99"/>
    <w:rsid w:val="001B4EB5"/>
  </w:style>
  <w:style w:type="paragraph" w:styleId="TOCHeading">
    <w:name w:val="TOC Heading"/>
    <w:basedOn w:val="Heading1"/>
    <w:next w:val="Normal"/>
    <w:uiPriority w:val="39"/>
    <w:unhideWhenUsed/>
    <w:qFormat/>
    <w:rsid w:val="002308FF"/>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2308F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2413689/" TargetMode="External"/><Relationship Id="rId13" Type="http://schemas.openxmlformats.org/officeDocument/2006/relationships/hyperlink" Target="https://www.diabetesatlas.org" TargetMode="External"/><Relationship Id="rId18" Type="http://schemas.openxmlformats.org/officeDocument/2006/relationships/hyperlink" Target="https://doi.org/10.3390/ijerph18126273" TargetMode="External"/><Relationship Id="rId3" Type="http://schemas.openxmlformats.org/officeDocument/2006/relationships/styles" Target="styles.xml"/><Relationship Id="rId21" Type="http://schemas.openxmlformats.org/officeDocument/2006/relationships/hyperlink" Target="https://doi.org/10.3389/fphys.2025.1671926" TargetMode="External"/><Relationship Id="rId7" Type="http://schemas.openxmlformats.org/officeDocument/2006/relationships/endnotes" Target="endnotes.xml"/><Relationship Id="rId12" Type="http://schemas.openxmlformats.org/officeDocument/2006/relationships/hyperlink" Target="https://doi.org/10.3389/fendo.2025.1538143" TargetMode="External"/><Relationship Id="rId17" Type="http://schemas.openxmlformats.org/officeDocument/2006/relationships/hyperlink" Target="https://doi.org/10.1016/j.metabol.2022.15514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ddk.nih.gov/health-information/diabetes/overview/risk-factors-type-2-diabetes" TargetMode="External"/><Relationship Id="rId20" Type="http://schemas.openxmlformats.org/officeDocument/2006/relationships/hyperlink" Target="https://www.dovepress.com/article/download/1074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cdhc.2023.117703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ice.org.uk/guidance/ng28" TargetMode="External"/><Relationship Id="rId23" Type="http://schemas.openxmlformats.org/officeDocument/2006/relationships/footer" Target="footer1.xml"/><Relationship Id="rId10" Type="http://schemas.openxmlformats.org/officeDocument/2006/relationships/hyperlink" Target="https://doi.org/10.1007/s00125-022-05787-2" TargetMode="External"/><Relationship Id="rId19" Type="http://schemas.openxmlformats.org/officeDocument/2006/relationships/hyperlink" Target="https://doi.org/10.1177/15598276251325485" TargetMode="External"/><Relationship Id="rId4" Type="http://schemas.openxmlformats.org/officeDocument/2006/relationships/settings" Target="settings.xml"/><Relationship Id="rId9" Type="http://schemas.openxmlformats.org/officeDocument/2006/relationships/hyperlink" Target="https://openstax.org/details/books/anatomy-and-physiology-2e" TargetMode="External"/><Relationship Id="rId14" Type="http://schemas.openxmlformats.org/officeDocument/2006/relationships/hyperlink" Target="https://doi.org/10.2196/5575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E0B0A-7DD0-4D4A-9F7D-C00CC46E8B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2681</Words>
  <Characters>15285</Characters>
  <Application>Microsoft Office Word</Application>
  <DocSecurity>0</DocSecurity>
  <Lines>127</Lines>
  <Paragraphs>35</Paragraphs>
  <ScaleCrop>false</ScaleCrop>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 Chaudhary</cp:lastModifiedBy>
  <cp:revision>5</cp:revision>
  <dcterms:created xsi:type="dcterms:W3CDTF">2026-10-02T10:47:00Z</dcterms:created>
  <dcterms:modified xsi:type="dcterms:W3CDTF">2026-10-02T10:51:00Z</dcterms:modified>
</cp:coreProperties>
</file>