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7D8930B" wp14:paraId="2C078E63" wp14:textId="77777777">
      <w:pPr>
        <w:rPr>
          <w:rFonts w:ascii="Calibri" w:hAnsi="Calibri" w:eastAsia="Calibri" w:cs="Calibri"/>
        </w:rPr>
      </w:pPr>
    </w:p>
    <w:p w:rsidR="5684D4DE" w:rsidP="07D8930B" w:rsidRDefault="5684D4DE" w14:paraId="56886971" w14:textId="7C6B4928">
      <w:pPr>
        <w:pStyle w:val="Normal"/>
        <w:rPr>
          <w:rFonts w:ascii="Calibri" w:hAnsi="Calibri" w:eastAsia="Calibri" w:cs="Calibri"/>
          <w:b w:val="1"/>
          <w:bCs w:val="1"/>
          <w:noProof w:val="0"/>
          <w:sz w:val="36"/>
          <w:szCs w:val="36"/>
          <w:u w:val="single"/>
          <w:lang w:val="en-US"/>
        </w:rPr>
      </w:pPr>
      <w:r w:rsidRPr="07D8930B" w:rsidR="5684D4DE">
        <w:rPr>
          <w:rFonts w:ascii="Calibri" w:hAnsi="Calibri" w:eastAsia="Calibri" w:cs="Calibri"/>
          <w:b w:val="1"/>
          <w:bCs w:val="1"/>
          <w:noProof w:val="0"/>
          <w:sz w:val="36"/>
          <w:szCs w:val="36"/>
          <w:u w:val="single"/>
          <w:lang w:val="en-US"/>
        </w:rPr>
        <w:t xml:space="preserve">Contemporary HR Challenges and Practices at Marks &amp; Spencer </w:t>
      </w:r>
    </w:p>
    <w:p w:rsidR="5684D4DE" w:rsidP="07D8930B" w:rsidRDefault="5684D4DE" w14:paraId="095C649F" w14:textId="38D80642">
      <w:pPr>
        <w:pStyle w:val="Normal"/>
        <w:rPr>
          <w:rFonts w:ascii="Calibri" w:hAnsi="Calibri" w:eastAsia="Calibri" w:cs="Calibri"/>
          <w:b w:val="1"/>
          <w:bCs w:val="1"/>
          <w:noProof w:val="0"/>
          <w:sz w:val="36"/>
          <w:szCs w:val="36"/>
          <w:u w:val="single"/>
          <w:lang w:val="en-US"/>
        </w:rPr>
      </w:pPr>
      <w:r w:rsidRPr="07D8930B" w:rsidR="5684D4DE">
        <w:rPr>
          <w:rFonts w:ascii="Calibri" w:hAnsi="Calibri" w:eastAsia="Calibri" w:cs="Calibri"/>
          <w:b w:val="1"/>
          <w:bCs w:val="1"/>
          <w:noProof w:val="0"/>
          <w:sz w:val="32"/>
          <w:szCs w:val="32"/>
          <w:u w:val="single"/>
          <w:lang w:val="en-US"/>
        </w:rPr>
        <w:t xml:space="preserve">1. Introduction </w:t>
      </w:r>
    </w:p>
    <w:p w:rsidR="5684D4DE" w:rsidP="07D8930B" w:rsidRDefault="5684D4DE" w14:paraId="73BE0547" w14:textId="4BBB4933">
      <w:pPr>
        <w:spacing w:before="240" w:beforeAutospacing="off" w:after="240" w:afterAutospacing="off"/>
        <w:rPr>
          <w:rFonts w:ascii="Calibri" w:hAnsi="Calibri" w:eastAsia="Calibri" w:cs="Calibri"/>
          <w:noProof w:val="0"/>
          <w:sz w:val="24"/>
          <w:szCs w:val="24"/>
          <w:lang w:val="en-US"/>
        </w:rPr>
      </w:pPr>
      <w:r w:rsidRPr="07D8930B" w:rsidR="5684D4DE">
        <w:rPr>
          <w:rFonts w:ascii="Calibri" w:hAnsi="Calibri" w:eastAsia="Calibri" w:cs="Calibri"/>
          <w:noProof w:val="0"/>
          <w:sz w:val="24"/>
          <w:szCs w:val="24"/>
          <w:lang w:val="en-US"/>
        </w:rPr>
        <w:t xml:space="preserve">Human Resource Management (HRM) plays a critical role in helping </w:t>
      </w:r>
      <w:r w:rsidRPr="07D8930B" w:rsidR="5684D4DE">
        <w:rPr>
          <w:rFonts w:ascii="Calibri" w:hAnsi="Calibri" w:eastAsia="Calibri" w:cs="Calibri"/>
          <w:noProof w:val="0"/>
          <w:sz w:val="24"/>
          <w:szCs w:val="24"/>
          <w:lang w:val="en-US"/>
        </w:rPr>
        <w:t>organizations</w:t>
      </w:r>
      <w:r w:rsidRPr="07D8930B" w:rsidR="5684D4DE">
        <w:rPr>
          <w:rFonts w:ascii="Calibri" w:hAnsi="Calibri" w:eastAsia="Calibri" w:cs="Calibri"/>
          <w:noProof w:val="0"/>
          <w:sz w:val="24"/>
          <w:szCs w:val="24"/>
          <w:lang w:val="en-US"/>
        </w:rPr>
        <w:t xml:space="preserve"> adapt to modern business challenges. </w:t>
      </w:r>
      <w:r w:rsidRPr="07D8930B" w:rsidR="5684D4DE">
        <w:rPr>
          <w:rFonts w:ascii="Calibri" w:hAnsi="Calibri" w:eastAsia="Calibri" w:cs="Calibri"/>
          <w:noProof w:val="0"/>
          <w:sz w:val="24"/>
          <w:szCs w:val="24"/>
          <w:lang w:val="en-US"/>
        </w:rPr>
        <w:t>Organizations</w:t>
      </w:r>
      <w:r w:rsidRPr="07D8930B" w:rsidR="5684D4DE">
        <w:rPr>
          <w:rFonts w:ascii="Calibri" w:hAnsi="Calibri" w:eastAsia="Calibri" w:cs="Calibri"/>
          <w:noProof w:val="0"/>
          <w:sz w:val="24"/>
          <w:szCs w:val="24"/>
          <w:lang w:val="en-US"/>
        </w:rPr>
        <w:t xml:space="preserve"> </w:t>
      </w:r>
      <w:r w:rsidRPr="07D8930B" w:rsidR="5684D4DE">
        <w:rPr>
          <w:rFonts w:ascii="Calibri" w:hAnsi="Calibri" w:eastAsia="Calibri" w:cs="Calibri"/>
          <w:noProof w:val="0"/>
          <w:sz w:val="24"/>
          <w:szCs w:val="24"/>
          <w:lang w:val="en-US"/>
        </w:rPr>
        <w:t>operating</w:t>
      </w:r>
      <w:r w:rsidRPr="07D8930B" w:rsidR="5684D4DE">
        <w:rPr>
          <w:rFonts w:ascii="Calibri" w:hAnsi="Calibri" w:eastAsia="Calibri" w:cs="Calibri"/>
          <w:noProof w:val="0"/>
          <w:sz w:val="24"/>
          <w:szCs w:val="24"/>
          <w:lang w:val="en-US"/>
        </w:rPr>
        <w:t xml:space="preserve"> in competitive environments must ensure that their workforce is skilled, motivated, and aligned with business </w:t>
      </w:r>
      <w:r w:rsidRPr="07D8930B" w:rsidR="5684D4DE">
        <w:rPr>
          <w:rFonts w:ascii="Calibri" w:hAnsi="Calibri" w:eastAsia="Calibri" w:cs="Calibri"/>
          <w:noProof w:val="0"/>
          <w:sz w:val="24"/>
          <w:szCs w:val="24"/>
          <w:lang w:val="en-US"/>
        </w:rPr>
        <w:t>objectives</w:t>
      </w:r>
      <w:r w:rsidRPr="07D8930B" w:rsidR="5684D4DE">
        <w:rPr>
          <w:rFonts w:ascii="Calibri" w:hAnsi="Calibri" w:eastAsia="Calibri" w:cs="Calibri"/>
          <w:noProof w:val="0"/>
          <w:sz w:val="24"/>
          <w:szCs w:val="24"/>
          <w:lang w:val="en-US"/>
        </w:rPr>
        <w:t xml:space="preserve">. Effective HR strategies allow </w:t>
      </w:r>
      <w:r w:rsidRPr="07D8930B" w:rsidR="5684D4DE">
        <w:rPr>
          <w:rFonts w:ascii="Calibri" w:hAnsi="Calibri" w:eastAsia="Calibri" w:cs="Calibri"/>
          <w:noProof w:val="0"/>
          <w:sz w:val="24"/>
          <w:szCs w:val="24"/>
          <w:lang w:val="en-US"/>
        </w:rPr>
        <w:t>organizations</w:t>
      </w:r>
      <w:r w:rsidRPr="07D8930B" w:rsidR="5684D4DE">
        <w:rPr>
          <w:rFonts w:ascii="Calibri" w:hAnsi="Calibri" w:eastAsia="Calibri" w:cs="Calibri"/>
          <w:noProof w:val="0"/>
          <w:sz w:val="24"/>
          <w:szCs w:val="24"/>
          <w:lang w:val="en-US"/>
        </w:rPr>
        <w:t xml:space="preserve"> to remain productive while adapting to technological change, attracting talented employees, and promoting an inclusive workplace culture. These areas have become increasingly important as </w:t>
      </w:r>
      <w:r w:rsidRPr="07D8930B" w:rsidR="5684D4DE">
        <w:rPr>
          <w:rFonts w:ascii="Calibri" w:hAnsi="Calibri" w:eastAsia="Calibri" w:cs="Calibri"/>
          <w:noProof w:val="0"/>
          <w:sz w:val="24"/>
          <w:szCs w:val="24"/>
          <w:lang w:val="en-US"/>
        </w:rPr>
        <w:t>organizations</w:t>
      </w:r>
      <w:r w:rsidRPr="07D8930B" w:rsidR="5684D4DE">
        <w:rPr>
          <w:rFonts w:ascii="Calibri" w:hAnsi="Calibri" w:eastAsia="Calibri" w:cs="Calibri"/>
          <w:noProof w:val="0"/>
          <w:sz w:val="24"/>
          <w:szCs w:val="24"/>
          <w:lang w:val="en-US"/>
        </w:rPr>
        <w:t xml:space="preserve"> face </w:t>
      </w:r>
      <w:r w:rsidRPr="07D8930B" w:rsidR="5684D4DE">
        <w:rPr>
          <w:rFonts w:ascii="Calibri" w:hAnsi="Calibri" w:eastAsia="Calibri" w:cs="Calibri"/>
          <w:noProof w:val="0"/>
          <w:sz w:val="24"/>
          <w:szCs w:val="24"/>
          <w:lang w:val="en-US"/>
        </w:rPr>
        <w:t>globalisation</w:t>
      </w:r>
      <w:r w:rsidRPr="07D8930B" w:rsidR="5684D4DE">
        <w:rPr>
          <w:rFonts w:ascii="Calibri" w:hAnsi="Calibri" w:eastAsia="Calibri" w:cs="Calibri"/>
          <w:noProof w:val="0"/>
          <w:sz w:val="24"/>
          <w:szCs w:val="24"/>
          <w:lang w:val="en-US"/>
        </w:rPr>
        <w:t xml:space="preserve">, digital </w:t>
      </w:r>
      <w:r w:rsidRPr="07D8930B" w:rsidR="5684D4DE">
        <w:rPr>
          <w:rFonts w:ascii="Calibri" w:hAnsi="Calibri" w:eastAsia="Calibri" w:cs="Calibri"/>
          <w:noProof w:val="0"/>
          <w:sz w:val="24"/>
          <w:szCs w:val="24"/>
          <w:lang w:val="en-US"/>
        </w:rPr>
        <w:t>transformation,</w:t>
      </w:r>
      <w:r w:rsidRPr="07D8930B" w:rsidR="5684D4DE">
        <w:rPr>
          <w:rFonts w:ascii="Calibri" w:hAnsi="Calibri" w:eastAsia="Calibri" w:cs="Calibri"/>
          <w:noProof w:val="0"/>
          <w:sz w:val="24"/>
          <w:szCs w:val="24"/>
          <w:lang w:val="en-US"/>
        </w:rPr>
        <w:t xml:space="preserve"> and changing workforce expectations.</w:t>
      </w:r>
    </w:p>
    <w:p w:rsidR="5684D4DE" w:rsidP="07D8930B" w:rsidRDefault="5684D4DE" w14:paraId="51D28771" w14:textId="03D9A26C">
      <w:pPr>
        <w:spacing w:before="240" w:beforeAutospacing="off" w:after="240" w:afterAutospacing="off"/>
        <w:rPr>
          <w:rFonts w:ascii="Calibri" w:hAnsi="Calibri" w:eastAsia="Calibri" w:cs="Calibri"/>
          <w:noProof w:val="0"/>
          <w:sz w:val="24"/>
          <w:szCs w:val="24"/>
          <w:lang w:val="en-US"/>
        </w:rPr>
      </w:pPr>
      <w:r w:rsidRPr="07D8930B" w:rsidR="5684D4DE">
        <w:rPr>
          <w:rFonts w:ascii="Calibri" w:hAnsi="Calibri" w:eastAsia="Calibri" w:cs="Calibri"/>
          <w:noProof w:val="0"/>
          <w:sz w:val="24"/>
          <w:szCs w:val="24"/>
          <w:lang w:val="en-US"/>
        </w:rPr>
        <w:t xml:space="preserve">Marks &amp; Spencer (M&amp;S) is one of the most </w:t>
      </w:r>
      <w:r w:rsidRPr="07D8930B" w:rsidR="5684D4DE">
        <w:rPr>
          <w:rFonts w:ascii="Calibri" w:hAnsi="Calibri" w:eastAsia="Calibri" w:cs="Calibri"/>
          <w:noProof w:val="0"/>
          <w:sz w:val="24"/>
          <w:szCs w:val="24"/>
          <w:lang w:val="en-US"/>
        </w:rPr>
        <w:t>recognised</w:t>
      </w:r>
      <w:r w:rsidRPr="07D8930B" w:rsidR="5684D4DE">
        <w:rPr>
          <w:rFonts w:ascii="Calibri" w:hAnsi="Calibri" w:eastAsia="Calibri" w:cs="Calibri"/>
          <w:noProof w:val="0"/>
          <w:sz w:val="24"/>
          <w:szCs w:val="24"/>
          <w:lang w:val="en-US"/>
        </w:rPr>
        <w:t xml:space="preserve"> retail </w:t>
      </w:r>
      <w:r w:rsidRPr="07D8930B" w:rsidR="5684D4DE">
        <w:rPr>
          <w:rFonts w:ascii="Calibri" w:hAnsi="Calibri" w:eastAsia="Calibri" w:cs="Calibri"/>
          <w:noProof w:val="0"/>
          <w:sz w:val="24"/>
          <w:szCs w:val="24"/>
          <w:lang w:val="en-US"/>
        </w:rPr>
        <w:t>organisations</w:t>
      </w:r>
      <w:r w:rsidRPr="07D8930B" w:rsidR="5684D4DE">
        <w:rPr>
          <w:rFonts w:ascii="Calibri" w:hAnsi="Calibri" w:eastAsia="Calibri" w:cs="Calibri"/>
          <w:noProof w:val="0"/>
          <w:sz w:val="24"/>
          <w:szCs w:val="24"/>
          <w:lang w:val="en-US"/>
        </w:rPr>
        <w:t xml:space="preserve"> in the United Kingdom, </w:t>
      </w:r>
      <w:r w:rsidRPr="07D8930B" w:rsidR="5684D4DE">
        <w:rPr>
          <w:rFonts w:ascii="Calibri" w:hAnsi="Calibri" w:eastAsia="Calibri" w:cs="Calibri"/>
          <w:noProof w:val="0"/>
          <w:sz w:val="24"/>
          <w:szCs w:val="24"/>
          <w:lang w:val="en-US"/>
        </w:rPr>
        <w:t>operating</w:t>
      </w:r>
      <w:r w:rsidRPr="07D8930B" w:rsidR="5684D4DE">
        <w:rPr>
          <w:rFonts w:ascii="Calibri" w:hAnsi="Calibri" w:eastAsia="Calibri" w:cs="Calibri"/>
          <w:noProof w:val="0"/>
          <w:sz w:val="24"/>
          <w:szCs w:val="24"/>
          <w:lang w:val="en-US"/>
        </w:rPr>
        <w:t xml:space="preserve"> across food, </w:t>
      </w:r>
      <w:r w:rsidRPr="07D8930B" w:rsidR="5684D4DE">
        <w:rPr>
          <w:rFonts w:ascii="Calibri" w:hAnsi="Calibri" w:eastAsia="Calibri" w:cs="Calibri"/>
          <w:noProof w:val="0"/>
          <w:sz w:val="24"/>
          <w:szCs w:val="24"/>
          <w:lang w:val="en-US"/>
        </w:rPr>
        <w:t>clothing</w:t>
      </w:r>
      <w:r w:rsidRPr="07D8930B" w:rsidR="5684D4DE">
        <w:rPr>
          <w:rFonts w:ascii="Calibri" w:hAnsi="Calibri" w:eastAsia="Calibri" w:cs="Calibri"/>
          <w:noProof w:val="0"/>
          <w:sz w:val="24"/>
          <w:szCs w:val="24"/>
          <w:lang w:val="en-US"/>
        </w:rPr>
        <w:t xml:space="preserve"> and home products. The company employs tens of thousands of workers and must continuously manage workforce challenges in a fast-changing retail environment. The growth of e-commerce, digital retail systems, and automation has required the company to invest heavily in technological capabilities and employee training. At the same time, the retail sector faces difficulties in attracting and </w:t>
      </w:r>
      <w:r w:rsidRPr="07D8930B" w:rsidR="5684D4DE">
        <w:rPr>
          <w:rFonts w:ascii="Calibri" w:hAnsi="Calibri" w:eastAsia="Calibri" w:cs="Calibri"/>
          <w:noProof w:val="0"/>
          <w:sz w:val="24"/>
          <w:szCs w:val="24"/>
          <w:lang w:val="en-US"/>
        </w:rPr>
        <w:t>retaining</w:t>
      </w:r>
      <w:r w:rsidRPr="07D8930B" w:rsidR="5684D4DE">
        <w:rPr>
          <w:rFonts w:ascii="Calibri" w:hAnsi="Calibri" w:eastAsia="Calibri" w:cs="Calibri"/>
          <w:noProof w:val="0"/>
          <w:sz w:val="24"/>
          <w:szCs w:val="24"/>
          <w:lang w:val="en-US"/>
        </w:rPr>
        <w:t xml:space="preserve"> skilled employees due to </w:t>
      </w:r>
      <w:r w:rsidRPr="07D8930B" w:rsidR="5684D4DE">
        <w:rPr>
          <w:rFonts w:ascii="Calibri" w:hAnsi="Calibri" w:eastAsia="Calibri" w:cs="Calibri"/>
          <w:noProof w:val="0"/>
          <w:sz w:val="24"/>
          <w:szCs w:val="24"/>
          <w:lang w:val="en-US"/>
        </w:rPr>
        <w:t>labour</w:t>
      </w:r>
      <w:r w:rsidRPr="07D8930B" w:rsidR="5684D4DE">
        <w:rPr>
          <w:rFonts w:ascii="Calibri" w:hAnsi="Calibri" w:eastAsia="Calibri" w:cs="Calibri"/>
          <w:noProof w:val="0"/>
          <w:sz w:val="24"/>
          <w:szCs w:val="24"/>
          <w:lang w:val="en-US"/>
        </w:rPr>
        <w:t xml:space="preserve"> shortages, increased </w:t>
      </w:r>
      <w:r w:rsidRPr="07D8930B" w:rsidR="5684D4DE">
        <w:rPr>
          <w:rFonts w:ascii="Calibri" w:hAnsi="Calibri" w:eastAsia="Calibri" w:cs="Calibri"/>
          <w:noProof w:val="0"/>
          <w:sz w:val="24"/>
          <w:szCs w:val="24"/>
          <w:lang w:val="en-US"/>
        </w:rPr>
        <w:t>competition,</w:t>
      </w:r>
      <w:r w:rsidRPr="07D8930B" w:rsidR="5684D4DE">
        <w:rPr>
          <w:rFonts w:ascii="Calibri" w:hAnsi="Calibri" w:eastAsia="Calibri" w:cs="Calibri"/>
          <w:noProof w:val="0"/>
          <w:sz w:val="24"/>
          <w:szCs w:val="24"/>
          <w:lang w:val="en-US"/>
        </w:rPr>
        <w:t xml:space="preserve"> and changing employee expectations </w:t>
      </w:r>
      <w:r w:rsidRPr="07D8930B" w:rsidR="5684D4DE">
        <w:rPr>
          <w:rFonts w:ascii="Calibri" w:hAnsi="Calibri" w:eastAsia="Calibri" w:cs="Calibri"/>
          <w:noProof w:val="0"/>
          <w:sz w:val="24"/>
          <w:szCs w:val="24"/>
          <w:lang w:val="en-US"/>
        </w:rPr>
        <w:t>regarding</w:t>
      </w:r>
      <w:r w:rsidRPr="07D8930B" w:rsidR="5684D4DE">
        <w:rPr>
          <w:rFonts w:ascii="Calibri" w:hAnsi="Calibri" w:eastAsia="Calibri" w:cs="Calibri"/>
          <w:noProof w:val="0"/>
          <w:sz w:val="24"/>
          <w:szCs w:val="24"/>
          <w:lang w:val="en-US"/>
        </w:rPr>
        <w:t xml:space="preserve"> flexibility and work-life balance.</w:t>
      </w:r>
    </w:p>
    <w:p w:rsidR="76292CC4" w:rsidP="07D8930B" w:rsidRDefault="76292CC4" w14:paraId="023276A4" w14:textId="264E5FF2">
      <w:pPr>
        <w:pStyle w:val="Normal"/>
        <w:rPr>
          <w:rFonts w:ascii="Calibri" w:hAnsi="Calibri" w:eastAsia="Calibri" w:cs="Calibri"/>
          <w:b w:val="1"/>
          <w:bCs w:val="1"/>
          <w:noProof w:val="0"/>
          <w:sz w:val="36"/>
          <w:szCs w:val="36"/>
          <w:u w:val="single"/>
          <w:lang w:val="en-US"/>
        </w:rPr>
      </w:pPr>
      <w:r w:rsidRPr="07D8930B" w:rsidR="76292CC4">
        <w:rPr>
          <w:rFonts w:ascii="Calibri" w:hAnsi="Calibri" w:eastAsia="Calibri" w:cs="Calibri"/>
          <w:b w:val="1"/>
          <w:bCs w:val="1"/>
          <w:noProof w:val="0"/>
          <w:sz w:val="32"/>
          <w:szCs w:val="32"/>
          <w:u w:val="single"/>
          <w:lang w:val="en-US"/>
        </w:rPr>
        <w:t xml:space="preserve">Factors Affecting HR Departments </w:t>
      </w:r>
    </w:p>
    <w:p w:rsidR="76292CC4" w:rsidP="07D8930B" w:rsidRDefault="76292CC4" w14:paraId="48606A83" w14:textId="37EB3D28">
      <w:pPr>
        <w:pStyle w:val="Normal"/>
        <w:rPr>
          <w:rFonts w:ascii="Calibri" w:hAnsi="Calibri" w:eastAsia="Calibri" w:cs="Calibri"/>
          <w:b w:val="1"/>
          <w:bCs w:val="1"/>
          <w:noProof w:val="0"/>
          <w:sz w:val="32"/>
          <w:szCs w:val="32"/>
          <w:u w:val="single"/>
          <w:lang w:val="en-US"/>
        </w:rPr>
      </w:pPr>
      <w:r w:rsidRPr="07D8930B" w:rsidR="76292CC4">
        <w:rPr>
          <w:rFonts w:ascii="Calibri" w:hAnsi="Calibri" w:eastAsia="Calibri" w:cs="Calibri"/>
          <w:b w:val="1"/>
          <w:bCs w:val="1"/>
          <w:noProof w:val="0"/>
          <w:sz w:val="28"/>
          <w:szCs w:val="28"/>
          <w:u w:val="single"/>
          <w:lang w:val="en-US"/>
        </w:rPr>
        <w:t xml:space="preserve">Technological Transformation and Digital </w:t>
      </w:r>
      <w:r w:rsidRPr="07D8930B" w:rsidR="76292CC4">
        <w:rPr>
          <w:rFonts w:ascii="Calibri" w:hAnsi="Calibri" w:eastAsia="Calibri" w:cs="Calibri"/>
          <w:b w:val="1"/>
          <w:bCs w:val="1"/>
          <w:noProof w:val="0"/>
          <w:sz w:val="28"/>
          <w:szCs w:val="28"/>
          <w:u w:val="single"/>
          <w:lang w:val="en-US"/>
        </w:rPr>
        <w:t>Integration</w:t>
      </w:r>
      <w:r w:rsidRPr="07D8930B" w:rsidR="76292CC4">
        <w:rPr>
          <w:rFonts w:ascii="Calibri" w:hAnsi="Calibri" w:eastAsia="Calibri" w:cs="Calibri"/>
          <w:b w:val="1"/>
          <w:bCs w:val="1"/>
          <w:noProof w:val="0"/>
          <w:sz w:val="28"/>
          <w:szCs w:val="28"/>
          <w:u w:val="single"/>
          <w:lang w:val="en-US"/>
        </w:rPr>
        <w:t xml:space="preserve"> </w:t>
      </w:r>
    </w:p>
    <w:p w:rsidR="76292CC4" w:rsidP="07D8930B" w:rsidRDefault="76292CC4" w14:paraId="3C6456B8" w14:textId="1247FB3F">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 xml:space="preserve">The retail landscape has undergone a radical </w:t>
      </w:r>
      <w:r w:rsidRPr="07D8930B" w:rsidR="76292CC4">
        <w:rPr>
          <w:rFonts w:ascii="Calibri" w:hAnsi="Calibri" w:eastAsia="Calibri" w:cs="Calibri"/>
          <w:noProof w:val="0"/>
          <w:sz w:val="24"/>
          <w:szCs w:val="24"/>
          <w:lang w:val="en-US"/>
        </w:rPr>
        <w:t>paradigm shift</w:t>
      </w:r>
      <w:r w:rsidRPr="07D8930B" w:rsidR="76292CC4">
        <w:rPr>
          <w:rFonts w:ascii="Calibri" w:hAnsi="Calibri" w:eastAsia="Calibri" w:cs="Calibri"/>
          <w:noProof w:val="0"/>
          <w:sz w:val="24"/>
          <w:szCs w:val="24"/>
          <w:lang w:val="en-US"/>
        </w:rPr>
        <w:t xml:space="preserve"> driven by rapid digital acceleration. For legacy retailers like Marks &amp; Spencer (M&amp;S), technology is no longer an ancillary support function but a core strategic pillar. As Armstrong and Taylor (2023) posit, the primary HR challenge in this climate is the continuous recalibration of employee competencies to </w:t>
      </w:r>
      <w:r w:rsidRPr="07D8930B" w:rsidR="76292CC4">
        <w:rPr>
          <w:rFonts w:ascii="Calibri" w:hAnsi="Calibri" w:eastAsia="Calibri" w:cs="Calibri"/>
          <w:noProof w:val="0"/>
          <w:sz w:val="24"/>
          <w:szCs w:val="24"/>
          <w:lang w:val="en-US"/>
        </w:rPr>
        <w:t>maintain</w:t>
      </w:r>
      <w:r w:rsidRPr="07D8930B" w:rsidR="76292CC4">
        <w:rPr>
          <w:rFonts w:ascii="Calibri" w:hAnsi="Calibri" w:eastAsia="Calibri" w:cs="Calibri"/>
          <w:noProof w:val="0"/>
          <w:sz w:val="24"/>
          <w:szCs w:val="24"/>
          <w:lang w:val="en-US"/>
        </w:rPr>
        <w:t xml:space="preserve"> competitive advantage.</w:t>
      </w:r>
    </w:p>
    <w:p w:rsidR="76292CC4" w:rsidP="07D8930B" w:rsidRDefault="76292CC4" w14:paraId="1D35454A" w14:textId="41ABA96A">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 xml:space="preserve">The expansion of M&amp;S’s omnichannel capabilities—ranging from automated </w:t>
      </w:r>
      <w:r w:rsidRPr="07D8930B" w:rsidR="76292CC4">
        <w:rPr>
          <w:rFonts w:ascii="Calibri" w:hAnsi="Calibri" w:eastAsia="Calibri" w:cs="Calibri"/>
          <w:noProof w:val="0"/>
          <w:sz w:val="24"/>
          <w:szCs w:val="24"/>
          <w:lang w:val="en-US"/>
        </w:rPr>
        <w:t>logistics</w:t>
      </w:r>
      <w:r w:rsidRPr="07D8930B" w:rsidR="76292CC4">
        <w:rPr>
          <w:rFonts w:ascii="Calibri" w:hAnsi="Calibri" w:eastAsia="Calibri" w:cs="Calibri"/>
          <w:noProof w:val="0"/>
          <w:sz w:val="24"/>
          <w:szCs w:val="24"/>
          <w:lang w:val="en-US"/>
        </w:rPr>
        <w:t xml:space="preserve"> to sophisticated customer data platforms—has fundamentally altered the "job design" of the modern retail worker. The transition toward automated order fulfillment and digital inventory systems </w:t>
      </w:r>
      <w:r w:rsidRPr="07D8930B" w:rsidR="76292CC4">
        <w:rPr>
          <w:rFonts w:ascii="Calibri" w:hAnsi="Calibri" w:eastAsia="Calibri" w:cs="Calibri"/>
          <w:noProof w:val="0"/>
          <w:sz w:val="24"/>
          <w:szCs w:val="24"/>
          <w:lang w:val="en-US"/>
        </w:rPr>
        <w:t>necessitates</w:t>
      </w:r>
      <w:r w:rsidRPr="07D8930B" w:rsidR="76292CC4">
        <w:rPr>
          <w:rFonts w:ascii="Calibri" w:hAnsi="Calibri" w:eastAsia="Calibri" w:cs="Calibri"/>
          <w:noProof w:val="0"/>
          <w:sz w:val="24"/>
          <w:szCs w:val="24"/>
          <w:lang w:val="en-US"/>
        </w:rPr>
        <w:t xml:space="preserve"> a workforce that is digitally fluent. Consequently, the HR department’s role has shifted toward "workforce architecting," ensuring that training interventions are not merely reactive but are aligned with long-term technological roadmaps.</w:t>
      </w:r>
    </w:p>
    <w:p w:rsidR="76292CC4" w:rsidP="07D8930B" w:rsidRDefault="76292CC4" w14:paraId="50909E69" w14:textId="119F67E0">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 xml:space="preserve">However, this transition is not without friction. Technological displacement often triggers "automation anxiety," where employees perceive new systems as a threat to job security. Such </w:t>
      </w:r>
      <w:r w:rsidRPr="07D8930B" w:rsidR="76292CC4">
        <w:rPr>
          <w:rFonts w:ascii="Calibri" w:hAnsi="Calibri" w:eastAsia="Calibri" w:cs="Calibri"/>
          <w:noProof w:val="0"/>
          <w:sz w:val="24"/>
          <w:szCs w:val="24"/>
          <w:lang w:val="en-US"/>
        </w:rPr>
        <w:t>perceptions</w:t>
      </w:r>
      <w:r w:rsidRPr="07D8930B" w:rsidR="76292CC4">
        <w:rPr>
          <w:rFonts w:ascii="Calibri" w:hAnsi="Calibri" w:eastAsia="Calibri" w:cs="Calibri"/>
          <w:noProof w:val="0"/>
          <w:sz w:val="24"/>
          <w:szCs w:val="24"/>
          <w:lang w:val="en-US"/>
        </w:rPr>
        <w:t xml:space="preserve"> can erode the </w:t>
      </w:r>
      <w:r w:rsidRPr="07D8930B" w:rsidR="76292CC4">
        <w:rPr>
          <w:rFonts w:ascii="Calibri" w:hAnsi="Calibri" w:eastAsia="Calibri" w:cs="Calibri"/>
          <w:b w:val="1"/>
          <w:bCs w:val="1"/>
          <w:noProof w:val="0"/>
          <w:sz w:val="24"/>
          <w:szCs w:val="24"/>
          <w:lang w:val="en-US"/>
        </w:rPr>
        <w:t>psychological contract</w:t>
      </w:r>
      <w:r w:rsidRPr="07D8930B" w:rsidR="76292CC4">
        <w:rPr>
          <w:rFonts w:ascii="Calibri" w:hAnsi="Calibri" w:eastAsia="Calibri" w:cs="Calibri"/>
          <w:noProof w:val="0"/>
          <w:sz w:val="24"/>
          <w:szCs w:val="24"/>
          <w:lang w:val="en-US"/>
        </w:rPr>
        <w:t xml:space="preserve">, leading to diminished morale and productivity. To mitigate this, the CIPD (2023) emphasizes that HR must lead robust change management initiatives, prioritizing transparent communication and reskilling programs to foster a culture of digital "buy-in" rather than resistance. Furthermore, the adoption of </w:t>
      </w:r>
      <w:r w:rsidRPr="07D8930B" w:rsidR="76292CC4">
        <w:rPr>
          <w:rFonts w:ascii="Calibri" w:hAnsi="Calibri" w:eastAsia="Calibri" w:cs="Calibri"/>
          <w:b w:val="1"/>
          <w:bCs w:val="1"/>
          <w:noProof w:val="0"/>
          <w:sz w:val="24"/>
          <w:szCs w:val="24"/>
          <w:lang w:val="en-US"/>
        </w:rPr>
        <w:t>Human Resource Information Systems (HRIS)</w:t>
      </w:r>
      <w:r w:rsidRPr="07D8930B" w:rsidR="76292CC4">
        <w:rPr>
          <w:rFonts w:ascii="Calibri" w:hAnsi="Calibri" w:eastAsia="Calibri" w:cs="Calibri"/>
          <w:noProof w:val="0"/>
          <w:sz w:val="24"/>
          <w:szCs w:val="24"/>
          <w:lang w:val="en-US"/>
        </w:rPr>
        <w:t xml:space="preserve"> allows M&amp;S to </w:t>
      </w:r>
      <w:r w:rsidRPr="07D8930B" w:rsidR="76292CC4">
        <w:rPr>
          <w:rFonts w:ascii="Calibri" w:hAnsi="Calibri" w:eastAsia="Calibri" w:cs="Calibri"/>
          <w:noProof w:val="0"/>
          <w:sz w:val="24"/>
          <w:szCs w:val="24"/>
          <w:lang w:val="en-US"/>
        </w:rPr>
        <w:t>utilize</w:t>
      </w:r>
      <w:r w:rsidRPr="07D8930B" w:rsidR="76292CC4">
        <w:rPr>
          <w:rFonts w:ascii="Calibri" w:hAnsi="Calibri" w:eastAsia="Calibri" w:cs="Calibri"/>
          <w:noProof w:val="0"/>
          <w:sz w:val="24"/>
          <w:szCs w:val="24"/>
          <w:lang w:val="en-US"/>
        </w:rPr>
        <w:t xml:space="preserve"> "People Analytics," transforming raw employee data into actionable insights for more precise workforce planning and performance monitoring.</w:t>
      </w:r>
    </w:p>
    <w:p w:rsidR="76292CC4" w:rsidP="07D8930B" w:rsidRDefault="76292CC4" w14:paraId="143C9965" w14:textId="0490AAD9">
      <w:pPr>
        <w:pStyle w:val="Normal"/>
        <w:rPr>
          <w:rFonts w:ascii="Calibri" w:hAnsi="Calibri" w:eastAsia="Calibri" w:cs="Calibri"/>
          <w:noProof w:val="0"/>
          <w:lang w:val="en-US"/>
        </w:rPr>
      </w:pPr>
      <w:r w:rsidRPr="07D8930B" w:rsidR="76292CC4">
        <w:rPr>
          <w:rFonts w:ascii="Calibri" w:hAnsi="Calibri" w:eastAsia="Calibri" w:cs="Calibri"/>
          <w:b w:val="1"/>
          <w:bCs w:val="1"/>
          <w:noProof w:val="0"/>
          <w:sz w:val="28"/>
          <w:szCs w:val="28"/>
          <w:u w:val="single"/>
          <w:lang w:val="en-US"/>
        </w:rPr>
        <w:t>Strategic Talent Acquisition and Retention</w:t>
      </w:r>
      <w:r w:rsidRPr="07D8930B" w:rsidR="76292CC4">
        <w:rPr>
          <w:rFonts w:ascii="Calibri" w:hAnsi="Calibri" w:eastAsia="Calibri" w:cs="Calibri"/>
          <w:noProof w:val="0"/>
          <w:lang w:val="en-US"/>
        </w:rPr>
        <w:t xml:space="preserve"> </w:t>
      </w:r>
    </w:p>
    <w:p w:rsidR="76292CC4" w:rsidP="07D8930B" w:rsidRDefault="76292CC4" w14:paraId="62061420" w14:textId="32A521A0">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 xml:space="preserve">In an increasingly volatile labor market, the ability to attract and </w:t>
      </w:r>
      <w:r w:rsidRPr="07D8930B" w:rsidR="76292CC4">
        <w:rPr>
          <w:rFonts w:ascii="Calibri" w:hAnsi="Calibri" w:eastAsia="Calibri" w:cs="Calibri"/>
          <w:noProof w:val="0"/>
          <w:sz w:val="24"/>
          <w:szCs w:val="24"/>
          <w:lang w:val="en-US"/>
        </w:rPr>
        <w:t>retain</w:t>
      </w:r>
      <w:r w:rsidRPr="07D8930B" w:rsidR="76292CC4">
        <w:rPr>
          <w:rFonts w:ascii="Calibri" w:hAnsi="Calibri" w:eastAsia="Calibri" w:cs="Calibri"/>
          <w:noProof w:val="0"/>
          <w:sz w:val="24"/>
          <w:szCs w:val="24"/>
          <w:lang w:val="en-US"/>
        </w:rPr>
        <w:t xml:space="preserve"> high-caliber talent is a critical determinant of organizational resilience. The retail sector traditionally grapples with high attrition rates, often attributed to perceived low wage growth and demanding operational environments (Bratton &amp; Gold, 2017).</w:t>
      </w:r>
    </w:p>
    <w:p w:rsidR="76292CC4" w:rsidP="07D8930B" w:rsidRDefault="76292CC4" w14:paraId="4E1B14B2" w14:textId="70070254">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For M&amp;S, the challenge is twofold: they must compete for specialized digital and managerial talent while simultaneously stabilizing their frontline workforce. Boxall and Purcell (2016) argue that a failure to secure this "human capital" results in a double burden of increased recruitment overheads and depleted operational knowledge.</w:t>
      </w:r>
    </w:p>
    <w:p w:rsidR="76292CC4" w:rsidP="07D8930B" w:rsidRDefault="76292CC4" w14:paraId="60EE6B62" w14:textId="2D18283E">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 xml:space="preserve">Retention, therefore, must be viewed as a strategic investment. High turnover does more than increase costs; it dilutes the brand’s "service climate," directly </w:t>
      </w:r>
      <w:r w:rsidRPr="07D8930B" w:rsidR="76292CC4">
        <w:rPr>
          <w:rFonts w:ascii="Calibri" w:hAnsi="Calibri" w:eastAsia="Calibri" w:cs="Calibri"/>
          <w:noProof w:val="0"/>
          <w:sz w:val="24"/>
          <w:szCs w:val="24"/>
          <w:lang w:val="en-US"/>
        </w:rPr>
        <w:t>impacting</w:t>
      </w:r>
      <w:r w:rsidRPr="07D8930B" w:rsidR="76292CC4">
        <w:rPr>
          <w:rFonts w:ascii="Calibri" w:hAnsi="Calibri" w:eastAsia="Calibri" w:cs="Calibri"/>
          <w:noProof w:val="0"/>
          <w:sz w:val="24"/>
          <w:szCs w:val="24"/>
          <w:lang w:val="en-US"/>
        </w:rPr>
        <w:t xml:space="preserve"> customer loyalty. To combat this, HR must develop a compelling </w:t>
      </w:r>
      <w:r w:rsidRPr="07D8930B" w:rsidR="76292CC4">
        <w:rPr>
          <w:rFonts w:ascii="Calibri" w:hAnsi="Calibri" w:eastAsia="Calibri" w:cs="Calibri"/>
          <w:b w:val="1"/>
          <w:bCs w:val="1"/>
          <w:noProof w:val="0"/>
          <w:sz w:val="24"/>
          <w:szCs w:val="24"/>
          <w:lang w:val="en-US"/>
        </w:rPr>
        <w:t>Employee Value Proposition (EVP)</w:t>
      </w:r>
      <w:r w:rsidRPr="07D8930B" w:rsidR="76292CC4">
        <w:rPr>
          <w:rFonts w:ascii="Calibri" w:hAnsi="Calibri" w:eastAsia="Calibri" w:cs="Calibri"/>
          <w:noProof w:val="0"/>
          <w:sz w:val="24"/>
          <w:szCs w:val="24"/>
          <w:lang w:val="en-US"/>
        </w:rPr>
        <w:t>. Beyond fair compensation, retention is increasingly driven by intangible factors such as perceived organizational support, clear career pathways, and empathetic leadership. As Armstrong and Taylor (2023) suggest, organizations that successfully embed continuous professional development into their culture see a direct correlation with enhanced employee engagement and long-term loyalty.</w:t>
      </w:r>
    </w:p>
    <w:p w:rsidR="76292CC4" w:rsidP="07D8930B" w:rsidRDefault="76292CC4" w14:paraId="020BDD13" w14:textId="6E49CC18">
      <w:pPr>
        <w:pStyle w:val="Normal"/>
        <w:rPr>
          <w:rFonts w:ascii="Calibri" w:hAnsi="Calibri" w:eastAsia="Calibri" w:cs="Calibri"/>
          <w:b w:val="1"/>
          <w:bCs w:val="1"/>
          <w:noProof w:val="0"/>
          <w:sz w:val="28"/>
          <w:szCs w:val="28"/>
          <w:u w:val="single"/>
          <w:lang w:val="en-US"/>
        </w:rPr>
      </w:pPr>
      <w:r w:rsidRPr="07D8930B" w:rsidR="76292CC4">
        <w:rPr>
          <w:rFonts w:ascii="Calibri" w:hAnsi="Calibri" w:eastAsia="Calibri" w:cs="Calibri"/>
          <w:b w:val="1"/>
          <w:bCs w:val="1"/>
          <w:noProof w:val="0"/>
          <w:sz w:val="28"/>
          <w:szCs w:val="28"/>
          <w:u w:val="single"/>
          <w:lang w:val="en-US"/>
        </w:rPr>
        <w:t xml:space="preserve">Diversity, Equity, and Inclusion (DEI) as a Business Imperative </w:t>
      </w:r>
    </w:p>
    <w:p w:rsidR="76292CC4" w:rsidP="07D8930B" w:rsidRDefault="76292CC4" w14:paraId="3D2A6F9D" w14:textId="4F794CF6">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 xml:space="preserve">In a globalized society, Diversity, Equity, and Inclusion (DEI) have transitioned from ethical considerations to core business imperatives. DEI encompasses the systemic integration of policies that ensure </w:t>
      </w:r>
      <w:r w:rsidRPr="07D8930B" w:rsidR="76292CC4">
        <w:rPr>
          <w:rFonts w:ascii="Calibri" w:hAnsi="Calibri" w:eastAsia="Calibri" w:cs="Calibri"/>
          <w:noProof w:val="0"/>
          <w:sz w:val="24"/>
          <w:szCs w:val="24"/>
          <w:lang w:val="en-US"/>
        </w:rPr>
        <w:t>equitable</w:t>
      </w:r>
      <w:r w:rsidRPr="07D8930B" w:rsidR="76292CC4">
        <w:rPr>
          <w:rFonts w:ascii="Calibri" w:hAnsi="Calibri" w:eastAsia="Calibri" w:cs="Calibri"/>
          <w:noProof w:val="0"/>
          <w:sz w:val="24"/>
          <w:szCs w:val="24"/>
          <w:lang w:val="en-US"/>
        </w:rPr>
        <w:t xml:space="preserve"> treatment and representation across all demographic variables, including gender, ethnicity, and neurodiversity (Shen et al., 2009).</w:t>
      </w:r>
    </w:p>
    <w:p w:rsidR="76292CC4" w:rsidP="07D8930B" w:rsidRDefault="76292CC4" w14:paraId="7564E4E3" w14:textId="5DF36A49">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For a household name like M&amp;S, a diverse workforce is a strategic asset; it mirrors a multicultural customer base, fostering greater consumer insight and brand relatability. Research by Roberson (2019) highlights that cognitive diversity—stemming from varied backgrounds—enhances collective problem-solving and innovation.</w:t>
      </w:r>
    </w:p>
    <w:p w:rsidR="76292CC4" w:rsidP="07D8930B" w:rsidRDefault="76292CC4" w14:paraId="22AAC766" w14:textId="684B7B4D">
      <w:pPr>
        <w:spacing w:before="0" w:beforeAutospacing="off" w:after="240" w:afterAutospacing="off"/>
        <w:rPr>
          <w:rFonts w:ascii="Calibri" w:hAnsi="Calibri" w:eastAsia="Calibri" w:cs="Calibri"/>
          <w:noProof w:val="0"/>
          <w:sz w:val="24"/>
          <w:szCs w:val="24"/>
          <w:lang w:val="en-US"/>
        </w:rPr>
      </w:pPr>
      <w:r w:rsidRPr="07D8930B" w:rsidR="76292CC4">
        <w:rPr>
          <w:rFonts w:ascii="Calibri" w:hAnsi="Calibri" w:eastAsia="Calibri" w:cs="Calibri"/>
          <w:noProof w:val="0"/>
          <w:sz w:val="24"/>
          <w:szCs w:val="24"/>
          <w:lang w:val="en-US"/>
        </w:rPr>
        <w:t xml:space="preserve">Yet, the implementation of DEI is often hindered by </w:t>
      </w:r>
      <w:r w:rsidRPr="07D8930B" w:rsidR="76292CC4">
        <w:rPr>
          <w:rFonts w:ascii="Calibri" w:hAnsi="Calibri" w:eastAsia="Calibri" w:cs="Calibri"/>
          <w:b w:val="1"/>
          <w:bCs w:val="1"/>
          <w:noProof w:val="0"/>
          <w:sz w:val="24"/>
          <w:szCs w:val="24"/>
          <w:lang w:val="en-US"/>
        </w:rPr>
        <w:t>unconscious bias</w:t>
      </w:r>
      <w:r w:rsidRPr="07D8930B" w:rsidR="76292CC4">
        <w:rPr>
          <w:rFonts w:ascii="Calibri" w:hAnsi="Calibri" w:eastAsia="Calibri" w:cs="Calibri"/>
          <w:noProof w:val="0"/>
          <w:sz w:val="24"/>
          <w:szCs w:val="24"/>
          <w:lang w:val="en-US"/>
        </w:rPr>
        <w:t xml:space="preserve"> and systemic barriers that can stall the progression of minority groups. </w:t>
      </w:r>
      <w:r w:rsidRPr="07D8930B" w:rsidR="76292CC4">
        <w:rPr>
          <w:rFonts w:ascii="Calibri" w:hAnsi="Calibri" w:eastAsia="Calibri" w:cs="Calibri"/>
          <w:noProof w:val="0"/>
          <w:sz w:val="24"/>
          <w:szCs w:val="24"/>
          <w:lang w:val="en-US"/>
        </w:rPr>
        <w:t>Leveling</w:t>
      </w:r>
      <w:r w:rsidRPr="07D8930B" w:rsidR="76292CC4">
        <w:rPr>
          <w:rFonts w:ascii="Calibri" w:hAnsi="Calibri" w:eastAsia="Calibri" w:cs="Calibri"/>
          <w:noProof w:val="0"/>
          <w:sz w:val="24"/>
          <w:szCs w:val="24"/>
          <w:lang w:val="en-US"/>
        </w:rPr>
        <w:t xml:space="preserve"> the playing field requires more than just "diversity training." It demands that HR departments audit recruitment algorithms, implement blind hiring practices where possible, and cultivate "inclusive leadership." By embedding these values into the organizational DNA, M&amp;S can ensure that DEI is not a superficial compliance exercise but a genuine driver of high-performance culture.</w:t>
      </w:r>
    </w:p>
    <w:p w:rsidR="43602242" w:rsidP="07D8930B" w:rsidRDefault="43602242" w14:paraId="76EE06B1" w14:textId="117482F0">
      <w:pPr>
        <w:pStyle w:val="Normal"/>
        <w:rPr>
          <w:rFonts w:ascii="Calibri" w:hAnsi="Calibri" w:eastAsia="Calibri" w:cs="Calibri"/>
          <w:b w:val="1"/>
          <w:bCs w:val="1"/>
          <w:noProof w:val="0"/>
          <w:sz w:val="28"/>
          <w:szCs w:val="28"/>
          <w:u w:val="single"/>
          <w:lang w:val="en-US"/>
        </w:rPr>
      </w:pPr>
      <w:r w:rsidRPr="07D8930B" w:rsidR="43602242">
        <w:rPr>
          <w:rFonts w:ascii="Calibri" w:hAnsi="Calibri" w:eastAsia="Calibri" w:cs="Calibri"/>
          <w:b w:val="1"/>
          <w:bCs w:val="1"/>
          <w:noProof w:val="0"/>
          <w:sz w:val="32"/>
          <w:szCs w:val="32"/>
          <w:u w:val="single"/>
          <w:lang w:val="en-US"/>
        </w:rPr>
        <w:t xml:space="preserve">3. Evaluation of Contemporary HR Practices </w:t>
      </w:r>
    </w:p>
    <w:p w:rsidR="43602242" w:rsidP="07D8930B" w:rsidRDefault="43602242" w14:paraId="2066B965" w14:textId="10433A72">
      <w:pPr>
        <w:pStyle w:val="Normal"/>
        <w:rPr>
          <w:rFonts w:ascii="Calibri" w:hAnsi="Calibri" w:eastAsia="Calibri" w:cs="Calibri"/>
          <w:b w:val="1"/>
          <w:bCs w:val="1"/>
          <w:noProof w:val="0"/>
          <w:sz w:val="28"/>
          <w:szCs w:val="28"/>
          <w:u w:val="single"/>
          <w:lang w:val="en-US"/>
        </w:rPr>
      </w:pPr>
      <w:r w:rsidRPr="07D8930B" w:rsidR="43602242">
        <w:rPr>
          <w:rFonts w:ascii="Calibri" w:hAnsi="Calibri" w:eastAsia="Calibri" w:cs="Calibri"/>
          <w:b w:val="1"/>
          <w:bCs w:val="1"/>
          <w:noProof w:val="0"/>
          <w:sz w:val="28"/>
          <w:szCs w:val="28"/>
          <w:u w:val="single"/>
          <w:lang w:val="en-US"/>
        </w:rPr>
        <w:t xml:space="preserve">Digital HR Integration and the Hybrid Learning Model </w:t>
      </w:r>
    </w:p>
    <w:p w:rsidR="43602242" w:rsidP="07D8930B" w:rsidRDefault="43602242" w14:paraId="78425264" w14:textId="1E2F3D8F">
      <w:pPr>
        <w:spacing w:before="0" w:beforeAutospacing="off" w:after="240" w:afterAutospacing="off"/>
        <w:rPr>
          <w:rFonts w:ascii="Calibri" w:hAnsi="Calibri" w:eastAsia="Calibri" w:cs="Calibri"/>
          <w:noProof w:val="0"/>
          <w:sz w:val="24"/>
          <w:szCs w:val="24"/>
          <w:lang w:val="en-US"/>
        </w:rPr>
      </w:pPr>
      <w:r w:rsidRPr="07D8930B" w:rsidR="43602242">
        <w:rPr>
          <w:rFonts w:ascii="Calibri" w:hAnsi="Calibri" w:eastAsia="Calibri" w:cs="Calibri"/>
          <w:noProof w:val="0"/>
          <w:sz w:val="24"/>
          <w:szCs w:val="24"/>
          <w:lang w:val="en-US"/>
        </w:rPr>
        <w:t xml:space="preserve">To mitigate the challenges of rapid technological shifts, M&amp;S can </w:t>
      </w:r>
      <w:r w:rsidRPr="07D8930B" w:rsidR="43602242">
        <w:rPr>
          <w:rFonts w:ascii="Calibri" w:hAnsi="Calibri" w:eastAsia="Calibri" w:cs="Calibri"/>
          <w:noProof w:val="0"/>
          <w:sz w:val="24"/>
          <w:szCs w:val="24"/>
          <w:lang w:val="en-US"/>
        </w:rPr>
        <w:t>leverage</w:t>
      </w:r>
      <w:r w:rsidRPr="07D8930B" w:rsidR="43602242">
        <w:rPr>
          <w:rFonts w:ascii="Calibri" w:hAnsi="Calibri" w:eastAsia="Calibri" w:cs="Calibri"/>
          <w:noProof w:val="0"/>
          <w:sz w:val="24"/>
          <w:szCs w:val="24"/>
          <w:lang w:val="en-US"/>
        </w:rPr>
        <w:t xml:space="preserve"> </w:t>
      </w:r>
      <w:r w:rsidRPr="07D8930B" w:rsidR="43602242">
        <w:rPr>
          <w:rFonts w:ascii="Calibri" w:hAnsi="Calibri" w:eastAsia="Calibri" w:cs="Calibri"/>
          <w:b w:val="1"/>
          <w:bCs w:val="1"/>
          <w:noProof w:val="0"/>
          <w:sz w:val="24"/>
          <w:szCs w:val="24"/>
          <w:lang w:val="en-US"/>
        </w:rPr>
        <w:t>e-HRM (Electronic Human Resource Management)</w:t>
      </w:r>
      <w:r w:rsidRPr="07D8930B" w:rsidR="43602242">
        <w:rPr>
          <w:rFonts w:ascii="Calibri" w:hAnsi="Calibri" w:eastAsia="Calibri" w:cs="Calibri"/>
          <w:noProof w:val="0"/>
          <w:sz w:val="24"/>
          <w:szCs w:val="24"/>
          <w:lang w:val="en-US"/>
        </w:rPr>
        <w:t xml:space="preserve"> frameworks. </w:t>
      </w:r>
      <w:r w:rsidRPr="07D8930B" w:rsidR="43602242">
        <w:rPr>
          <w:rFonts w:ascii="Calibri" w:hAnsi="Calibri" w:eastAsia="Calibri" w:cs="Calibri"/>
          <w:noProof w:val="0"/>
          <w:sz w:val="24"/>
          <w:szCs w:val="24"/>
          <w:lang w:val="en-US"/>
        </w:rPr>
        <w:t>Bondarouk</w:t>
      </w:r>
      <w:r w:rsidRPr="07D8930B" w:rsidR="43602242">
        <w:rPr>
          <w:rFonts w:ascii="Calibri" w:hAnsi="Calibri" w:eastAsia="Calibri" w:cs="Calibri"/>
          <w:noProof w:val="0"/>
          <w:sz w:val="24"/>
          <w:szCs w:val="24"/>
          <w:lang w:val="en-US"/>
        </w:rPr>
        <w:t xml:space="preserve"> and Brewster (2016) argue that digital HR systems do more than streamline administration; they transform the "employee experience" by providing data-driven personalization in training and performance management.</w:t>
      </w:r>
    </w:p>
    <w:p w:rsidR="43602242" w:rsidP="07D8930B" w:rsidRDefault="43602242" w14:paraId="5FAE6809" w14:textId="30A6BE5A">
      <w:pPr>
        <w:spacing w:before="0" w:beforeAutospacing="off" w:after="240" w:afterAutospacing="off"/>
        <w:rPr>
          <w:rFonts w:ascii="Calibri" w:hAnsi="Calibri" w:eastAsia="Calibri" w:cs="Calibri"/>
          <w:noProof w:val="0"/>
          <w:sz w:val="24"/>
          <w:szCs w:val="24"/>
          <w:lang w:val="en-US"/>
        </w:rPr>
      </w:pPr>
      <w:r w:rsidRPr="07D8930B" w:rsidR="43602242">
        <w:rPr>
          <w:rFonts w:ascii="Calibri" w:hAnsi="Calibri" w:eastAsia="Calibri" w:cs="Calibri"/>
          <w:noProof w:val="0"/>
          <w:sz w:val="24"/>
          <w:szCs w:val="24"/>
          <w:lang w:val="en-US"/>
        </w:rPr>
        <w:t xml:space="preserve">By implementing </w:t>
      </w:r>
      <w:r w:rsidRPr="07D8930B" w:rsidR="43602242">
        <w:rPr>
          <w:rFonts w:ascii="Calibri" w:hAnsi="Calibri" w:eastAsia="Calibri" w:cs="Calibri"/>
          <w:b w:val="1"/>
          <w:bCs w:val="1"/>
          <w:noProof w:val="0"/>
          <w:sz w:val="24"/>
          <w:szCs w:val="24"/>
          <w:lang w:val="en-US"/>
        </w:rPr>
        <w:t>Learning Management Systems (LMS)</w:t>
      </w:r>
      <w:r w:rsidRPr="07D8930B" w:rsidR="43602242">
        <w:rPr>
          <w:rFonts w:ascii="Calibri" w:hAnsi="Calibri" w:eastAsia="Calibri" w:cs="Calibri"/>
          <w:noProof w:val="0"/>
          <w:sz w:val="24"/>
          <w:szCs w:val="24"/>
          <w:lang w:val="en-US"/>
        </w:rPr>
        <w:t>, M&amp;S enables a culture of continuous upskilling.</w:t>
      </w:r>
      <w:r w:rsidRPr="07D8930B" w:rsidR="43602242">
        <w:rPr>
          <w:rFonts w:ascii="Calibri" w:hAnsi="Calibri" w:eastAsia="Calibri" w:cs="Calibri"/>
          <w:noProof w:val="0"/>
          <w:sz w:val="24"/>
          <w:szCs w:val="24"/>
          <w:lang w:val="en-US"/>
        </w:rPr>
        <w:t xml:space="preserve"> These platforms allow for "just-in-time" learning, where retail staff can access modules on new digital point-of-sale (POS) systems or data privacy at their own pace. </w:t>
      </w:r>
      <w:r w:rsidRPr="07D8930B" w:rsidR="43602242">
        <w:rPr>
          <w:rFonts w:ascii="Calibri" w:hAnsi="Calibri" w:eastAsia="Calibri" w:cs="Calibri"/>
          <w:noProof w:val="0"/>
          <w:sz w:val="24"/>
          <w:szCs w:val="24"/>
          <w:lang w:val="en-US"/>
        </w:rPr>
        <w:t>However, a critical evaluation suggests that a purely digital approach may lead to "digital fatigue."</w:t>
      </w:r>
      <w:r w:rsidRPr="07D8930B" w:rsidR="43602242">
        <w:rPr>
          <w:rFonts w:ascii="Calibri" w:hAnsi="Calibri" w:eastAsia="Calibri" w:cs="Calibri"/>
          <w:noProof w:val="0"/>
          <w:sz w:val="24"/>
          <w:szCs w:val="24"/>
          <w:lang w:val="en-US"/>
        </w:rPr>
        <w:t xml:space="preserve"> For complex behavioral changes or technical </w:t>
      </w:r>
      <w:r w:rsidRPr="07D8930B" w:rsidR="43602242">
        <w:rPr>
          <w:rFonts w:ascii="Calibri" w:hAnsi="Calibri" w:eastAsia="Calibri" w:cs="Calibri"/>
          <w:noProof w:val="0"/>
          <w:sz w:val="24"/>
          <w:szCs w:val="24"/>
          <w:lang w:val="en-US"/>
        </w:rPr>
        <w:t>logistics</w:t>
      </w:r>
      <w:r w:rsidRPr="07D8930B" w:rsidR="43602242">
        <w:rPr>
          <w:rFonts w:ascii="Calibri" w:hAnsi="Calibri" w:eastAsia="Calibri" w:cs="Calibri"/>
          <w:noProof w:val="0"/>
          <w:sz w:val="24"/>
          <w:szCs w:val="24"/>
          <w:lang w:val="en-US"/>
        </w:rPr>
        <w:t xml:space="preserve">, a </w:t>
      </w:r>
      <w:r w:rsidRPr="07D8930B" w:rsidR="43602242">
        <w:rPr>
          <w:rFonts w:ascii="Calibri" w:hAnsi="Calibri" w:eastAsia="Calibri" w:cs="Calibri"/>
          <w:b w:val="1"/>
          <w:bCs w:val="1"/>
          <w:noProof w:val="0"/>
          <w:sz w:val="24"/>
          <w:szCs w:val="24"/>
          <w:lang w:val="en-US"/>
        </w:rPr>
        <w:t>Blended Learning</w:t>
      </w:r>
      <w:r w:rsidRPr="07D8930B" w:rsidR="43602242">
        <w:rPr>
          <w:rFonts w:ascii="Calibri" w:hAnsi="Calibri" w:eastAsia="Calibri" w:cs="Calibri"/>
          <w:noProof w:val="0"/>
          <w:sz w:val="24"/>
          <w:szCs w:val="24"/>
          <w:lang w:val="en-US"/>
        </w:rPr>
        <w:t xml:space="preserve"> approach is superior. This combines the scalability of digital platforms with the nuanced, high-touch benefits of face-to-face workshops, ensuring that </w:t>
      </w:r>
      <w:r w:rsidRPr="07D8930B" w:rsidR="43602242">
        <w:rPr>
          <w:rFonts w:ascii="Calibri" w:hAnsi="Calibri" w:eastAsia="Calibri" w:cs="Calibri"/>
          <w:noProof w:val="0"/>
          <w:sz w:val="24"/>
          <w:szCs w:val="24"/>
          <w:lang w:val="en-US"/>
        </w:rPr>
        <w:t>less</w:t>
      </w:r>
      <w:r w:rsidRPr="07D8930B" w:rsidR="43602242">
        <w:rPr>
          <w:rFonts w:ascii="Calibri" w:hAnsi="Calibri" w:eastAsia="Calibri" w:cs="Calibri"/>
          <w:noProof w:val="0"/>
          <w:sz w:val="24"/>
          <w:szCs w:val="24"/>
          <w:lang w:val="en-US"/>
        </w:rPr>
        <w:t xml:space="preserve"> tech-savvy long-term employees are not marginalized during the transition.</w:t>
      </w:r>
    </w:p>
    <w:p w:rsidR="43602242" w:rsidP="07D8930B" w:rsidRDefault="43602242" w14:paraId="1912722B" w14:textId="1C926BC3">
      <w:pPr>
        <w:pStyle w:val="Normal"/>
        <w:rPr>
          <w:rFonts w:ascii="Calibri" w:hAnsi="Calibri" w:eastAsia="Calibri" w:cs="Calibri"/>
          <w:b w:val="1"/>
          <w:bCs w:val="1"/>
          <w:noProof w:val="0"/>
          <w:sz w:val="28"/>
          <w:szCs w:val="28"/>
          <w:u w:val="single"/>
          <w:lang w:val="en-US"/>
        </w:rPr>
      </w:pPr>
      <w:r w:rsidRPr="07D8930B" w:rsidR="43602242">
        <w:rPr>
          <w:rFonts w:ascii="Calibri" w:hAnsi="Calibri" w:eastAsia="Calibri" w:cs="Calibri"/>
          <w:b w:val="1"/>
          <w:bCs w:val="1"/>
          <w:noProof w:val="0"/>
          <w:sz w:val="28"/>
          <w:szCs w:val="28"/>
          <w:u w:val="single"/>
          <w:lang w:val="en-US"/>
        </w:rPr>
        <w:t xml:space="preserve">Strategic Employer Branding and the Engagement Value Chain </w:t>
      </w:r>
    </w:p>
    <w:p w:rsidR="43602242" w:rsidP="07D8930B" w:rsidRDefault="43602242" w14:paraId="087F2927" w14:textId="2745B608">
      <w:pPr>
        <w:spacing w:before="0" w:beforeAutospacing="off" w:after="240" w:afterAutospacing="off"/>
        <w:rPr>
          <w:rFonts w:ascii="Calibri" w:hAnsi="Calibri" w:eastAsia="Calibri" w:cs="Calibri"/>
          <w:noProof w:val="0"/>
          <w:sz w:val="24"/>
          <w:szCs w:val="24"/>
          <w:lang w:val="en-US"/>
        </w:rPr>
      </w:pPr>
      <w:r w:rsidRPr="07D8930B" w:rsidR="43602242">
        <w:rPr>
          <w:rFonts w:ascii="Calibri" w:hAnsi="Calibri" w:eastAsia="Calibri" w:cs="Calibri"/>
          <w:noProof w:val="0"/>
          <w:sz w:val="24"/>
          <w:szCs w:val="24"/>
          <w:lang w:val="en-US"/>
        </w:rPr>
        <w:t xml:space="preserve">In a competitive labor market, M&amp;S must treat its </w:t>
      </w:r>
      <w:r w:rsidRPr="07D8930B" w:rsidR="43602242">
        <w:rPr>
          <w:rFonts w:ascii="Calibri" w:hAnsi="Calibri" w:eastAsia="Calibri" w:cs="Calibri"/>
          <w:b w:val="1"/>
          <w:bCs w:val="1"/>
          <w:noProof w:val="0"/>
          <w:sz w:val="24"/>
          <w:szCs w:val="24"/>
          <w:lang w:val="en-US"/>
        </w:rPr>
        <w:t>Employer Branding</w:t>
      </w:r>
      <w:r w:rsidRPr="07D8930B" w:rsidR="43602242">
        <w:rPr>
          <w:rFonts w:ascii="Calibri" w:hAnsi="Calibri" w:eastAsia="Calibri" w:cs="Calibri"/>
          <w:noProof w:val="0"/>
          <w:sz w:val="24"/>
          <w:szCs w:val="24"/>
          <w:lang w:val="en-US"/>
        </w:rPr>
        <w:t xml:space="preserve"> with the same rigor as its consumer branding. Backhaus and Tikoo (2004) define this as the "internal and external communication of the unique psychological, economic, and functional benefits" of employment. To differentiate itself from discount retailers, M&amp;S should emphasize its "Total Reward" package, which includes not just competitive pay, but holistic well-being programs and flexible "Work-Life Integration" policies.</w:t>
      </w:r>
    </w:p>
    <w:p w:rsidR="43602242" w:rsidP="07D8930B" w:rsidRDefault="43602242" w14:paraId="07C2B057" w14:textId="7F79CFEB">
      <w:pPr>
        <w:spacing w:before="0" w:beforeAutospacing="off" w:after="240" w:afterAutospacing="off"/>
        <w:rPr>
          <w:rFonts w:ascii="Calibri" w:hAnsi="Calibri" w:eastAsia="Calibri" w:cs="Calibri"/>
          <w:noProof w:val="0"/>
          <w:sz w:val="24"/>
          <w:szCs w:val="24"/>
          <w:lang w:val="en-US"/>
        </w:rPr>
      </w:pPr>
      <w:r w:rsidRPr="07D8930B" w:rsidR="43602242">
        <w:rPr>
          <w:rFonts w:ascii="Calibri" w:hAnsi="Calibri" w:eastAsia="Calibri" w:cs="Calibri"/>
          <w:noProof w:val="0"/>
          <w:sz w:val="24"/>
          <w:szCs w:val="24"/>
          <w:lang w:val="en-US"/>
        </w:rPr>
        <w:t xml:space="preserve">The effectiveness of these branding efforts is intrinsically linked to </w:t>
      </w:r>
      <w:r w:rsidRPr="07D8930B" w:rsidR="43602242">
        <w:rPr>
          <w:rFonts w:ascii="Calibri" w:hAnsi="Calibri" w:eastAsia="Calibri" w:cs="Calibri"/>
          <w:b w:val="1"/>
          <w:bCs w:val="1"/>
          <w:noProof w:val="0"/>
          <w:sz w:val="24"/>
          <w:szCs w:val="24"/>
          <w:lang w:val="en-US"/>
        </w:rPr>
        <w:t>Employee Engagement</w:t>
      </w:r>
      <w:r w:rsidRPr="07D8930B" w:rsidR="43602242">
        <w:rPr>
          <w:rFonts w:ascii="Calibri" w:hAnsi="Calibri" w:eastAsia="Calibri" w:cs="Calibri"/>
          <w:noProof w:val="0"/>
          <w:sz w:val="24"/>
          <w:szCs w:val="24"/>
          <w:lang w:val="en-US"/>
        </w:rPr>
        <w:t xml:space="preserve">. According to Saks (2006), engagement is a multidimensional construct: when employees feel the organization is invested in their growth, they reciprocate with "discretionary effort." However, there is a risk of "decoupling," where the external brand promise does not match the internal reality. If M&amp;S promotes a culture of </w:t>
      </w:r>
      <w:r w:rsidRPr="07D8930B" w:rsidR="43602242">
        <w:rPr>
          <w:rFonts w:ascii="Calibri" w:hAnsi="Calibri" w:eastAsia="Calibri" w:cs="Calibri"/>
          <w:noProof w:val="0"/>
          <w:sz w:val="24"/>
          <w:szCs w:val="24"/>
          <w:lang w:val="en-US"/>
        </w:rPr>
        <w:t>flexibility</w:t>
      </w:r>
      <w:r w:rsidRPr="07D8930B" w:rsidR="43602242">
        <w:rPr>
          <w:rFonts w:ascii="Calibri" w:hAnsi="Calibri" w:eastAsia="Calibri" w:cs="Calibri"/>
          <w:noProof w:val="0"/>
          <w:sz w:val="24"/>
          <w:szCs w:val="24"/>
          <w:lang w:val="en-US"/>
        </w:rPr>
        <w:t xml:space="preserve"> but store-level management prioritizes rigid shift patterns, the resulting "cynicism gap" can lead to higher attrition. </w:t>
      </w:r>
      <w:r w:rsidRPr="07D8930B" w:rsidR="43602242">
        <w:rPr>
          <w:rFonts w:ascii="Calibri" w:hAnsi="Calibri" w:eastAsia="Calibri" w:cs="Calibri"/>
          <w:noProof w:val="0"/>
          <w:sz w:val="24"/>
          <w:szCs w:val="24"/>
          <w:lang w:val="en-US"/>
        </w:rPr>
        <w:t>Therefore, engagement initiatives must be audited regularly through "Pulse Surveys" to ensure they reflect the lived experience of the workforce.</w:t>
      </w:r>
    </w:p>
    <w:p w:rsidR="43602242" w:rsidP="07D8930B" w:rsidRDefault="43602242" w14:paraId="5BF9097A" w14:textId="12AF819C">
      <w:pPr>
        <w:pStyle w:val="Normal"/>
        <w:rPr>
          <w:rFonts w:ascii="Calibri" w:hAnsi="Calibri" w:eastAsia="Calibri" w:cs="Calibri"/>
          <w:b w:val="1"/>
          <w:bCs w:val="1"/>
          <w:i w:val="0"/>
          <w:iCs w:val="0"/>
          <w:noProof w:val="0"/>
          <w:sz w:val="32"/>
          <w:szCs w:val="32"/>
          <w:u w:val="single"/>
          <w:lang w:val="en-US"/>
        </w:rPr>
      </w:pPr>
      <w:r w:rsidRPr="07D8930B" w:rsidR="43602242">
        <w:rPr>
          <w:rFonts w:ascii="Calibri" w:hAnsi="Calibri" w:eastAsia="Calibri" w:cs="Calibri"/>
          <w:b w:val="1"/>
          <w:bCs w:val="1"/>
          <w:i w:val="0"/>
          <w:iCs w:val="0"/>
          <w:noProof w:val="0"/>
          <w:sz w:val="28"/>
          <w:szCs w:val="28"/>
          <w:u w:val="single"/>
          <w:lang w:val="en-US"/>
        </w:rPr>
        <w:t xml:space="preserve">Systemic Inclusion and the Maturity of DEI </w:t>
      </w:r>
      <w:r w:rsidRPr="07D8930B" w:rsidR="43602242">
        <w:rPr>
          <w:rFonts w:ascii="Calibri" w:hAnsi="Calibri" w:eastAsia="Calibri" w:cs="Calibri"/>
          <w:b w:val="1"/>
          <w:bCs w:val="1"/>
          <w:i w:val="0"/>
          <w:iCs w:val="0"/>
          <w:noProof w:val="0"/>
          <w:sz w:val="28"/>
          <w:szCs w:val="28"/>
          <w:u w:val="single"/>
          <w:lang w:val="en-US"/>
        </w:rPr>
        <w:t>Practices</w:t>
      </w:r>
      <w:r w:rsidRPr="07D8930B" w:rsidR="43602242">
        <w:rPr>
          <w:rFonts w:ascii="Calibri" w:hAnsi="Calibri" w:eastAsia="Calibri" w:cs="Calibri"/>
          <w:b w:val="1"/>
          <w:bCs w:val="1"/>
          <w:i w:val="0"/>
          <w:iCs w:val="0"/>
          <w:noProof w:val="0"/>
          <w:sz w:val="28"/>
          <w:szCs w:val="28"/>
          <w:u w:val="single"/>
          <w:lang w:val="en-US"/>
        </w:rPr>
        <w:t xml:space="preserve"> </w:t>
      </w:r>
    </w:p>
    <w:p w:rsidR="43602242" w:rsidP="07D8930B" w:rsidRDefault="43602242" w14:paraId="05E35D02" w14:textId="18EF5B50">
      <w:pPr>
        <w:spacing w:before="0" w:beforeAutospacing="off" w:after="240" w:afterAutospacing="off"/>
        <w:rPr>
          <w:rFonts w:ascii="Calibri" w:hAnsi="Calibri" w:eastAsia="Calibri" w:cs="Calibri"/>
          <w:noProof w:val="0"/>
          <w:sz w:val="24"/>
          <w:szCs w:val="24"/>
          <w:lang w:val="en-US"/>
        </w:rPr>
      </w:pPr>
      <w:r w:rsidRPr="07D8930B" w:rsidR="43602242">
        <w:rPr>
          <w:rFonts w:ascii="Calibri" w:hAnsi="Calibri" w:eastAsia="Calibri" w:cs="Calibri"/>
          <w:noProof w:val="0"/>
          <w:sz w:val="24"/>
          <w:szCs w:val="24"/>
          <w:lang w:val="en-US"/>
        </w:rPr>
        <w:t xml:space="preserve">To move beyond "tokenistic" diversity, M&amp;S can implement </w:t>
      </w:r>
      <w:r w:rsidRPr="07D8930B" w:rsidR="43602242">
        <w:rPr>
          <w:rFonts w:ascii="Calibri" w:hAnsi="Calibri" w:eastAsia="Calibri" w:cs="Calibri"/>
          <w:b w:val="1"/>
          <w:bCs w:val="1"/>
          <w:noProof w:val="0"/>
          <w:sz w:val="24"/>
          <w:szCs w:val="24"/>
          <w:lang w:val="en-US"/>
        </w:rPr>
        <w:t>Inclusionary HR Architectures</w:t>
      </w:r>
      <w:r w:rsidRPr="07D8930B" w:rsidR="43602242">
        <w:rPr>
          <w:rFonts w:ascii="Calibri" w:hAnsi="Calibri" w:eastAsia="Calibri" w:cs="Calibri"/>
          <w:noProof w:val="0"/>
          <w:sz w:val="24"/>
          <w:szCs w:val="24"/>
          <w:lang w:val="en-US"/>
        </w:rPr>
        <w:t xml:space="preserve">. This involves redesigning the recruitment lifecycle to </w:t>
      </w:r>
      <w:r w:rsidRPr="07D8930B" w:rsidR="43602242">
        <w:rPr>
          <w:rFonts w:ascii="Calibri" w:hAnsi="Calibri" w:eastAsia="Calibri" w:cs="Calibri"/>
          <w:noProof w:val="0"/>
          <w:sz w:val="24"/>
          <w:szCs w:val="24"/>
          <w:lang w:val="en-US"/>
        </w:rPr>
        <w:t>eliminate</w:t>
      </w:r>
      <w:r w:rsidRPr="07D8930B" w:rsidR="43602242">
        <w:rPr>
          <w:rFonts w:ascii="Calibri" w:hAnsi="Calibri" w:eastAsia="Calibri" w:cs="Calibri"/>
          <w:noProof w:val="0"/>
          <w:sz w:val="24"/>
          <w:szCs w:val="24"/>
          <w:lang w:val="en-US"/>
        </w:rPr>
        <w:t xml:space="preserve"> systemic hurdles. </w:t>
      </w:r>
      <w:r w:rsidRPr="07D8930B" w:rsidR="43602242">
        <w:rPr>
          <w:rFonts w:ascii="Calibri" w:hAnsi="Calibri" w:eastAsia="Calibri" w:cs="Calibri"/>
          <w:noProof w:val="0"/>
          <w:sz w:val="24"/>
          <w:szCs w:val="24"/>
          <w:lang w:val="en-US"/>
        </w:rPr>
        <w:t xml:space="preserve">For instance, utilizing "Blind Recruitment" software can minimize </w:t>
      </w:r>
      <w:r w:rsidRPr="07D8930B" w:rsidR="43602242">
        <w:rPr>
          <w:rFonts w:ascii="Calibri" w:hAnsi="Calibri" w:eastAsia="Calibri" w:cs="Calibri"/>
          <w:b w:val="1"/>
          <w:bCs w:val="1"/>
          <w:noProof w:val="0"/>
          <w:sz w:val="24"/>
          <w:szCs w:val="24"/>
          <w:lang w:val="en-US"/>
        </w:rPr>
        <w:t>Affinity Bias</w:t>
      </w:r>
      <w:r w:rsidRPr="07D8930B" w:rsidR="43602242">
        <w:rPr>
          <w:rFonts w:ascii="Calibri" w:hAnsi="Calibri" w:eastAsia="Calibri" w:cs="Calibri"/>
          <w:noProof w:val="0"/>
          <w:sz w:val="24"/>
          <w:szCs w:val="24"/>
          <w:lang w:val="en-US"/>
        </w:rPr>
        <w:t>—the tendency of hiring managers to favor candidates similar to themselves.</w:t>
      </w:r>
      <w:r w:rsidRPr="07D8930B" w:rsidR="43602242">
        <w:rPr>
          <w:rFonts w:ascii="Calibri" w:hAnsi="Calibri" w:eastAsia="Calibri" w:cs="Calibri"/>
          <w:noProof w:val="0"/>
          <w:sz w:val="24"/>
          <w:szCs w:val="24"/>
          <w:lang w:val="en-US"/>
        </w:rPr>
        <w:t xml:space="preserve"> Furthermore, </w:t>
      </w:r>
      <w:r w:rsidRPr="07D8930B" w:rsidR="43602242">
        <w:rPr>
          <w:rFonts w:ascii="Calibri" w:hAnsi="Calibri" w:eastAsia="Calibri" w:cs="Calibri"/>
          <w:noProof w:val="0"/>
          <w:sz w:val="24"/>
          <w:szCs w:val="24"/>
          <w:lang w:val="en-US"/>
        </w:rPr>
        <w:t>establishing</w:t>
      </w:r>
      <w:r w:rsidRPr="07D8930B" w:rsidR="43602242">
        <w:rPr>
          <w:rFonts w:ascii="Calibri" w:hAnsi="Calibri" w:eastAsia="Calibri" w:cs="Calibri"/>
          <w:noProof w:val="0"/>
          <w:sz w:val="24"/>
          <w:szCs w:val="24"/>
          <w:lang w:val="en-US"/>
        </w:rPr>
        <w:t xml:space="preserve"> diverse interview panels ensures a "multi-lens" evaluation of talent.</w:t>
      </w:r>
    </w:p>
    <w:p w:rsidR="43602242" w:rsidP="07D8930B" w:rsidRDefault="43602242" w14:paraId="4D37F259" w14:textId="4A131409">
      <w:pPr>
        <w:spacing w:before="0" w:beforeAutospacing="off" w:after="240" w:afterAutospacing="off"/>
        <w:rPr>
          <w:rFonts w:ascii="Calibri" w:hAnsi="Calibri" w:eastAsia="Calibri" w:cs="Calibri"/>
          <w:noProof w:val="0"/>
          <w:sz w:val="24"/>
          <w:szCs w:val="24"/>
          <w:lang w:val="en-US"/>
        </w:rPr>
      </w:pPr>
      <w:r w:rsidRPr="07D8930B" w:rsidR="43602242">
        <w:rPr>
          <w:rFonts w:ascii="Calibri" w:hAnsi="Calibri" w:eastAsia="Calibri" w:cs="Calibri"/>
          <w:noProof w:val="0"/>
          <w:sz w:val="24"/>
          <w:szCs w:val="24"/>
          <w:lang w:val="en-US"/>
        </w:rPr>
        <w:t xml:space="preserve">Mentorship and "Sponsorship" programs are also </w:t>
      </w:r>
      <w:r w:rsidRPr="07D8930B" w:rsidR="43602242">
        <w:rPr>
          <w:rFonts w:ascii="Calibri" w:hAnsi="Calibri" w:eastAsia="Calibri" w:cs="Calibri"/>
          <w:noProof w:val="0"/>
          <w:sz w:val="24"/>
          <w:szCs w:val="24"/>
          <w:lang w:val="en-US"/>
        </w:rPr>
        <w:t>vital</w:t>
      </w:r>
      <w:r w:rsidRPr="07D8930B" w:rsidR="43602242">
        <w:rPr>
          <w:rFonts w:ascii="Calibri" w:hAnsi="Calibri" w:eastAsia="Calibri" w:cs="Calibri"/>
          <w:noProof w:val="0"/>
          <w:sz w:val="24"/>
          <w:szCs w:val="24"/>
          <w:lang w:val="en-US"/>
        </w:rPr>
        <w:t xml:space="preserve"> contemporary practices. While mentoring provides guidance, sponsorship involves senior leaders actively </w:t>
      </w:r>
      <w:r w:rsidRPr="07D8930B" w:rsidR="43602242">
        <w:rPr>
          <w:rFonts w:ascii="Calibri" w:hAnsi="Calibri" w:eastAsia="Calibri" w:cs="Calibri"/>
          <w:noProof w:val="0"/>
          <w:sz w:val="24"/>
          <w:szCs w:val="24"/>
          <w:lang w:val="en-US"/>
        </w:rPr>
        <w:t>advocating for</w:t>
      </w:r>
      <w:r w:rsidRPr="07D8930B" w:rsidR="43602242">
        <w:rPr>
          <w:rFonts w:ascii="Calibri" w:hAnsi="Calibri" w:eastAsia="Calibri" w:cs="Calibri"/>
          <w:noProof w:val="0"/>
          <w:sz w:val="24"/>
          <w:szCs w:val="24"/>
          <w:lang w:val="en-US"/>
        </w:rPr>
        <w:t xml:space="preserve"> the promotion of high-potential employees from underrepresented backgrounds. Critically, however, Shen et al. (2009) warn that policy-driven DEI often fails if the broader </w:t>
      </w:r>
      <w:r w:rsidRPr="07D8930B" w:rsidR="43602242">
        <w:rPr>
          <w:rFonts w:ascii="Calibri" w:hAnsi="Calibri" w:eastAsia="Calibri" w:cs="Calibri"/>
          <w:b w:val="1"/>
          <w:bCs w:val="1"/>
          <w:noProof w:val="0"/>
          <w:sz w:val="24"/>
          <w:szCs w:val="24"/>
          <w:lang w:val="en-US"/>
        </w:rPr>
        <w:t>Organizational Climate</w:t>
      </w:r>
      <w:r w:rsidRPr="07D8930B" w:rsidR="43602242">
        <w:rPr>
          <w:rFonts w:ascii="Calibri" w:hAnsi="Calibri" w:eastAsia="Calibri" w:cs="Calibri"/>
          <w:noProof w:val="0"/>
          <w:sz w:val="24"/>
          <w:szCs w:val="24"/>
          <w:lang w:val="en-US"/>
        </w:rPr>
        <w:t xml:space="preserve"> </w:t>
      </w:r>
      <w:r w:rsidRPr="07D8930B" w:rsidR="43602242">
        <w:rPr>
          <w:rFonts w:ascii="Calibri" w:hAnsi="Calibri" w:eastAsia="Calibri" w:cs="Calibri"/>
          <w:noProof w:val="0"/>
          <w:sz w:val="24"/>
          <w:szCs w:val="24"/>
          <w:lang w:val="en-US"/>
        </w:rPr>
        <w:t>remains</w:t>
      </w:r>
      <w:r w:rsidRPr="07D8930B" w:rsidR="43602242">
        <w:rPr>
          <w:rFonts w:ascii="Calibri" w:hAnsi="Calibri" w:eastAsia="Calibri" w:cs="Calibri"/>
          <w:noProof w:val="0"/>
          <w:sz w:val="24"/>
          <w:szCs w:val="24"/>
          <w:lang w:val="en-US"/>
        </w:rPr>
        <w:t xml:space="preserve"> exclusionary. For M&amp;S, the success of DEI depends on "Inclusive Leadership"—training managers to recognize microaggressions and foster psychological safety. Without this cultural foundation, DEI policies </w:t>
      </w:r>
      <w:r w:rsidRPr="07D8930B" w:rsidR="43602242">
        <w:rPr>
          <w:rFonts w:ascii="Calibri" w:hAnsi="Calibri" w:eastAsia="Calibri" w:cs="Calibri"/>
          <w:noProof w:val="0"/>
          <w:sz w:val="24"/>
          <w:szCs w:val="24"/>
          <w:lang w:val="en-US"/>
        </w:rPr>
        <w:t>remain</w:t>
      </w:r>
      <w:r w:rsidRPr="07D8930B" w:rsidR="43602242">
        <w:rPr>
          <w:rFonts w:ascii="Calibri" w:hAnsi="Calibri" w:eastAsia="Calibri" w:cs="Calibri"/>
          <w:noProof w:val="0"/>
          <w:sz w:val="24"/>
          <w:szCs w:val="24"/>
          <w:lang w:val="en-US"/>
        </w:rPr>
        <w:t xml:space="preserve"> "paper-thin" compliance measures rather than drivers of innovation.</w:t>
      </w:r>
    </w:p>
    <w:p w:rsidR="637A0CF8" w:rsidP="07D8930B" w:rsidRDefault="637A0CF8" w14:paraId="3C3FAA53" w14:textId="2F72BCBE">
      <w:pPr>
        <w:spacing w:before="0" w:beforeAutospacing="off" w:after="240" w:afterAutospacing="off"/>
        <w:rPr>
          <w:rFonts w:ascii="Calibri" w:hAnsi="Calibri" w:eastAsia="Calibri" w:cs="Calibri"/>
          <w:noProof w:val="0"/>
          <w:sz w:val="24"/>
          <w:szCs w:val="24"/>
          <w:lang w:val="en-US"/>
        </w:rPr>
      </w:pPr>
    </w:p>
    <w:p w:rsidR="37B1017E" w:rsidP="07D8930B" w:rsidRDefault="37B1017E" w14:paraId="5E2433AE" w14:textId="7E52B6EC">
      <w:pPr>
        <w:pStyle w:val="Normal"/>
        <w:rPr>
          <w:rFonts w:ascii="Calibri" w:hAnsi="Calibri" w:eastAsia="Calibri" w:cs="Calibri"/>
          <w:b w:val="1"/>
          <w:bCs w:val="1"/>
          <w:noProof w:val="0"/>
          <w:sz w:val="36"/>
          <w:szCs w:val="36"/>
          <w:u w:val="single"/>
          <w:lang w:val="en-US"/>
        </w:rPr>
      </w:pPr>
      <w:r w:rsidRPr="07D8930B" w:rsidR="37B1017E">
        <w:rPr>
          <w:rFonts w:ascii="Calibri" w:hAnsi="Calibri" w:eastAsia="Calibri" w:cs="Calibri"/>
          <w:b w:val="1"/>
          <w:bCs w:val="1"/>
          <w:noProof w:val="0"/>
          <w:sz w:val="32"/>
          <w:szCs w:val="32"/>
          <w:u w:val="single"/>
          <w:lang w:val="en-US"/>
        </w:rPr>
        <w:t xml:space="preserve">4. The Critical Role of Departmental Managers in Strategic Implementation </w:t>
      </w:r>
    </w:p>
    <w:p w:rsidR="37B1017E" w:rsidP="07D8930B" w:rsidRDefault="37B1017E" w14:paraId="4A4D73DF" w14:textId="574A4E98">
      <w:pPr>
        <w:spacing w:before="240" w:beforeAutospacing="off" w:after="24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While HR departments are the architects of organizational policy, departmental managers (or line managers) are the primary implementers. This "devolution" of HR tasks means that the success of any initiative—whether technological, cultural, or talent-related—</w:t>
      </w:r>
      <w:r w:rsidRPr="07D8930B" w:rsidR="37B1017E">
        <w:rPr>
          <w:rFonts w:ascii="Calibri" w:hAnsi="Calibri" w:eastAsia="Calibri" w:cs="Calibri"/>
          <w:noProof w:val="0"/>
          <w:sz w:val="24"/>
          <w:szCs w:val="24"/>
          <w:lang w:val="en-US"/>
        </w:rPr>
        <w:t>rests on</w:t>
      </w:r>
      <w:r w:rsidRPr="07D8930B" w:rsidR="37B1017E">
        <w:rPr>
          <w:rFonts w:ascii="Calibri" w:hAnsi="Calibri" w:eastAsia="Calibri" w:cs="Calibri"/>
          <w:noProof w:val="0"/>
          <w:sz w:val="24"/>
          <w:szCs w:val="24"/>
          <w:lang w:val="en-US"/>
        </w:rPr>
        <w:t xml:space="preserve"> the manager’s ability to translate high-level strategy into daily operational reality.</w:t>
      </w:r>
    </w:p>
    <w:p w:rsidR="37B1017E" w:rsidP="07D8930B" w:rsidRDefault="37B1017E" w14:paraId="1631C697" w14:textId="125ED88F">
      <w:pPr>
        <w:pStyle w:val="Normal"/>
        <w:rPr>
          <w:rFonts w:ascii="Calibri" w:hAnsi="Calibri" w:eastAsia="Calibri" w:cs="Calibri"/>
          <w:b w:val="1"/>
          <w:bCs w:val="1"/>
          <w:noProof w:val="0"/>
          <w:sz w:val="32"/>
          <w:szCs w:val="32"/>
          <w:u w:val="single"/>
          <w:lang w:val="en-US"/>
        </w:rPr>
      </w:pPr>
      <w:r w:rsidRPr="07D8930B" w:rsidR="37B1017E">
        <w:rPr>
          <w:rFonts w:ascii="Calibri" w:hAnsi="Calibri" w:eastAsia="Calibri" w:cs="Calibri"/>
          <w:b w:val="1"/>
          <w:bCs w:val="1"/>
          <w:noProof w:val="0"/>
          <w:sz w:val="28"/>
          <w:szCs w:val="28"/>
          <w:u w:val="single"/>
          <w:lang w:val="en-US"/>
        </w:rPr>
        <w:t xml:space="preserve">Navigating Technological and Structural Change </w:t>
      </w:r>
    </w:p>
    <w:p w:rsidR="37B1017E" w:rsidP="07D8930B" w:rsidRDefault="37B1017E" w14:paraId="73ECC44C" w14:textId="06CA0AEB">
      <w:pPr>
        <w:spacing w:before="240" w:beforeAutospacing="off" w:after="24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 xml:space="preserve">Managers act as the "change agents" within Marks &amp; Spencer’s retail environment. To mitigate the "automation anxiety" mentioned previously, managers must move beyond simple instruction and engage in </w:t>
      </w:r>
      <w:r w:rsidRPr="07D8930B" w:rsidR="37B1017E">
        <w:rPr>
          <w:rFonts w:ascii="Calibri" w:hAnsi="Calibri" w:eastAsia="Calibri" w:cs="Calibri"/>
          <w:b w:val="1"/>
          <w:bCs w:val="1"/>
          <w:noProof w:val="0"/>
          <w:sz w:val="24"/>
          <w:szCs w:val="24"/>
          <w:lang w:val="en-US"/>
        </w:rPr>
        <w:t>transparent communication</w:t>
      </w:r>
      <w:r w:rsidRPr="07D8930B" w:rsidR="37B1017E">
        <w:rPr>
          <w:rFonts w:ascii="Calibri" w:hAnsi="Calibri" w:eastAsia="Calibri" w:cs="Calibri"/>
          <w:noProof w:val="0"/>
          <w:sz w:val="24"/>
          <w:szCs w:val="24"/>
          <w:lang w:val="en-US"/>
        </w:rPr>
        <w:t xml:space="preserve">. By framing technological advancement not as a threat to job security but as an opportunity for upskilling, managers </w:t>
      </w:r>
      <w:r w:rsidRPr="07D8930B" w:rsidR="37B1017E">
        <w:rPr>
          <w:rFonts w:ascii="Calibri" w:hAnsi="Calibri" w:eastAsia="Calibri" w:cs="Calibri"/>
          <w:noProof w:val="0"/>
          <w:sz w:val="24"/>
          <w:szCs w:val="24"/>
          <w:lang w:val="en-US"/>
        </w:rPr>
        <w:t>facilitate</w:t>
      </w:r>
      <w:r w:rsidRPr="07D8930B" w:rsidR="37B1017E">
        <w:rPr>
          <w:rFonts w:ascii="Calibri" w:hAnsi="Calibri" w:eastAsia="Calibri" w:cs="Calibri"/>
          <w:noProof w:val="0"/>
          <w:sz w:val="24"/>
          <w:szCs w:val="24"/>
          <w:lang w:val="en-US"/>
        </w:rPr>
        <w:t xml:space="preserve"> digital adoption. Purcell et al. (2003) argue that the "performance-link" in HRM is only realized when line managers effectively bring HR policies to life. Without active managerial endorsement, digital tools like new inventory systems or HRIS platforms risk being underutilized or resisted by frontline staff.</w:t>
      </w:r>
    </w:p>
    <w:p w:rsidR="37B1017E" w:rsidP="07D8930B" w:rsidRDefault="37B1017E" w14:paraId="50D58404" w14:textId="534C8CAD">
      <w:pPr>
        <w:pStyle w:val="Normal"/>
        <w:rPr>
          <w:rFonts w:ascii="Calibri" w:hAnsi="Calibri" w:eastAsia="Calibri" w:cs="Calibri"/>
          <w:b w:val="1"/>
          <w:bCs w:val="1"/>
          <w:noProof w:val="0"/>
          <w:sz w:val="32"/>
          <w:szCs w:val="32"/>
          <w:u w:val="single"/>
          <w:lang w:val="en-US"/>
        </w:rPr>
      </w:pPr>
      <w:r w:rsidRPr="07D8930B" w:rsidR="37B1017E">
        <w:rPr>
          <w:rFonts w:ascii="Calibri" w:hAnsi="Calibri" w:eastAsia="Calibri" w:cs="Calibri"/>
          <w:b w:val="1"/>
          <w:bCs w:val="1"/>
          <w:noProof w:val="0"/>
          <w:sz w:val="28"/>
          <w:szCs w:val="28"/>
          <w:u w:val="single"/>
          <w:lang w:val="en-US"/>
        </w:rPr>
        <w:t xml:space="preserve">Leadership Paradigms and Employee Retention </w:t>
      </w:r>
    </w:p>
    <w:p w:rsidR="37B1017E" w:rsidP="07D8930B" w:rsidRDefault="37B1017E" w14:paraId="4C3F1BFD" w14:textId="066A7820">
      <w:pPr>
        <w:spacing w:before="240" w:beforeAutospacing="off" w:after="24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 xml:space="preserve">The adage that "employees don't leave </w:t>
      </w:r>
      <w:r w:rsidRPr="07D8930B" w:rsidR="37B1017E">
        <w:rPr>
          <w:rFonts w:ascii="Calibri" w:hAnsi="Calibri" w:eastAsia="Calibri" w:cs="Calibri"/>
          <w:noProof w:val="0"/>
          <w:sz w:val="24"/>
          <w:szCs w:val="24"/>
          <w:lang w:val="en-US"/>
        </w:rPr>
        <w:t>companies,</w:t>
      </w:r>
      <w:r w:rsidRPr="07D8930B" w:rsidR="37B1017E">
        <w:rPr>
          <w:rFonts w:ascii="Calibri" w:hAnsi="Calibri" w:eastAsia="Calibri" w:cs="Calibri"/>
          <w:noProof w:val="0"/>
          <w:sz w:val="24"/>
          <w:szCs w:val="24"/>
          <w:lang w:val="en-US"/>
        </w:rPr>
        <w:t xml:space="preserve"> they leave managers" underscores the importance of leadership style in talent retention. Applying </w:t>
      </w:r>
      <w:r w:rsidRPr="07D8930B" w:rsidR="37B1017E">
        <w:rPr>
          <w:rFonts w:ascii="Calibri" w:hAnsi="Calibri" w:eastAsia="Calibri" w:cs="Calibri"/>
          <w:b w:val="1"/>
          <w:bCs w:val="1"/>
          <w:noProof w:val="0"/>
          <w:sz w:val="24"/>
          <w:szCs w:val="24"/>
          <w:lang w:val="en-US"/>
        </w:rPr>
        <w:t>Transformational Leadership Theory</w:t>
      </w:r>
      <w:r w:rsidRPr="07D8930B" w:rsidR="37B1017E">
        <w:rPr>
          <w:rFonts w:ascii="Calibri" w:hAnsi="Calibri" w:eastAsia="Calibri" w:cs="Calibri"/>
          <w:noProof w:val="0"/>
          <w:sz w:val="24"/>
          <w:szCs w:val="24"/>
          <w:lang w:val="en-US"/>
        </w:rPr>
        <w:t>, managers at M&amp;S can drive engagement by providing individualized consideration and intellectual stimulation.</w:t>
      </w:r>
    </w:p>
    <w:p w:rsidR="37B1017E" w:rsidP="07D8930B" w:rsidRDefault="37B1017E" w14:paraId="43708C1D" w14:textId="6B8C920C">
      <w:pPr>
        <w:spacing w:before="0" w:beforeAutospacing="off" w:after="0" w:afterAutospacing="off"/>
        <w:rPr>
          <w:rFonts w:ascii="Calibri" w:hAnsi="Calibri" w:eastAsia="Calibri" w:cs="Calibri"/>
        </w:rPr>
      </w:pPr>
      <w:r w:rsidR="37B1017E">
        <w:drawing>
          <wp:inline wp14:editId="5E217E63" wp14:anchorId="53E0BE05">
            <wp:extent cx="5943600" cy="4000500"/>
            <wp:effectExtent l="0" t="0" r="0" b="0"/>
            <wp:docPr id="1320395550" name="drawing" title="the Transformational Leadership Framework, AI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0395550" name="Picture 1320395550"/>
                    <pic:cNvPicPr/>
                  </pic:nvPicPr>
                  <pic:blipFill>
                    <a:blip xmlns:r="http://schemas.openxmlformats.org/officeDocument/2006/relationships" r:embed="rId473665805">
                      <a:extLst>
                        <a:ext uri="{28A0092B-C50C-407E-A947-70E740481C1C}">
                          <a14:useLocalDpi xmlns:a14="http://schemas.microsoft.com/office/drawing/2010/main"/>
                        </a:ext>
                      </a:extLst>
                    </a:blip>
                    <a:stretch>
                      <a:fillRect/>
                    </a:stretch>
                  </pic:blipFill>
                  <pic:spPr>
                    <a:xfrm>
                      <a:off x="0" y="0"/>
                      <a:ext cx="5943600" cy="4000500"/>
                    </a:xfrm>
                    <a:prstGeom prst="rect">
                      <a:avLst/>
                    </a:prstGeom>
                  </pic:spPr>
                </pic:pic>
              </a:graphicData>
            </a:graphic>
          </wp:inline>
        </w:drawing>
      </w:r>
    </w:p>
    <w:p w:rsidR="37B1017E" w:rsidP="07D8930B" w:rsidRDefault="37B1017E" w14:paraId="62220BB4" w14:textId="18532137">
      <w:pPr>
        <w:spacing w:before="0" w:beforeAutospacing="off" w:after="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Getty Images</w:t>
      </w:r>
    </w:p>
    <w:p w:rsidR="37B1017E" w:rsidP="07D8930B" w:rsidRDefault="37B1017E" w14:paraId="06F59392" w14:textId="708FB05D">
      <w:pPr>
        <w:spacing w:before="0" w:beforeAutospacing="off" w:after="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Explore</w:t>
      </w:r>
    </w:p>
    <w:p w:rsidR="37B1017E" w:rsidP="07D8930B" w:rsidRDefault="37B1017E" w14:paraId="73B825D1" w14:textId="7CDB7438">
      <w:pPr>
        <w:spacing w:before="240" w:beforeAutospacing="off" w:after="24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 xml:space="preserve">Regular performance interventions and career coaching are </w:t>
      </w:r>
      <w:r w:rsidRPr="07D8930B" w:rsidR="37B1017E">
        <w:rPr>
          <w:rFonts w:ascii="Calibri" w:hAnsi="Calibri" w:eastAsia="Calibri" w:cs="Calibri"/>
          <w:noProof w:val="0"/>
          <w:sz w:val="24"/>
          <w:szCs w:val="24"/>
          <w:lang w:val="en-US"/>
        </w:rPr>
        <w:t>essential</w:t>
      </w:r>
      <w:r w:rsidRPr="07D8930B" w:rsidR="37B1017E">
        <w:rPr>
          <w:rFonts w:ascii="Calibri" w:hAnsi="Calibri" w:eastAsia="Calibri" w:cs="Calibri"/>
          <w:noProof w:val="0"/>
          <w:sz w:val="24"/>
          <w:szCs w:val="24"/>
          <w:lang w:val="en-US"/>
        </w:rPr>
        <w:t xml:space="preserve"> contemporary practices. </w:t>
      </w:r>
      <w:r w:rsidRPr="07D8930B" w:rsidR="37B1017E">
        <w:rPr>
          <w:rFonts w:ascii="Calibri" w:hAnsi="Calibri" w:eastAsia="Calibri" w:cs="Calibri"/>
          <w:noProof w:val="0"/>
          <w:sz w:val="24"/>
          <w:szCs w:val="24"/>
          <w:lang w:val="en-US"/>
        </w:rPr>
        <w:t>By moving</w:t>
      </w:r>
      <w:r w:rsidRPr="07D8930B" w:rsidR="37B1017E">
        <w:rPr>
          <w:rFonts w:ascii="Calibri" w:hAnsi="Calibri" w:eastAsia="Calibri" w:cs="Calibri"/>
          <w:noProof w:val="0"/>
          <w:sz w:val="24"/>
          <w:szCs w:val="24"/>
          <w:lang w:val="en-US"/>
        </w:rPr>
        <w:t xml:space="preserve"> away from rigid annual appraisals toward "continuous performance management," managers can align individual aspirations with M&amp;S’s strategic needs. This proactive approach to career development reduces "intent to leave" and fosters a high-commitment culture. However, the effectiveness of this is often dictated by the manager’s own </w:t>
      </w:r>
      <w:r w:rsidRPr="07D8930B" w:rsidR="37B1017E">
        <w:rPr>
          <w:rFonts w:ascii="Calibri" w:hAnsi="Calibri" w:eastAsia="Calibri" w:cs="Calibri"/>
          <w:b w:val="1"/>
          <w:bCs w:val="1"/>
          <w:noProof w:val="0"/>
          <w:sz w:val="24"/>
          <w:szCs w:val="24"/>
          <w:lang w:val="en-US"/>
        </w:rPr>
        <w:t>Emotional Intelligence (EQ)</w:t>
      </w:r>
      <w:r w:rsidRPr="07D8930B" w:rsidR="37B1017E">
        <w:rPr>
          <w:rFonts w:ascii="Calibri" w:hAnsi="Calibri" w:eastAsia="Calibri" w:cs="Calibri"/>
          <w:noProof w:val="0"/>
          <w:sz w:val="24"/>
          <w:szCs w:val="24"/>
          <w:lang w:val="en-US"/>
        </w:rPr>
        <w:t xml:space="preserve"> and their ability to provide constructive, empathetic feedback.</w:t>
      </w:r>
    </w:p>
    <w:p w:rsidR="37B1017E" w:rsidP="07D8930B" w:rsidRDefault="37B1017E" w14:paraId="60B4189C" w14:textId="1D12172B">
      <w:pPr>
        <w:pStyle w:val="Normal"/>
        <w:rPr>
          <w:rFonts w:ascii="Calibri" w:hAnsi="Calibri" w:eastAsia="Calibri" w:cs="Calibri"/>
          <w:b w:val="1"/>
          <w:bCs w:val="1"/>
          <w:noProof w:val="0"/>
          <w:sz w:val="32"/>
          <w:szCs w:val="32"/>
          <w:u w:val="single"/>
          <w:lang w:val="en-US"/>
        </w:rPr>
      </w:pPr>
      <w:r w:rsidRPr="07D8930B" w:rsidR="37B1017E">
        <w:rPr>
          <w:rFonts w:ascii="Calibri" w:hAnsi="Calibri" w:eastAsia="Calibri" w:cs="Calibri"/>
          <w:b w:val="1"/>
          <w:bCs w:val="1"/>
          <w:noProof w:val="0"/>
          <w:sz w:val="28"/>
          <w:szCs w:val="28"/>
          <w:u w:val="single"/>
          <w:lang w:val="en-US"/>
        </w:rPr>
        <w:t xml:space="preserve">Implementing DEI and Managing “Role Conflict” </w:t>
      </w:r>
    </w:p>
    <w:p w:rsidR="37B1017E" w:rsidP="07D8930B" w:rsidRDefault="37B1017E" w14:paraId="3C7A944C" w14:textId="02291724">
      <w:pPr>
        <w:spacing w:before="240" w:beforeAutospacing="off" w:after="24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 xml:space="preserve">In the context of DEI, departmental managers are </w:t>
      </w:r>
      <w:r w:rsidRPr="07D8930B" w:rsidR="37B1017E">
        <w:rPr>
          <w:rFonts w:ascii="Calibri" w:hAnsi="Calibri" w:eastAsia="Calibri" w:cs="Calibri"/>
          <w:noProof w:val="0"/>
          <w:sz w:val="24"/>
          <w:szCs w:val="24"/>
          <w:lang w:val="en-US"/>
        </w:rPr>
        <w:t>the guardians</w:t>
      </w:r>
      <w:r w:rsidRPr="07D8930B" w:rsidR="37B1017E">
        <w:rPr>
          <w:rFonts w:ascii="Calibri" w:hAnsi="Calibri" w:eastAsia="Calibri" w:cs="Calibri"/>
          <w:noProof w:val="0"/>
          <w:sz w:val="24"/>
          <w:szCs w:val="24"/>
          <w:lang w:val="en-US"/>
        </w:rPr>
        <w:t xml:space="preserve"> of workplace culture. They </w:t>
      </w:r>
      <w:r w:rsidRPr="07D8930B" w:rsidR="37B1017E">
        <w:rPr>
          <w:rFonts w:ascii="Calibri" w:hAnsi="Calibri" w:eastAsia="Calibri" w:cs="Calibri"/>
          <w:noProof w:val="0"/>
          <w:sz w:val="24"/>
          <w:szCs w:val="24"/>
          <w:lang w:val="en-US"/>
        </w:rPr>
        <w:t>are responsible for</w:t>
      </w:r>
      <w:r w:rsidRPr="07D8930B" w:rsidR="37B1017E">
        <w:rPr>
          <w:rFonts w:ascii="Calibri" w:hAnsi="Calibri" w:eastAsia="Calibri" w:cs="Calibri"/>
          <w:noProof w:val="0"/>
          <w:sz w:val="24"/>
          <w:szCs w:val="24"/>
          <w:lang w:val="en-US"/>
        </w:rPr>
        <w:t xml:space="preserve"> mitigating </w:t>
      </w:r>
      <w:r w:rsidRPr="07D8930B" w:rsidR="37B1017E">
        <w:rPr>
          <w:rFonts w:ascii="Calibri" w:hAnsi="Calibri" w:eastAsia="Calibri" w:cs="Calibri"/>
          <w:b w:val="1"/>
          <w:bCs w:val="1"/>
          <w:noProof w:val="0"/>
          <w:sz w:val="24"/>
          <w:szCs w:val="24"/>
          <w:lang w:val="en-US"/>
        </w:rPr>
        <w:t>unconscious bias</w:t>
      </w:r>
      <w:r w:rsidRPr="07D8930B" w:rsidR="37B1017E">
        <w:rPr>
          <w:rFonts w:ascii="Calibri" w:hAnsi="Calibri" w:eastAsia="Calibri" w:cs="Calibri"/>
          <w:noProof w:val="0"/>
          <w:sz w:val="24"/>
          <w:szCs w:val="24"/>
          <w:lang w:val="en-US"/>
        </w:rPr>
        <w:t xml:space="preserve"> during localized hiring and ensuring that the "inclusive climate" envisioned by senior leadership is felt on the shop floor. This involves moving beyond "compliance" to actively </w:t>
      </w:r>
      <w:r w:rsidRPr="07D8930B" w:rsidR="37B1017E">
        <w:rPr>
          <w:rFonts w:ascii="Calibri" w:hAnsi="Calibri" w:eastAsia="Calibri" w:cs="Calibri"/>
          <w:noProof w:val="0"/>
          <w:sz w:val="24"/>
          <w:szCs w:val="24"/>
          <w:lang w:val="en-US"/>
        </w:rPr>
        <w:t>fostering</w:t>
      </w:r>
      <w:r w:rsidRPr="07D8930B" w:rsidR="37B1017E">
        <w:rPr>
          <w:rFonts w:ascii="Calibri" w:hAnsi="Calibri" w:eastAsia="Calibri" w:cs="Calibri"/>
          <w:noProof w:val="0"/>
          <w:sz w:val="24"/>
          <w:szCs w:val="24"/>
          <w:lang w:val="en-US"/>
        </w:rPr>
        <w:t xml:space="preserve"> psychological safety, where diverse perspectives are </w:t>
      </w:r>
      <w:r w:rsidRPr="07D8930B" w:rsidR="37B1017E">
        <w:rPr>
          <w:rFonts w:ascii="Calibri" w:hAnsi="Calibri" w:eastAsia="Calibri" w:cs="Calibri"/>
          <w:noProof w:val="0"/>
          <w:sz w:val="24"/>
          <w:szCs w:val="24"/>
          <w:lang w:val="en-US"/>
        </w:rPr>
        <w:t>solicited</w:t>
      </w:r>
      <w:r w:rsidRPr="07D8930B" w:rsidR="37B1017E">
        <w:rPr>
          <w:rFonts w:ascii="Calibri" w:hAnsi="Calibri" w:eastAsia="Calibri" w:cs="Calibri"/>
          <w:noProof w:val="0"/>
          <w:sz w:val="24"/>
          <w:szCs w:val="24"/>
          <w:lang w:val="en-US"/>
        </w:rPr>
        <w:t xml:space="preserve"> and valued.</w:t>
      </w:r>
    </w:p>
    <w:p w:rsidR="37B1017E" w:rsidP="07D8930B" w:rsidRDefault="37B1017E" w14:paraId="47061FF4" w14:textId="7BCE8613">
      <w:pPr>
        <w:spacing w:before="240" w:beforeAutospacing="off" w:after="240" w:afterAutospacing="off"/>
        <w:rPr>
          <w:rFonts w:ascii="Calibri" w:hAnsi="Calibri" w:eastAsia="Calibri" w:cs="Calibri"/>
          <w:noProof w:val="0"/>
          <w:sz w:val="24"/>
          <w:szCs w:val="24"/>
          <w:lang w:val="en-US"/>
        </w:rPr>
      </w:pPr>
      <w:r w:rsidRPr="07D8930B" w:rsidR="37B1017E">
        <w:rPr>
          <w:rFonts w:ascii="Calibri" w:hAnsi="Calibri" w:eastAsia="Calibri" w:cs="Calibri"/>
          <w:noProof w:val="0"/>
          <w:sz w:val="24"/>
          <w:szCs w:val="24"/>
          <w:lang w:val="en-US"/>
        </w:rPr>
        <w:t xml:space="preserve">However, a significant barrier to effective implementation is </w:t>
      </w:r>
      <w:r w:rsidRPr="07D8930B" w:rsidR="37B1017E">
        <w:rPr>
          <w:rFonts w:ascii="Calibri" w:hAnsi="Calibri" w:eastAsia="Calibri" w:cs="Calibri"/>
          <w:b w:val="1"/>
          <w:bCs w:val="1"/>
          <w:noProof w:val="0"/>
          <w:sz w:val="24"/>
          <w:szCs w:val="24"/>
          <w:lang w:val="en-US"/>
        </w:rPr>
        <w:t>Role Conflict</w:t>
      </w:r>
      <w:r w:rsidRPr="07D8930B" w:rsidR="37B1017E">
        <w:rPr>
          <w:rFonts w:ascii="Calibri" w:hAnsi="Calibri" w:eastAsia="Calibri" w:cs="Calibri"/>
          <w:noProof w:val="0"/>
          <w:sz w:val="24"/>
          <w:szCs w:val="24"/>
          <w:lang w:val="en-US"/>
        </w:rPr>
        <w:t>. Managers at M&amp;S often face the "squeezed middle" syndrome—pressured to meet rigorous commercial KPIs and sales targets while simultaneously being tasked with time-consuming HR initiatives like diversity workshops or extended training. If M&amp;S does not align its incentive structures to reward HR outcomes (such as retention rates or training completion) alongside financial targets, managers may treat HR policies as secondary priorities.</w:t>
      </w:r>
    </w:p>
    <w:p w:rsidR="1FB624A9" w:rsidP="07D8930B" w:rsidRDefault="1FB624A9" w14:paraId="39B202E5" w14:textId="370B19C8">
      <w:pPr>
        <w:pStyle w:val="Normal"/>
        <w:rPr>
          <w:rFonts w:ascii="Calibri" w:hAnsi="Calibri" w:eastAsia="Calibri" w:cs="Calibri"/>
          <w:b w:val="1"/>
          <w:bCs w:val="1"/>
          <w:noProof w:val="0"/>
          <w:sz w:val="32"/>
          <w:szCs w:val="32"/>
          <w:u w:val="single"/>
          <w:lang w:val="en-US"/>
        </w:rPr>
      </w:pPr>
      <w:r w:rsidRPr="07D8930B" w:rsidR="1FB624A9">
        <w:rPr>
          <w:rFonts w:ascii="Calibri" w:hAnsi="Calibri" w:eastAsia="Calibri" w:cs="Calibri"/>
          <w:b w:val="1"/>
          <w:bCs w:val="1"/>
          <w:noProof w:val="0"/>
          <w:sz w:val="28"/>
          <w:szCs w:val="28"/>
          <w:u w:val="single"/>
          <w:lang w:val="en-US"/>
        </w:rPr>
        <w:t xml:space="preserve">5. Conclusion </w:t>
      </w:r>
    </w:p>
    <w:p w:rsidR="1FB624A9" w:rsidP="07D8930B" w:rsidRDefault="1FB624A9" w14:paraId="5CC8C964" w14:textId="090B1951">
      <w:pPr>
        <w:spacing w:before="240" w:beforeAutospacing="off" w:after="240" w:afterAutospacing="off"/>
        <w:rPr>
          <w:rFonts w:ascii="Calibri" w:hAnsi="Calibri" w:eastAsia="Calibri" w:cs="Calibri"/>
          <w:noProof w:val="0"/>
          <w:sz w:val="24"/>
          <w:szCs w:val="24"/>
          <w:lang w:val="en-US"/>
        </w:rPr>
      </w:pPr>
      <w:r w:rsidRPr="07D8930B" w:rsidR="1FB624A9">
        <w:rPr>
          <w:rFonts w:ascii="Calibri" w:hAnsi="Calibri" w:eastAsia="Calibri" w:cs="Calibri"/>
          <w:noProof w:val="0"/>
          <w:sz w:val="24"/>
          <w:szCs w:val="24"/>
          <w:lang w:val="en-US"/>
        </w:rPr>
        <w:t xml:space="preserve">In summary, Human Resource Management has transitioned from a traditional administrative function into a critical strategic anchor for organizations navigating the complexities of the modern retail sector. Marks &amp; Spencer serves as a primary example of a legacy retailer that must balance the "triple challenge" of </w:t>
      </w:r>
      <w:r w:rsidRPr="07D8930B" w:rsidR="1FB624A9">
        <w:rPr>
          <w:rFonts w:ascii="Calibri" w:hAnsi="Calibri" w:eastAsia="Calibri" w:cs="Calibri"/>
          <w:b w:val="1"/>
          <w:bCs w:val="1"/>
          <w:noProof w:val="0"/>
          <w:sz w:val="24"/>
          <w:szCs w:val="24"/>
          <w:lang w:val="en-US"/>
        </w:rPr>
        <w:t>digital transformation</w:t>
      </w:r>
      <w:r w:rsidRPr="07D8930B" w:rsidR="1FB624A9">
        <w:rPr>
          <w:rFonts w:ascii="Calibri" w:hAnsi="Calibri" w:eastAsia="Calibri" w:cs="Calibri"/>
          <w:noProof w:val="0"/>
          <w:sz w:val="24"/>
          <w:szCs w:val="24"/>
          <w:lang w:val="en-US"/>
        </w:rPr>
        <w:t xml:space="preserve">, </w:t>
      </w:r>
      <w:r w:rsidRPr="07D8930B" w:rsidR="1FB624A9">
        <w:rPr>
          <w:rFonts w:ascii="Calibri" w:hAnsi="Calibri" w:eastAsia="Calibri" w:cs="Calibri"/>
          <w:b w:val="1"/>
          <w:bCs w:val="1"/>
          <w:noProof w:val="0"/>
          <w:sz w:val="24"/>
          <w:szCs w:val="24"/>
          <w:lang w:val="en-US"/>
        </w:rPr>
        <w:t>talent scarcity</w:t>
      </w:r>
      <w:r w:rsidRPr="07D8930B" w:rsidR="1FB624A9">
        <w:rPr>
          <w:rFonts w:ascii="Calibri" w:hAnsi="Calibri" w:eastAsia="Calibri" w:cs="Calibri"/>
          <w:noProof w:val="0"/>
          <w:sz w:val="24"/>
          <w:szCs w:val="24"/>
          <w:lang w:val="en-US"/>
        </w:rPr>
        <w:t xml:space="preserve">, and the societal imperative for </w:t>
      </w:r>
      <w:r w:rsidRPr="07D8930B" w:rsidR="1FB624A9">
        <w:rPr>
          <w:rFonts w:ascii="Calibri" w:hAnsi="Calibri" w:eastAsia="Calibri" w:cs="Calibri"/>
          <w:b w:val="1"/>
          <w:bCs w:val="1"/>
          <w:noProof w:val="0"/>
          <w:sz w:val="24"/>
          <w:szCs w:val="24"/>
          <w:lang w:val="en-US"/>
        </w:rPr>
        <w:t>Diversity, Equity, and Inclusion (DEI)</w:t>
      </w:r>
      <w:r w:rsidRPr="07D8930B" w:rsidR="1FB624A9">
        <w:rPr>
          <w:rFonts w:ascii="Calibri" w:hAnsi="Calibri" w:eastAsia="Calibri" w:cs="Calibri"/>
          <w:noProof w:val="0"/>
          <w:sz w:val="24"/>
          <w:szCs w:val="24"/>
          <w:lang w:val="en-US"/>
        </w:rPr>
        <w:t>.</w:t>
      </w:r>
    </w:p>
    <w:p w:rsidR="1FB624A9" w:rsidP="07D8930B" w:rsidRDefault="1FB624A9" w14:paraId="3D77218A" w14:textId="354C22FE">
      <w:pPr>
        <w:spacing w:before="240" w:beforeAutospacing="off" w:after="240" w:afterAutospacing="off"/>
        <w:rPr>
          <w:rFonts w:ascii="Calibri" w:hAnsi="Calibri" w:eastAsia="Calibri" w:cs="Calibri"/>
          <w:noProof w:val="0"/>
          <w:sz w:val="24"/>
          <w:szCs w:val="24"/>
          <w:lang w:val="en-US"/>
        </w:rPr>
      </w:pPr>
      <w:r w:rsidRPr="07D8930B" w:rsidR="1FB624A9">
        <w:rPr>
          <w:rFonts w:ascii="Calibri" w:hAnsi="Calibri" w:eastAsia="Calibri" w:cs="Calibri"/>
          <w:noProof w:val="0"/>
          <w:sz w:val="24"/>
          <w:szCs w:val="24"/>
          <w:lang w:val="en-US"/>
        </w:rPr>
        <w:t xml:space="preserve">As this report has explored, addressing these challenges requires a shift toward contemporary HR architectures, including integrated digital HR systems, data-driven engagement initiatives, and systemic inclusion policies. However, the efficacy of these modern practices is not inherent in the policies themselves but is </w:t>
      </w:r>
      <w:r w:rsidRPr="07D8930B" w:rsidR="1FB624A9">
        <w:rPr>
          <w:rFonts w:ascii="Calibri" w:hAnsi="Calibri" w:eastAsia="Calibri" w:cs="Calibri"/>
          <w:noProof w:val="0"/>
          <w:sz w:val="24"/>
          <w:szCs w:val="24"/>
          <w:lang w:val="en-US"/>
        </w:rPr>
        <w:t>determined</w:t>
      </w:r>
      <w:r w:rsidRPr="07D8930B" w:rsidR="1FB624A9">
        <w:rPr>
          <w:rFonts w:ascii="Calibri" w:hAnsi="Calibri" w:eastAsia="Calibri" w:cs="Calibri"/>
          <w:noProof w:val="0"/>
          <w:sz w:val="24"/>
          <w:szCs w:val="24"/>
          <w:lang w:val="en-US"/>
        </w:rPr>
        <w:t xml:space="preserve"> by the quality of their </w:t>
      </w:r>
      <w:r w:rsidRPr="07D8930B" w:rsidR="1FB624A9">
        <w:rPr>
          <w:rFonts w:ascii="Calibri" w:hAnsi="Calibri" w:eastAsia="Calibri" w:cs="Calibri"/>
          <w:b w:val="1"/>
          <w:bCs w:val="1"/>
          <w:noProof w:val="0"/>
          <w:sz w:val="24"/>
          <w:szCs w:val="24"/>
          <w:lang w:val="en-US"/>
        </w:rPr>
        <w:t>operational implementation</w:t>
      </w:r>
      <w:r w:rsidRPr="07D8930B" w:rsidR="1FB624A9">
        <w:rPr>
          <w:rFonts w:ascii="Calibri" w:hAnsi="Calibri" w:eastAsia="Calibri" w:cs="Calibri"/>
          <w:noProof w:val="0"/>
          <w:sz w:val="24"/>
          <w:szCs w:val="24"/>
          <w:lang w:val="en-US"/>
        </w:rPr>
        <w:t>.</w:t>
      </w:r>
    </w:p>
    <w:p w:rsidR="1FB624A9" w:rsidP="07D8930B" w:rsidRDefault="1FB624A9" w14:paraId="593F9622" w14:textId="78057C5E">
      <w:pPr>
        <w:spacing w:before="240" w:beforeAutospacing="off" w:after="240" w:afterAutospacing="off"/>
        <w:rPr>
          <w:rFonts w:ascii="Calibri" w:hAnsi="Calibri" w:eastAsia="Calibri" w:cs="Calibri"/>
          <w:noProof w:val="0"/>
          <w:sz w:val="24"/>
          <w:szCs w:val="24"/>
          <w:lang w:val="en-US"/>
        </w:rPr>
      </w:pPr>
      <w:r w:rsidRPr="07D8930B" w:rsidR="1FB624A9">
        <w:rPr>
          <w:rFonts w:ascii="Calibri" w:hAnsi="Calibri" w:eastAsia="Calibri" w:cs="Calibri"/>
          <w:noProof w:val="0"/>
          <w:sz w:val="24"/>
          <w:szCs w:val="24"/>
          <w:lang w:val="en-US"/>
        </w:rPr>
        <w:t xml:space="preserve">Departmental managers act as the vital bridge between "intended" HR strategy and </w:t>
      </w:r>
      <w:r w:rsidRPr="07D8930B" w:rsidR="1FB624A9">
        <w:rPr>
          <w:rFonts w:ascii="Calibri" w:hAnsi="Calibri" w:eastAsia="Calibri" w:cs="Calibri"/>
          <w:noProof w:val="0"/>
          <w:sz w:val="24"/>
          <w:szCs w:val="24"/>
          <w:lang w:val="en-US"/>
        </w:rPr>
        <w:t>the "</w:t>
      </w:r>
      <w:r w:rsidRPr="07D8930B" w:rsidR="1FB624A9">
        <w:rPr>
          <w:rFonts w:ascii="Calibri" w:hAnsi="Calibri" w:eastAsia="Calibri" w:cs="Calibri"/>
          <w:noProof w:val="0"/>
          <w:sz w:val="24"/>
          <w:szCs w:val="24"/>
          <w:lang w:val="en-US"/>
        </w:rPr>
        <w:t xml:space="preserve">actual" employee experience. Their role as change agents—driving technological adoption, fostering psychological safety, and cultivating high-performance cultures—is the linchpin of organizational resilience. </w:t>
      </w:r>
      <w:r w:rsidRPr="07D8930B" w:rsidR="1FB624A9">
        <w:rPr>
          <w:rFonts w:ascii="Calibri" w:hAnsi="Calibri" w:eastAsia="Calibri" w:cs="Calibri"/>
          <w:noProof w:val="0"/>
          <w:sz w:val="24"/>
          <w:szCs w:val="24"/>
          <w:lang w:val="en-US"/>
        </w:rPr>
        <w:t>Ultimately, when</w:t>
      </w:r>
      <w:r w:rsidRPr="07D8930B" w:rsidR="1FB624A9">
        <w:rPr>
          <w:rFonts w:ascii="Calibri" w:hAnsi="Calibri" w:eastAsia="Calibri" w:cs="Calibri"/>
          <w:noProof w:val="0"/>
          <w:sz w:val="24"/>
          <w:szCs w:val="24"/>
          <w:lang w:val="en-US"/>
        </w:rPr>
        <w:t xml:space="preserve"> Marks &amp; Spencer aligns its HR strategies with robust leadership commitment and consistent managerial practice, it secures a sustainable competitive advantage and ensures long-term success in an increasingly volatile global market.</w:t>
      </w:r>
    </w:p>
    <w:p w:rsidR="70069AEB" w:rsidP="07D8930B" w:rsidRDefault="70069AEB" w14:paraId="40E0CDDD" w14:textId="58A279E8">
      <w:pPr>
        <w:pStyle w:val="Normal"/>
        <w:rPr>
          <w:rFonts w:ascii="Calibri" w:hAnsi="Calibri" w:eastAsia="Calibri" w:cs="Calibri"/>
          <w:b w:val="1"/>
          <w:bCs w:val="1"/>
          <w:noProof w:val="0"/>
          <w:sz w:val="32"/>
          <w:szCs w:val="32"/>
          <w:u w:val="single"/>
          <w:lang w:val="en-US"/>
        </w:rPr>
      </w:pPr>
      <w:r w:rsidRPr="07D8930B" w:rsidR="70069AEB">
        <w:rPr>
          <w:rFonts w:ascii="Calibri" w:hAnsi="Calibri" w:eastAsia="Calibri" w:cs="Calibri"/>
          <w:b w:val="1"/>
          <w:bCs w:val="1"/>
          <w:noProof w:val="0"/>
          <w:sz w:val="28"/>
          <w:szCs w:val="28"/>
          <w:u w:val="single"/>
          <w:lang w:val="en-US"/>
        </w:rPr>
        <w:t xml:space="preserve">6. Strategic Recommendations </w:t>
      </w:r>
    </w:p>
    <w:p w:rsidR="70069AEB" w:rsidP="07D8930B" w:rsidRDefault="70069AEB" w14:paraId="117545FF" w14:textId="2D2A68EC">
      <w:pPr>
        <w:spacing w:before="240" w:beforeAutospacing="off" w:after="240" w:afterAutospacing="off"/>
        <w:rPr>
          <w:rFonts w:ascii="Calibri" w:hAnsi="Calibri" w:eastAsia="Calibri" w:cs="Calibri"/>
          <w:noProof w:val="0"/>
          <w:sz w:val="24"/>
          <w:szCs w:val="24"/>
          <w:lang w:val="en-US"/>
        </w:rPr>
      </w:pPr>
      <w:r w:rsidRPr="07D8930B" w:rsidR="70069AEB">
        <w:rPr>
          <w:rFonts w:ascii="Calibri" w:hAnsi="Calibri" w:eastAsia="Calibri" w:cs="Calibri"/>
          <w:noProof w:val="0"/>
          <w:sz w:val="24"/>
          <w:szCs w:val="24"/>
          <w:lang w:val="en-US"/>
        </w:rPr>
        <w:t>To bolster its competitive position and address the identified HR challenges, Marks &amp; Spencer should implement the following strategic interventions:</w:t>
      </w:r>
    </w:p>
    <w:p w:rsidR="70069AEB" w:rsidP="07D8930B" w:rsidRDefault="70069AEB" w14:paraId="2407E00D" w14:textId="34504586">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07D8930B" w:rsidR="70069AEB">
        <w:rPr>
          <w:rFonts w:ascii="Calibri" w:hAnsi="Calibri" w:eastAsia="Calibri" w:cs="Calibri"/>
          <w:b w:val="1"/>
          <w:bCs w:val="1"/>
          <w:noProof w:val="0"/>
          <w:sz w:val="24"/>
          <w:szCs w:val="24"/>
          <w:lang w:val="en-US"/>
        </w:rPr>
        <w:t>Accelerated Digital Reskilling:</w:t>
      </w:r>
      <w:r w:rsidRPr="07D8930B" w:rsidR="70069AEB">
        <w:rPr>
          <w:rFonts w:ascii="Calibri" w:hAnsi="Calibri" w:eastAsia="Calibri" w:cs="Calibri"/>
          <w:noProof w:val="0"/>
          <w:sz w:val="24"/>
          <w:szCs w:val="24"/>
          <w:lang w:val="en-US"/>
        </w:rPr>
        <w:t xml:space="preserve"> Expand investment in "Digital-First" learning pathways. Moving beyond basic system training, M&amp;S should focus on data literacy and AI-augmented retail tools to ensure the workforce </w:t>
      </w:r>
      <w:r w:rsidRPr="07D8930B" w:rsidR="70069AEB">
        <w:rPr>
          <w:rFonts w:ascii="Calibri" w:hAnsi="Calibri" w:eastAsia="Calibri" w:cs="Calibri"/>
          <w:noProof w:val="0"/>
          <w:sz w:val="24"/>
          <w:szCs w:val="24"/>
          <w:lang w:val="en-US"/>
        </w:rPr>
        <w:t>remains</w:t>
      </w:r>
      <w:r w:rsidRPr="07D8930B" w:rsidR="70069AEB">
        <w:rPr>
          <w:rFonts w:ascii="Calibri" w:hAnsi="Calibri" w:eastAsia="Calibri" w:cs="Calibri"/>
          <w:noProof w:val="0"/>
          <w:sz w:val="24"/>
          <w:szCs w:val="24"/>
          <w:lang w:val="en-US"/>
        </w:rPr>
        <w:t xml:space="preserve"> agile amid rapid technological disruption.</w:t>
      </w:r>
    </w:p>
    <w:p w:rsidR="70069AEB" w:rsidP="07D8930B" w:rsidRDefault="70069AEB" w14:paraId="5EE4B1DC" w14:textId="36657847">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07D8930B" w:rsidR="70069AEB">
        <w:rPr>
          <w:rFonts w:ascii="Calibri" w:hAnsi="Calibri" w:eastAsia="Calibri" w:cs="Calibri"/>
          <w:b w:val="1"/>
          <w:bCs w:val="1"/>
          <w:noProof w:val="0"/>
          <w:sz w:val="24"/>
          <w:szCs w:val="24"/>
          <w:lang w:val="en-US"/>
        </w:rPr>
        <w:t>Vibrant Employer Value Proposition (EVP):</w:t>
      </w:r>
      <w:r w:rsidRPr="07D8930B" w:rsidR="70069AEB">
        <w:rPr>
          <w:rFonts w:ascii="Calibri" w:hAnsi="Calibri" w:eastAsia="Calibri" w:cs="Calibri"/>
          <w:noProof w:val="0"/>
          <w:sz w:val="24"/>
          <w:szCs w:val="24"/>
          <w:lang w:val="en-US"/>
        </w:rPr>
        <w:t xml:space="preserve"> Refine the employer brand by highlighting holistic well-being and flexible work-life integration. This will differentiate M&amp;S from discount competitors and attract high-caliber talent in a tightening labor market.</w:t>
      </w:r>
    </w:p>
    <w:p w:rsidR="70069AEB" w:rsidP="07D8930B" w:rsidRDefault="70069AEB" w14:paraId="0EC6A2BC" w14:textId="577880CF">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07D8930B" w:rsidR="70069AEB">
        <w:rPr>
          <w:rFonts w:ascii="Calibri" w:hAnsi="Calibri" w:eastAsia="Calibri" w:cs="Calibri"/>
          <w:b w:val="1"/>
          <w:bCs w:val="1"/>
          <w:noProof w:val="0"/>
          <w:sz w:val="24"/>
          <w:szCs w:val="24"/>
          <w:lang w:val="en-US"/>
        </w:rPr>
        <w:t>Formalized Talent Pipelines:</w:t>
      </w:r>
      <w:r w:rsidRPr="07D8930B" w:rsidR="70069AEB">
        <w:rPr>
          <w:rFonts w:ascii="Calibri" w:hAnsi="Calibri" w:eastAsia="Calibri" w:cs="Calibri"/>
          <w:noProof w:val="0"/>
          <w:sz w:val="24"/>
          <w:szCs w:val="24"/>
          <w:lang w:val="en-US"/>
        </w:rPr>
        <w:t xml:space="preserve"> </w:t>
      </w:r>
      <w:r w:rsidRPr="07D8930B" w:rsidR="70069AEB">
        <w:rPr>
          <w:rFonts w:ascii="Calibri" w:hAnsi="Calibri" w:eastAsia="Calibri" w:cs="Calibri"/>
          <w:noProof w:val="0"/>
          <w:sz w:val="24"/>
          <w:szCs w:val="24"/>
          <w:lang w:val="en-US"/>
        </w:rPr>
        <w:t>Establish</w:t>
      </w:r>
      <w:r w:rsidRPr="07D8930B" w:rsidR="70069AEB">
        <w:rPr>
          <w:rFonts w:ascii="Calibri" w:hAnsi="Calibri" w:eastAsia="Calibri" w:cs="Calibri"/>
          <w:noProof w:val="0"/>
          <w:sz w:val="24"/>
          <w:szCs w:val="24"/>
          <w:lang w:val="en-US"/>
        </w:rPr>
        <w:t xml:space="preserve"> transparent, merit-based career mapping and "high-potential" development </w:t>
      </w:r>
      <w:r w:rsidRPr="07D8930B" w:rsidR="70069AEB">
        <w:rPr>
          <w:rFonts w:ascii="Calibri" w:hAnsi="Calibri" w:eastAsia="Calibri" w:cs="Calibri"/>
          <w:noProof w:val="0"/>
          <w:sz w:val="24"/>
          <w:szCs w:val="24"/>
          <w:lang w:val="en-US"/>
        </w:rPr>
        <w:t>programmes</w:t>
      </w:r>
      <w:r w:rsidRPr="07D8930B" w:rsidR="70069AEB">
        <w:rPr>
          <w:rFonts w:ascii="Calibri" w:hAnsi="Calibri" w:eastAsia="Calibri" w:cs="Calibri"/>
          <w:noProof w:val="0"/>
          <w:sz w:val="24"/>
          <w:szCs w:val="24"/>
          <w:lang w:val="en-US"/>
        </w:rPr>
        <w:t>. Such initiatives promote long-term retention by aligning individual professional growth with organizational succession planning.</w:t>
      </w:r>
    </w:p>
    <w:p w:rsidR="70069AEB" w:rsidP="07D8930B" w:rsidRDefault="70069AEB" w14:paraId="61B809FE" w14:textId="46401FB4">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07D8930B" w:rsidR="70069AEB">
        <w:rPr>
          <w:rFonts w:ascii="Calibri" w:hAnsi="Calibri" w:eastAsia="Calibri" w:cs="Calibri"/>
          <w:b w:val="1"/>
          <w:bCs w:val="1"/>
          <w:noProof w:val="0"/>
          <w:sz w:val="24"/>
          <w:szCs w:val="24"/>
          <w:lang w:val="en-US"/>
        </w:rPr>
        <w:t>Systemic DEI Integration:</w:t>
      </w:r>
      <w:r w:rsidRPr="07D8930B" w:rsidR="70069AEB">
        <w:rPr>
          <w:rFonts w:ascii="Calibri" w:hAnsi="Calibri" w:eastAsia="Calibri" w:cs="Calibri"/>
          <w:noProof w:val="0"/>
          <w:sz w:val="24"/>
          <w:szCs w:val="24"/>
          <w:lang w:val="en-US"/>
        </w:rPr>
        <w:t xml:space="preserve"> Move beyond basic diversity training by adopting "blind recruitment" technologies and inclusive leadership audits. This ensures that equity is embedded within the organizational culture rather than treated as a peripheral compliance task.</w:t>
      </w:r>
    </w:p>
    <w:p w:rsidR="70069AEB" w:rsidP="07D8930B" w:rsidRDefault="70069AEB" w14:paraId="07C43FA7" w14:textId="5027D920">
      <w:pPr>
        <w:pStyle w:val="ListParagraph"/>
        <w:numPr>
          <w:ilvl w:val="0"/>
          <w:numId w:val="1"/>
        </w:numPr>
        <w:spacing w:before="240" w:beforeAutospacing="off" w:after="240" w:afterAutospacing="off"/>
        <w:rPr>
          <w:rFonts w:ascii="Calibri" w:hAnsi="Calibri" w:eastAsia="Calibri" w:cs="Calibri"/>
          <w:noProof w:val="0"/>
          <w:sz w:val="24"/>
          <w:szCs w:val="24"/>
          <w:lang w:val="en-US"/>
        </w:rPr>
      </w:pPr>
      <w:r w:rsidRPr="07D8930B" w:rsidR="70069AEB">
        <w:rPr>
          <w:rFonts w:ascii="Calibri" w:hAnsi="Calibri" w:eastAsia="Calibri" w:cs="Calibri"/>
          <w:b w:val="1"/>
          <w:bCs w:val="1"/>
          <w:noProof w:val="0"/>
          <w:sz w:val="24"/>
          <w:szCs w:val="24"/>
          <w:lang w:val="en-US"/>
        </w:rPr>
        <w:t>Managerial Empowerment and Accountability:</w:t>
      </w:r>
      <w:r w:rsidRPr="07D8930B" w:rsidR="70069AEB">
        <w:rPr>
          <w:rFonts w:ascii="Calibri" w:hAnsi="Calibri" w:eastAsia="Calibri" w:cs="Calibri"/>
          <w:noProof w:val="0"/>
          <w:sz w:val="24"/>
          <w:szCs w:val="24"/>
          <w:lang w:val="en-US"/>
        </w:rPr>
        <w:t xml:space="preserve"> Launch specialized leadership development modules for line managers, focusing on change management and emotional intelligence. Crucially, HR performance metrics (such as retention and inclusion scores) should be integrated into managerial KPIs to ensure consistent policy execution.</w:t>
      </w:r>
    </w:p>
    <w:p w:rsidR="49C92E54" w:rsidP="07D8930B" w:rsidRDefault="49C92E54" w14:paraId="32BB7992" w14:textId="374D7440">
      <w:pPr>
        <w:pStyle w:val="Normal"/>
        <w:rPr>
          <w:b w:val="1"/>
          <w:bCs w:val="1"/>
          <w:noProof w:val="0"/>
          <w:sz w:val="32"/>
          <w:szCs w:val="32"/>
          <w:u w:val="single"/>
          <w:lang w:val="en-US"/>
        </w:rPr>
      </w:pPr>
      <w:r w:rsidRPr="07D8930B" w:rsidR="49C92E54">
        <w:rPr>
          <w:b w:val="1"/>
          <w:bCs w:val="1"/>
          <w:noProof w:val="0"/>
          <w:sz w:val="28"/>
          <w:szCs w:val="28"/>
          <w:u w:val="single"/>
          <w:lang w:val="en-US"/>
        </w:rPr>
        <w:t>Reference</w:t>
      </w:r>
      <w:r w:rsidRPr="07D8930B" w:rsidR="49C92E54">
        <w:rPr>
          <w:b w:val="1"/>
          <w:bCs w:val="1"/>
          <w:noProof w:val="0"/>
          <w:sz w:val="28"/>
          <w:szCs w:val="28"/>
          <w:u w:val="single"/>
          <w:lang w:val="en-US"/>
        </w:rPr>
        <w:t xml:space="preserve"> List </w:t>
      </w:r>
    </w:p>
    <w:p w:rsidR="70069AEB" w:rsidP="637A0CF8" w:rsidRDefault="70069AEB" w14:paraId="02FF7FB1" w14:textId="552028E4">
      <w:pPr>
        <w:spacing w:before="240" w:beforeAutospacing="off" w:after="240" w:afterAutospacing="off"/>
      </w:pPr>
      <w:r w:rsidRPr="637A0CF8" w:rsidR="70069AEB">
        <w:rPr>
          <w:rFonts w:ascii="Aptos" w:hAnsi="Aptos" w:eastAsia="Aptos" w:cs="Aptos"/>
          <w:noProof w:val="0"/>
          <w:sz w:val="24"/>
          <w:szCs w:val="24"/>
          <w:lang w:val="en-US"/>
        </w:rPr>
        <w:t xml:space="preserve">Armstrong, M., &amp; Taylor, S. (2023). </w:t>
      </w:r>
      <w:r w:rsidRPr="637A0CF8" w:rsidR="70069AEB">
        <w:rPr>
          <w:rFonts w:ascii="Aptos" w:hAnsi="Aptos" w:eastAsia="Aptos" w:cs="Aptos"/>
          <w:i w:val="1"/>
          <w:iCs w:val="1"/>
          <w:noProof w:val="0"/>
          <w:sz w:val="24"/>
          <w:szCs w:val="24"/>
          <w:lang w:val="en-US"/>
        </w:rPr>
        <w:t>Armstrong’s Handbook of Human Resource Management Practice</w:t>
      </w:r>
      <w:r w:rsidRPr="637A0CF8" w:rsidR="70069AEB">
        <w:rPr>
          <w:rFonts w:ascii="Aptos" w:hAnsi="Aptos" w:eastAsia="Aptos" w:cs="Aptos"/>
          <w:noProof w:val="0"/>
          <w:sz w:val="24"/>
          <w:szCs w:val="24"/>
          <w:lang w:val="en-US"/>
        </w:rPr>
        <w:t>. Kogan Page.</w:t>
      </w:r>
    </w:p>
    <w:p w:rsidR="70069AEB" w:rsidP="637A0CF8" w:rsidRDefault="70069AEB" w14:paraId="14FFC39B" w14:textId="15FEAB1E">
      <w:pPr>
        <w:spacing w:before="240" w:beforeAutospacing="off" w:after="240" w:afterAutospacing="off"/>
      </w:pPr>
      <w:r w:rsidRPr="637A0CF8" w:rsidR="70069AEB">
        <w:rPr>
          <w:rFonts w:ascii="Aptos" w:hAnsi="Aptos" w:eastAsia="Aptos" w:cs="Aptos"/>
          <w:noProof w:val="0"/>
          <w:sz w:val="24"/>
          <w:szCs w:val="24"/>
          <w:lang w:val="en-US"/>
        </w:rPr>
        <w:t xml:space="preserve">Backhaus, K., &amp; Tikoo, S. (2004). Conceptualising and researching employer branding. </w:t>
      </w:r>
      <w:r w:rsidRPr="637A0CF8" w:rsidR="70069AEB">
        <w:rPr>
          <w:rFonts w:ascii="Aptos" w:hAnsi="Aptos" w:eastAsia="Aptos" w:cs="Aptos"/>
          <w:i w:val="1"/>
          <w:iCs w:val="1"/>
          <w:noProof w:val="0"/>
          <w:sz w:val="24"/>
          <w:szCs w:val="24"/>
          <w:lang w:val="en-US"/>
        </w:rPr>
        <w:t>Career Development International.</w:t>
      </w:r>
    </w:p>
    <w:p w:rsidR="70069AEB" w:rsidP="637A0CF8" w:rsidRDefault="70069AEB" w14:paraId="38BEF240" w14:textId="0D505104">
      <w:pPr>
        <w:spacing w:before="240" w:beforeAutospacing="off" w:after="240" w:afterAutospacing="off"/>
      </w:pPr>
      <w:r w:rsidRPr="637A0CF8" w:rsidR="70069AEB">
        <w:rPr>
          <w:rFonts w:ascii="Aptos" w:hAnsi="Aptos" w:eastAsia="Aptos" w:cs="Aptos"/>
          <w:noProof w:val="0"/>
          <w:sz w:val="24"/>
          <w:szCs w:val="24"/>
          <w:lang w:val="en-US"/>
        </w:rPr>
        <w:t xml:space="preserve">Bondarouk, T., &amp; Brewster, C. (2016). Conceptualising the future of HRM and technology research. </w:t>
      </w:r>
      <w:r w:rsidRPr="637A0CF8" w:rsidR="70069AEB">
        <w:rPr>
          <w:rFonts w:ascii="Aptos" w:hAnsi="Aptos" w:eastAsia="Aptos" w:cs="Aptos"/>
          <w:i w:val="1"/>
          <w:iCs w:val="1"/>
          <w:noProof w:val="0"/>
          <w:sz w:val="24"/>
          <w:szCs w:val="24"/>
          <w:lang w:val="en-US"/>
        </w:rPr>
        <w:t>International Journal of Human Resource Management.</w:t>
      </w:r>
    </w:p>
    <w:p w:rsidR="70069AEB" w:rsidP="637A0CF8" w:rsidRDefault="70069AEB" w14:paraId="0E82C569" w14:textId="6799841E">
      <w:pPr>
        <w:spacing w:before="240" w:beforeAutospacing="off" w:after="240" w:afterAutospacing="off"/>
      </w:pPr>
      <w:r w:rsidRPr="637A0CF8" w:rsidR="70069AEB">
        <w:rPr>
          <w:rFonts w:ascii="Aptos" w:hAnsi="Aptos" w:eastAsia="Aptos" w:cs="Aptos"/>
          <w:noProof w:val="0"/>
          <w:sz w:val="24"/>
          <w:szCs w:val="24"/>
          <w:lang w:val="en-US"/>
        </w:rPr>
        <w:t xml:space="preserve">Boxall, P., &amp; Purcell, J. (2016). </w:t>
      </w:r>
      <w:r w:rsidRPr="637A0CF8" w:rsidR="70069AEB">
        <w:rPr>
          <w:rFonts w:ascii="Aptos" w:hAnsi="Aptos" w:eastAsia="Aptos" w:cs="Aptos"/>
          <w:i w:val="1"/>
          <w:iCs w:val="1"/>
          <w:noProof w:val="0"/>
          <w:sz w:val="24"/>
          <w:szCs w:val="24"/>
          <w:lang w:val="en-US"/>
        </w:rPr>
        <w:t>Strategy and Human Resource Management</w:t>
      </w:r>
      <w:r w:rsidRPr="637A0CF8" w:rsidR="70069AEB">
        <w:rPr>
          <w:rFonts w:ascii="Aptos" w:hAnsi="Aptos" w:eastAsia="Aptos" w:cs="Aptos"/>
          <w:noProof w:val="0"/>
          <w:sz w:val="24"/>
          <w:szCs w:val="24"/>
          <w:lang w:val="en-US"/>
        </w:rPr>
        <w:t>. Palgrave Macmillan.</w:t>
      </w:r>
    </w:p>
    <w:p w:rsidR="70069AEB" w:rsidP="637A0CF8" w:rsidRDefault="70069AEB" w14:paraId="1C1FCF3B" w14:textId="10B3EB1A">
      <w:pPr>
        <w:spacing w:before="240" w:beforeAutospacing="off" w:after="240" w:afterAutospacing="off"/>
      </w:pPr>
      <w:r w:rsidRPr="637A0CF8" w:rsidR="70069AEB">
        <w:rPr>
          <w:rFonts w:ascii="Aptos" w:hAnsi="Aptos" w:eastAsia="Aptos" w:cs="Aptos"/>
          <w:noProof w:val="0"/>
          <w:sz w:val="24"/>
          <w:szCs w:val="24"/>
          <w:lang w:val="en-US"/>
        </w:rPr>
        <w:t xml:space="preserve">Bratton, J., &amp; Gold, J. (2017). </w:t>
      </w:r>
      <w:r w:rsidRPr="637A0CF8" w:rsidR="70069AEB">
        <w:rPr>
          <w:rFonts w:ascii="Aptos" w:hAnsi="Aptos" w:eastAsia="Aptos" w:cs="Aptos"/>
          <w:i w:val="1"/>
          <w:iCs w:val="1"/>
          <w:noProof w:val="0"/>
          <w:sz w:val="24"/>
          <w:szCs w:val="24"/>
          <w:lang w:val="en-US"/>
        </w:rPr>
        <w:t>Human Resource Management: Theory and Practice</w:t>
      </w:r>
      <w:r w:rsidRPr="637A0CF8" w:rsidR="70069AEB">
        <w:rPr>
          <w:rFonts w:ascii="Aptos" w:hAnsi="Aptos" w:eastAsia="Aptos" w:cs="Aptos"/>
          <w:noProof w:val="0"/>
          <w:sz w:val="24"/>
          <w:szCs w:val="24"/>
          <w:lang w:val="en-US"/>
        </w:rPr>
        <w:t>. Palgrave.</w:t>
      </w:r>
    </w:p>
    <w:p w:rsidR="70069AEB" w:rsidP="637A0CF8" w:rsidRDefault="70069AEB" w14:paraId="39A4E4EE" w14:textId="0D3A127A">
      <w:pPr>
        <w:spacing w:before="240" w:beforeAutospacing="off" w:after="240" w:afterAutospacing="off"/>
      </w:pPr>
      <w:r w:rsidRPr="637A0CF8" w:rsidR="70069AEB">
        <w:rPr>
          <w:rFonts w:ascii="Aptos" w:hAnsi="Aptos" w:eastAsia="Aptos" w:cs="Aptos"/>
          <w:noProof w:val="0"/>
          <w:sz w:val="24"/>
          <w:szCs w:val="24"/>
          <w:lang w:val="en-US"/>
        </w:rPr>
        <w:t xml:space="preserve">CIPD (2023). </w:t>
      </w:r>
      <w:r w:rsidRPr="637A0CF8" w:rsidR="70069AEB">
        <w:rPr>
          <w:rFonts w:ascii="Aptos" w:hAnsi="Aptos" w:eastAsia="Aptos" w:cs="Aptos"/>
          <w:i w:val="1"/>
          <w:iCs w:val="1"/>
          <w:noProof w:val="0"/>
          <w:sz w:val="24"/>
          <w:szCs w:val="24"/>
          <w:lang w:val="en-US"/>
        </w:rPr>
        <w:t>Technology and the Future of Work</w:t>
      </w:r>
      <w:r w:rsidRPr="637A0CF8" w:rsidR="70069AEB">
        <w:rPr>
          <w:rFonts w:ascii="Aptos" w:hAnsi="Aptos" w:eastAsia="Aptos" w:cs="Aptos"/>
          <w:noProof w:val="0"/>
          <w:sz w:val="24"/>
          <w:szCs w:val="24"/>
          <w:lang w:val="en-US"/>
        </w:rPr>
        <w:t>.</w:t>
      </w:r>
    </w:p>
    <w:p w:rsidR="70069AEB" w:rsidP="637A0CF8" w:rsidRDefault="70069AEB" w14:paraId="01B2DE6C" w14:textId="28EAF78C">
      <w:pPr>
        <w:spacing w:before="240" w:beforeAutospacing="off" w:after="240" w:afterAutospacing="off"/>
      </w:pPr>
      <w:r w:rsidRPr="637A0CF8" w:rsidR="70069AEB">
        <w:rPr>
          <w:rFonts w:ascii="Aptos" w:hAnsi="Aptos" w:eastAsia="Aptos" w:cs="Aptos"/>
          <w:noProof w:val="0"/>
          <w:sz w:val="24"/>
          <w:szCs w:val="24"/>
          <w:lang w:val="en-US"/>
        </w:rPr>
        <w:t xml:space="preserve">Roberson, Q. (2019). Diversity in the workplace. </w:t>
      </w:r>
      <w:r w:rsidRPr="637A0CF8" w:rsidR="70069AEB">
        <w:rPr>
          <w:rFonts w:ascii="Aptos" w:hAnsi="Aptos" w:eastAsia="Aptos" w:cs="Aptos"/>
          <w:i w:val="1"/>
          <w:iCs w:val="1"/>
          <w:noProof w:val="0"/>
          <w:sz w:val="24"/>
          <w:szCs w:val="24"/>
          <w:lang w:val="en-US"/>
        </w:rPr>
        <w:t>Oxford Research Encyclopedia of Business and Management.</w:t>
      </w:r>
    </w:p>
    <w:p w:rsidR="70069AEB" w:rsidP="637A0CF8" w:rsidRDefault="70069AEB" w14:paraId="49331378" w14:textId="56427B79">
      <w:pPr>
        <w:spacing w:before="240" w:beforeAutospacing="off" w:after="240" w:afterAutospacing="off"/>
      </w:pPr>
      <w:r w:rsidRPr="637A0CF8" w:rsidR="70069AEB">
        <w:rPr>
          <w:rFonts w:ascii="Aptos" w:hAnsi="Aptos" w:eastAsia="Aptos" w:cs="Aptos"/>
          <w:noProof w:val="0"/>
          <w:sz w:val="24"/>
          <w:szCs w:val="24"/>
          <w:lang w:val="en-US"/>
        </w:rPr>
        <w:t xml:space="preserve">Saks, A. (2006). Antecedents and consequences of employee engagement. </w:t>
      </w:r>
      <w:r w:rsidRPr="637A0CF8" w:rsidR="70069AEB">
        <w:rPr>
          <w:rFonts w:ascii="Aptos" w:hAnsi="Aptos" w:eastAsia="Aptos" w:cs="Aptos"/>
          <w:i w:val="1"/>
          <w:iCs w:val="1"/>
          <w:noProof w:val="0"/>
          <w:sz w:val="24"/>
          <w:szCs w:val="24"/>
          <w:lang w:val="en-US"/>
        </w:rPr>
        <w:t>Journal of Managerial Psychology.</w:t>
      </w:r>
    </w:p>
    <w:p w:rsidR="70069AEB" w:rsidP="637A0CF8" w:rsidRDefault="70069AEB" w14:paraId="2C2618FD" w14:textId="2A6EDCB3">
      <w:pPr>
        <w:spacing w:before="240" w:beforeAutospacing="off" w:after="240" w:afterAutospacing="off"/>
      </w:pPr>
      <w:r w:rsidRPr="637A0CF8" w:rsidR="70069AEB">
        <w:rPr>
          <w:rFonts w:ascii="Aptos" w:hAnsi="Aptos" w:eastAsia="Aptos" w:cs="Aptos"/>
          <w:noProof w:val="0"/>
          <w:sz w:val="24"/>
          <w:szCs w:val="24"/>
          <w:lang w:val="en-US"/>
        </w:rPr>
        <w:t xml:space="preserve">Shen, J., et al. (2009). Managing diversity through human resource management. </w:t>
      </w:r>
      <w:r w:rsidRPr="637A0CF8" w:rsidR="70069AEB">
        <w:rPr>
          <w:rFonts w:ascii="Aptos" w:hAnsi="Aptos" w:eastAsia="Aptos" w:cs="Aptos"/>
          <w:i w:val="1"/>
          <w:iCs w:val="1"/>
          <w:noProof w:val="0"/>
          <w:sz w:val="24"/>
          <w:szCs w:val="24"/>
          <w:lang w:val="en-US"/>
        </w:rPr>
        <w:t>International Journal of Human Resource Management.</w:t>
      </w:r>
    </w:p>
    <w:p w:rsidR="637A0CF8" w:rsidP="637A0CF8" w:rsidRDefault="637A0CF8" w14:paraId="0162B02D" w14:textId="131CB658">
      <w:pPr>
        <w:spacing w:before="240" w:beforeAutospacing="off" w:after="240" w:afterAutospacing="off"/>
        <w:rPr>
          <w:rFonts w:ascii="Aptos" w:hAnsi="Aptos" w:eastAsia="Aptos" w:cs="Aptos"/>
          <w:noProof w:val="0"/>
          <w:sz w:val="24"/>
          <w:szCs w:val="24"/>
          <w:lang w:val="en-US"/>
        </w:rPr>
      </w:pPr>
    </w:p>
    <w:p w:rsidR="637A0CF8" w:rsidP="637A0CF8" w:rsidRDefault="637A0CF8" w14:paraId="4C1DA738" w14:textId="10C0BEA6">
      <w:pPr>
        <w:spacing w:before="240" w:beforeAutospacing="off" w:after="240" w:afterAutospacing="off"/>
        <w:rPr>
          <w:rFonts w:ascii="Aptos" w:hAnsi="Aptos" w:eastAsia="Aptos" w:cs="Aptos"/>
          <w:noProof w:val="0"/>
          <w:sz w:val="24"/>
          <w:szCs w:val="24"/>
          <w:lang w:val="en-US"/>
        </w:rPr>
      </w:pPr>
    </w:p>
    <w:p w:rsidR="637A0CF8" w:rsidP="637A0CF8" w:rsidRDefault="637A0CF8" w14:paraId="2FEF4DD2" w14:textId="21E7D46B">
      <w:pPr>
        <w:spacing w:before="0" w:beforeAutospacing="off" w:after="240" w:afterAutospacing="off"/>
        <w:rPr>
          <w:rFonts w:ascii="Aptos" w:hAnsi="Aptos" w:eastAsia="Aptos" w:cs="Aptos"/>
          <w:noProof w:val="0"/>
          <w:sz w:val="24"/>
          <w:szCs w:val="24"/>
          <w:lang w:val="en-US"/>
        </w:rPr>
      </w:pPr>
    </w:p>
    <w:p w:rsidR="637A0CF8" w:rsidP="637A0CF8" w:rsidRDefault="637A0CF8" w14:paraId="32A951B5" w14:textId="231A4EBA">
      <w:pPr>
        <w:pStyle w:val="Normal"/>
      </w:pPr>
    </w:p>
    <w:sectPr>
      <w:pgSz w:w="12240" w:h="15840" w:orient="portrait"/>
      <w:pgMar w:top="1440" w:right="1440" w:bottom="1440" w:left="1440" w:header="720" w:footer="720" w:gutter="0"/>
      <w:cols w:space="720"/>
      <w:docGrid w:linePitch="360"/>
      <w:headerReference w:type="default" r:id="Rd6b99bc036784961"/>
      <w:footerReference w:type="default" r:id="Rc9c9ff0b882548d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37A0CF8" w:rsidTr="637A0CF8" w14:paraId="47A69B92">
      <w:trPr>
        <w:trHeight w:val="300"/>
      </w:trPr>
      <w:tc>
        <w:tcPr>
          <w:tcW w:w="3120" w:type="dxa"/>
          <w:tcMar/>
        </w:tcPr>
        <w:p w:rsidR="637A0CF8" w:rsidP="637A0CF8" w:rsidRDefault="637A0CF8" w14:paraId="13717A32" w14:textId="0A5B47BE">
          <w:pPr>
            <w:pStyle w:val="Header"/>
            <w:bidi w:val="0"/>
            <w:ind w:left="-115"/>
            <w:jc w:val="left"/>
          </w:pPr>
        </w:p>
      </w:tc>
      <w:tc>
        <w:tcPr>
          <w:tcW w:w="3120" w:type="dxa"/>
          <w:tcMar/>
        </w:tcPr>
        <w:p w:rsidR="637A0CF8" w:rsidP="637A0CF8" w:rsidRDefault="637A0CF8" w14:paraId="594D83F2" w14:textId="52E95D43">
          <w:pPr>
            <w:pStyle w:val="Header"/>
            <w:bidi w:val="0"/>
            <w:jc w:val="center"/>
          </w:pPr>
        </w:p>
      </w:tc>
      <w:tc>
        <w:tcPr>
          <w:tcW w:w="3120" w:type="dxa"/>
          <w:tcMar/>
        </w:tcPr>
        <w:p w:rsidR="637A0CF8" w:rsidP="637A0CF8" w:rsidRDefault="637A0CF8" w14:paraId="2B771ABF" w14:textId="5E55CBA8">
          <w:pPr>
            <w:pStyle w:val="Header"/>
            <w:bidi w:val="0"/>
            <w:ind w:right="-115"/>
            <w:jc w:val="right"/>
          </w:pPr>
        </w:p>
      </w:tc>
    </w:tr>
  </w:tbl>
  <w:p w:rsidR="637A0CF8" w:rsidP="637A0CF8" w:rsidRDefault="637A0CF8" w14:paraId="658A02B8" w14:textId="52640A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37A0CF8" w:rsidTr="637A0CF8" w14:paraId="3990E39A">
      <w:trPr>
        <w:trHeight w:val="300"/>
      </w:trPr>
      <w:tc>
        <w:tcPr>
          <w:tcW w:w="3120" w:type="dxa"/>
          <w:tcMar/>
        </w:tcPr>
        <w:p w:rsidR="637A0CF8" w:rsidP="637A0CF8" w:rsidRDefault="637A0CF8" w14:paraId="2580402B" w14:textId="0C4D67CE">
          <w:pPr>
            <w:pStyle w:val="Header"/>
            <w:bidi w:val="0"/>
            <w:ind w:left="-115"/>
            <w:jc w:val="left"/>
          </w:pPr>
          <w:r w:rsidR="637A0CF8">
            <w:rPr/>
            <w:t>Cristian Calin 2410078</w:t>
          </w:r>
        </w:p>
      </w:tc>
      <w:tc>
        <w:tcPr>
          <w:tcW w:w="3120" w:type="dxa"/>
          <w:tcMar/>
        </w:tcPr>
        <w:p w:rsidR="637A0CF8" w:rsidP="637A0CF8" w:rsidRDefault="637A0CF8" w14:paraId="009D1477" w14:textId="4842850C">
          <w:pPr>
            <w:pStyle w:val="Header"/>
            <w:bidi w:val="0"/>
            <w:jc w:val="center"/>
          </w:pPr>
          <w:r w:rsidR="637A0CF8">
            <w:rPr/>
            <w:t xml:space="preserve">BA (HONS) Leadership and </w:t>
          </w:r>
          <w:r w:rsidR="637A0CF8">
            <w:rPr/>
            <w:t>management</w:t>
          </w:r>
          <w:r w:rsidR="637A0CF8">
            <w:rPr/>
            <w:t xml:space="preserve"> skills for the workplpace </w:t>
          </w:r>
        </w:p>
      </w:tc>
      <w:tc>
        <w:tcPr>
          <w:tcW w:w="3120" w:type="dxa"/>
          <w:tcMar/>
        </w:tcPr>
        <w:p w:rsidR="637A0CF8" w:rsidP="637A0CF8" w:rsidRDefault="637A0CF8" w14:paraId="4C03B404" w14:textId="7AE82C5B">
          <w:pPr>
            <w:pStyle w:val="Header"/>
            <w:bidi w:val="0"/>
            <w:ind w:right="-115"/>
            <w:jc w:val="right"/>
          </w:pPr>
          <w:r w:rsidR="637A0CF8">
            <w:rPr/>
            <w:t xml:space="preserve">Doreen Nyaa Amundam </w:t>
          </w:r>
        </w:p>
      </w:tc>
    </w:tr>
  </w:tbl>
  <w:p w:rsidR="637A0CF8" w:rsidP="637A0CF8" w:rsidRDefault="637A0CF8" w14:paraId="24BE9386" w14:textId="428168A1">
    <w:pPr>
      <w:pStyle w:val="Header"/>
      <w:bidi w:val="0"/>
    </w:pPr>
  </w:p>
</w:hdr>
</file>

<file path=word/numbering.xml><?xml version="1.0" encoding="utf-8"?>
<w:numbering xmlns:w="http://schemas.openxmlformats.org/wordprocessingml/2006/main">
  <w:abstractNum xmlns:w="http://schemas.openxmlformats.org/wordprocessingml/2006/main" w:abstractNumId="1">
    <w:nsid w:val="73f24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82D10"/>
    <w:rsid w:val="05D1E2B1"/>
    <w:rsid w:val="06369F08"/>
    <w:rsid w:val="07D8930B"/>
    <w:rsid w:val="0A384CBD"/>
    <w:rsid w:val="0E2E84A9"/>
    <w:rsid w:val="0FC336A3"/>
    <w:rsid w:val="138D09F4"/>
    <w:rsid w:val="179ABC8D"/>
    <w:rsid w:val="1C8F9DD4"/>
    <w:rsid w:val="1FB624A9"/>
    <w:rsid w:val="21D76366"/>
    <w:rsid w:val="22BCBDD4"/>
    <w:rsid w:val="24162FC1"/>
    <w:rsid w:val="28804F98"/>
    <w:rsid w:val="3241B81D"/>
    <w:rsid w:val="355E10B7"/>
    <w:rsid w:val="37B1017E"/>
    <w:rsid w:val="39C699C9"/>
    <w:rsid w:val="3CD52B9E"/>
    <w:rsid w:val="3EF7803C"/>
    <w:rsid w:val="413536EC"/>
    <w:rsid w:val="426D7C0D"/>
    <w:rsid w:val="43602242"/>
    <w:rsid w:val="44ECD2F2"/>
    <w:rsid w:val="45A7DAA9"/>
    <w:rsid w:val="48882D10"/>
    <w:rsid w:val="48FF6DA3"/>
    <w:rsid w:val="49C92E54"/>
    <w:rsid w:val="4A4EE901"/>
    <w:rsid w:val="4CF11FA9"/>
    <w:rsid w:val="4F29E829"/>
    <w:rsid w:val="4F3CD973"/>
    <w:rsid w:val="5575F54D"/>
    <w:rsid w:val="55A3297D"/>
    <w:rsid w:val="5684D4DE"/>
    <w:rsid w:val="56C01CE4"/>
    <w:rsid w:val="637A0CF8"/>
    <w:rsid w:val="654A5C83"/>
    <w:rsid w:val="70069AEB"/>
    <w:rsid w:val="76292CC4"/>
    <w:rsid w:val="7DBD1CF7"/>
    <w:rsid w:val="7FDA56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84AEF"/>
  <w15:chartTrackingRefBased/>
  <w15:docId w15:val="{8F9F0866-EF50-4063-955E-7CBCDE9D6D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37A0CF8"/>
    <w:pPr>
      <w:tabs>
        <w:tab w:val="center" w:leader="none" w:pos="4680"/>
        <w:tab w:val="right" w:leader="none" w:pos="9360"/>
      </w:tabs>
      <w:spacing w:after="0" w:line="240" w:lineRule="auto"/>
    </w:pPr>
  </w:style>
  <w:style w:type="paragraph" w:styleId="Footer">
    <w:uiPriority w:val="99"/>
    <w:name w:val="footer"/>
    <w:basedOn w:val="Normal"/>
    <w:unhideWhenUsed/>
    <w:rsid w:val="637A0CF8"/>
    <w:pPr>
      <w:tabs>
        <w:tab w:val="center" w:leader="none" w:pos="4680"/>
        <w:tab w:val="right" w:leader="none" w:pos="9360"/>
      </w:tabs>
      <w:spacing w:after="0" w:line="240" w:lineRule="auto"/>
    </w:pPr>
  </w:style>
  <w:style w:type="paragraph" w:styleId="Heading1">
    <w:uiPriority w:val="9"/>
    <w:name w:val="heading 1"/>
    <w:basedOn w:val="Normal"/>
    <w:next w:val="Normal"/>
    <w:qFormat/>
    <w:rsid w:val="637A0CF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37A0CF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37A0CF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37A0CF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473665805" /><Relationship Type="http://schemas.openxmlformats.org/officeDocument/2006/relationships/header" Target="header.xml" Id="Rd6b99bc036784961" /><Relationship Type="http://schemas.openxmlformats.org/officeDocument/2006/relationships/footer" Target="footer.xml" Id="Rc9c9ff0b882548d7" /><Relationship Type="http://schemas.openxmlformats.org/officeDocument/2006/relationships/numbering" Target="numbering.xml" Id="R27820167d490493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2026-03-11T10:11:20.1287124Z</dcterms:created>
  <dcterms:modified xsi:type="dcterms:W3CDTF">2026-03-11T10:41:13.5401479Z</dcterms:modified>
  <dc:creator>Cristian Calin (2410078)</dc:creator>
  <lastModifiedBy>Cristian Calin (2410078)</lastModifiedBy>
</coreProperties>
</file>