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1A046" w14:textId="77777777" w:rsidR="00222940" w:rsidRDefault="00222940" w:rsidP="00222940">
      <w:r>
        <w:rPr>
          <w:noProof/>
        </w:rPr>
        <w:drawing>
          <wp:inline distT="0" distB="0" distL="0" distR="0" wp14:anchorId="4CC94107" wp14:editId="5FD0919E">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FDE69EE" w14:textId="77777777" w:rsidR="00222940" w:rsidRPr="00A47621" w:rsidRDefault="00222940" w:rsidP="00222940">
      <w:pPr>
        <w:rPr>
          <w:rFonts w:ascii="Times New Roman" w:hAnsi="Times New Roman" w:cs="Times New Roman"/>
          <w:sz w:val="24"/>
          <w:szCs w:val="24"/>
        </w:rPr>
      </w:pPr>
    </w:p>
    <w:p w14:paraId="4292BAC2" w14:textId="77777777" w:rsidR="00222940" w:rsidRPr="00F927A1" w:rsidRDefault="00222940" w:rsidP="00222940">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138284" w14:textId="77777777" w:rsidR="00222940" w:rsidRPr="00DC2924" w:rsidRDefault="00222940" w:rsidP="0022294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182B3DC" w14:textId="77777777" w:rsidR="00222940" w:rsidRPr="0085230E" w:rsidRDefault="00222940" w:rsidP="0022294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E3AB159" w14:textId="77777777" w:rsidR="00222940" w:rsidRDefault="00222940" w:rsidP="00222940">
      <w:pPr>
        <w:overflowPunct/>
        <w:autoSpaceDE/>
        <w:autoSpaceDN/>
        <w:adjustRightInd/>
        <w:ind w:right="-957"/>
        <w:textAlignment w:val="auto"/>
        <w:rPr>
          <w:rFonts w:ascii="Times New Roman" w:hAnsi="Times New Roman" w:cs="Times New Roman"/>
          <w:b/>
          <w:color w:val="auto"/>
          <w:sz w:val="48"/>
        </w:rPr>
      </w:pPr>
    </w:p>
    <w:p w14:paraId="0CB2868A" w14:textId="77777777" w:rsidR="00222940" w:rsidRPr="00FE5F90" w:rsidRDefault="00222940" w:rsidP="00222940">
      <w:pPr>
        <w:overflowPunct/>
        <w:autoSpaceDE/>
        <w:autoSpaceDN/>
        <w:adjustRightInd/>
        <w:ind w:right="-957"/>
        <w:textAlignment w:val="auto"/>
        <w:rPr>
          <w:rFonts w:ascii="Times New Roman" w:hAnsi="Times New Roman" w:cs="Times New Roman"/>
          <w:b/>
          <w:color w:val="auto"/>
          <w:sz w:val="18"/>
          <w:szCs w:val="2"/>
        </w:rPr>
      </w:pPr>
    </w:p>
    <w:p w14:paraId="37E0227E" w14:textId="77777777" w:rsidR="00222940" w:rsidRPr="00F927A1" w:rsidRDefault="00222940" w:rsidP="0022294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2C9804C1" w14:textId="77777777" w:rsidR="00222940" w:rsidRPr="00706BB5" w:rsidRDefault="00222940" w:rsidP="00222940">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5EFB36CE" w14:textId="77777777" w:rsidR="00222940" w:rsidRPr="00FE5F90" w:rsidRDefault="00222940" w:rsidP="00222940">
      <w:pPr>
        <w:overflowPunct/>
        <w:autoSpaceDE/>
        <w:autoSpaceDN/>
        <w:adjustRightInd/>
        <w:ind w:right="-957"/>
        <w:textAlignment w:val="auto"/>
        <w:rPr>
          <w:rFonts w:ascii="Times New Roman" w:hAnsi="Times New Roman" w:cs="Times New Roman"/>
          <w:b/>
          <w:color w:val="auto"/>
          <w:sz w:val="14"/>
          <w:szCs w:val="2"/>
        </w:rPr>
      </w:pPr>
    </w:p>
    <w:p w14:paraId="66725CBE" w14:textId="77777777" w:rsidR="00222940" w:rsidRPr="00F927A1" w:rsidRDefault="00222940" w:rsidP="00222940">
      <w:pPr>
        <w:overflowPunct/>
        <w:autoSpaceDE/>
        <w:autoSpaceDN/>
        <w:adjustRightInd/>
        <w:ind w:right="-957"/>
        <w:textAlignment w:val="auto"/>
        <w:rPr>
          <w:rFonts w:ascii="Times New Roman" w:hAnsi="Times New Roman" w:cs="Times New Roman"/>
          <w:b/>
          <w:color w:val="auto"/>
          <w:sz w:val="48"/>
        </w:rPr>
      </w:pPr>
    </w:p>
    <w:tbl>
      <w:tblPr>
        <w:tblW w:w="1105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7"/>
      </w:tblGrid>
      <w:tr w:rsidR="00222940" w:rsidRPr="005D3F07" w14:paraId="1FA4B498" w14:textId="77777777" w:rsidTr="00494651">
        <w:tc>
          <w:tcPr>
            <w:tcW w:w="11057" w:type="dxa"/>
          </w:tcPr>
          <w:p w14:paraId="4C5CD20B" w14:textId="2E3A1490" w:rsidR="00222940" w:rsidRDefault="00222940" w:rsidP="003C3A7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Sara Hatcher</w:t>
            </w:r>
          </w:p>
          <w:p w14:paraId="1FF2D4DA" w14:textId="77777777" w:rsidR="00222940" w:rsidRDefault="00222940" w:rsidP="003C3A72">
            <w:pPr>
              <w:overflowPunct/>
              <w:autoSpaceDE/>
              <w:autoSpaceDN/>
              <w:adjustRightInd/>
              <w:ind w:right="-957"/>
              <w:textAlignment w:val="auto"/>
              <w:rPr>
                <w:rFonts w:ascii="Times New Roman" w:hAnsi="Times New Roman" w:cs="Times New Roman"/>
                <w:b/>
                <w:color w:val="auto"/>
                <w:sz w:val="48"/>
              </w:rPr>
            </w:pPr>
          </w:p>
          <w:p w14:paraId="41DC7567" w14:textId="77315842" w:rsidR="00222940" w:rsidRDefault="00222940" w:rsidP="003C3A7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Sara.hatcher2@ceredigion.gov.uk</w:t>
            </w:r>
          </w:p>
          <w:p w14:paraId="4190D1D3" w14:textId="77777777" w:rsidR="00222940" w:rsidRDefault="00222940" w:rsidP="003C3A72">
            <w:pPr>
              <w:overflowPunct/>
              <w:autoSpaceDE/>
              <w:autoSpaceDN/>
              <w:adjustRightInd/>
              <w:ind w:right="-957"/>
              <w:textAlignment w:val="auto"/>
              <w:rPr>
                <w:rFonts w:ascii="Times New Roman" w:hAnsi="Times New Roman" w:cs="Times New Roman"/>
                <w:b/>
                <w:color w:val="auto"/>
                <w:sz w:val="48"/>
              </w:rPr>
            </w:pPr>
          </w:p>
          <w:p w14:paraId="6BCE6A96" w14:textId="5B3D9081" w:rsidR="00222940" w:rsidRPr="005D3F07" w:rsidRDefault="00222940" w:rsidP="003C3A7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sidR="00840E0F">
              <w:rPr>
                <w:rFonts w:ascii="Times New Roman" w:hAnsi="Times New Roman" w:cs="Times New Roman"/>
                <w:b/>
                <w:color w:val="auto"/>
                <w:sz w:val="48"/>
              </w:rPr>
              <w:t xml:space="preserve"> 2</w:t>
            </w:r>
            <w:r w:rsidR="00494651">
              <w:rPr>
                <w:rFonts w:ascii="Times New Roman" w:hAnsi="Times New Roman" w:cs="Times New Roman"/>
                <w:b/>
                <w:color w:val="auto"/>
                <w:sz w:val="48"/>
              </w:rPr>
              <w:t>520472</w:t>
            </w:r>
          </w:p>
          <w:p w14:paraId="68DBDBA6" w14:textId="77777777" w:rsidR="00222940" w:rsidRPr="005D3F07" w:rsidRDefault="00222940" w:rsidP="003C3A72">
            <w:pPr>
              <w:overflowPunct/>
              <w:autoSpaceDE/>
              <w:autoSpaceDN/>
              <w:adjustRightInd/>
              <w:ind w:right="-957"/>
              <w:textAlignment w:val="auto"/>
              <w:rPr>
                <w:rFonts w:ascii="Times New Roman" w:hAnsi="Times New Roman" w:cs="Times New Roman"/>
                <w:b/>
                <w:color w:val="auto"/>
                <w:sz w:val="48"/>
              </w:rPr>
            </w:pPr>
          </w:p>
          <w:p w14:paraId="55866384" w14:textId="7753008B" w:rsidR="00222940" w:rsidRPr="005D3F07" w:rsidRDefault="00222940" w:rsidP="003C3A7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26</w:t>
            </w:r>
          </w:p>
        </w:tc>
      </w:tr>
    </w:tbl>
    <w:p w14:paraId="0CB0E571" w14:textId="77777777" w:rsidR="00222940" w:rsidRPr="00F927A1" w:rsidRDefault="00222940" w:rsidP="0022294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95ED8B2" w14:textId="77777777" w:rsidR="00222940" w:rsidRPr="00F927A1" w:rsidRDefault="00222940" w:rsidP="00222940">
      <w:pPr>
        <w:overflowPunct/>
        <w:autoSpaceDE/>
        <w:autoSpaceDN/>
        <w:adjustRightInd/>
        <w:textAlignment w:val="auto"/>
        <w:rPr>
          <w:rFonts w:ascii="Times New Roman" w:hAnsi="Times New Roman" w:cs="Times New Roman"/>
          <w:color w:val="auto"/>
          <w:sz w:val="24"/>
        </w:rPr>
      </w:pPr>
    </w:p>
    <w:p w14:paraId="46AC0ACB" w14:textId="77777777" w:rsidR="00222940" w:rsidRPr="00F927A1" w:rsidRDefault="00222940" w:rsidP="00222940">
      <w:pPr>
        <w:overflowPunct/>
        <w:autoSpaceDE/>
        <w:autoSpaceDN/>
        <w:adjustRightInd/>
        <w:ind w:right="-957"/>
        <w:textAlignment w:val="auto"/>
        <w:rPr>
          <w:rFonts w:ascii="Times New Roman" w:hAnsi="Times New Roman" w:cs="Times New Roman"/>
          <w:b/>
          <w:color w:val="auto"/>
          <w:sz w:val="48"/>
        </w:rPr>
      </w:pPr>
    </w:p>
    <w:p w14:paraId="71DAC743" w14:textId="70B623FC" w:rsidR="00222940" w:rsidRDefault="00222940" w:rsidP="00222940">
      <w:pPr>
        <w:jc w:val="center"/>
        <w:rPr>
          <w:b/>
          <w:sz w:val="24"/>
          <w:szCs w:val="24"/>
        </w:rPr>
      </w:pPr>
      <w:r>
        <w:rPr>
          <w:b/>
          <w:sz w:val="24"/>
          <w:szCs w:val="24"/>
        </w:rPr>
        <w:br w:type="page"/>
      </w:r>
    </w:p>
    <w:p w14:paraId="711B45BB" w14:textId="77777777" w:rsidR="00222940" w:rsidRPr="00EE5BC3" w:rsidRDefault="00222940" w:rsidP="00222940">
      <w:pPr>
        <w:jc w:val="center"/>
        <w:rPr>
          <w:sz w:val="28"/>
          <w:szCs w:val="28"/>
        </w:rPr>
      </w:pPr>
      <w:r w:rsidRPr="00EE5BC3">
        <w:rPr>
          <w:b/>
          <w:sz w:val="28"/>
          <w:szCs w:val="28"/>
        </w:rPr>
        <w:lastRenderedPageBreak/>
        <w:t>Task 3</w:t>
      </w:r>
    </w:p>
    <w:p w14:paraId="3E4F0275" w14:textId="77777777" w:rsidR="00222940" w:rsidRPr="00EE5BC3" w:rsidRDefault="00222940" w:rsidP="00222940">
      <w:pPr>
        <w:jc w:val="center"/>
        <w:rPr>
          <w:b/>
          <w:sz w:val="28"/>
          <w:szCs w:val="28"/>
        </w:rPr>
      </w:pPr>
    </w:p>
    <w:p w14:paraId="781E0F27" w14:textId="77777777" w:rsidR="00222940" w:rsidRPr="00EE5BC3" w:rsidRDefault="00222940" w:rsidP="00222940">
      <w:pPr>
        <w:jc w:val="center"/>
        <w:rPr>
          <w:b/>
          <w:color w:val="auto"/>
          <w:sz w:val="28"/>
          <w:szCs w:val="28"/>
        </w:rPr>
      </w:pPr>
      <w:r w:rsidRPr="00EE5BC3">
        <w:rPr>
          <w:b/>
          <w:color w:val="auto"/>
          <w:sz w:val="28"/>
          <w:szCs w:val="28"/>
        </w:rPr>
        <w:t>Safeguarding and working in complex situations – Case Study</w:t>
      </w:r>
    </w:p>
    <w:p w14:paraId="34384467" w14:textId="77777777" w:rsidR="00222940" w:rsidRDefault="00222940" w:rsidP="00222940">
      <w:pPr>
        <w:rPr>
          <w:b/>
          <w:color w:val="auto"/>
          <w:sz w:val="24"/>
          <w:szCs w:val="24"/>
        </w:rPr>
      </w:pPr>
    </w:p>
    <w:p w14:paraId="6DA4F95C" w14:textId="77777777" w:rsidR="00222940" w:rsidRDefault="00222940" w:rsidP="00222940">
      <w:pPr>
        <w:rPr>
          <w:b/>
          <w:color w:val="auto"/>
          <w:sz w:val="24"/>
          <w:szCs w:val="24"/>
        </w:rPr>
      </w:pPr>
      <w:r>
        <w:rPr>
          <w:b/>
          <w:color w:val="auto"/>
          <w:sz w:val="24"/>
          <w:szCs w:val="24"/>
        </w:rPr>
        <w:t>Guidance;</w:t>
      </w:r>
    </w:p>
    <w:p w14:paraId="6CFF255F" w14:textId="77777777" w:rsidR="00222940" w:rsidRPr="00706BB5" w:rsidRDefault="00222940" w:rsidP="00222940">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handbook).</w:t>
      </w:r>
      <w:r w:rsidRPr="009C7342">
        <w:rPr>
          <w:i/>
          <w:iCs/>
          <w:sz w:val="24"/>
          <w:szCs w:val="24"/>
        </w:rPr>
        <w:t xml:space="preserve"> </w:t>
      </w:r>
    </w:p>
    <w:p w14:paraId="13499D88" w14:textId="77777777" w:rsidR="00222940" w:rsidRDefault="00222940" w:rsidP="0022294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222940" w:rsidRPr="0038074D" w14:paraId="73690099" w14:textId="77777777" w:rsidTr="003C3A72">
        <w:tc>
          <w:tcPr>
            <w:tcW w:w="10031" w:type="dxa"/>
          </w:tcPr>
          <w:p w14:paraId="0A2D332A" w14:textId="77777777" w:rsidR="00222940" w:rsidRPr="0038074D" w:rsidRDefault="00222940" w:rsidP="003C3A72">
            <w:pPr>
              <w:jc w:val="both"/>
              <w:rPr>
                <w:b/>
                <w:color w:val="auto"/>
                <w:sz w:val="24"/>
                <w:szCs w:val="24"/>
              </w:rPr>
            </w:pPr>
            <w:r w:rsidRPr="0038074D">
              <w:rPr>
                <w:b/>
                <w:color w:val="auto"/>
                <w:sz w:val="24"/>
                <w:szCs w:val="24"/>
              </w:rPr>
              <w:t>Question:</w:t>
            </w:r>
          </w:p>
          <w:p w14:paraId="2E0C5645" w14:textId="4883F70A" w:rsidR="00222940" w:rsidRPr="00B45FB5" w:rsidRDefault="00222940" w:rsidP="003C3A72">
            <w:pPr>
              <w:jc w:val="both"/>
              <w:rPr>
                <w:b/>
                <w:bCs/>
                <w:color w:val="auto"/>
                <w:sz w:val="24"/>
                <w:szCs w:val="24"/>
              </w:rPr>
            </w:pPr>
            <w:r w:rsidRPr="00B45FB5">
              <w:rPr>
                <w:b/>
                <w:bCs/>
                <w:color w:val="auto"/>
                <w:sz w:val="24"/>
                <w:szCs w:val="24"/>
              </w:rPr>
              <w:t xml:space="preserve">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w:t>
            </w:r>
            <w:r w:rsidRPr="00B45FB5">
              <w:rPr>
                <w:rFonts w:eastAsia="Arial"/>
                <w:b/>
                <w:bCs/>
                <w:color w:val="auto"/>
                <w:sz w:val="24"/>
                <w:szCs w:val="24"/>
              </w:rPr>
              <w:t>interface between social services provision in Wales with the United Kingdom, the European Union (EU) and outside the EU)</w:t>
            </w:r>
            <w:r w:rsidRPr="00B45FB5">
              <w:rPr>
                <w:b/>
                <w:bCs/>
                <w:color w:val="auto"/>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2A565A9B" w14:textId="77777777" w:rsidR="00222940" w:rsidRPr="0038074D" w:rsidRDefault="00222940" w:rsidP="003C3A72">
            <w:pPr>
              <w:jc w:val="both"/>
              <w:rPr>
                <w:color w:val="auto"/>
                <w:sz w:val="24"/>
                <w:szCs w:val="24"/>
              </w:rPr>
            </w:pPr>
          </w:p>
          <w:p w14:paraId="4DDEA601" w14:textId="77777777" w:rsidR="00222940" w:rsidRPr="0038074D" w:rsidRDefault="00222940" w:rsidP="003C3A72">
            <w:pPr>
              <w:jc w:val="both"/>
              <w:rPr>
                <w:i/>
                <w:color w:val="auto"/>
                <w:sz w:val="24"/>
                <w:szCs w:val="24"/>
              </w:rPr>
            </w:pPr>
            <w:r w:rsidRPr="0038074D">
              <w:rPr>
                <w:i/>
                <w:color w:val="auto"/>
                <w:sz w:val="24"/>
                <w:szCs w:val="24"/>
              </w:rPr>
              <w:t>4000 words</w:t>
            </w:r>
            <w:r w:rsidRPr="0038074D">
              <w:rPr>
                <w:color w:val="auto"/>
                <w:sz w:val="24"/>
                <w:szCs w:val="24"/>
              </w:rPr>
              <w:t xml:space="preserve"> </w:t>
            </w:r>
            <w:r w:rsidRPr="0038074D">
              <w:rPr>
                <w:i/>
                <w:color w:val="auto"/>
                <w:sz w:val="24"/>
                <w:szCs w:val="24"/>
              </w:rPr>
              <w:t>(+/- 10%: include your actual word count at the end of each section).</w:t>
            </w:r>
          </w:p>
          <w:p w14:paraId="4DD39336" w14:textId="77777777" w:rsidR="0038074D" w:rsidRPr="00E10BF9" w:rsidRDefault="0038074D" w:rsidP="003C3A72">
            <w:pPr>
              <w:jc w:val="both"/>
              <w:rPr>
                <w:rFonts w:asciiTheme="minorHAnsi" w:hAnsiTheme="minorHAnsi"/>
                <w:iCs/>
                <w:color w:val="FF0000"/>
                <w:sz w:val="24"/>
                <w:szCs w:val="24"/>
              </w:rPr>
            </w:pPr>
          </w:p>
          <w:p w14:paraId="53B425A6" w14:textId="458930AB"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This critically reflective case examines an adult safeguarding arising within my practice as a social worker in Wales. To protect confidentiality and comply with professional and data protection requirements, identifying information has been anonymised. The adult is referred to as “2” and her partner</w:t>
            </w:r>
            <w:r w:rsidR="00121A9E">
              <w:rPr>
                <w:rFonts w:asciiTheme="minorHAnsi" w:hAnsiTheme="minorHAnsi"/>
                <w:iCs/>
                <w:color w:val="auto"/>
                <w:sz w:val="24"/>
                <w:szCs w:val="24"/>
              </w:rPr>
              <w:t>/</w:t>
            </w:r>
            <w:r w:rsidRPr="00E10BF9">
              <w:rPr>
                <w:rFonts w:asciiTheme="minorHAnsi" w:hAnsiTheme="minorHAnsi"/>
                <w:iCs/>
                <w:color w:val="auto"/>
                <w:sz w:val="24"/>
                <w:szCs w:val="24"/>
              </w:rPr>
              <w:t>carer as “3”.</w:t>
            </w:r>
          </w:p>
          <w:p w14:paraId="41152BE5" w14:textId="77777777" w:rsidR="00C356B0" w:rsidRPr="00E10BF9" w:rsidRDefault="00C356B0" w:rsidP="00C356B0">
            <w:pPr>
              <w:jc w:val="both"/>
              <w:rPr>
                <w:rFonts w:asciiTheme="minorHAnsi" w:hAnsiTheme="minorHAnsi"/>
                <w:iCs/>
                <w:color w:val="auto"/>
                <w:sz w:val="24"/>
                <w:szCs w:val="24"/>
              </w:rPr>
            </w:pPr>
          </w:p>
          <w:p w14:paraId="6441BAD1" w14:textId="54EE3ADA"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 xml:space="preserve">2 is a 65-year-old </w:t>
            </w:r>
            <w:r w:rsidR="00121A9E">
              <w:rPr>
                <w:rFonts w:asciiTheme="minorHAnsi" w:hAnsiTheme="minorHAnsi"/>
                <w:iCs/>
                <w:color w:val="auto"/>
                <w:sz w:val="24"/>
                <w:szCs w:val="24"/>
              </w:rPr>
              <w:t>female</w:t>
            </w:r>
            <w:r w:rsidRPr="00E10BF9">
              <w:rPr>
                <w:rFonts w:asciiTheme="minorHAnsi" w:hAnsiTheme="minorHAnsi"/>
                <w:iCs/>
                <w:color w:val="auto"/>
                <w:sz w:val="24"/>
                <w:szCs w:val="24"/>
              </w:rPr>
              <w:t xml:space="preserve"> who has lived with 3 in a rural Welsh community for over </w:t>
            </w:r>
            <w:r w:rsidR="00121A9E">
              <w:rPr>
                <w:rFonts w:asciiTheme="minorHAnsi" w:hAnsiTheme="minorHAnsi"/>
                <w:iCs/>
                <w:color w:val="auto"/>
                <w:sz w:val="24"/>
                <w:szCs w:val="24"/>
              </w:rPr>
              <w:t>forty</w:t>
            </w:r>
            <w:r w:rsidRPr="00E10BF9">
              <w:rPr>
                <w:rFonts w:asciiTheme="minorHAnsi" w:hAnsiTheme="minorHAnsi"/>
                <w:iCs/>
                <w:color w:val="auto"/>
                <w:sz w:val="24"/>
                <w:szCs w:val="24"/>
              </w:rPr>
              <w:t xml:space="preserve"> years. Her care and support needs are associated with a learning disability and mental health needs. English is her first language, she identifie</w:t>
            </w:r>
            <w:r w:rsidR="00121A9E">
              <w:rPr>
                <w:rFonts w:asciiTheme="minorHAnsi" w:hAnsiTheme="minorHAnsi"/>
                <w:iCs/>
                <w:color w:val="auto"/>
                <w:sz w:val="24"/>
                <w:szCs w:val="24"/>
              </w:rPr>
              <w:t>s</w:t>
            </w:r>
            <w:r w:rsidRPr="00E10BF9">
              <w:rPr>
                <w:rFonts w:asciiTheme="minorHAnsi" w:hAnsiTheme="minorHAnsi"/>
                <w:iCs/>
                <w:color w:val="auto"/>
                <w:sz w:val="24"/>
                <w:szCs w:val="24"/>
              </w:rPr>
              <w:t xml:space="preserve"> as White British. </w:t>
            </w:r>
          </w:p>
          <w:p w14:paraId="48A8E0D5" w14:textId="77777777" w:rsidR="00C356B0" w:rsidRPr="00E10BF9" w:rsidRDefault="00C356B0" w:rsidP="00C356B0">
            <w:pPr>
              <w:jc w:val="both"/>
              <w:rPr>
                <w:rFonts w:asciiTheme="minorHAnsi" w:hAnsiTheme="minorHAnsi"/>
                <w:iCs/>
                <w:color w:val="auto"/>
                <w:sz w:val="24"/>
                <w:szCs w:val="24"/>
              </w:rPr>
            </w:pPr>
          </w:p>
          <w:p w14:paraId="274F00A1" w14:textId="77777777" w:rsidR="00A61E99" w:rsidRPr="00A61E99" w:rsidRDefault="00A61E99" w:rsidP="00A61E99">
            <w:pPr>
              <w:jc w:val="both"/>
              <w:rPr>
                <w:rFonts w:asciiTheme="minorHAnsi" w:hAnsiTheme="minorHAnsi"/>
                <w:iCs/>
                <w:color w:val="auto"/>
                <w:sz w:val="24"/>
                <w:szCs w:val="24"/>
              </w:rPr>
            </w:pPr>
            <w:r w:rsidRPr="00A61E99">
              <w:rPr>
                <w:rFonts w:asciiTheme="minorHAnsi" w:hAnsiTheme="minorHAnsi"/>
                <w:iCs/>
                <w:color w:val="auto"/>
                <w:sz w:val="24"/>
                <w:szCs w:val="24"/>
              </w:rPr>
              <w:t>This case had been subject to safeguarding a year before the 2024 assessment request. As the allocated social worker, I had previously undertaken assessment work following a referral concerning an incident in which 3 locked 2 inside their caravan. 3 explained that this was to prevent her moving towards a dangerous road, suggesting he was managing an environmental risk. However, the incident also raised concerns about restriction, potential harm, 2’s autonomy and the safety of the caring arrangements (Welsh Government, 2018; WPS, 2026). Following safeguarding procedures, the case was closed with no further action.</w:t>
            </w:r>
          </w:p>
          <w:p w14:paraId="1CD7E8CC" w14:textId="77777777" w:rsidR="00A61E99" w:rsidRPr="00A61E99" w:rsidRDefault="00A61E99" w:rsidP="00A61E99">
            <w:pPr>
              <w:jc w:val="both"/>
              <w:rPr>
                <w:rFonts w:asciiTheme="minorHAnsi" w:hAnsiTheme="minorHAnsi"/>
                <w:iCs/>
                <w:color w:val="auto"/>
                <w:sz w:val="24"/>
                <w:szCs w:val="24"/>
              </w:rPr>
            </w:pPr>
          </w:p>
          <w:p w14:paraId="220A9874" w14:textId="7F3EFB93" w:rsidR="00A61E99" w:rsidRPr="00A61E99" w:rsidRDefault="00A61E99" w:rsidP="00A61E99">
            <w:pPr>
              <w:jc w:val="both"/>
              <w:rPr>
                <w:rFonts w:asciiTheme="minorHAnsi" w:hAnsiTheme="minorHAnsi"/>
                <w:iCs/>
                <w:color w:val="auto"/>
                <w:sz w:val="24"/>
                <w:szCs w:val="24"/>
              </w:rPr>
            </w:pPr>
            <w:r w:rsidRPr="00A61E99">
              <w:rPr>
                <w:rFonts w:asciiTheme="minorHAnsi" w:hAnsiTheme="minorHAnsi"/>
                <w:iCs/>
                <w:color w:val="auto"/>
                <w:sz w:val="24"/>
                <w:szCs w:val="24"/>
              </w:rPr>
              <w:t>At the end of 2025, 3 requested respite to provide both parties with a break</w:t>
            </w:r>
            <w:r w:rsidR="004E4E23">
              <w:rPr>
                <w:rFonts w:asciiTheme="minorHAnsi" w:hAnsiTheme="minorHAnsi"/>
                <w:iCs/>
                <w:color w:val="auto"/>
                <w:sz w:val="24"/>
                <w:szCs w:val="24"/>
              </w:rPr>
              <w:t xml:space="preserve"> from one another</w:t>
            </w:r>
            <w:r w:rsidRPr="00A61E99">
              <w:rPr>
                <w:rFonts w:asciiTheme="minorHAnsi" w:hAnsiTheme="minorHAnsi"/>
                <w:iCs/>
                <w:color w:val="auto"/>
                <w:sz w:val="24"/>
                <w:szCs w:val="24"/>
              </w:rPr>
              <w:t>. He reported that the caring role had taken its toll and was becoming difficult to manage</w:t>
            </w:r>
            <w:r w:rsidR="00D86484">
              <w:rPr>
                <w:rFonts w:asciiTheme="minorHAnsi" w:hAnsiTheme="minorHAnsi"/>
                <w:iCs/>
                <w:color w:val="auto"/>
                <w:sz w:val="24"/>
                <w:szCs w:val="24"/>
              </w:rPr>
              <w:t xml:space="preserve"> 2’s behaviours</w:t>
            </w:r>
            <w:r w:rsidRPr="00A61E99">
              <w:rPr>
                <w:rFonts w:asciiTheme="minorHAnsi" w:hAnsiTheme="minorHAnsi"/>
                <w:iCs/>
                <w:color w:val="auto"/>
                <w:sz w:val="24"/>
                <w:szCs w:val="24"/>
              </w:rPr>
              <w:t xml:space="preserve">. A residential placement was arranged approximately forty-five minutes from 2’s home. 2 agreed to the temporary arrangement, providing an opportunity to assess her care and support needs, wishes and feelings, mental capacity and risks associated with returning home </w:t>
            </w:r>
            <w:r w:rsidRPr="00A61E99">
              <w:rPr>
                <w:rFonts w:asciiTheme="minorHAnsi" w:hAnsiTheme="minorHAnsi"/>
                <w:iCs/>
                <w:color w:val="auto"/>
                <w:sz w:val="24"/>
                <w:szCs w:val="24"/>
              </w:rPr>
              <w:lastRenderedPageBreak/>
              <w:t>(SSWWA, 2014</w:t>
            </w:r>
            <w:r w:rsidR="004E4E23">
              <w:rPr>
                <w:rFonts w:asciiTheme="minorHAnsi" w:hAnsiTheme="minorHAnsi"/>
                <w:iCs/>
                <w:color w:val="auto"/>
                <w:sz w:val="24"/>
                <w:szCs w:val="24"/>
              </w:rPr>
              <w:t>a</w:t>
            </w:r>
            <w:r w:rsidRPr="00A61E99">
              <w:rPr>
                <w:rFonts w:asciiTheme="minorHAnsi" w:hAnsiTheme="minorHAnsi"/>
                <w:iCs/>
                <w:color w:val="auto"/>
                <w:sz w:val="24"/>
                <w:szCs w:val="24"/>
              </w:rPr>
              <w:t>). The situation involved potential safeguarding concerns, a long-standing relationship, carer stress, environmental risk, mental capacity and limited rural services. I therefore needed to balance 2’s rights and desired outcomes with the local authority’s safeguarding responsibilities and 3’s needs as a carer (SSWWA, 2014b).</w:t>
            </w:r>
          </w:p>
          <w:p w14:paraId="0B87526A" w14:textId="77777777" w:rsidR="00A61E99" w:rsidRPr="00A61E99" w:rsidRDefault="00A61E99" w:rsidP="00A61E99">
            <w:pPr>
              <w:jc w:val="both"/>
              <w:rPr>
                <w:rFonts w:asciiTheme="minorHAnsi" w:hAnsiTheme="minorHAnsi"/>
                <w:iCs/>
                <w:color w:val="auto"/>
                <w:sz w:val="24"/>
                <w:szCs w:val="24"/>
              </w:rPr>
            </w:pPr>
          </w:p>
          <w:p w14:paraId="557A91D7" w14:textId="52B493CD" w:rsidR="00C356B0" w:rsidRDefault="00A61E99" w:rsidP="00A61E99">
            <w:pPr>
              <w:jc w:val="both"/>
              <w:rPr>
                <w:rFonts w:asciiTheme="minorHAnsi" w:hAnsiTheme="minorHAnsi"/>
                <w:iCs/>
                <w:color w:val="auto"/>
                <w:sz w:val="24"/>
                <w:szCs w:val="24"/>
              </w:rPr>
            </w:pPr>
            <w:r w:rsidRPr="00A61E99">
              <w:rPr>
                <w:rFonts w:asciiTheme="minorHAnsi" w:hAnsiTheme="minorHAnsi"/>
                <w:iCs/>
                <w:color w:val="auto"/>
                <w:sz w:val="24"/>
                <w:szCs w:val="24"/>
              </w:rPr>
              <w:t>This case study reflects on my preparation, information gathering and analysis, application of legislation and guidance, collaborative working and professional judgement. It considers the SSWWA 2014,</w:t>
            </w:r>
            <w:r w:rsidR="00AD6D4C">
              <w:rPr>
                <w:rFonts w:asciiTheme="minorHAnsi" w:hAnsiTheme="minorHAnsi"/>
                <w:iCs/>
                <w:color w:val="auto"/>
                <w:sz w:val="24"/>
                <w:szCs w:val="24"/>
              </w:rPr>
              <w:t xml:space="preserve"> </w:t>
            </w:r>
            <w:r w:rsidRPr="00A61E99">
              <w:rPr>
                <w:rFonts w:asciiTheme="minorHAnsi" w:hAnsiTheme="minorHAnsi"/>
                <w:iCs/>
                <w:color w:val="auto"/>
                <w:sz w:val="24"/>
                <w:szCs w:val="24"/>
              </w:rPr>
              <w:t>WPS</w:t>
            </w:r>
            <w:r w:rsidR="00AD6D4C">
              <w:rPr>
                <w:rFonts w:asciiTheme="minorHAnsi" w:hAnsiTheme="minorHAnsi"/>
                <w:iCs/>
                <w:color w:val="auto"/>
                <w:sz w:val="24"/>
                <w:szCs w:val="24"/>
              </w:rPr>
              <w:t xml:space="preserve"> 2026</w:t>
            </w:r>
            <w:r w:rsidRPr="00A61E99">
              <w:rPr>
                <w:rFonts w:asciiTheme="minorHAnsi" w:hAnsiTheme="minorHAnsi"/>
                <w:iCs/>
                <w:color w:val="auto"/>
                <w:sz w:val="24"/>
                <w:szCs w:val="24"/>
              </w:rPr>
              <w:t>, M</w:t>
            </w:r>
            <w:r w:rsidR="00AD6D4C">
              <w:rPr>
                <w:rFonts w:asciiTheme="minorHAnsi" w:hAnsiTheme="minorHAnsi"/>
                <w:iCs/>
                <w:color w:val="auto"/>
                <w:sz w:val="24"/>
                <w:szCs w:val="24"/>
              </w:rPr>
              <w:t>CA</w:t>
            </w:r>
            <w:r w:rsidRPr="00A61E99">
              <w:rPr>
                <w:rFonts w:asciiTheme="minorHAnsi" w:hAnsiTheme="minorHAnsi"/>
                <w:iCs/>
                <w:color w:val="auto"/>
                <w:sz w:val="24"/>
                <w:szCs w:val="24"/>
              </w:rPr>
              <w:t xml:space="preserve"> 2005, human rights and equality duties, information-sharing requirements and professional standards, alongside relevant theoretical perspectives and the influence of rurality, Welsh language and cultural considerations.</w:t>
            </w:r>
          </w:p>
          <w:p w14:paraId="78C33CA9" w14:textId="77777777" w:rsidR="00A61E99" w:rsidRPr="00E10BF9" w:rsidRDefault="00A61E99" w:rsidP="00A61E99">
            <w:pPr>
              <w:jc w:val="both"/>
              <w:rPr>
                <w:rFonts w:asciiTheme="minorHAnsi" w:hAnsiTheme="minorHAnsi"/>
                <w:iCs/>
                <w:color w:val="auto"/>
                <w:sz w:val="24"/>
                <w:szCs w:val="24"/>
              </w:rPr>
            </w:pPr>
          </w:p>
          <w:p w14:paraId="30D54E51" w14:textId="4C0CCD60" w:rsidR="00BD372E" w:rsidRPr="00BD372E" w:rsidRDefault="00BD372E" w:rsidP="00BD372E">
            <w:pPr>
              <w:jc w:val="both"/>
              <w:rPr>
                <w:rFonts w:asciiTheme="minorHAnsi" w:hAnsiTheme="minorHAnsi"/>
                <w:iCs/>
                <w:color w:val="auto"/>
                <w:sz w:val="24"/>
                <w:szCs w:val="24"/>
              </w:rPr>
            </w:pPr>
            <w:r w:rsidRPr="00BD372E">
              <w:rPr>
                <w:rFonts w:asciiTheme="minorHAnsi" w:hAnsiTheme="minorHAnsi"/>
                <w:iCs/>
                <w:color w:val="auto"/>
                <w:sz w:val="24"/>
                <w:szCs w:val="24"/>
              </w:rPr>
              <w:t xml:space="preserve">The primary legislative framework </w:t>
            </w:r>
            <w:r w:rsidR="00F942B5">
              <w:rPr>
                <w:rFonts w:asciiTheme="minorHAnsi" w:hAnsiTheme="minorHAnsi"/>
                <w:iCs/>
                <w:color w:val="auto"/>
                <w:sz w:val="24"/>
                <w:szCs w:val="24"/>
              </w:rPr>
              <w:t>i</w:t>
            </w:r>
            <w:r w:rsidRPr="00BD372E">
              <w:rPr>
                <w:rFonts w:asciiTheme="minorHAnsi" w:hAnsiTheme="minorHAnsi"/>
                <w:iCs/>
                <w:color w:val="auto"/>
                <w:sz w:val="24"/>
                <w:szCs w:val="24"/>
              </w:rPr>
              <w:t>s SSWWA 2014, which places well-being, voice and control, prevention, co-production, multi-agency working and proportionate intervention at the centre of social work practice. These principles informed my assessment as I balanced 2’s wishes and right to make choices with concerns about her safety and the impact of the caring relationship. Part 7 was particularly relevant, defining an adult at risk as someone experiencing or at risk of abuse or neglect, who has care and support needs and, as a result, is unable to protect themselves from the abuse, neglect or risk. Section 126 provides the local authority with a duty to make enquiries where there is reasonable cause to suspect an adult is at risk, providing the legal basis for further assessment and information gathering.</w:t>
            </w:r>
          </w:p>
          <w:p w14:paraId="022A45A2" w14:textId="77777777" w:rsidR="00BD372E" w:rsidRPr="00BD372E" w:rsidRDefault="00BD372E" w:rsidP="00BD372E">
            <w:pPr>
              <w:jc w:val="both"/>
              <w:rPr>
                <w:rFonts w:asciiTheme="minorHAnsi" w:hAnsiTheme="minorHAnsi"/>
                <w:iCs/>
                <w:color w:val="auto"/>
                <w:sz w:val="24"/>
                <w:szCs w:val="24"/>
              </w:rPr>
            </w:pPr>
          </w:p>
          <w:p w14:paraId="2ABE00EA" w14:textId="77777777" w:rsidR="00BD372E" w:rsidRPr="00BD372E" w:rsidRDefault="00BD372E" w:rsidP="00BD372E">
            <w:pPr>
              <w:jc w:val="both"/>
              <w:rPr>
                <w:rFonts w:asciiTheme="minorHAnsi" w:hAnsiTheme="minorHAnsi"/>
                <w:iCs/>
                <w:color w:val="auto"/>
                <w:sz w:val="24"/>
                <w:szCs w:val="24"/>
              </w:rPr>
            </w:pPr>
            <w:r w:rsidRPr="00BD372E">
              <w:rPr>
                <w:rFonts w:asciiTheme="minorHAnsi" w:hAnsiTheme="minorHAnsi"/>
                <w:iCs/>
                <w:color w:val="auto"/>
                <w:sz w:val="24"/>
                <w:szCs w:val="24"/>
              </w:rPr>
              <w:t>I did not treat 2’s learning disability or mental health needs as evidence that she was unable to make decisions or protect herself. Instead, I considered how her circumstances, the reported restriction, environmental risk and available support affected her ability to protect herself. The WSP 2026 and Working Together to Safeguard People: Volume 6 informed my responsibilities to gather and analyse information, consider risk and safeguarding thresholds, seek supervision and work collaboratively to identify appropriate responses (Welsh Government, 2018; WSP, 2026). Safeguarding therefore needed to remain connected to well-being by considering what mattered to 2, support to maintain her home and relationships, and whether less restrictive arrangements could manage the risks.</w:t>
            </w:r>
          </w:p>
          <w:p w14:paraId="5635D92A" w14:textId="77777777" w:rsidR="00BD372E" w:rsidRPr="00BD372E" w:rsidRDefault="00BD372E" w:rsidP="00BD372E">
            <w:pPr>
              <w:jc w:val="both"/>
              <w:rPr>
                <w:rFonts w:asciiTheme="minorHAnsi" w:hAnsiTheme="minorHAnsi"/>
                <w:iCs/>
                <w:color w:val="auto"/>
                <w:sz w:val="24"/>
                <w:szCs w:val="24"/>
              </w:rPr>
            </w:pPr>
          </w:p>
          <w:p w14:paraId="6AD90E07" w14:textId="77777777" w:rsidR="00BD372E" w:rsidRPr="00BD372E" w:rsidRDefault="00BD372E" w:rsidP="00BD372E">
            <w:pPr>
              <w:jc w:val="both"/>
              <w:rPr>
                <w:rFonts w:asciiTheme="minorHAnsi" w:hAnsiTheme="minorHAnsi"/>
                <w:iCs/>
                <w:color w:val="auto"/>
                <w:sz w:val="24"/>
                <w:szCs w:val="24"/>
              </w:rPr>
            </w:pPr>
            <w:r w:rsidRPr="00BD372E">
              <w:rPr>
                <w:rFonts w:asciiTheme="minorHAnsi" w:hAnsiTheme="minorHAnsi"/>
                <w:iCs/>
                <w:color w:val="auto"/>
                <w:sz w:val="24"/>
                <w:szCs w:val="24"/>
              </w:rPr>
              <w:t>The Mental Capacity Act 2005 (MCA) was central to decisions about respite, accommodation, returning home, care arrangements and risk. Capacity must be presumed, practicable steps taken to support decision-making, and capacity assessed for the specific decision rather than inferred from diagnosis, disability or an unwise decision (MCA, 2025). I therefore considered whether 2 could understand, retain, use or weigh relevant information and communicate her decision, alongside adjustments such as accessible communication, additional time, familiar support and an appropriate environment. Where 2 had capacity, her decision needed to be respected even where it involved risk (WSP, 2026). Where she lacked capacity, decisions needed to be made in her best interests and using the least restrictive option (Office of the Public Guardian, 2020).</w:t>
            </w:r>
          </w:p>
          <w:p w14:paraId="23FC005B" w14:textId="77777777" w:rsidR="00BD372E" w:rsidRPr="00BD372E" w:rsidRDefault="00BD372E" w:rsidP="00BD372E">
            <w:pPr>
              <w:jc w:val="both"/>
              <w:rPr>
                <w:rFonts w:asciiTheme="minorHAnsi" w:hAnsiTheme="minorHAnsi"/>
                <w:iCs/>
                <w:color w:val="auto"/>
                <w:sz w:val="24"/>
                <w:szCs w:val="24"/>
              </w:rPr>
            </w:pPr>
          </w:p>
          <w:p w14:paraId="30C17CB7" w14:textId="15A6666C" w:rsidR="00C356B0" w:rsidRDefault="00BD372E" w:rsidP="00BD372E">
            <w:pPr>
              <w:jc w:val="both"/>
              <w:rPr>
                <w:rFonts w:asciiTheme="minorHAnsi" w:hAnsiTheme="minorHAnsi"/>
                <w:iCs/>
                <w:color w:val="auto"/>
                <w:sz w:val="24"/>
                <w:szCs w:val="24"/>
              </w:rPr>
            </w:pPr>
            <w:r w:rsidRPr="00BD372E">
              <w:rPr>
                <w:rFonts w:asciiTheme="minorHAnsi" w:hAnsiTheme="minorHAnsi"/>
                <w:iCs/>
                <w:color w:val="auto"/>
                <w:sz w:val="24"/>
                <w:szCs w:val="24"/>
              </w:rPr>
              <w:t xml:space="preserve">Given the reported restriction and the possibility of a longer-term pattern of coercive behaviour, I also considered the relevance of the Violence against Women, Domestic Abuse and Sexual </w:t>
            </w:r>
            <w:r w:rsidRPr="00BD372E">
              <w:rPr>
                <w:rFonts w:asciiTheme="minorHAnsi" w:hAnsiTheme="minorHAnsi"/>
                <w:iCs/>
                <w:color w:val="auto"/>
                <w:sz w:val="24"/>
                <w:szCs w:val="24"/>
              </w:rPr>
              <w:lastRenderedPageBreak/>
              <w:t>Violence (Wales) Act 2015 and the wider legal framework concerning domestic abuse and coercive control.</w:t>
            </w:r>
          </w:p>
          <w:p w14:paraId="0EC901C4" w14:textId="77777777" w:rsidR="00BD372E" w:rsidRPr="00E10BF9" w:rsidRDefault="00BD372E" w:rsidP="00C356B0">
            <w:pPr>
              <w:jc w:val="both"/>
              <w:rPr>
                <w:rFonts w:asciiTheme="minorHAnsi" w:hAnsiTheme="minorHAnsi"/>
                <w:iCs/>
                <w:color w:val="auto"/>
                <w:sz w:val="24"/>
                <w:szCs w:val="24"/>
              </w:rPr>
            </w:pPr>
          </w:p>
          <w:p w14:paraId="09DA51B9" w14:textId="462E8FF5"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Human Rights Act 1998, incorporating rights under the European Convention on Human Rights</w:t>
            </w:r>
            <w:r w:rsidR="006A7AE9">
              <w:rPr>
                <w:rFonts w:asciiTheme="minorHAnsi" w:hAnsiTheme="minorHAnsi"/>
                <w:iCs/>
                <w:color w:val="auto"/>
                <w:sz w:val="24"/>
                <w:szCs w:val="24"/>
              </w:rPr>
              <w:t xml:space="preserve"> 195</w:t>
            </w:r>
            <w:r w:rsidR="00416B50">
              <w:rPr>
                <w:rFonts w:asciiTheme="minorHAnsi" w:hAnsiTheme="minorHAnsi"/>
                <w:iCs/>
                <w:color w:val="auto"/>
                <w:sz w:val="24"/>
                <w:szCs w:val="24"/>
              </w:rPr>
              <w:t>3</w:t>
            </w:r>
            <w:r w:rsidRPr="00E10BF9">
              <w:rPr>
                <w:rFonts w:asciiTheme="minorHAnsi" w:hAnsiTheme="minorHAnsi"/>
                <w:iCs/>
                <w:color w:val="auto"/>
                <w:sz w:val="24"/>
                <w:szCs w:val="24"/>
              </w:rPr>
              <w:t>, was relevant to the right to life</w:t>
            </w:r>
            <w:r w:rsidR="00416B50">
              <w:rPr>
                <w:rFonts w:asciiTheme="minorHAnsi" w:hAnsiTheme="minorHAnsi"/>
                <w:iCs/>
                <w:color w:val="auto"/>
                <w:sz w:val="24"/>
                <w:szCs w:val="24"/>
              </w:rPr>
              <w:t xml:space="preserve"> article 2</w:t>
            </w:r>
            <w:r w:rsidRPr="00E10BF9">
              <w:rPr>
                <w:rFonts w:asciiTheme="minorHAnsi" w:hAnsiTheme="minorHAnsi"/>
                <w:iCs/>
                <w:color w:val="auto"/>
                <w:sz w:val="24"/>
                <w:szCs w:val="24"/>
              </w:rPr>
              <w:t xml:space="preserve"> and respect for private and family life</w:t>
            </w:r>
            <w:r w:rsidR="00416B50">
              <w:rPr>
                <w:rFonts w:asciiTheme="minorHAnsi" w:hAnsiTheme="minorHAnsi"/>
                <w:iCs/>
                <w:color w:val="auto"/>
                <w:sz w:val="24"/>
                <w:szCs w:val="24"/>
              </w:rPr>
              <w:t xml:space="preserve"> article 8</w:t>
            </w:r>
            <w:r w:rsidRPr="00E10BF9">
              <w:rPr>
                <w:rFonts w:asciiTheme="minorHAnsi" w:hAnsiTheme="minorHAnsi"/>
                <w:iCs/>
                <w:color w:val="auto"/>
                <w:sz w:val="24"/>
                <w:szCs w:val="24"/>
              </w:rPr>
              <w:t>. This created a practice dilemma: safeguarding action needed to address potential harm while respecting 2’s relationships, home, identity and autonomy. Reducing one risk could create another if it unnecessarily restricted her choices or separated her from important relationships.</w:t>
            </w:r>
          </w:p>
          <w:p w14:paraId="177DE680" w14:textId="77777777" w:rsidR="00C356B0" w:rsidRPr="00E10BF9" w:rsidRDefault="00C356B0" w:rsidP="00C356B0">
            <w:pPr>
              <w:jc w:val="both"/>
              <w:rPr>
                <w:rFonts w:asciiTheme="minorHAnsi" w:hAnsiTheme="minorHAnsi"/>
                <w:iCs/>
                <w:color w:val="auto"/>
                <w:sz w:val="24"/>
                <w:szCs w:val="24"/>
              </w:rPr>
            </w:pPr>
          </w:p>
          <w:p w14:paraId="54006A21" w14:textId="77777777"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Equality Act 2010 required me to consider reasonable adjustments to communication and assessment. These included accessible language, time for responses, checking understanding and considering whether the environment or presence of others affected 2’s participation. Equality-informed practice required consideration of what would enable her to participate meaningfully, rather than simply treating her in the same way as everyone else.</w:t>
            </w:r>
          </w:p>
          <w:p w14:paraId="2EF46595" w14:textId="77777777" w:rsidR="00C356B0" w:rsidRPr="00E10BF9" w:rsidRDefault="00C356B0" w:rsidP="00C356B0">
            <w:pPr>
              <w:jc w:val="both"/>
              <w:rPr>
                <w:rFonts w:asciiTheme="minorHAnsi" w:hAnsiTheme="minorHAnsi"/>
                <w:iCs/>
                <w:color w:val="auto"/>
                <w:sz w:val="24"/>
                <w:szCs w:val="24"/>
              </w:rPr>
            </w:pPr>
          </w:p>
          <w:p w14:paraId="70E9C6B0" w14:textId="63B2AABA"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 xml:space="preserve">English </w:t>
            </w:r>
            <w:r w:rsidR="001F7208">
              <w:rPr>
                <w:rFonts w:asciiTheme="minorHAnsi" w:hAnsiTheme="minorHAnsi"/>
                <w:iCs/>
                <w:color w:val="auto"/>
                <w:sz w:val="24"/>
                <w:szCs w:val="24"/>
              </w:rPr>
              <w:t>i</w:t>
            </w:r>
            <w:r w:rsidRPr="00E10BF9">
              <w:rPr>
                <w:rFonts w:asciiTheme="minorHAnsi" w:hAnsiTheme="minorHAnsi"/>
                <w:iCs/>
                <w:color w:val="auto"/>
                <w:sz w:val="24"/>
                <w:szCs w:val="24"/>
              </w:rPr>
              <w:t xml:space="preserve">s 2’s </w:t>
            </w:r>
            <w:r w:rsidR="001F7208">
              <w:rPr>
                <w:rFonts w:asciiTheme="minorHAnsi" w:hAnsiTheme="minorHAnsi"/>
                <w:iCs/>
                <w:color w:val="auto"/>
                <w:sz w:val="24"/>
                <w:szCs w:val="24"/>
              </w:rPr>
              <w:t>preferred</w:t>
            </w:r>
            <w:r w:rsidRPr="00E10BF9">
              <w:rPr>
                <w:rFonts w:asciiTheme="minorHAnsi" w:hAnsiTheme="minorHAnsi"/>
                <w:iCs/>
                <w:color w:val="auto"/>
                <w:sz w:val="24"/>
                <w:szCs w:val="24"/>
              </w:rPr>
              <w:t xml:space="preserve"> language, I needed to remain alert to her preferences and the importance of communication that respected her identity and circumstances (Welsh Government, 2012). The Welsh Language Standards</w:t>
            </w:r>
            <w:r w:rsidR="00416B50">
              <w:rPr>
                <w:rFonts w:asciiTheme="minorHAnsi" w:hAnsiTheme="minorHAnsi"/>
                <w:iCs/>
                <w:color w:val="auto"/>
                <w:sz w:val="24"/>
                <w:szCs w:val="24"/>
              </w:rPr>
              <w:t xml:space="preserve"> 2016 </w:t>
            </w:r>
            <w:r w:rsidRPr="00E10BF9">
              <w:rPr>
                <w:rFonts w:asciiTheme="minorHAnsi" w:hAnsiTheme="minorHAnsi"/>
                <w:iCs/>
                <w:color w:val="auto"/>
                <w:sz w:val="24"/>
                <w:szCs w:val="24"/>
              </w:rPr>
              <w:t>and More than Just Words framework</w:t>
            </w:r>
            <w:r w:rsidR="00416B50">
              <w:rPr>
                <w:rFonts w:asciiTheme="minorHAnsi" w:hAnsiTheme="minorHAnsi"/>
                <w:iCs/>
                <w:color w:val="auto"/>
                <w:sz w:val="24"/>
                <w:szCs w:val="24"/>
              </w:rPr>
              <w:t xml:space="preserve"> 2012 </w:t>
            </w:r>
            <w:r w:rsidRPr="00E10BF9">
              <w:rPr>
                <w:rFonts w:asciiTheme="minorHAnsi" w:hAnsiTheme="minorHAnsi"/>
                <w:iCs/>
                <w:color w:val="auto"/>
                <w:sz w:val="24"/>
                <w:szCs w:val="24"/>
              </w:rPr>
              <w:t>reinforce the importance of language choice and the active offer in relevant</w:t>
            </w:r>
            <w:r w:rsidR="00416B50">
              <w:rPr>
                <w:rFonts w:asciiTheme="minorHAnsi" w:hAnsiTheme="minorHAnsi"/>
                <w:iCs/>
                <w:color w:val="auto"/>
                <w:sz w:val="24"/>
                <w:szCs w:val="24"/>
              </w:rPr>
              <w:t xml:space="preserve"> to </w:t>
            </w:r>
            <w:r w:rsidRPr="00E10BF9">
              <w:rPr>
                <w:rFonts w:asciiTheme="minorHAnsi" w:hAnsiTheme="minorHAnsi"/>
                <w:iCs/>
                <w:color w:val="auto"/>
                <w:sz w:val="24"/>
                <w:szCs w:val="24"/>
              </w:rPr>
              <w:t>health and social care services</w:t>
            </w:r>
            <w:r w:rsidR="00DF5A6B" w:rsidRPr="00E10BF9">
              <w:rPr>
                <w:rFonts w:asciiTheme="minorHAnsi" w:hAnsiTheme="minorHAnsi"/>
                <w:iCs/>
                <w:sz w:val="24"/>
                <w:szCs w:val="24"/>
              </w:rPr>
              <w:t xml:space="preserve"> </w:t>
            </w:r>
            <w:r w:rsidR="00DF5A6B" w:rsidRPr="00E10BF9">
              <w:rPr>
                <w:rFonts w:asciiTheme="minorHAnsi" w:hAnsiTheme="minorHAnsi"/>
                <w:iCs/>
                <w:color w:val="auto"/>
                <w:sz w:val="24"/>
                <w:szCs w:val="24"/>
              </w:rPr>
              <w:t>(Welsh Government, 2022; Care Inspectorate Wales,</w:t>
            </w:r>
            <w:r w:rsidR="00416B50">
              <w:rPr>
                <w:rFonts w:asciiTheme="minorHAnsi" w:hAnsiTheme="minorHAnsi"/>
                <w:iCs/>
                <w:color w:val="auto"/>
                <w:sz w:val="24"/>
                <w:szCs w:val="24"/>
              </w:rPr>
              <w:t xml:space="preserve"> 2023</w:t>
            </w:r>
            <w:r w:rsidR="00DF5A6B" w:rsidRPr="00E10BF9">
              <w:rPr>
                <w:rFonts w:asciiTheme="minorHAnsi" w:hAnsiTheme="minorHAnsi"/>
                <w:iCs/>
                <w:color w:val="auto"/>
                <w:sz w:val="24"/>
                <w:szCs w:val="24"/>
              </w:rPr>
              <w:t>)</w:t>
            </w:r>
            <w:r w:rsidRPr="00E10BF9">
              <w:rPr>
                <w:rFonts w:asciiTheme="minorHAnsi" w:hAnsiTheme="minorHAnsi"/>
                <w:iCs/>
                <w:color w:val="auto"/>
                <w:sz w:val="24"/>
                <w:szCs w:val="24"/>
              </w:rPr>
              <w:t>. Rurality also influenced the assessment. The distance between 2’s home and the respite placement was approximately forty-five minutes, affecting contact, assessment, planning and the practical availability of services. I therefore needed to consider transport, local provision and whether proposed support was realistic for both 2 and 3.</w:t>
            </w:r>
          </w:p>
          <w:p w14:paraId="53784BAB" w14:textId="77777777" w:rsidR="00C356B0" w:rsidRPr="00E10BF9" w:rsidRDefault="00C356B0" w:rsidP="00C356B0">
            <w:pPr>
              <w:jc w:val="both"/>
              <w:rPr>
                <w:rFonts w:asciiTheme="minorHAnsi" w:hAnsiTheme="minorHAnsi"/>
                <w:iCs/>
                <w:color w:val="auto"/>
                <w:sz w:val="24"/>
                <w:szCs w:val="24"/>
              </w:rPr>
            </w:pPr>
          </w:p>
          <w:p w14:paraId="48FBB12B" w14:textId="77777777"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Data Protection Act 2018 and UK General Data Protection Regulation informed recording and information sharing. Safeguarding may provide a lawful basis for proportionate sharing where necessary to prevent or reduce risk, but information must remain relevant, accurate, necessary and appropriately protected. I needed to consider what residential staff, health colleagues and safeguarding leads required to know, why it was being shared and how 2 could be involved in decisions about her information.</w:t>
            </w:r>
          </w:p>
          <w:p w14:paraId="7AC8947C" w14:textId="77777777" w:rsidR="00C356B0" w:rsidRPr="00E10BF9" w:rsidRDefault="00C356B0" w:rsidP="00C356B0">
            <w:pPr>
              <w:jc w:val="both"/>
              <w:rPr>
                <w:rFonts w:asciiTheme="minorHAnsi" w:hAnsiTheme="minorHAnsi"/>
                <w:iCs/>
                <w:color w:val="auto"/>
                <w:sz w:val="24"/>
                <w:szCs w:val="24"/>
              </w:rPr>
            </w:pPr>
          </w:p>
          <w:p w14:paraId="7BF55F64" w14:textId="3367F734"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Adult safeguarding in Wales is shaped by Welsh legislation, statutory guidance and national procedures rather than the Care Act 2014 framework used in England. However, the MCA 2005 and Human Rights Act 1998 apply across England and Wales. The wider UK context becomes important where individuals move between jurisdictions or receive services outside their home local authority. This case did not identify a cross-border placement or international safeguarding issue, but practitioners need to consider differences in legal responsibilities, ordinary residence, eligibility, safeguarding procedures and information-sharing requirements where these arise</w:t>
            </w:r>
            <w:r w:rsidR="00416B50">
              <w:rPr>
                <w:rFonts w:asciiTheme="minorHAnsi" w:hAnsiTheme="minorHAnsi"/>
                <w:iCs/>
                <w:color w:val="auto"/>
                <w:sz w:val="24"/>
                <w:szCs w:val="24"/>
              </w:rPr>
              <w:t xml:space="preserve"> </w:t>
            </w:r>
            <w:r w:rsidR="00C1720F" w:rsidRPr="00E10BF9">
              <w:rPr>
                <w:rFonts w:asciiTheme="minorHAnsi" w:hAnsiTheme="minorHAnsi"/>
                <w:iCs/>
                <w:color w:val="auto"/>
                <w:sz w:val="24"/>
                <w:szCs w:val="24"/>
              </w:rPr>
              <w:t>(Welsh Government, 2015; Care Act 2014</w:t>
            </w:r>
            <w:r w:rsidR="00EE104B" w:rsidRPr="00E10BF9">
              <w:rPr>
                <w:rFonts w:asciiTheme="minorHAnsi" w:hAnsiTheme="minorHAnsi"/>
                <w:iCs/>
                <w:color w:val="auto"/>
                <w:sz w:val="24"/>
                <w:szCs w:val="24"/>
              </w:rPr>
              <w:t>)</w:t>
            </w:r>
            <w:r w:rsidRPr="00E10BF9">
              <w:rPr>
                <w:rFonts w:asciiTheme="minorHAnsi" w:hAnsiTheme="minorHAnsi"/>
                <w:iCs/>
                <w:color w:val="auto"/>
                <w:sz w:val="24"/>
                <w:szCs w:val="24"/>
              </w:rPr>
              <w:t>. The European Convention on Human Rights</w:t>
            </w:r>
            <w:r w:rsidR="00416B50">
              <w:rPr>
                <w:rFonts w:asciiTheme="minorHAnsi" w:hAnsiTheme="minorHAnsi"/>
                <w:iCs/>
                <w:color w:val="auto"/>
                <w:sz w:val="24"/>
                <w:szCs w:val="24"/>
              </w:rPr>
              <w:t xml:space="preserve"> 1953</w:t>
            </w:r>
            <w:r w:rsidRPr="00E10BF9">
              <w:rPr>
                <w:rFonts w:asciiTheme="minorHAnsi" w:hAnsiTheme="minorHAnsi"/>
                <w:iCs/>
                <w:color w:val="auto"/>
                <w:sz w:val="24"/>
                <w:szCs w:val="24"/>
              </w:rPr>
              <w:t xml:space="preserve"> remains relevant through the Human Rights Act, while international information sharing may require additional consideration of applicable data protection requirements.</w:t>
            </w:r>
          </w:p>
          <w:p w14:paraId="0F597365" w14:textId="77777777" w:rsidR="00C356B0" w:rsidRPr="00E10BF9" w:rsidRDefault="00C356B0" w:rsidP="00C356B0">
            <w:pPr>
              <w:jc w:val="both"/>
              <w:rPr>
                <w:rFonts w:asciiTheme="minorHAnsi" w:hAnsiTheme="minorHAnsi"/>
                <w:iCs/>
                <w:color w:val="auto"/>
                <w:sz w:val="24"/>
                <w:szCs w:val="24"/>
              </w:rPr>
            </w:pPr>
          </w:p>
          <w:p w14:paraId="75ACAB1A" w14:textId="479E0041" w:rsidR="00C356B0" w:rsidRPr="00E10BF9" w:rsidRDefault="00416B50" w:rsidP="00C356B0">
            <w:pPr>
              <w:jc w:val="both"/>
              <w:rPr>
                <w:rFonts w:asciiTheme="minorHAnsi" w:hAnsiTheme="minorHAnsi"/>
                <w:iCs/>
                <w:color w:val="auto"/>
                <w:sz w:val="24"/>
                <w:szCs w:val="24"/>
              </w:rPr>
            </w:pPr>
            <w:r>
              <w:rPr>
                <w:rFonts w:asciiTheme="minorHAnsi" w:hAnsiTheme="minorHAnsi"/>
                <w:iCs/>
                <w:color w:val="auto"/>
                <w:sz w:val="24"/>
                <w:szCs w:val="24"/>
              </w:rPr>
              <w:lastRenderedPageBreak/>
              <w:t>SCW</w:t>
            </w:r>
            <w:r w:rsidR="00C356B0" w:rsidRPr="00E10BF9">
              <w:rPr>
                <w:rFonts w:asciiTheme="minorHAnsi" w:hAnsiTheme="minorHAnsi"/>
                <w:iCs/>
                <w:color w:val="auto"/>
                <w:sz w:val="24"/>
                <w:szCs w:val="24"/>
              </w:rPr>
              <w:t xml:space="preserve"> Code of Professional Practice for Social Care</w:t>
            </w:r>
            <w:r w:rsidR="00A87050" w:rsidRPr="00E10BF9">
              <w:rPr>
                <w:rFonts w:asciiTheme="minorHAnsi" w:hAnsiTheme="minorHAnsi"/>
                <w:iCs/>
                <w:color w:val="auto"/>
                <w:sz w:val="24"/>
                <w:szCs w:val="24"/>
              </w:rPr>
              <w:t xml:space="preserve">, </w:t>
            </w:r>
            <w:r w:rsidR="00945DFD" w:rsidRPr="00E10BF9">
              <w:rPr>
                <w:rFonts w:asciiTheme="minorHAnsi" w:hAnsiTheme="minorHAnsi"/>
                <w:iCs/>
                <w:color w:val="auto"/>
                <w:sz w:val="24"/>
                <w:szCs w:val="24"/>
              </w:rPr>
              <w:t>current code from</w:t>
            </w:r>
            <w:r w:rsidR="00A87050" w:rsidRPr="00E10BF9">
              <w:rPr>
                <w:rFonts w:asciiTheme="minorHAnsi" w:hAnsiTheme="minorHAnsi"/>
                <w:iCs/>
                <w:color w:val="auto"/>
                <w:sz w:val="24"/>
                <w:szCs w:val="24"/>
              </w:rPr>
              <w:t xml:space="preserve"> June 2026</w:t>
            </w:r>
            <w:r w:rsidR="00C356B0" w:rsidRPr="00E10BF9">
              <w:rPr>
                <w:rFonts w:asciiTheme="minorHAnsi" w:hAnsiTheme="minorHAnsi"/>
                <w:iCs/>
                <w:color w:val="auto"/>
                <w:sz w:val="24"/>
                <w:szCs w:val="24"/>
              </w:rPr>
              <w:t xml:space="preserve"> and its Practice Guidance provide expectations relevant to this case</w:t>
            </w:r>
            <w:r>
              <w:rPr>
                <w:rFonts w:asciiTheme="minorHAnsi" w:hAnsiTheme="minorHAnsi"/>
                <w:iCs/>
                <w:color w:val="auto"/>
                <w:sz w:val="24"/>
                <w:szCs w:val="24"/>
              </w:rPr>
              <w:t>. To r</w:t>
            </w:r>
            <w:r w:rsidR="00C356B0" w:rsidRPr="00E10BF9">
              <w:rPr>
                <w:rFonts w:asciiTheme="minorHAnsi" w:hAnsiTheme="minorHAnsi"/>
                <w:iCs/>
                <w:color w:val="auto"/>
                <w:sz w:val="24"/>
                <w:szCs w:val="24"/>
              </w:rPr>
              <w:t>espect rights and choices, maintaining professional boundaries, promoting</w:t>
            </w:r>
            <w:r w:rsidR="006522A8">
              <w:rPr>
                <w:rFonts w:asciiTheme="minorHAnsi" w:hAnsiTheme="minorHAnsi"/>
                <w:iCs/>
                <w:color w:val="auto"/>
                <w:sz w:val="24"/>
                <w:szCs w:val="24"/>
              </w:rPr>
              <w:t xml:space="preserve"> </w:t>
            </w:r>
            <w:r w:rsidR="00C356B0" w:rsidRPr="00E10BF9">
              <w:rPr>
                <w:rFonts w:asciiTheme="minorHAnsi" w:hAnsiTheme="minorHAnsi"/>
                <w:iCs/>
                <w:color w:val="auto"/>
                <w:sz w:val="24"/>
                <w:szCs w:val="24"/>
              </w:rPr>
              <w:t>well-being, working collaboratively, protecting confidentiality, keeping accurate records and being accountable for decisions. These standards reinforced the need to explain the evidence and reasoning behind decisions rather than relying solely on outcomes or other people’s opinions</w:t>
            </w:r>
            <w:r w:rsidR="006522A8">
              <w:rPr>
                <w:rFonts w:asciiTheme="minorHAnsi" w:hAnsiTheme="minorHAnsi"/>
                <w:iCs/>
                <w:color w:val="auto"/>
                <w:sz w:val="24"/>
                <w:szCs w:val="24"/>
              </w:rPr>
              <w:t xml:space="preserve"> </w:t>
            </w:r>
            <w:r w:rsidR="00D875FB" w:rsidRPr="00E10BF9">
              <w:rPr>
                <w:rFonts w:asciiTheme="minorHAnsi" w:hAnsiTheme="minorHAnsi"/>
                <w:iCs/>
                <w:color w:val="auto"/>
                <w:sz w:val="24"/>
                <w:szCs w:val="24"/>
              </w:rPr>
              <w:t>(</w:t>
            </w:r>
            <w:r w:rsidR="006522A8">
              <w:rPr>
                <w:rFonts w:asciiTheme="minorHAnsi" w:hAnsiTheme="minorHAnsi"/>
                <w:iCs/>
                <w:color w:val="auto"/>
                <w:sz w:val="24"/>
                <w:szCs w:val="24"/>
              </w:rPr>
              <w:t>SCW</w:t>
            </w:r>
            <w:r w:rsidR="00D875FB" w:rsidRPr="00E10BF9">
              <w:rPr>
                <w:rFonts w:asciiTheme="minorHAnsi" w:hAnsiTheme="minorHAnsi"/>
                <w:iCs/>
                <w:color w:val="auto"/>
                <w:sz w:val="24"/>
                <w:szCs w:val="24"/>
              </w:rPr>
              <w:t>, 2026a; S</w:t>
            </w:r>
            <w:r w:rsidR="00977F37">
              <w:rPr>
                <w:rFonts w:asciiTheme="minorHAnsi" w:hAnsiTheme="minorHAnsi"/>
                <w:iCs/>
                <w:color w:val="auto"/>
                <w:sz w:val="24"/>
                <w:szCs w:val="24"/>
              </w:rPr>
              <w:t>CW</w:t>
            </w:r>
            <w:r w:rsidR="00D875FB" w:rsidRPr="00E10BF9">
              <w:rPr>
                <w:rFonts w:asciiTheme="minorHAnsi" w:hAnsiTheme="minorHAnsi"/>
                <w:iCs/>
                <w:color w:val="auto"/>
                <w:sz w:val="24"/>
                <w:szCs w:val="24"/>
              </w:rPr>
              <w:t>, 2026b)</w:t>
            </w:r>
            <w:r w:rsidR="00C356B0" w:rsidRPr="00E10BF9">
              <w:rPr>
                <w:rFonts w:asciiTheme="minorHAnsi" w:hAnsiTheme="minorHAnsi"/>
                <w:iCs/>
                <w:color w:val="auto"/>
                <w:sz w:val="24"/>
                <w:szCs w:val="24"/>
              </w:rPr>
              <w:t>.</w:t>
            </w:r>
          </w:p>
          <w:p w14:paraId="3776AD18" w14:textId="77777777" w:rsidR="00883CE6" w:rsidRDefault="00883CE6" w:rsidP="00C356B0">
            <w:pPr>
              <w:jc w:val="both"/>
              <w:rPr>
                <w:rFonts w:asciiTheme="minorHAnsi" w:hAnsiTheme="minorHAnsi"/>
                <w:iCs/>
                <w:color w:val="auto"/>
                <w:sz w:val="24"/>
                <w:szCs w:val="24"/>
              </w:rPr>
            </w:pPr>
          </w:p>
          <w:p w14:paraId="4146B61A" w14:textId="3FDCA831" w:rsidR="00883CE6" w:rsidRPr="00E10BF9" w:rsidRDefault="00883CE6" w:rsidP="00C356B0">
            <w:pPr>
              <w:jc w:val="both"/>
              <w:rPr>
                <w:rFonts w:asciiTheme="minorHAnsi" w:hAnsiTheme="minorHAnsi"/>
                <w:iCs/>
                <w:color w:val="auto"/>
                <w:sz w:val="24"/>
                <w:szCs w:val="24"/>
              </w:rPr>
            </w:pPr>
            <w:r w:rsidRPr="00883CE6">
              <w:rPr>
                <w:rFonts w:asciiTheme="minorHAnsi" w:hAnsiTheme="minorHAnsi"/>
                <w:iCs/>
                <w:color w:val="auto"/>
                <w:sz w:val="24"/>
                <w:szCs w:val="24"/>
              </w:rPr>
              <w:t>Preparation was important because the referral involved a potentially restrictive incident and uncertainty about the safety of the caring arrangements</w:t>
            </w:r>
            <w:r w:rsidR="006522A8">
              <w:rPr>
                <w:rFonts w:asciiTheme="minorHAnsi" w:hAnsiTheme="minorHAnsi"/>
                <w:iCs/>
                <w:color w:val="auto"/>
                <w:sz w:val="24"/>
                <w:szCs w:val="24"/>
              </w:rPr>
              <w:t>,</w:t>
            </w:r>
            <w:r w:rsidRPr="00883CE6">
              <w:rPr>
                <w:rFonts w:asciiTheme="minorHAnsi" w:hAnsiTheme="minorHAnsi"/>
                <w:iCs/>
                <w:color w:val="auto"/>
                <w:sz w:val="24"/>
                <w:szCs w:val="24"/>
              </w:rPr>
              <w:t xml:space="preserve"> I considered the referr</w:t>
            </w:r>
            <w:r w:rsidR="006522A8">
              <w:rPr>
                <w:rFonts w:asciiTheme="minorHAnsi" w:hAnsiTheme="minorHAnsi"/>
                <w:iCs/>
                <w:color w:val="auto"/>
                <w:sz w:val="24"/>
                <w:szCs w:val="24"/>
              </w:rPr>
              <w:t>al information</w:t>
            </w:r>
            <w:r w:rsidRPr="00883CE6">
              <w:rPr>
                <w:rFonts w:asciiTheme="minorHAnsi" w:hAnsiTheme="minorHAnsi"/>
                <w:iCs/>
                <w:color w:val="auto"/>
                <w:sz w:val="24"/>
                <w:szCs w:val="24"/>
              </w:rPr>
              <w:t xml:space="preserve"> (</w:t>
            </w:r>
            <w:r w:rsidR="006522A8">
              <w:rPr>
                <w:rFonts w:asciiTheme="minorHAnsi" w:hAnsiTheme="minorHAnsi"/>
                <w:iCs/>
                <w:color w:val="auto"/>
                <w:sz w:val="24"/>
                <w:szCs w:val="24"/>
              </w:rPr>
              <w:t>WPS</w:t>
            </w:r>
            <w:r w:rsidRPr="00883CE6">
              <w:rPr>
                <w:rFonts w:asciiTheme="minorHAnsi" w:hAnsiTheme="minorHAnsi"/>
                <w:iCs/>
                <w:color w:val="auto"/>
                <w:sz w:val="24"/>
                <w:szCs w:val="24"/>
              </w:rPr>
              <w:t>,</w:t>
            </w:r>
            <w:r>
              <w:rPr>
                <w:rFonts w:asciiTheme="minorHAnsi" w:hAnsiTheme="minorHAnsi"/>
                <w:iCs/>
                <w:color w:val="auto"/>
                <w:sz w:val="24"/>
                <w:szCs w:val="24"/>
              </w:rPr>
              <w:t xml:space="preserve"> 2026</w:t>
            </w:r>
            <w:r w:rsidRPr="00883CE6">
              <w:rPr>
                <w:rFonts w:asciiTheme="minorHAnsi" w:hAnsiTheme="minorHAnsi"/>
                <w:iCs/>
                <w:color w:val="auto"/>
                <w:sz w:val="24"/>
                <w:szCs w:val="24"/>
              </w:rPr>
              <w:t>). I considered whether the reported restriction could indicate domestic abuse or controlling or coercive behaviour, rather than assuming that 3’s explanation of preventing 2 from accessing a dangerous road fully explained the incident. The Serious Crime Act 2015, s.76 establishes an offence of controlling or coercive behaviour within an intimate or family relationship, while the Domestic Abuse Act 2021 recognises controlling or coercive behaviour as a form of domestic abuse (Serious Crime Act 2015; Domestic Abuse Act 2021). In the Welsh context, the Violence against Women, Domestic Abuse and Sexual Violence (Wales) Act 2015 also provides a framework for the prevention of domestic abuse and protection and support for those affected. This was particularly relevant because research indicates that domestic abuse involving older people can be difficult to identify and may be overlooked within caring relationships. Lonbay, Southall and Aggar (2026) identified difficulties in recognising domestic abuse among older people and highlighted the influence of ageist assumptions, barriers to disclosure and complexities in professional responses. Therefore, my preparation required professional curiosity about whether the restriction was an isolated response to immediate environmental risk or part of a wider pattern affecting 2’s safety. This supported the need to obtain information from multiple sources and to hear 2’s account separately from 3’s wherever possible.</w:t>
            </w:r>
          </w:p>
          <w:p w14:paraId="58621073" w14:textId="77777777" w:rsidR="00C356B0" w:rsidRPr="00E10BF9" w:rsidRDefault="00C356B0" w:rsidP="00C356B0">
            <w:pPr>
              <w:jc w:val="both"/>
              <w:rPr>
                <w:rFonts w:asciiTheme="minorHAnsi" w:hAnsiTheme="minorHAnsi"/>
                <w:iCs/>
                <w:color w:val="auto"/>
                <w:sz w:val="24"/>
                <w:szCs w:val="24"/>
              </w:rPr>
            </w:pPr>
          </w:p>
          <w:p w14:paraId="451DFE1E" w14:textId="44C5043A"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I needed to approach the assessment with professional curiosity, avoiding a predetermined conclusion about whether 3’s actions were protective, harmful or both</w:t>
            </w:r>
            <w:r w:rsidR="00E679B7" w:rsidRPr="00E10BF9">
              <w:rPr>
                <w:rFonts w:asciiTheme="minorHAnsi" w:hAnsiTheme="minorHAnsi"/>
                <w:iCs/>
                <w:sz w:val="24"/>
                <w:szCs w:val="24"/>
              </w:rPr>
              <w:t xml:space="preserve"> </w:t>
            </w:r>
            <w:r w:rsidR="00E679B7" w:rsidRPr="00E10BF9">
              <w:rPr>
                <w:rFonts w:asciiTheme="minorHAnsi" w:hAnsiTheme="minorHAnsi"/>
                <w:iCs/>
                <w:color w:val="auto"/>
                <w:sz w:val="24"/>
                <w:szCs w:val="24"/>
              </w:rPr>
              <w:t>(North Wales Safeguarding Board, 2022)</w:t>
            </w:r>
            <w:r w:rsidRPr="00E10BF9">
              <w:rPr>
                <w:rFonts w:asciiTheme="minorHAnsi" w:hAnsiTheme="minorHAnsi"/>
                <w:iCs/>
                <w:color w:val="auto"/>
                <w:sz w:val="24"/>
                <w:szCs w:val="24"/>
              </w:rPr>
              <w:t>. His explanation was relevant but did not establish the impact on 2 or the level of risk. Equally, the incident needed to be considered alongside the environmental danger he described and the pressures within the caring arrangement.</w:t>
            </w:r>
          </w:p>
          <w:p w14:paraId="2AAAA5C8" w14:textId="77777777" w:rsidR="00C356B0" w:rsidRPr="00E10BF9" w:rsidRDefault="00C356B0" w:rsidP="00C356B0">
            <w:pPr>
              <w:jc w:val="both"/>
              <w:rPr>
                <w:rFonts w:asciiTheme="minorHAnsi" w:hAnsiTheme="minorHAnsi"/>
                <w:iCs/>
                <w:color w:val="auto"/>
                <w:sz w:val="24"/>
                <w:szCs w:val="24"/>
              </w:rPr>
            </w:pPr>
          </w:p>
          <w:p w14:paraId="6FA6BE2C" w14:textId="44C41B8C"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 xml:space="preserve">A </w:t>
            </w:r>
            <w:r w:rsidR="00F17DAE" w:rsidRPr="00E10BF9">
              <w:rPr>
                <w:rFonts w:asciiTheme="minorHAnsi" w:hAnsiTheme="minorHAnsi"/>
                <w:iCs/>
                <w:color w:val="auto"/>
                <w:sz w:val="24"/>
                <w:szCs w:val="24"/>
              </w:rPr>
              <w:t>person</w:t>
            </w:r>
            <w:r w:rsidRPr="00E10BF9">
              <w:rPr>
                <w:rFonts w:asciiTheme="minorHAnsi" w:hAnsiTheme="minorHAnsi"/>
                <w:iCs/>
                <w:color w:val="auto"/>
                <w:sz w:val="24"/>
                <w:szCs w:val="24"/>
              </w:rPr>
              <w:t>-centred approach required me to regard 2 as an active participant rather than simply the subject of professional discussion</w:t>
            </w:r>
            <w:r w:rsidR="009704BB" w:rsidRPr="00E10BF9">
              <w:rPr>
                <w:rFonts w:asciiTheme="minorHAnsi" w:hAnsiTheme="minorHAnsi"/>
                <w:iCs/>
                <w:sz w:val="24"/>
                <w:szCs w:val="24"/>
              </w:rPr>
              <w:t xml:space="preserve"> </w:t>
            </w:r>
            <w:r w:rsidR="009704BB" w:rsidRPr="00E10BF9">
              <w:rPr>
                <w:rFonts w:asciiTheme="minorHAnsi" w:hAnsiTheme="minorHAnsi"/>
                <w:iCs/>
                <w:color w:val="auto"/>
                <w:sz w:val="24"/>
                <w:szCs w:val="24"/>
              </w:rPr>
              <w:t>(S</w:t>
            </w:r>
            <w:r w:rsidR="00977F37">
              <w:rPr>
                <w:rFonts w:asciiTheme="minorHAnsi" w:hAnsiTheme="minorHAnsi"/>
                <w:iCs/>
                <w:color w:val="auto"/>
                <w:sz w:val="24"/>
                <w:szCs w:val="24"/>
              </w:rPr>
              <w:t>CW</w:t>
            </w:r>
            <w:r w:rsidR="009704BB" w:rsidRPr="00E10BF9">
              <w:rPr>
                <w:rFonts w:asciiTheme="minorHAnsi" w:hAnsiTheme="minorHAnsi"/>
                <w:iCs/>
                <w:color w:val="auto"/>
                <w:sz w:val="24"/>
                <w:szCs w:val="24"/>
              </w:rPr>
              <w:t>, 2026</w:t>
            </w:r>
            <w:r w:rsidR="005D49F9" w:rsidRPr="00E10BF9">
              <w:rPr>
                <w:rFonts w:asciiTheme="minorHAnsi" w:hAnsiTheme="minorHAnsi"/>
                <w:iCs/>
                <w:color w:val="auto"/>
                <w:sz w:val="24"/>
                <w:szCs w:val="24"/>
              </w:rPr>
              <w:t>c</w:t>
            </w:r>
            <w:r w:rsidR="009704BB" w:rsidRPr="00E10BF9">
              <w:rPr>
                <w:rFonts w:asciiTheme="minorHAnsi" w:hAnsiTheme="minorHAnsi"/>
                <w:iCs/>
                <w:color w:val="auto"/>
                <w:sz w:val="24"/>
                <w:szCs w:val="24"/>
              </w:rPr>
              <w:t>)</w:t>
            </w:r>
            <w:r w:rsidRPr="00E10BF9">
              <w:rPr>
                <w:rFonts w:asciiTheme="minorHAnsi" w:hAnsiTheme="minorHAnsi"/>
                <w:iCs/>
                <w:color w:val="auto"/>
                <w:sz w:val="24"/>
                <w:szCs w:val="24"/>
              </w:rPr>
              <w:t>. I needed to explore what mattered to her, what she understood about respite, how she felt about being away from home, what she wanted for the future and what support she believed would help her. Her long-standing home, relationship with 3, familiar routines and connection to the local community were relevant to her identity and well-being.</w:t>
            </w:r>
          </w:p>
          <w:p w14:paraId="6ADA99FD" w14:textId="77777777" w:rsidR="00C356B0" w:rsidRPr="00E10BF9" w:rsidRDefault="00C356B0" w:rsidP="00C356B0">
            <w:pPr>
              <w:jc w:val="both"/>
              <w:rPr>
                <w:rFonts w:asciiTheme="minorHAnsi" w:hAnsiTheme="minorHAnsi"/>
                <w:iCs/>
                <w:color w:val="auto"/>
                <w:sz w:val="24"/>
                <w:szCs w:val="24"/>
              </w:rPr>
            </w:pPr>
          </w:p>
          <w:p w14:paraId="5F52706D" w14:textId="10323E27"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Communication needs, anxiety, environment and the presence of other people could influence how she expressed her views</w:t>
            </w:r>
            <w:r w:rsidR="00AB4855" w:rsidRPr="00E10BF9">
              <w:rPr>
                <w:rFonts w:asciiTheme="minorHAnsi" w:hAnsiTheme="minorHAnsi"/>
                <w:iCs/>
                <w:color w:val="auto"/>
                <w:sz w:val="24"/>
                <w:szCs w:val="24"/>
              </w:rPr>
              <w:t>(NICE, 2018)</w:t>
            </w:r>
            <w:r w:rsidRPr="00E10BF9">
              <w:rPr>
                <w:rFonts w:asciiTheme="minorHAnsi" w:hAnsiTheme="minorHAnsi"/>
                <w:iCs/>
                <w:color w:val="auto"/>
                <w:sz w:val="24"/>
                <w:szCs w:val="24"/>
              </w:rPr>
              <w:t>. Accessible communication and sufficient processing time were therefore integral to assessment. I also needed to check that 2 understood the discussion and had opportunities to ask questions or express disagreement.</w:t>
            </w:r>
          </w:p>
          <w:p w14:paraId="78AFE6A0" w14:textId="77777777" w:rsidR="00C356B0" w:rsidRPr="00E10BF9" w:rsidRDefault="00C356B0" w:rsidP="00C356B0">
            <w:pPr>
              <w:jc w:val="both"/>
              <w:rPr>
                <w:rFonts w:asciiTheme="minorHAnsi" w:hAnsiTheme="minorHAnsi"/>
                <w:iCs/>
                <w:color w:val="auto"/>
                <w:sz w:val="24"/>
                <w:szCs w:val="24"/>
              </w:rPr>
            </w:pPr>
          </w:p>
          <w:p w14:paraId="0F2F90F3" w14:textId="0F2D2FAD"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assessment needed to be holistic, considering 2’s strengths, needs, circumstances, risks and protective factors</w:t>
            </w:r>
            <w:r w:rsidR="003F3160" w:rsidRPr="00E10BF9">
              <w:rPr>
                <w:rFonts w:asciiTheme="minorHAnsi" w:hAnsiTheme="minorHAnsi"/>
                <w:iCs/>
                <w:color w:val="auto"/>
                <w:sz w:val="24"/>
                <w:szCs w:val="24"/>
              </w:rPr>
              <w:t xml:space="preserve"> (S</w:t>
            </w:r>
            <w:r w:rsidR="00977F37">
              <w:rPr>
                <w:rFonts w:asciiTheme="minorHAnsi" w:hAnsiTheme="minorHAnsi"/>
                <w:iCs/>
                <w:color w:val="auto"/>
                <w:sz w:val="24"/>
                <w:szCs w:val="24"/>
              </w:rPr>
              <w:t>CW</w:t>
            </w:r>
            <w:r w:rsidR="003F3160" w:rsidRPr="00E10BF9">
              <w:rPr>
                <w:rFonts w:asciiTheme="minorHAnsi" w:hAnsiTheme="minorHAnsi"/>
                <w:iCs/>
                <w:color w:val="auto"/>
                <w:sz w:val="24"/>
                <w:szCs w:val="24"/>
              </w:rPr>
              <w:t>, 2025)</w:t>
            </w:r>
            <w:r w:rsidRPr="00E10BF9">
              <w:rPr>
                <w:rFonts w:asciiTheme="minorHAnsi" w:hAnsiTheme="minorHAnsi"/>
                <w:iCs/>
                <w:color w:val="auto"/>
                <w:sz w:val="24"/>
                <w:szCs w:val="24"/>
              </w:rPr>
              <w:t xml:space="preserve">. Her established relationship with 3, familiarity with her home and community, previous use of respite and ability to express preferences were relevant strengths. These could help identify support options and continuity. However, strengths-based practice did not mean assuming the existing arrangements were safe because they had continued for many years. </w:t>
            </w:r>
          </w:p>
          <w:p w14:paraId="69AD6057" w14:textId="77777777" w:rsidR="00C356B0" w:rsidRPr="00E10BF9" w:rsidRDefault="00C356B0" w:rsidP="00C356B0">
            <w:pPr>
              <w:jc w:val="both"/>
              <w:rPr>
                <w:rFonts w:asciiTheme="minorHAnsi" w:hAnsiTheme="minorHAnsi"/>
                <w:iCs/>
                <w:color w:val="auto"/>
                <w:sz w:val="24"/>
                <w:szCs w:val="24"/>
              </w:rPr>
            </w:pPr>
          </w:p>
          <w:p w14:paraId="64FE7006" w14:textId="0477448D"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respite placement provided an opportunity to observe 2 away from the home environment. Residential staff could contribute information about her routines, communication, daily living skills and responses to support. Health colleagues could provide specialist perspectives concerning learning disability, mental health and communication. Their information needed to be considered alongside 2’s account, 3’s views and historical social care information.</w:t>
            </w:r>
            <w:r w:rsidR="006751EA" w:rsidRPr="00E10BF9">
              <w:rPr>
                <w:rFonts w:asciiTheme="minorHAnsi" w:hAnsiTheme="minorHAnsi"/>
                <w:iCs/>
                <w:color w:val="auto"/>
                <w:sz w:val="24"/>
                <w:szCs w:val="24"/>
              </w:rPr>
              <w:t xml:space="preserve"> </w:t>
            </w:r>
            <w:r w:rsidRPr="00E10BF9">
              <w:rPr>
                <w:rFonts w:asciiTheme="minorHAnsi" w:hAnsiTheme="minorHAnsi"/>
                <w:iCs/>
                <w:color w:val="auto"/>
                <w:sz w:val="24"/>
                <w:szCs w:val="24"/>
              </w:rPr>
              <w:t>Where accounts differed, I needed to explore the reasons rather than automatically prioritising one perspective. 2’s presentation in residential care might differ from her presentation at home because the environment, routines and support were different. A single observation could not provide a complete picture of her needs or abilities</w:t>
            </w:r>
            <w:r w:rsidR="0059164E" w:rsidRPr="00E10BF9">
              <w:rPr>
                <w:rFonts w:asciiTheme="minorHAnsi" w:hAnsiTheme="minorHAnsi"/>
                <w:iCs/>
                <w:color w:val="auto"/>
                <w:sz w:val="24"/>
                <w:szCs w:val="24"/>
              </w:rPr>
              <w:t xml:space="preserve"> (NICE, 2022)</w:t>
            </w:r>
            <w:r w:rsidRPr="00E10BF9">
              <w:rPr>
                <w:rFonts w:asciiTheme="minorHAnsi" w:hAnsiTheme="minorHAnsi"/>
                <w:iCs/>
                <w:color w:val="auto"/>
                <w:sz w:val="24"/>
                <w:szCs w:val="24"/>
              </w:rPr>
              <w:t>.</w:t>
            </w:r>
          </w:p>
          <w:p w14:paraId="101C76C4" w14:textId="77777777" w:rsidR="00C356B0" w:rsidRPr="00E10BF9" w:rsidRDefault="00C356B0" w:rsidP="00C356B0">
            <w:pPr>
              <w:jc w:val="both"/>
              <w:rPr>
                <w:rFonts w:asciiTheme="minorHAnsi" w:hAnsiTheme="minorHAnsi"/>
                <w:iCs/>
                <w:color w:val="auto"/>
                <w:sz w:val="24"/>
                <w:szCs w:val="24"/>
              </w:rPr>
            </w:pPr>
          </w:p>
          <w:p w14:paraId="173285F3" w14:textId="524C4DA7" w:rsidR="00C356B0"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safeguarding concern was not limited to one incident. It arose from the interaction between 2’s care and support needs, the caring relationship, the home environment and available support. The incident raised concerns about restriction, autonomy and potential harm. 3 stated that he was trying to prevent 2 moving towards a dangerous road. His explanation needed to be considered, but the impact of the restriction on 2 remained central.</w:t>
            </w:r>
            <w:r w:rsidR="00ED4D7C" w:rsidRPr="00E10BF9">
              <w:rPr>
                <w:rFonts w:asciiTheme="minorHAnsi" w:hAnsiTheme="minorHAnsi"/>
                <w:iCs/>
                <w:color w:val="auto"/>
                <w:sz w:val="24"/>
                <w:szCs w:val="24"/>
              </w:rPr>
              <w:t xml:space="preserve"> </w:t>
            </w:r>
            <w:r w:rsidRPr="00E10BF9">
              <w:rPr>
                <w:rFonts w:asciiTheme="minorHAnsi" w:hAnsiTheme="minorHAnsi"/>
                <w:iCs/>
                <w:color w:val="auto"/>
                <w:sz w:val="24"/>
                <w:szCs w:val="24"/>
              </w:rPr>
              <w:t>I needed to distinguish reported facts, each person’s account, professional observations and my analysis. Treating the incident solely as a response to carer stress could minimise its impact on 2 and overlook possible abuse or neglect</w:t>
            </w:r>
            <w:r w:rsidR="005F476B">
              <w:rPr>
                <w:rFonts w:asciiTheme="minorHAnsi" w:hAnsiTheme="minorHAnsi"/>
                <w:iCs/>
                <w:color w:val="auto"/>
                <w:sz w:val="24"/>
                <w:szCs w:val="24"/>
              </w:rPr>
              <w:t>.</w:t>
            </w:r>
            <w:r w:rsidRPr="00E10BF9">
              <w:rPr>
                <w:rFonts w:asciiTheme="minorHAnsi" w:hAnsiTheme="minorHAnsi"/>
                <w:iCs/>
                <w:color w:val="auto"/>
                <w:sz w:val="24"/>
                <w:szCs w:val="24"/>
              </w:rPr>
              <w:t xml:space="preserve"> Conversely, assuming that 3 intended to cause harm would go beyond the information available and could prevent a fuller understanding of the caring arrangement.</w:t>
            </w:r>
          </w:p>
          <w:p w14:paraId="69C33177" w14:textId="39E053C5" w:rsidR="005F476B" w:rsidRPr="005F476B" w:rsidRDefault="005F476B" w:rsidP="005F476B">
            <w:pPr>
              <w:jc w:val="both"/>
              <w:rPr>
                <w:rFonts w:asciiTheme="minorHAnsi" w:hAnsiTheme="minorHAnsi"/>
                <w:iCs/>
                <w:color w:val="auto"/>
                <w:sz w:val="24"/>
                <w:szCs w:val="24"/>
              </w:rPr>
            </w:pPr>
            <w:r>
              <w:rPr>
                <w:rFonts w:asciiTheme="minorHAnsi" w:hAnsiTheme="minorHAnsi"/>
                <w:iCs/>
                <w:color w:val="auto"/>
                <w:sz w:val="24"/>
                <w:szCs w:val="24"/>
              </w:rPr>
              <w:t>P</w:t>
            </w:r>
            <w:r w:rsidRPr="005F476B">
              <w:rPr>
                <w:rFonts w:asciiTheme="minorHAnsi" w:hAnsiTheme="minorHAnsi"/>
                <w:iCs/>
                <w:color w:val="auto"/>
                <w:sz w:val="24"/>
                <w:szCs w:val="24"/>
              </w:rPr>
              <w:t>rofessional curiosity was important. Manthorpe et al. (2019) found, through consideration of safeguarding adult reviews and serious case reviews, that insufficient professional curiosity and poor coordination between agencies can contribute to inadequate assessment and intervention. Their work highlights the importance of questioning explanations, seeking information from different sources and developing a fuller understanding of the circumstances rather than accepting the first account provided. In this case, this meant distinguishing between reported facts, 2’s account, 3’s account, observations made by professionals and my own analysis. I needed to consider whether there were previous incidents of restriction, whether 2 experienced fear or distress, how she understood the incident,</w:t>
            </w:r>
            <w:r w:rsidR="006522A8">
              <w:rPr>
                <w:rFonts w:asciiTheme="minorHAnsi" w:hAnsiTheme="minorHAnsi"/>
                <w:iCs/>
                <w:color w:val="auto"/>
                <w:sz w:val="24"/>
                <w:szCs w:val="24"/>
              </w:rPr>
              <w:t xml:space="preserve"> and</w:t>
            </w:r>
            <w:r w:rsidRPr="005F476B">
              <w:rPr>
                <w:rFonts w:asciiTheme="minorHAnsi" w:hAnsiTheme="minorHAnsi"/>
                <w:iCs/>
                <w:color w:val="auto"/>
                <w:sz w:val="24"/>
                <w:szCs w:val="24"/>
              </w:rPr>
              <w:t xml:space="preserve"> what alternatives had been attempted</w:t>
            </w:r>
            <w:r w:rsidR="006522A8">
              <w:rPr>
                <w:rFonts w:asciiTheme="minorHAnsi" w:hAnsiTheme="minorHAnsi"/>
                <w:iCs/>
                <w:color w:val="auto"/>
                <w:sz w:val="24"/>
                <w:szCs w:val="24"/>
              </w:rPr>
              <w:t>.</w:t>
            </w:r>
          </w:p>
          <w:p w14:paraId="004D861E" w14:textId="77777777" w:rsidR="005F476B" w:rsidRPr="005F476B" w:rsidRDefault="005F476B" w:rsidP="005F476B">
            <w:pPr>
              <w:jc w:val="both"/>
              <w:rPr>
                <w:rFonts w:asciiTheme="minorHAnsi" w:hAnsiTheme="minorHAnsi"/>
                <w:iCs/>
                <w:color w:val="auto"/>
                <w:sz w:val="24"/>
                <w:szCs w:val="24"/>
              </w:rPr>
            </w:pPr>
          </w:p>
          <w:p w14:paraId="391ED5E3" w14:textId="6C32A4C2" w:rsidR="005F476B" w:rsidRPr="005F476B" w:rsidRDefault="005F476B" w:rsidP="005F476B">
            <w:pPr>
              <w:jc w:val="both"/>
              <w:rPr>
                <w:rFonts w:asciiTheme="minorHAnsi" w:hAnsiTheme="minorHAnsi"/>
                <w:iCs/>
                <w:color w:val="auto"/>
                <w:sz w:val="24"/>
                <w:szCs w:val="24"/>
              </w:rPr>
            </w:pPr>
            <w:r w:rsidRPr="005F476B">
              <w:rPr>
                <w:rFonts w:asciiTheme="minorHAnsi" w:hAnsiTheme="minorHAnsi"/>
                <w:iCs/>
                <w:color w:val="auto"/>
                <w:sz w:val="24"/>
                <w:szCs w:val="24"/>
              </w:rPr>
              <w:t>The learning from Welsh Adult Practice Reviews also strengthens this. The 2025 thematic review identified recurring concerns including fragmented multi-agency working, inconsistent consideration of mental capacity, limited advocacy and inadequate recording of adults’ lived experiences and wishes</w:t>
            </w:r>
            <w:r>
              <w:rPr>
                <w:rFonts w:asciiTheme="minorHAnsi" w:hAnsiTheme="minorHAnsi"/>
                <w:iCs/>
                <w:color w:val="auto"/>
                <w:sz w:val="24"/>
                <w:szCs w:val="24"/>
              </w:rPr>
              <w:t xml:space="preserve"> (Safeguarding Board Wales, 2025)</w:t>
            </w:r>
            <w:r w:rsidRPr="005F476B">
              <w:rPr>
                <w:rFonts w:asciiTheme="minorHAnsi" w:hAnsiTheme="minorHAnsi"/>
                <w:iCs/>
                <w:color w:val="auto"/>
                <w:sz w:val="24"/>
                <w:szCs w:val="24"/>
              </w:rPr>
              <w:t xml:space="preserve">. This reinforced for me that safeguarding assessment should not focus solely on the presenting incident. I needed to understand the whole person, the caring relationship, the environment and the wider support </w:t>
            </w:r>
            <w:r w:rsidRPr="005F476B">
              <w:rPr>
                <w:rFonts w:asciiTheme="minorHAnsi" w:hAnsiTheme="minorHAnsi"/>
                <w:iCs/>
                <w:color w:val="auto"/>
                <w:sz w:val="24"/>
                <w:szCs w:val="24"/>
              </w:rPr>
              <w:lastRenderedPageBreak/>
              <w:t>system. It also reinforced the importance of ensuring that 2’s voice was not lost within 3’s account or within professional interpretations of risk.</w:t>
            </w:r>
          </w:p>
          <w:p w14:paraId="6F0026A7" w14:textId="77777777" w:rsidR="005F476B" w:rsidRPr="005F476B" w:rsidRDefault="005F476B" w:rsidP="005F476B">
            <w:pPr>
              <w:jc w:val="both"/>
              <w:rPr>
                <w:rFonts w:asciiTheme="minorHAnsi" w:hAnsiTheme="minorHAnsi"/>
                <w:iCs/>
                <w:color w:val="auto"/>
                <w:sz w:val="24"/>
                <w:szCs w:val="24"/>
              </w:rPr>
            </w:pPr>
          </w:p>
          <w:p w14:paraId="17F0F89A" w14:textId="73D7BDF0" w:rsidR="005F476B" w:rsidRPr="00E10BF9" w:rsidRDefault="005F476B" w:rsidP="005F476B">
            <w:pPr>
              <w:jc w:val="both"/>
              <w:rPr>
                <w:rFonts w:asciiTheme="minorHAnsi" w:hAnsiTheme="minorHAnsi"/>
                <w:iCs/>
                <w:color w:val="auto"/>
                <w:sz w:val="24"/>
                <w:szCs w:val="24"/>
              </w:rPr>
            </w:pPr>
            <w:r w:rsidRPr="005F476B">
              <w:rPr>
                <w:rFonts w:asciiTheme="minorHAnsi" w:hAnsiTheme="minorHAnsi"/>
                <w:iCs/>
                <w:color w:val="auto"/>
                <w:sz w:val="24"/>
                <w:szCs w:val="24"/>
              </w:rPr>
              <w:t>My reflection is therefore that effective safeguarding required a balanced position. I needed to take the concern seriously without prematurely defining 3’s behaviour as abusive, while also ensuring that concern about 2’s vulnerability did not lead to restrictive intervention becoming normalised. This reflects the Welsh safeguarding expectation that protection planning should be person-centred, outcome-focused, proportionate and use the least restrictive approach. The assessment consequently needed to consider not only how to reduce immediate risk, but also how 2 could remain safe while retaining choice, relationships and as much control over her life as possible. This demonstrated professional judgement because there was no completely risk-free option; rather, the task was to understand the competing risks and identify the least restrictive and most proportionate way of supporting 2 and 3.</w:t>
            </w:r>
          </w:p>
          <w:p w14:paraId="08497D25" w14:textId="77777777" w:rsidR="00C356B0" w:rsidRPr="00E10BF9" w:rsidRDefault="00C356B0" w:rsidP="00C356B0">
            <w:pPr>
              <w:jc w:val="both"/>
              <w:rPr>
                <w:rFonts w:asciiTheme="minorHAnsi" w:hAnsiTheme="minorHAnsi"/>
                <w:iCs/>
                <w:color w:val="auto"/>
                <w:sz w:val="24"/>
                <w:szCs w:val="24"/>
              </w:rPr>
            </w:pPr>
          </w:p>
          <w:p w14:paraId="06529AF5" w14:textId="767819EB"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Risk assessment needed to consider the nature and seriousness of potential harm, the circumstances in which risks arose, protective factors and how risk might change if support arrangements changed. It also needed to consider the consequences of intervention. Focusing only on eliminating risk could lead to unnecessary restrictions or a premature conclusion that 2 should not return home. Equally, assuming the previous arrangement could continue unchanged could expose her to further harm</w:t>
            </w:r>
            <w:r w:rsidR="00977F37">
              <w:rPr>
                <w:rFonts w:asciiTheme="minorHAnsi" w:hAnsiTheme="minorHAnsi"/>
                <w:iCs/>
                <w:color w:val="auto"/>
                <w:sz w:val="24"/>
                <w:szCs w:val="24"/>
              </w:rPr>
              <w:t xml:space="preserve"> </w:t>
            </w:r>
            <w:r w:rsidR="00304C5A" w:rsidRPr="00E10BF9">
              <w:rPr>
                <w:rFonts w:asciiTheme="minorHAnsi" w:hAnsiTheme="minorHAnsi"/>
                <w:iCs/>
                <w:color w:val="auto"/>
                <w:sz w:val="24"/>
                <w:szCs w:val="24"/>
              </w:rPr>
              <w:t>(Department of Health and Social Care, 2025)</w:t>
            </w:r>
            <w:r w:rsidRPr="00E10BF9">
              <w:rPr>
                <w:rFonts w:asciiTheme="minorHAnsi" w:hAnsiTheme="minorHAnsi"/>
                <w:iCs/>
                <w:color w:val="auto"/>
                <w:sz w:val="24"/>
                <w:szCs w:val="24"/>
              </w:rPr>
              <w:t>.</w:t>
            </w:r>
          </w:p>
          <w:p w14:paraId="2A0F6A6B" w14:textId="77777777" w:rsidR="00C356B0" w:rsidRPr="00E10BF9" w:rsidRDefault="00C356B0" w:rsidP="00C356B0">
            <w:pPr>
              <w:jc w:val="both"/>
              <w:rPr>
                <w:rFonts w:asciiTheme="minorHAnsi" w:hAnsiTheme="minorHAnsi"/>
                <w:iCs/>
                <w:color w:val="auto"/>
                <w:sz w:val="24"/>
                <w:szCs w:val="24"/>
              </w:rPr>
            </w:pPr>
          </w:p>
          <w:p w14:paraId="4AD0C6C0" w14:textId="53900969"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An outcome-focused assessment therefore needed to identify what 2 wanted to achieve and what practical support might help her achieve it safely. Possible options for exploration included additional support, environmental changes, respite, monitoring, contingency arrangements and a revised care plan. These were options to assess, their suitability depended on 2’s views, capacity where relevant, the level of risk and service availability</w:t>
            </w:r>
            <w:r w:rsidR="00592815" w:rsidRPr="00E10BF9">
              <w:rPr>
                <w:rFonts w:asciiTheme="minorHAnsi" w:hAnsiTheme="minorHAnsi"/>
                <w:iCs/>
                <w:color w:val="auto"/>
                <w:sz w:val="24"/>
                <w:szCs w:val="24"/>
              </w:rPr>
              <w:t xml:space="preserve"> (Welsh Government, 2015)</w:t>
            </w:r>
            <w:r w:rsidRPr="00E10BF9">
              <w:rPr>
                <w:rFonts w:asciiTheme="minorHAnsi" w:hAnsiTheme="minorHAnsi"/>
                <w:iCs/>
                <w:color w:val="auto"/>
                <w:sz w:val="24"/>
                <w:szCs w:val="24"/>
              </w:rPr>
              <w:t>.</w:t>
            </w:r>
          </w:p>
          <w:p w14:paraId="6965C240" w14:textId="77777777" w:rsidR="00AC5A18" w:rsidRPr="00E10BF9" w:rsidRDefault="00AC5A18" w:rsidP="00C356B0">
            <w:pPr>
              <w:jc w:val="both"/>
              <w:rPr>
                <w:rFonts w:asciiTheme="minorHAnsi" w:hAnsiTheme="minorHAnsi"/>
                <w:iCs/>
                <w:color w:val="auto"/>
                <w:sz w:val="24"/>
                <w:szCs w:val="24"/>
              </w:rPr>
            </w:pPr>
          </w:p>
          <w:p w14:paraId="46658379" w14:textId="77777777"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Several theoretical perspectives helped me interpret the situation and consider interventions. A systems perspective, person-centred practice and strengths-based practice each offered a different lens, although none was sufficient alone.</w:t>
            </w:r>
          </w:p>
          <w:p w14:paraId="04A05C32" w14:textId="737559B1"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A systems perspective associated with Bronfenbrenner (1979) helped me consider how 2’s circumstances were shaped by the interaction between her individual needs, relationship with 3, caravan and surrounding environment, rural service availability, respite provision, social care and health involvement</w:t>
            </w:r>
            <w:r w:rsidR="004143D0" w:rsidRPr="00E10BF9">
              <w:rPr>
                <w:rFonts w:asciiTheme="minorHAnsi" w:hAnsiTheme="minorHAnsi"/>
                <w:iCs/>
                <w:sz w:val="24"/>
                <w:szCs w:val="24"/>
              </w:rPr>
              <w:t xml:space="preserve"> (</w:t>
            </w:r>
            <w:r w:rsidR="004143D0" w:rsidRPr="00E10BF9">
              <w:rPr>
                <w:rFonts w:asciiTheme="minorHAnsi" w:hAnsiTheme="minorHAnsi"/>
                <w:iCs/>
                <w:color w:val="auto"/>
                <w:sz w:val="24"/>
                <w:szCs w:val="24"/>
              </w:rPr>
              <w:t>Rosa and Tudge, 2013)</w:t>
            </w:r>
            <w:r w:rsidRPr="00E10BF9">
              <w:rPr>
                <w:rFonts w:asciiTheme="minorHAnsi" w:hAnsiTheme="minorHAnsi"/>
                <w:iCs/>
                <w:color w:val="auto"/>
                <w:sz w:val="24"/>
                <w:szCs w:val="24"/>
              </w:rPr>
              <w:t>. This encouraged me to look beyond an individual explanation of the safeguarding concern. For example, the risk associated with leaving the home needed to be understood in relation to the environment, available support and caring relationship. It also encouraged consideration of how increased support for 3 or changes to the home environment might affect 2’s safety and well-being.</w:t>
            </w:r>
          </w:p>
          <w:p w14:paraId="16FDAC2E" w14:textId="77777777" w:rsidR="00C356B0" w:rsidRPr="00E10BF9" w:rsidRDefault="00C356B0" w:rsidP="00C356B0">
            <w:pPr>
              <w:jc w:val="both"/>
              <w:rPr>
                <w:rFonts w:asciiTheme="minorHAnsi" w:hAnsiTheme="minorHAnsi"/>
                <w:iCs/>
                <w:color w:val="auto"/>
                <w:sz w:val="24"/>
                <w:szCs w:val="24"/>
              </w:rPr>
            </w:pPr>
          </w:p>
          <w:p w14:paraId="1CC3152A" w14:textId="0DD31923"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A person-centred approach informed by Rogers (1951) helped keep 2’s wishes, identity and preferred outcomes central</w:t>
            </w:r>
            <w:r w:rsidR="006749B5" w:rsidRPr="00E10BF9">
              <w:rPr>
                <w:rFonts w:asciiTheme="minorHAnsi" w:hAnsiTheme="minorHAnsi"/>
                <w:iCs/>
                <w:color w:val="auto"/>
                <w:sz w:val="24"/>
                <w:szCs w:val="24"/>
              </w:rPr>
              <w:t xml:space="preserve"> (Mc</w:t>
            </w:r>
            <w:r w:rsidR="002F24E4" w:rsidRPr="00E10BF9">
              <w:rPr>
                <w:rFonts w:asciiTheme="minorHAnsi" w:hAnsiTheme="minorHAnsi"/>
                <w:iCs/>
                <w:color w:val="auto"/>
                <w:sz w:val="24"/>
                <w:szCs w:val="24"/>
              </w:rPr>
              <w:t>Caus</w:t>
            </w:r>
            <w:r w:rsidR="006749B5" w:rsidRPr="00E10BF9">
              <w:rPr>
                <w:rFonts w:asciiTheme="minorHAnsi" w:hAnsiTheme="minorHAnsi"/>
                <w:iCs/>
                <w:color w:val="auto"/>
                <w:sz w:val="24"/>
                <w:szCs w:val="24"/>
              </w:rPr>
              <w:t>land et al, 2019)</w:t>
            </w:r>
            <w:r w:rsidRPr="00E10BF9">
              <w:rPr>
                <w:rFonts w:asciiTheme="minorHAnsi" w:hAnsiTheme="minorHAnsi"/>
                <w:iCs/>
                <w:color w:val="auto"/>
                <w:sz w:val="24"/>
                <w:szCs w:val="24"/>
              </w:rPr>
              <w:t xml:space="preserve">. It challenged me to ensure professional discussions did not replace her participation, particularly in decisions concerning accommodation, relationships and daily life. This was important because professional focus on </w:t>
            </w:r>
            <w:r w:rsidRPr="00E10BF9">
              <w:rPr>
                <w:rFonts w:asciiTheme="minorHAnsi" w:hAnsiTheme="minorHAnsi"/>
                <w:iCs/>
                <w:color w:val="auto"/>
                <w:sz w:val="24"/>
                <w:szCs w:val="24"/>
              </w:rPr>
              <w:lastRenderedPageBreak/>
              <w:t xml:space="preserve">risk could otherwise overshadow what mattered to her. Person-centred practice did not mean ignoring risk, </w:t>
            </w:r>
            <w:r w:rsidR="00977F37">
              <w:rPr>
                <w:rFonts w:asciiTheme="minorHAnsi" w:hAnsiTheme="minorHAnsi"/>
                <w:iCs/>
                <w:color w:val="auto"/>
                <w:sz w:val="24"/>
                <w:szCs w:val="24"/>
              </w:rPr>
              <w:t>but</w:t>
            </w:r>
            <w:r w:rsidRPr="00E10BF9">
              <w:rPr>
                <w:rFonts w:asciiTheme="minorHAnsi" w:hAnsiTheme="minorHAnsi"/>
                <w:iCs/>
                <w:color w:val="auto"/>
                <w:sz w:val="24"/>
                <w:szCs w:val="24"/>
              </w:rPr>
              <w:t xml:space="preserve"> understanding it in relation to her circumstances and desired outcomes.</w:t>
            </w:r>
          </w:p>
          <w:p w14:paraId="030FA56F" w14:textId="77777777" w:rsidR="00C356B0" w:rsidRPr="00E10BF9" w:rsidRDefault="00C356B0" w:rsidP="00C356B0">
            <w:pPr>
              <w:jc w:val="both"/>
              <w:rPr>
                <w:rFonts w:asciiTheme="minorHAnsi" w:hAnsiTheme="minorHAnsi"/>
                <w:iCs/>
                <w:color w:val="auto"/>
                <w:sz w:val="24"/>
                <w:szCs w:val="24"/>
              </w:rPr>
            </w:pPr>
          </w:p>
          <w:p w14:paraId="28EBDE30" w14:textId="3C45520C"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A strengths-based perspective associated with Saleebey (2013) encouraged me to identify abilities, relationships, resources and resilience. 2’s established relationship, familiarity with her community, ability to express preferences and previous use of respite were relevant strengths. 3’s knowledge of 2 and recognition that respite was needed were also relevant. However, I needed to avoid allowing this perspective to minimise safeguarding concerns or assume that existing arrangements were safe.</w:t>
            </w:r>
            <w:r w:rsidR="00A12B6B">
              <w:rPr>
                <w:rFonts w:asciiTheme="minorHAnsi" w:hAnsiTheme="minorHAnsi"/>
                <w:iCs/>
                <w:color w:val="auto"/>
                <w:sz w:val="24"/>
                <w:szCs w:val="24"/>
              </w:rPr>
              <w:t xml:space="preserve"> </w:t>
            </w:r>
            <w:r w:rsidRPr="00E10BF9">
              <w:rPr>
                <w:rFonts w:asciiTheme="minorHAnsi" w:hAnsiTheme="minorHAnsi"/>
                <w:iCs/>
                <w:color w:val="auto"/>
                <w:sz w:val="24"/>
                <w:szCs w:val="24"/>
              </w:rPr>
              <w:t xml:space="preserve">Together, these perspectives supported a holistic assessment: systems theory highlighted context, person-centred practice kept 2’s voice central, and strengths-based practice identified resources and possibilities. </w:t>
            </w:r>
          </w:p>
          <w:p w14:paraId="7BB7A9DB" w14:textId="77777777" w:rsidR="00C356B0" w:rsidRPr="00E10BF9" w:rsidRDefault="00C356B0" w:rsidP="00C356B0">
            <w:pPr>
              <w:jc w:val="both"/>
              <w:rPr>
                <w:rFonts w:asciiTheme="minorHAnsi" w:hAnsiTheme="minorHAnsi"/>
                <w:iCs/>
                <w:color w:val="auto"/>
                <w:sz w:val="24"/>
                <w:szCs w:val="24"/>
              </w:rPr>
            </w:pPr>
          </w:p>
          <w:p w14:paraId="4FFC2F44" w14:textId="53883C4F"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Collaborative working was essential because no single professional held a complete understanding of the risks, needs or possible solutions. My direct work with 2 was the foundation. I needed to create opportunities for her to express views about respite, her relationship with 3, her home and her wishes for the future</w:t>
            </w:r>
            <w:r w:rsidR="00812C5B" w:rsidRPr="00E10BF9">
              <w:rPr>
                <w:rFonts w:asciiTheme="minorHAnsi" w:hAnsiTheme="minorHAnsi"/>
                <w:iCs/>
                <w:color w:val="auto"/>
                <w:sz w:val="24"/>
                <w:szCs w:val="24"/>
              </w:rPr>
              <w:t xml:space="preserve"> </w:t>
            </w:r>
            <w:r w:rsidR="00AC7ECE" w:rsidRPr="00E10BF9">
              <w:rPr>
                <w:rFonts w:asciiTheme="minorHAnsi" w:hAnsiTheme="minorHAnsi"/>
                <w:iCs/>
                <w:color w:val="auto"/>
                <w:sz w:val="24"/>
                <w:szCs w:val="24"/>
              </w:rPr>
              <w:t>(Orr et al</w:t>
            </w:r>
            <w:r w:rsidR="00812C5B" w:rsidRPr="00E10BF9">
              <w:rPr>
                <w:rFonts w:asciiTheme="minorHAnsi" w:hAnsiTheme="minorHAnsi"/>
                <w:iCs/>
                <w:color w:val="auto"/>
                <w:sz w:val="24"/>
                <w:szCs w:val="24"/>
              </w:rPr>
              <w:t>.</w:t>
            </w:r>
            <w:r w:rsidR="00AC7ECE" w:rsidRPr="00E10BF9">
              <w:rPr>
                <w:rFonts w:asciiTheme="minorHAnsi" w:hAnsiTheme="minorHAnsi"/>
                <w:iCs/>
                <w:color w:val="auto"/>
                <w:sz w:val="24"/>
                <w:szCs w:val="24"/>
              </w:rPr>
              <w:t xml:space="preserve"> 2026)</w:t>
            </w:r>
            <w:r w:rsidRPr="00E10BF9">
              <w:rPr>
                <w:rFonts w:asciiTheme="minorHAnsi" w:hAnsiTheme="minorHAnsi"/>
                <w:iCs/>
                <w:color w:val="auto"/>
                <w:sz w:val="24"/>
                <w:szCs w:val="24"/>
              </w:rPr>
              <w:t>. This required accessible communication, patience and sensitivity to the possibility that her views might vary with context, anxiety, environment or who was present. I also needed to check understanding and consider whether creative communication approaches could support her participation when her wishes or feelings were difficult to articulate.</w:t>
            </w:r>
          </w:p>
          <w:p w14:paraId="18AE3586" w14:textId="77777777" w:rsidR="00C356B0" w:rsidRDefault="00C356B0" w:rsidP="00C356B0">
            <w:pPr>
              <w:jc w:val="both"/>
              <w:rPr>
                <w:rFonts w:asciiTheme="minorHAnsi" w:hAnsiTheme="minorHAnsi"/>
                <w:iCs/>
                <w:color w:val="auto"/>
                <w:sz w:val="24"/>
                <w:szCs w:val="24"/>
              </w:rPr>
            </w:pPr>
          </w:p>
          <w:p w14:paraId="2F9A1C02" w14:textId="4E764F08" w:rsidR="00867398" w:rsidRPr="00E10BF9" w:rsidRDefault="009F5835" w:rsidP="00C356B0">
            <w:pPr>
              <w:jc w:val="both"/>
              <w:rPr>
                <w:rFonts w:asciiTheme="minorHAnsi" w:hAnsiTheme="minorHAnsi"/>
                <w:iCs/>
                <w:color w:val="auto"/>
                <w:sz w:val="24"/>
                <w:szCs w:val="24"/>
              </w:rPr>
            </w:pPr>
            <w:r>
              <w:rPr>
                <w:rFonts w:asciiTheme="minorHAnsi" w:hAnsiTheme="minorHAnsi"/>
                <w:iCs/>
                <w:color w:val="auto"/>
                <w:sz w:val="24"/>
                <w:szCs w:val="24"/>
              </w:rPr>
              <w:t>T</w:t>
            </w:r>
            <w:r w:rsidR="00867398" w:rsidRPr="00867398">
              <w:rPr>
                <w:rFonts w:asciiTheme="minorHAnsi" w:hAnsiTheme="minorHAnsi"/>
                <w:iCs/>
                <w:color w:val="auto"/>
                <w:sz w:val="24"/>
                <w:szCs w:val="24"/>
              </w:rPr>
              <w:t>he 2025 Thematic Review of Adult Practice Reviews in Wales identified multi-agency engagement and response as key areas of practice. The review emphasises the complexity of adult safeguarding and the need for nuanced, multi-agency approaches rather than relying on the perspective or knowledge of one professional (McManus, Ball and Monaghan, 2025). This was relevant to my assessment because 2’s circumstances involved interconnected issues relating to her care and support needs, her relationship with 3, the home environment</w:t>
            </w:r>
            <w:r>
              <w:rPr>
                <w:rFonts w:asciiTheme="minorHAnsi" w:hAnsiTheme="minorHAnsi"/>
                <w:iCs/>
                <w:color w:val="auto"/>
                <w:sz w:val="24"/>
                <w:szCs w:val="24"/>
              </w:rPr>
              <w:t xml:space="preserve"> and </w:t>
            </w:r>
            <w:r w:rsidR="00867398" w:rsidRPr="00867398">
              <w:rPr>
                <w:rFonts w:asciiTheme="minorHAnsi" w:hAnsiTheme="minorHAnsi"/>
                <w:iCs/>
                <w:color w:val="auto"/>
                <w:sz w:val="24"/>
                <w:szCs w:val="24"/>
              </w:rPr>
              <w:t>potential safeguarding risks. Information from residential staff, health professionals, the care and support assessment and 3’s account could therefore provide different perspectives, but none could replace hearing directly from 2.</w:t>
            </w:r>
          </w:p>
          <w:p w14:paraId="559DA846" w14:textId="4B78E357"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Working with 3 required a balance between partnership and professional curiosity. As 2’s long-term partner and carer, he held important knowledge about her history, routines, communication, preferences and risks</w:t>
            </w:r>
            <w:r w:rsidR="00CF02C0" w:rsidRPr="00E10BF9">
              <w:rPr>
                <w:rFonts w:asciiTheme="minorHAnsi" w:hAnsiTheme="minorHAnsi"/>
                <w:iCs/>
                <w:color w:val="auto"/>
                <w:sz w:val="24"/>
                <w:szCs w:val="24"/>
              </w:rPr>
              <w:t xml:space="preserve"> (Thacker, Anka and Penhale, 2019).</w:t>
            </w:r>
            <w:r w:rsidRPr="00E10BF9">
              <w:rPr>
                <w:rFonts w:asciiTheme="minorHAnsi" w:hAnsiTheme="minorHAnsi"/>
                <w:iCs/>
                <w:color w:val="auto"/>
                <w:sz w:val="24"/>
                <w:szCs w:val="24"/>
              </w:rPr>
              <w:t xml:space="preserve"> His request for respite indicated that he recognised pressure within the caring arrangement. However, collaboration did not mean accepting his account without analysis where his actions might have contributed to safeguarding risk.</w:t>
            </w:r>
            <w:r w:rsidR="00811CD7">
              <w:rPr>
                <w:rFonts w:asciiTheme="minorHAnsi" w:hAnsiTheme="minorHAnsi"/>
                <w:iCs/>
                <w:color w:val="auto"/>
                <w:sz w:val="24"/>
                <w:szCs w:val="24"/>
              </w:rPr>
              <w:t xml:space="preserve">  </w:t>
            </w:r>
            <w:r w:rsidRPr="00E10BF9">
              <w:rPr>
                <w:rFonts w:asciiTheme="minorHAnsi" w:hAnsiTheme="minorHAnsi"/>
                <w:iCs/>
                <w:color w:val="auto"/>
                <w:sz w:val="24"/>
                <w:szCs w:val="24"/>
              </w:rPr>
              <w:t>I needed to listen respectfully while exploring the impact of his actions on 2. This required professional assertiveness because safeguarding practice must remain focused on the adult at risk, even where the carer is distressed, well-intentioned or also needs support</w:t>
            </w:r>
            <w:r w:rsidR="00BF3CC7" w:rsidRPr="00E10BF9">
              <w:rPr>
                <w:rFonts w:asciiTheme="minorHAnsi" w:hAnsiTheme="minorHAnsi"/>
                <w:iCs/>
                <w:color w:val="auto"/>
                <w:sz w:val="24"/>
                <w:szCs w:val="24"/>
              </w:rPr>
              <w:t xml:space="preserve"> (SSWWA, 2014)</w:t>
            </w:r>
            <w:r w:rsidRPr="00E10BF9">
              <w:rPr>
                <w:rFonts w:asciiTheme="minorHAnsi" w:hAnsiTheme="minorHAnsi"/>
                <w:iCs/>
                <w:color w:val="auto"/>
                <w:sz w:val="24"/>
                <w:szCs w:val="24"/>
              </w:rPr>
              <w:t>. In reflection, I could have been more explicit earlier about separating 3’s carer support needs from the assessment of risk to 2, ensuring both were considered.</w:t>
            </w:r>
          </w:p>
          <w:p w14:paraId="1C4D7021" w14:textId="77777777" w:rsidR="00C356B0" w:rsidRPr="00E10BF9" w:rsidRDefault="00C356B0" w:rsidP="00C356B0">
            <w:pPr>
              <w:jc w:val="both"/>
              <w:rPr>
                <w:rFonts w:asciiTheme="minorHAnsi" w:hAnsiTheme="minorHAnsi"/>
                <w:iCs/>
                <w:color w:val="auto"/>
                <w:sz w:val="24"/>
                <w:szCs w:val="24"/>
              </w:rPr>
            </w:pPr>
          </w:p>
          <w:p w14:paraId="61D36EA3" w14:textId="430960F9"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 xml:space="preserve">Residential staff could contribute observations from the placement, while community learning disability nursing, psychiatry and psychology offered relevant specialist perspectives on learning </w:t>
            </w:r>
            <w:r w:rsidRPr="00E10BF9">
              <w:rPr>
                <w:rFonts w:asciiTheme="minorHAnsi" w:hAnsiTheme="minorHAnsi"/>
                <w:iCs/>
                <w:color w:val="auto"/>
                <w:sz w:val="24"/>
                <w:szCs w:val="24"/>
              </w:rPr>
              <w:lastRenderedPageBreak/>
              <w:t xml:space="preserve">disability, mental health, communication, behaviour and emotional well-being. </w:t>
            </w:r>
            <w:r w:rsidR="009F5835">
              <w:rPr>
                <w:rFonts w:asciiTheme="minorHAnsi" w:hAnsiTheme="minorHAnsi"/>
                <w:iCs/>
                <w:color w:val="auto"/>
                <w:sz w:val="24"/>
                <w:szCs w:val="24"/>
              </w:rPr>
              <w:t>R</w:t>
            </w:r>
            <w:r w:rsidRPr="00E10BF9">
              <w:rPr>
                <w:rFonts w:asciiTheme="minorHAnsi" w:hAnsiTheme="minorHAnsi"/>
                <w:iCs/>
                <w:color w:val="auto"/>
                <w:sz w:val="24"/>
                <w:szCs w:val="24"/>
              </w:rPr>
              <w:t>esidential staff provided day-to-day observations; health professionals contributed specialist perspectives within their roles; and I was responsible for integrating this information with 2’s views, 3’s account, social circumstances, legal duties and safeguarding analysis</w:t>
            </w:r>
            <w:r w:rsidR="00DB32A5" w:rsidRPr="00E10BF9">
              <w:rPr>
                <w:rFonts w:asciiTheme="minorHAnsi" w:hAnsiTheme="minorHAnsi"/>
                <w:iCs/>
                <w:sz w:val="24"/>
                <w:szCs w:val="24"/>
              </w:rPr>
              <w:t xml:space="preserve"> (</w:t>
            </w:r>
            <w:r w:rsidR="006522A8">
              <w:rPr>
                <w:rFonts w:asciiTheme="minorHAnsi" w:hAnsiTheme="minorHAnsi"/>
                <w:iCs/>
                <w:color w:val="auto"/>
                <w:sz w:val="24"/>
                <w:szCs w:val="24"/>
              </w:rPr>
              <w:t>WPS</w:t>
            </w:r>
            <w:r w:rsidR="00DB32A5" w:rsidRPr="00E10BF9">
              <w:rPr>
                <w:rFonts w:asciiTheme="minorHAnsi" w:hAnsiTheme="minorHAnsi"/>
                <w:iCs/>
                <w:color w:val="auto"/>
                <w:sz w:val="24"/>
                <w:szCs w:val="24"/>
              </w:rPr>
              <w:t>, 2026)</w:t>
            </w:r>
            <w:r w:rsidRPr="00E10BF9">
              <w:rPr>
                <w:rFonts w:asciiTheme="minorHAnsi" w:hAnsiTheme="minorHAnsi"/>
                <w:iCs/>
                <w:color w:val="auto"/>
                <w:sz w:val="24"/>
                <w:szCs w:val="24"/>
              </w:rPr>
              <w:t>.</w:t>
            </w:r>
          </w:p>
          <w:p w14:paraId="07485C74" w14:textId="77777777" w:rsidR="00C356B0" w:rsidRPr="00E10BF9" w:rsidRDefault="00C356B0" w:rsidP="00C356B0">
            <w:pPr>
              <w:jc w:val="both"/>
              <w:rPr>
                <w:rFonts w:asciiTheme="minorHAnsi" w:hAnsiTheme="minorHAnsi"/>
                <w:iCs/>
                <w:color w:val="auto"/>
                <w:sz w:val="24"/>
                <w:szCs w:val="24"/>
              </w:rPr>
            </w:pPr>
          </w:p>
          <w:p w14:paraId="7E0F7D91" w14:textId="4343AD88"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Professionals hold different priorities. Clear communication was necessary so that differences contributed to a fuller assessment rather than confusion or delay. I want to develop greater confidence in chairing or contributing to multi-agency discussions, summarising competing views and linking recommendations to evidence, legislation and 2’s preferred outcomes.</w:t>
            </w:r>
          </w:p>
          <w:p w14:paraId="3351230E" w14:textId="77777777" w:rsidR="00C356B0" w:rsidRPr="00E10BF9" w:rsidRDefault="00C356B0" w:rsidP="00C356B0">
            <w:pPr>
              <w:jc w:val="both"/>
              <w:rPr>
                <w:rFonts w:asciiTheme="minorHAnsi" w:hAnsiTheme="minorHAnsi"/>
                <w:iCs/>
                <w:color w:val="auto"/>
                <w:sz w:val="24"/>
                <w:szCs w:val="24"/>
              </w:rPr>
            </w:pPr>
          </w:p>
          <w:p w14:paraId="4ABAA1D5" w14:textId="14EA1231"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Information sharing needed to be lawful, relevant</w:t>
            </w:r>
            <w:r w:rsidR="00A83F7D">
              <w:rPr>
                <w:rFonts w:asciiTheme="minorHAnsi" w:hAnsiTheme="minorHAnsi"/>
                <w:iCs/>
                <w:color w:val="auto"/>
                <w:sz w:val="24"/>
                <w:szCs w:val="24"/>
              </w:rPr>
              <w:t xml:space="preserve"> </w:t>
            </w:r>
            <w:r w:rsidRPr="00E10BF9">
              <w:rPr>
                <w:rFonts w:asciiTheme="minorHAnsi" w:hAnsiTheme="minorHAnsi"/>
                <w:iCs/>
                <w:color w:val="auto"/>
                <w:sz w:val="24"/>
                <w:szCs w:val="24"/>
              </w:rPr>
              <w:t>and proportionate</w:t>
            </w:r>
            <w:r w:rsidR="008E5FC9" w:rsidRPr="00E10BF9">
              <w:rPr>
                <w:rFonts w:asciiTheme="minorHAnsi" w:hAnsiTheme="minorHAnsi"/>
                <w:iCs/>
                <w:sz w:val="24"/>
                <w:szCs w:val="24"/>
              </w:rPr>
              <w:t xml:space="preserve"> </w:t>
            </w:r>
            <w:r w:rsidR="008E5FC9" w:rsidRPr="00E10BF9">
              <w:rPr>
                <w:rFonts w:asciiTheme="minorHAnsi" w:hAnsiTheme="minorHAnsi"/>
                <w:iCs/>
                <w:color w:val="auto"/>
                <w:sz w:val="24"/>
                <w:szCs w:val="24"/>
              </w:rPr>
              <w:t>(</w:t>
            </w:r>
            <w:r w:rsidR="006522A8">
              <w:rPr>
                <w:rFonts w:asciiTheme="minorHAnsi" w:hAnsiTheme="minorHAnsi"/>
                <w:iCs/>
                <w:color w:val="auto"/>
                <w:sz w:val="24"/>
                <w:szCs w:val="24"/>
              </w:rPr>
              <w:t>WPS</w:t>
            </w:r>
            <w:r w:rsidR="008E5FC9" w:rsidRPr="00E10BF9">
              <w:rPr>
                <w:rFonts w:asciiTheme="minorHAnsi" w:hAnsiTheme="minorHAnsi"/>
                <w:iCs/>
                <w:color w:val="auto"/>
                <w:sz w:val="24"/>
                <w:szCs w:val="24"/>
              </w:rPr>
              <w:t>, 2026)</w:t>
            </w:r>
            <w:r w:rsidRPr="00E10BF9">
              <w:rPr>
                <w:rFonts w:asciiTheme="minorHAnsi" w:hAnsiTheme="minorHAnsi"/>
                <w:iCs/>
                <w:color w:val="auto"/>
                <w:sz w:val="24"/>
                <w:szCs w:val="24"/>
              </w:rPr>
              <w:t>. I needed to consider what each professional required to know, why it was being shared and how it supported safeguarding or assessment. Professional boundaries were also important: although colleagues contributed valuable information, I remained accountable for my own assessment and recommendations</w:t>
            </w:r>
            <w:r w:rsidR="006A5F89" w:rsidRPr="00E10BF9">
              <w:rPr>
                <w:rFonts w:asciiTheme="minorHAnsi" w:hAnsiTheme="minorHAnsi"/>
                <w:iCs/>
                <w:color w:val="auto"/>
                <w:sz w:val="24"/>
                <w:szCs w:val="24"/>
              </w:rPr>
              <w:t xml:space="preserve"> (Moria</w:t>
            </w:r>
            <w:r w:rsidR="000C5067" w:rsidRPr="00E10BF9">
              <w:rPr>
                <w:rFonts w:asciiTheme="minorHAnsi" w:hAnsiTheme="minorHAnsi"/>
                <w:iCs/>
                <w:color w:val="auto"/>
                <w:sz w:val="24"/>
                <w:szCs w:val="24"/>
              </w:rPr>
              <w:t>rty, 2013)</w:t>
            </w:r>
            <w:r w:rsidRPr="00E10BF9">
              <w:rPr>
                <w:rFonts w:asciiTheme="minorHAnsi" w:hAnsiTheme="minorHAnsi"/>
                <w:iCs/>
                <w:color w:val="auto"/>
                <w:sz w:val="24"/>
                <w:szCs w:val="24"/>
              </w:rPr>
              <w:t>. I needed to distinguish information supplied by others from my observations and analysis, recognis</w:t>
            </w:r>
            <w:r w:rsidR="00EF2535">
              <w:rPr>
                <w:rFonts w:asciiTheme="minorHAnsi" w:hAnsiTheme="minorHAnsi"/>
                <w:iCs/>
                <w:color w:val="auto"/>
                <w:sz w:val="24"/>
                <w:szCs w:val="24"/>
              </w:rPr>
              <w:t>ing</w:t>
            </w:r>
            <w:r w:rsidRPr="00E10BF9">
              <w:rPr>
                <w:rFonts w:asciiTheme="minorHAnsi" w:hAnsiTheme="minorHAnsi"/>
                <w:iCs/>
                <w:color w:val="auto"/>
                <w:sz w:val="24"/>
                <w:szCs w:val="24"/>
              </w:rPr>
              <w:t xml:space="preserve"> the limits of my role and expertise.</w:t>
            </w:r>
          </w:p>
          <w:p w14:paraId="74DF48BC" w14:textId="77777777" w:rsidR="00C356B0" w:rsidRPr="00E10BF9" w:rsidRDefault="00C356B0" w:rsidP="00C356B0">
            <w:pPr>
              <w:jc w:val="both"/>
              <w:rPr>
                <w:rFonts w:asciiTheme="minorHAnsi" w:hAnsiTheme="minorHAnsi"/>
                <w:iCs/>
                <w:color w:val="auto"/>
                <w:sz w:val="24"/>
                <w:szCs w:val="24"/>
              </w:rPr>
            </w:pPr>
          </w:p>
          <w:p w14:paraId="5D5F6834" w14:textId="3E195393"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Supervision and management oversight supported my work as a newly qualified social worker. Supervision helped me test my analysis, consider safeguarding thresholds, identify further information needs and reflect on balancing risk and rights</w:t>
            </w:r>
            <w:r w:rsidR="00294ED9" w:rsidRPr="00E10BF9">
              <w:rPr>
                <w:rFonts w:asciiTheme="minorHAnsi" w:hAnsiTheme="minorHAnsi"/>
                <w:iCs/>
                <w:sz w:val="24"/>
                <w:szCs w:val="24"/>
              </w:rPr>
              <w:t xml:space="preserve"> (</w:t>
            </w:r>
            <w:r w:rsidR="00294ED9" w:rsidRPr="00E10BF9">
              <w:rPr>
                <w:rFonts w:asciiTheme="minorHAnsi" w:hAnsiTheme="minorHAnsi"/>
                <w:iCs/>
                <w:color w:val="auto"/>
                <w:sz w:val="24"/>
                <w:szCs w:val="24"/>
              </w:rPr>
              <w:t>Leonard and Evans</w:t>
            </w:r>
            <w:r w:rsidR="00811CD7">
              <w:rPr>
                <w:rFonts w:asciiTheme="minorHAnsi" w:hAnsiTheme="minorHAnsi"/>
                <w:iCs/>
                <w:color w:val="auto"/>
                <w:sz w:val="24"/>
                <w:szCs w:val="24"/>
              </w:rPr>
              <w:t>,</w:t>
            </w:r>
            <w:r w:rsidR="00294ED9" w:rsidRPr="00E10BF9">
              <w:rPr>
                <w:rFonts w:asciiTheme="minorHAnsi" w:hAnsiTheme="minorHAnsi"/>
                <w:iCs/>
                <w:color w:val="auto"/>
                <w:sz w:val="24"/>
                <w:szCs w:val="24"/>
              </w:rPr>
              <w:t xml:space="preserve"> 2026)</w:t>
            </w:r>
            <w:r w:rsidRPr="00E10BF9">
              <w:rPr>
                <w:rFonts w:asciiTheme="minorHAnsi" w:hAnsiTheme="minorHAnsi"/>
                <w:iCs/>
                <w:color w:val="auto"/>
                <w:sz w:val="24"/>
                <w:szCs w:val="24"/>
              </w:rPr>
              <w:t xml:space="preserve">. It also provided space to consider the emotional impact of decisions affecting liberty, relationships and accommodation. </w:t>
            </w:r>
          </w:p>
          <w:p w14:paraId="5D342485" w14:textId="77777777" w:rsidR="00C356B0" w:rsidRPr="00E10BF9" w:rsidRDefault="00C356B0" w:rsidP="00C356B0">
            <w:pPr>
              <w:jc w:val="both"/>
              <w:rPr>
                <w:rFonts w:asciiTheme="minorHAnsi" w:hAnsiTheme="minorHAnsi"/>
                <w:iCs/>
                <w:color w:val="auto"/>
                <w:sz w:val="24"/>
                <w:szCs w:val="24"/>
              </w:rPr>
            </w:pPr>
          </w:p>
          <w:p w14:paraId="3469EB38" w14:textId="49AA97B2" w:rsidR="00C356B0" w:rsidRPr="00E10BF9" w:rsidRDefault="00EF2535" w:rsidP="00C356B0">
            <w:pPr>
              <w:jc w:val="both"/>
              <w:rPr>
                <w:rFonts w:asciiTheme="minorHAnsi" w:hAnsiTheme="minorHAnsi"/>
                <w:iCs/>
                <w:color w:val="auto"/>
                <w:sz w:val="24"/>
                <w:szCs w:val="24"/>
              </w:rPr>
            </w:pPr>
            <w:r>
              <w:rPr>
                <w:rFonts w:asciiTheme="minorHAnsi" w:hAnsiTheme="minorHAnsi"/>
                <w:iCs/>
                <w:color w:val="auto"/>
                <w:sz w:val="24"/>
                <w:szCs w:val="24"/>
              </w:rPr>
              <w:t>Accurate recording and r</w:t>
            </w:r>
            <w:r w:rsidR="00C356B0" w:rsidRPr="00E10BF9">
              <w:rPr>
                <w:rFonts w:asciiTheme="minorHAnsi" w:hAnsiTheme="minorHAnsi"/>
                <w:iCs/>
                <w:color w:val="auto"/>
                <w:sz w:val="24"/>
                <w:szCs w:val="24"/>
              </w:rPr>
              <w:t>ecords</w:t>
            </w:r>
            <w:r>
              <w:rPr>
                <w:rFonts w:asciiTheme="minorHAnsi" w:hAnsiTheme="minorHAnsi"/>
                <w:iCs/>
                <w:color w:val="auto"/>
                <w:sz w:val="24"/>
                <w:szCs w:val="24"/>
              </w:rPr>
              <w:t xml:space="preserve"> were essential to assessment and decision making, to</w:t>
            </w:r>
            <w:r w:rsidR="00C356B0" w:rsidRPr="00E10BF9">
              <w:rPr>
                <w:rFonts w:asciiTheme="minorHAnsi" w:hAnsiTheme="minorHAnsi"/>
                <w:iCs/>
                <w:color w:val="auto"/>
                <w:sz w:val="24"/>
                <w:szCs w:val="24"/>
              </w:rPr>
              <w:t xml:space="preserve"> support professional judgement by enabling practitioners and managers to review evidence, identify patterns, consider changes in risk and understand the rationale for intervention</w:t>
            </w:r>
            <w:r w:rsidR="00E42666" w:rsidRPr="00E10BF9">
              <w:rPr>
                <w:rFonts w:asciiTheme="minorHAnsi" w:hAnsiTheme="minorHAnsi"/>
                <w:iCs/>
                <w:sz w:val="24"/>
                <w:szCs w:val="24"/>
              </w:rPr>
              <w:t xml:space="preserve"> (</w:t>
            </w:r>
            <w:r w:rsidR="00E42666" w:rsidRPr="00E10BF9">
              <w:rPr>
                <w:rFonts w:asciiTheme="minorHAnsi" w:hAnsiTheme="minorHAnsi"/>
                <w:iCs/>
                <w:color w:val="auto"/>
                <w:sz w:val="24"/>
                <w:szCs w:val="24"/>
              </w:rPr>
              <w:t>Lillis et al. 2019)</w:t>
            </w:r>
            <w:r w:rsidR="00C356B0" w:rsidRPr="00E10BF9">
              <w:rPr>
                <w:rFonts w:asciiTheme="minorHAnsi" w:hAnsiTheme="minorHAnsi"/>
                <w:iCs/>
                <w:color w:val="auto"/>
                <w:sz w:val="24"/>
                <w:szCs w:val="24"/>
              </w:rPr>
              <w:t xml:space="preserve">. They also support continuity across agencies. In this case, accurate recording was particularly important because the assessment involved different perspectives, a temporary placement, </w:t>
            </w:r>
            <w:r w:rsidR="00F25913">
              <w:rPr>
                <w:rFonts w:asciiTheme="minorHAnsi" w:hAnsiTheme="minorHAnsi"/>
                <w:iCs/>
                <w:color w:val="auto"/>
                <w:sz w:val="24"/>
                <w:szCs w:val="24"/>
              </w:rPr>
              <w:t xml:space="preserve">query of </w:t>
            </w:r>
            <w:r w:rsidR="00C356B0" w:rsidRPr="00E10BF9">
              <w:rPr>
                <w:rFonts w:asciiTheme="minorHAnsi" w:hAnsiTheme="minorHAnsi"/>
                <w:iCs/>
                <w:color w:val="auto"/>
                <w:sz w:val="24"/>
                <w:szCs w:val="24"/>
              </w:rPr>
              <w:t>capacity and uncertainty about future support</w:t>
            </w:r>
            <w:r w:rsidR="00F25913">
              <w:rPr>
                <w:rFonts w:asciiTheme="minorHAnsi" w:hAnsiTheme="minorHAnsi"/>
                <w:iCs/>
                <w:color w:val="auto"/>
                <w:sz w:val="24"/>
                <w:szCs w:val="24"/>
              </w:rPr>
              <w:t xml:space="preserve"> and accommodation</w:t>
            </w:r>
            <w:r w:rsidR="00C356B0" w:rsidRPr="00E10BF9">
              <w:rPr>
                <w:rFonts w:asciiTheme="minorHAnsi" w:hAnsiTheme="minorHAnsi"/>
                <w:iCs/>
                <w:color w:val="auto"/>
                <w:sz w:val="24"/>
                <w:szCs w:val="24"/>
              </w:rPr>
              <w:t>.</w:t>
            </w:r>
          </w:p>
          <w:p w14:paraId="5E718235" w14:textId="77777777" w:rsidR="00C356B0" w:rsidRPr="00E10BF9" w:rsidRDefault="00C356B0" w:rsidP="00C356B0">
            <w:pPr>
              <w:jc w:val="both"/>
              <w:rPr>
                <w:rFonts w:asciiTheme="minorHAnsi" w:hAnsiTheme="minorHAnsi"/>
                <w:iCs/>
                <w:color w:val="auto"/>
                <w:sz w:val="24"/>
                <w:szCs w:val="24"/>
              </w:rPr>
            </w:pPr>
          </w:p>
          <w:p w14:paraId="439D144E" w14:textId="0C04F186"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Records needed to comply with legisl</w:t>
            </w:r>
            <w:r w:rsidR="001561BD" w:rsidRPr="00E10BF9">
              <w:rPr>
                <w:rFonts w:asciiTheme="minorHAnsi" w:hAnsiTheme="minorHAnsi"/>
                <w:iCs/>
                <w:color w:val="auto"/>
                <w:sz w:val="24"/>
                <w:szCs w:val="24"/>
              </w:rPr>
              <w:t>a</w:t>
            </w:r>
            <w:r w:rsidRPr="00E10BF9">
              <w:rPr>
                <w:rFonts w:asciiTheme="minorHAnsi" w:hAnsiTheme="minorHAnsi"/>
                <w:iCs/>
                <w:color w:val="auto"/>
                <w:sz w:val="24"/>
                <w:szCs w:val="24"/>
              </w:rPr>
              <w:t>tion, organisational policies and professional standards, including confidentiality and data protection requirements</w:t>
            </w:r>
            <w:r w:rsidR="00251DB3" w:rsidRPr="00E10BF9">
              <w:rPr>
                <w:rFonts w:asciiTheme="minorHAnsi" w:hAnsiTheme="minorHAnsi"/>
                <w:iCs/>
                <w:sz w:val="24"/>
                <w:szCs w:val="24"/>
              </w:rPr>
              <w:t xml:space="preserve"> </w:t>
            </w:r>
            <w:r w:rsidR="00251DB3" w:rsidRPr="00E10BF9">
              <w:rPr>
                <w:rFonts w:asciiTheme="minorHAnsi" w:hAnsiTheme="minorHAnsi"/>
                <w:iCs/>
                <w:color w:val="auto"/>
                <w:sz w:val="24"/>
                <w:szCs w:val="24"/>
              </w:rPr>
              <w:t>(</w:t>
            </w:r>
            <w:r w:rsidR="006522A8">
              <w:rPr>
                <w:rFonts w:asciiTheme="minorHAnsi" w:hAnsiTheme="minorHAnsi"/>
                <w:iCs/>
                <w:color w:val="auto"/>
                <w:sz w:val="24"/>
                <w:szCs w:val="24"/>
              </w:rPr>
              <w:t>SCW</w:t>
            </w:r>
            <w:r w:rsidR="00251DB3" w:rsidRPr="00E10BF9">
              <w:rPr>
                <w:rFonts w:asciiTheme="minorHAnsi" w:hAnsiTheme="minorHAnsi"/>
                <w:iCs/>
                <w:color w:val="auto"/>
                <w:sz w:val="24"/>
                <w:szCs w:val="24"/>
              </w:rPr>
              <w:t>, 2026; Skills for Care and Development, 2026)</w:t>
            </w:r>
            <w:r w:rsidRPr="00E10BF9">
              <w:rPr>
                <w:rFonts w:asciiTheme="minorHAnsi" w:hAnsiTheme="minorHAnsi"/>
                <w:iCs/>
                <w:color w:val="auto"/>
                <w:sz w:val="24"/>
                <w:szCs w:val="24"/>
              </w:rPr>
              <w:t>.</w:t>
            </w:r>
            <w:r w:rsidR="00A83F7D">
              <w:rPr>
                <w:rFonts w:asciiTheme="minorHAnsi" w:hAnsiTheme="minorHAnsi"/>
                <w:iCs/>
                <w:color w:val="auto"/>
                <w:sz w:val="24"/>
                <w:szCs w:val="24"/>
              </w:rPr>
              <w:t xml:space="preserve"> </w:t>
            </w:r>
            <w:r w:rsidRPr="00E10BF9">
              <w:rPr>
                <w:rFonts w:asciiTheme="minorHAnsi" w:hAnsiTheme="minorHAnsi"/>
                <w:iCs/>
                <w:color w:val="auto"/>
                <w:sz w:val="24"/>
                <w:szCs w:val="24"/>
              </w:rPr>
              <w:t>Where information was shared, the record should explain what was shared, with whom, why it was necessary and how it related to safeguarding or assessment.</w:t>
            </w:r>
            <w:r w:rsidR="00F25913">
              <w:rPr>
                <w:rFonts w:asciiTheme="minorHAnsi" w:hAnsiTheme="minorHAnsi"/>
                <w:iCs/>
                <w:color w:val="auto"/>
                <w:sz w:val="24"/>
                <w:szCs w:val="24"/>
              </w:rPr>
              <w:t xml:space="preserve"> Linking to 2, her assessments were shared between social care, health and the placement due to the concerns and the need for collaborative working. </w:t>
            </w:r>
          </w:p>
          <w:p w14:paraId="7C20C122" w14:textId="77777777" w:rsidR="00C356B0" w:rsidRPr="00E10BF9" w:rsidRDefault="00C356B0" w:rsidP="00C356B0">
            <w:pPr>
              <w:jc w:val="both"/>
              <w:rPr>
                <w:rFonts w:asciiTheme="minorHAnsi" w:hAnsiTheme="minorHAnsi"/>
                <w:iCs/>
                <w:color w:val="auto"/>
                <w:sz w:val="24"/>
                <w:szCs w:val="24"/>
              </w:rPr>
            </w:pPr>
          </w:p>
          <w:p w14:paraId="393866F2" w14:textId="4D8886C9"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Poor recording could result in an unverified account being treated as established evidence, repeated assessments, delays or decisions based on incomplete information</w:t>
            </w:r>
            <w:r w:rsidR="00A5732D" w:rsidRPr="00E10BF9">
              <w:rPr>
                <w:rFonts w:asciiTheme="minorHAnsi" w:hAnsiTheme="minorHAnsi"/>
                <w:iCs/>
                <w:color w:val="auto"/>
                <w:sz w:val="24"/>
                <w:szCs w:val="24"/>
              </w:rPr>
              <w:t xml:space="preserve"> (</w:t>
            </w:r>
            <w:r w:rsidR="006522A8">
              <w:rPr>
                <w:rFonts w:asciiTheme="minorHAnsi" w:hAnsiTheme="minorHAnsi"/>
                <w:iCs/>
                <w:color w:val="auto"/>
                <w:sz w:val="24"/>
                <w:szCs w:val="24"/>
              </w:rPr>
              <w:t>WPS</w:t>
            </w:r>
            <w:r w:rsidR="00A5732D" w:rsidRPr="00E10BF9">
              <w:rPr>
                <w:rFonts w:asciiTheme="minorHAnsi" w:hAnsiTheme="minorHAnsi"/>
                <w:iCs/>
                <w:color w:val="auto"/>
                <w:sz w:val="24"/>
                <w:szCs w:val="24"/>
              </w:rPr>
              <w:t>, 2026)</w:t>
            </w:r>
            <w:r w:rsidRPr="00E10BF9">
              <w:rPr>
                <w:rFonts w:asciiTheme="minorHAnsi" w:hAnsiTheme="minorHAnsi"/>
                <w:iCs/>
                <w:color w:val="auto"/>
                <w:sz w:val="24"/>
                <w:szCs w:val="24"/>
              </w:rPr>
              <w:t>. Failure to record 2’s views could allow professional priorities to overshadow her wishes, while inadequate recording of risk analysis or decision rationale could make interventions difficult to understand, review or challenge.</w:t>
            </w:r>
            <w:r w:rsidR="00B11A9E" w:rsidRPr="00E10BF9">
              <w:rPr>
                <w:rFonts w:asciiTheme="minorHAnsi" w:hAnsiTheme="minorHAnsi"/>
                <w:iCs/>
                <w:color w:val="auto"/>
                <w:sz w:val="24"/>
                <w:szCs w:val="24"/>
              </w:rPr>
              <w:t xml:space="preserve"> </w:t>
            </w:r>
            <w:r w:rsidRPr="00E10BF9">
              <w:rPr>
                <w:rFonts w:asciiTheme="minorHAnsi" w:hAnsiTheme="minorHAnsi"/>
                <w:iCs/>
                <w:color w:val="auto"/>
                <w:sz w:val="24"/>
                <w:szCs w:val="24"/>
              </w:rPr>
              <w:t xml:space="preserve">I therefore recognise that recording is part of professional judgement and accountability, not simply an administrative task. I will continue to strengthen </w:t>
            </w:r>
            <w:r w:rsidRPr="00E10BF9">
              <w:rPr>
                <w:rFonts w:asciiTheme="minorHAnsi" w:hAnsiTheme="minorHAnsi"/>
                <w:iCs/>
                <w:color w:val="auto"/>
                <w:sz w:val="24"/>
                <w:szCs w:val="24"/>
              </w:rPr>
              <w:lastRenderedPageBreak/>
              <w:t>the clarity, chronology and analytical quality of my records, showing not only what happened but why it mattered and how it informed assessment.</w:t>
            </w:r>
          </w:p>
          <w:p w14:paraId="43D21FC4" w14:textId="77777777" w:rsidR="00C356B0" w:rsidRPr="00E10BF9" w:rsidRDefault="00C356B0" w:rsidP="00C356B0">
            <w:pPr>
              <w:jc w:val="both"/>
              <w:rPr>
                <w:rFonts w:asciiTheme="minorHAnsi" w:hAnsiTheme="minorHAnsi"/>
                <w:iCs/>
                <w:color w:val="auto"/>
                <w:sz w:val="24"/>
                <w:szCs w:val="24"/>
              </w:rPr>
            </w:pPr>
          </w:p>
          <w:p w14:paraId="6F19717A" w14:textId="020EFCB3"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Professional judgement was central because there was no single clear or risk-free option</w:t>
            </w:r>
            <w:r w:rsidR="007A03AE" w:rsidRPr="00E10BF9">
              <w:rPr>
                <w:rFonts w:asciiTheme="minorHAnsi" w:hAnsiTheme="minorHAnsi"/>
                <w:iCs/>
                <w:sz w:val="24"/>
                <w:szCs w:val="24"/>
              </w:rPr>
              <w:t xml:space="preserve"> </w:t>
            </w:r>
            <w:r w:rsidR="007A03AE" w:rsidRPr="00E10BF9">
              <w:rPr>
                <w:rFonts w:asciiTheme="minorHAnsi" w:hAnsiTheme="minorHAnsi"/>
                <w:iCs/>
                <w:color w:val="auto"/>
                <w:sz w:val="24"/>
                <w:szCs w:val="24"/>
              </w:rPr>
              <w:t>(</w:t>
            </w:r>
            <w:r w:rsidR="006522A8">
              <w:rPr>
                <w:rFonts w:asciiTheme="minorHAnsi" w:hAnsiTheme="minorHAnsi"/>
                <w:iCs/>
                <w:color w:val="auto"/>
                <w:sz w:val="24"/>
                <w:szCs w:val="24"/>
              </w:rPr>
              <w:t>WPS</w:t>
            </w:r>
            <w:r w:rsidR="007A03AE" w:rsidRPr="00E10BF9">
              <w:rPr>
                <w:rFonts w:asciiTheme="minorHAnsi" w:hAnsiTheme="minorHAnsi"/>
                <w:iCs/>
                <w:color w:val="auto"/>
                <w:sz w:val="24"/>
                <w:szCs w:val="24"/>
              </w:rPr>
              <w:t>, 2026)</w:t>
            </w:r>
            <w:r w:rsidRPr="00E10BF9">
              <w:rPr>
                <w:rFonts w:asciiTheme="minorHAnsi" w:hAnsiTheme="minorHAnsi"/>
                <w:iCs/>
                <w:color w:val="auto"/>
                <w:sz w:val="24"/>
                <w:szCs w:val="24"/>
              </w:rPr>
              <w:t>. I needed to make sense of incomplete and sometimes competing information while balancing 2’s autonomy and family life with the local authority’s duty to consider whether she was an adult at risk. Complexity arose from the interaction between learning disability, mental health, rurality, accommodation, carer stress, environmental hazards, restriction and uncertainty about future support.</w:t>
            </w:r>
          </w:p>
          <w:p w14:paraId="3E2335E7" w14:textId="77777777" w:rsidR="00C356B0" w:rsidRPr="00E10BF9" w:rsidRDefault="00C356B0" w:rsidP="00C356B0">
            <w:pPr>
              <w:jc w:val="both"/>
              <w:rPr>
                <w:rFonts w:asciiTheme="minorHAnsi" w:hAnsiTheme="minorHAnsi"/>
                <w:iCs/>
                <w:color w:val="auto"/>
                <w:sz w:val="24"/>
                <w:szCs w:val="24"/>
              </w:rPr>
            </w:pPr>
          </w:p>
          <w:p w14:paraId="67D7BE00" w14:textId="77777777"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incident raised concerns about restriction, possible neglect and unsafe arrangements. However, 2 also had a long-standing relationship with 3 and a connection to her home and community. Removing all risk could mean removing aspects of her identity, relationships and choice. I needed to consider whether risks could be reduced through support, planning and monitoring, or whether returning to the same arrangement would be unsafe.</w:t>
            </w:r>
          </w:p>
          <w:p w14:paraId="5AA0F318" w14:textId="77777777" w:rsidR="00C356B0" w:rsidRPr="00E10BF9" w:rsidRDefault="00C356B0" w:rsidP="00C356B0">
            <w:pPr>
              <w:jc w:val="both"/>
              <w:rPr>
                <w:rFonts w:asciiTheme="minorHAnsi" w:hAnsiTheme="minorHAnsi"/>
                <w:iCs/>
                <w:color w:val="auto"/>
                <w:sz w:val="24"/>
                <w:szCs w:val="24"/>
              </w:rPr>
            </w:pPr>
          </w:p>
          <w:p w14:paraId="6B9ACB8A" w14:textId="11F41744"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In considering safeguarding thresholds, I analysed potential indicators of harm, abuse or neglect alongside the statutory definition of an adult at risk</w:t>
            </w:r>
            <w:r w:rsidR="00047075" w:rsidRPr="00E10BF9">
              <w:rPr>
                <w:rFonts w:asciiTheme="minorHAnsi" w:hAnsiTheme="minorHAnsi"/>
                <w:iCs/>
                <w:color w:val="auto"/>
                <w:sz w:val="24"/>
                <w:szCs w:val="24"/>
              </w:rPr>
              <w:t xml:space="preserve"> (SSWWA, 2014)</w:t>
            </w:r>
            <w:r w:rsidRPr="00E10BF9">
              <w:rPr>
                <w:rFonts w:asciiTheme="minorHAnsi" w:hAnsiTheme="minorHAnsi"/>
                <w:iCs/>
                <w:color w:val="auto"/>
                <w:sz w:val="24"/>
                <w:szCs w:val="24"/>
              </w:rPr>
              <w:t>. 2 had care and support needs, and there were concerns that she might be unable to protect herself from risk without support.</w:t>
            </w:r>
            <w:r w:rsidR="00A83F7D">
              <w:rPr>
                <w:rFonts w:asciiTheme="minorHAnsi" w:hAnsiTheme="minorHAnsi"/>
                <w:iCs/>
                <w:color w:val="auto"/>
                <w:sz w:val="24"/>
                <w:szCs w:val="24"/>
              </w:rPr>
              <w:t xml:space="preserve"> </w:t>
            </w:r>
            <w:r w:rsidRPr="00E10BF9">
              <w:rPr>
                <w:rFonts w:asciiTheme="minorHAnsi" w:hAnsiTheme="minorHAnsi"/>
                <w:iCs/>
                <w:color w:val="auto"/>
                <w:sz w:val="24"/>
                <w:szCs w:val="24"/>
              </w:rPr>
              <w:t xml:space="preserve"> My judgement was that safeguarding consideration was required because the concerns involved potential harm and restriction, rather than only practical support needs.</w:t>
            </w:r>
          </w:p>
          <w:p w14:paraId="2C7F5596" w14:textId="77777777" w:rsidR="00C356B0" w:rsidRPr="00E10BF9" w:rsidRDefault="00C356B0" w:rsidP="00C356B0">
            <w:pPr>
              <w:jc w:val="both"/>
              <w:rPr>
                <w:rFonts w:asciiTheme="minorHAnsi" w:hAnsiTheme="minorHAnsi"/>
                <w:iCs/>
                <w:color w:val="auto"/>
                <w:sz w:val="24"/>
                <w:szCs w:val="24"/>
              </w:rPr>
            </w:pPr>
          </w:p>
          <w:p w14:paraId="2C031710" w14:textId="06248814"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Capacity required separate judgement for each relevant decision. I needed to avoid assumptions based on diagnosis, presentation or perceived vulnerability</w:t>
            </w:r>
            <w:r w:rsidR="00EC0986" w:rsidRPr="00E10BF9">
              <w:rPr>
                <w:rFonts w:asciiTheme="minorHAnsi" w:hAnsiTheme="minorHAnsi"/>
                <w:iCs/>
                <w:color w:val="auto"/>
                <w:sz w:val="24"/>
                <w:szCs w:val="24"/>
              </w:rPr>
              <w:t xml:space="preserve"> (MCA, 2005)</w:t>
            </w:r>
            <w:r w:rsidRPr="00E10BF9">
              <w:rPr>
                <w:rFonts w:asciiTheme="minorHAnsi" w:hAnsiTheme="minorHAnsi"/>
                <w:iCs/>
                <w:color w:val="auto"/>
                <w:sz w:val="24"/>
                <w:szCs w:val="24"/>
              </w:rPr>
              <w:t xml:space="preserve">. If 2 had capacity, my role was to support her to understand risks and options, even if her choice involved some risk. If she lacked capacity, intervention would need to be in her best interests and least restrictive. </w:t>
            </w:r>
            <w:r w:rsidR="004D5AF6" w:rsidRPr="00E10BF9">
              <w:rPr>
                <w:rFonts w:asciiTheme="minorHAnsi" w:hAnsiTheme="minorHAnsi"/>
                <w:iCs/>
                <w:color w:val="auto"/>
                <w:sz w:val="24"/>
                <w:szCs w:val="24"/>
              </w:rPr>
              <w:t>Safeguarding must not become a reason to remove choice unnecessarily; however, respect for autonomy must be balanced with the responsibility to take protective action where the evidence, level of risk and legal framework indicate that intervention is required (</w:t>
            </w:r>
            <w:r w:rsidR="006522A8">
              <w:rPr>
                <w:rFonts w:asciiTheme="minorHAnsi" w:hAnsiTheme="minorHAnsi"/>
                <w:iCs/>
                <w:color w:val="auto"/>
                <w:sz w:val="24"/>
                <w:szCs w:val="24"/>
              </w:rPr>
              <w:t>WPS</w:t>
            </w:r>
            <w:r w:rsidR="004D5AF6" w:rsidRPr="00E10BF9">
              <w:rPr>
                <w:rFonts w:asciiTheme="minorHAnsi" w:hAnsiTheme="minorHAnsi"/>
                <w:iCs/>
                <w:color w:val="auto"/>
                <w:sz w:val="24"/>
                <w:szCs w:val="24"/>
              </w:rPr>
              <w:t>, 2026; S</w:t>
            </w:r>
            <w:r w:rsidR="00A12B6B">
              <w:rPr>
                <w:rFonts w:asciiTheme="minorHAnsi" w:hAnsiTheme="minorHAnsi"/>
                <w:iCs/>
                <w:color w:val="auto"/>
                <w:sz w:val="24"/>
                <w:szCs w:val="24"/>
              </w:rPr>
              <w:t>CW</w:t>
            </w:r>
            <w:r w:rsidR="004D5AF6" w:rsidRPr="00E10BF9">
              <w:rPr>
                <w:rFonts w:asciiTheme="minorHAnsi" w:hAnsiTheme="minorHAnsi"/>
                <w:iCs/>
                <w:color w:val="auto"/>
                <w:sz w:val="24"/>
                <w:szCs w:val="24"/>
              </w:rPr>
              <w:t>, 2026).</w:t>
            </w:r>
          </w:p>
          <w:p w14:paraId="0D9883CD" w14:textId="77777777" w:rsidR="00C356B0" w:rsidRPr="00E10BF9" w:rsidRDefault="00C356B0" w:rsidP="00C356B0">
            <w:pPr>
              <w:jc w:val="both"/>
              <w:rPr>
                <w:rFonts w:asciiTheme="minorHAnsi" w:hAnsiTheme="minorHAnsi"/>
                <w:iCs/>
                <w:color w:val="auto"/>
                <w:sz w:val="24"/>
                <w:szCs w:val="24"/>
              </w:rPr>
            </w:pPr>
          </w:p>
          <w:p w14:paraId="2F0511C9" w14:textId="082BD384"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Ethically, I needed to respect 2’s dignity, autonomy, relationships and participation while taking seriously the duty to protect her from harm</w:t>
            </w:r>
            <w:r w:rsidR="00907170" w:rsidRPr="00E10BF9">
              <w:rPr>
                <w:rFonts w:asciiTheme="minorHAnsi" w:hAnsiTheme="minorHAnsi"/>
                <w:iCs/>
                <w:sz w:val="24"/>
                <w:szCs w:val="24"/>
              </w:rPr>
              <w:t xml:space="preserve"> </w:t>
            </w:r>
            <w:r w:rsidR="00132D33" w:rsidRPr="00E10BF9">
              <w:rPr>
                <w:rFonts w:asciiTheme="minorHAnsi" w:hAnsiTheme="minorHAnsi"/>
                <w:iCs/>
                <w:sz w:val="24"/>
                <w:szCs w:val="24"/>
              </w:rPr>
              <w:t>(</w:t>
            </w:r>
            <w:r w:rsidR="006522A8">
              <w:rPr>
                <w:rFonts w:asciiTheme="minorHAnsi" w:hAnsiTheme="minorHAnsi"/>
                <w:iCs/>
                <w:color w:val="auto"/>
                <w:sz w:val="24"/>
                <w:szCs w:val="24"/>
              </w:rPr>
              <w:t>WPS</w:t>
            </w:r>
            <w:r w:rsidR="00132D33" w:rsidRPr="00E10BF9">
              <w:rPr>
                <w:rFonts w:asciiTheme="minorHAnsi" w:hAnsiTheme="minorHAnsi"/>
                <w:iCs/>
                <w:color w:val="auto"/>
                <w:sz w:val="24"/>
                <w:szCs w:val="24"/>
              </w:rPr>
              <w:t xml:space="preserve">, </w:t>
            </w:r>
            <w:r w:rsidR="00907170" w:rsidRPr="00E10BF9">
              <w:rPr>
                <w:rFonts w:asciiTheme="minorHAnsi" w:hAnsiTheme="minorHAnsi"/>
                <w:iCs/>
                <w:color w:val="auto"/>
                <w:sz w:val="24"/>
                <w:szCs w:val="24"/>
              </w:rPr>
              <w:t>2026)</w:t>
            </w:r>
            <w:r w:rsidRPr="00E10BF9">
              <w:rPr>
                <w:rFonts w:asciiTheme="minorHAnsi" w:hAnsiTheme="minorHAnsi"/>
                <w:iCs/>
                <w:color w:val="auto"/>
                <w:sz w:val="24"/>
                <w:szCs w:val="24"/>
              </w:rPr>
              <w:t>. I also needed to treat 3 respectfully and consider his caring needs without allowing sympathy to minimise the impact of his actions on 2. I remained alert to professional power and the possibility that concern could unintentionally override her preferences</w:t>
            </w:r>
            <w:r w:rsidR="00F95F34" w:rsidRPr="00E10BF9">
              <w:rPr>
                <w:rFonts w:asciiTheme="minorHAnsi" w:hAnsiTheme="minorHAnsi"/>
                <w:iCs/>
                <w:color w:val="auto"/>
                <w:sz w:val="24"/>
                <w:szCs w:val="24"/>
              </w:rPr>
              <w:t xml:space="preserve"> (Stevens et al. 2017)</w:t>
            </w:r>
            <w:r w:rsidRPr="00E10BF9">
              <w:rPr>
                <w:rFonts w:asciiTheme="minorHAnsi" w:hAnsiTheme="minorHAnsi"/>
                <w:iCs/>
                <w:color w:val="auto"/>
                <w:sz w:val="24"/>
                <w:szCs w:val="24"/>
              </w:rPr>
              <w:t>.</w:t>
            </w:r>
          </w:p>
          <w:p w14:paraId="70881C57" w14:textId="77777777" w:rsidR="00C356B0" w:rsidRPr="00E10BF9" w:rsidRDefault="00C356B0" w:rsidP="00C356B0">
            <w:pPr>
              <w:jc w:val="both"/>
              <w:rPr>
                <w:rFonts w:asciiTheme="minorHAnsi" w:hAnsiTheme="minorHAnsi"/>
                <w:iCs/>
                <w:color w:val="auto"/>
                <w:sz w:val="24"/>
                <w:szCs w:val="24"/>
              </w:rPr>
            </w:pPr>
          </w:p>
          <w:p w14:paraId="30B42B05" w14:textId="2608CDF3"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Professional assertiveness was necessary where people held different views</w:t>
            </w:r>
            <w:r w:rsidR="001E7242" w:rsidRPr="00E10BF9">
              <w:rPr>
                <w:rFonts w:asciiTheme="minorHAnsi" w:hAnsiTheme="minorHAnsi"/>
                <w:iCs/>
                <w:sz w:val="24"/>
                <w:szCs w:val="24"/>
              </w:rPr>
              <w:t xml:space="preserve"> </w:t>
            </w:r>
            <w:r w:rsidR="001E7242" w:rsidRPr="00E10BF9">
              <w:rPr>
                <w:rFonts w:asciiTheme="minorHAnsi" w:hAnsiTheme="minorHAnsi"/>
                <w:iCs/>
                <w:color w:val="auto"/>
                <w:sz w:val="24"/>
                <w:szCs w:val="24"/>
              </w:rPr>
              <w:t>(Local Government Association, 2024)</w:t>
            </w:r>
            <w:r w:rsidRPr="00E10BF9">
              <w:rPr>
                <w:rFonts w:asciiTheme="minorHAnsi" w:hAnsiTheme="minorHAnsi"/>
                <w:iCs/>
                <w:color w:val="auto"/>
                <w:sz w:val="24"/>
                <w:szCs w:val="24"/>
              </w:rPr>
              <w:t>. 3’s account needed to be heard but considered alongside its impact on 2. Residential and health professionals’ views needed to be integrated with social work analysis of rights, relationships, home circumstances and legal duties. Supervision helped me test my thinking and consider proportionality, while I remained responsible for explaining the reasoning behind my recommendations.</w:t>
            </w:r>
          </w:p>
          <w:p w14:paraId="0AE32A93" w14:textId="77777777" w:rsidR="00C356B0" w:rsidRPr="00E10BF9" w:rsidRDefault="00C356B0" w:rsidP="00C356B0">
            <w:pPr>
              <w:jc w:val="both"/>
              <w:rPr>
                <w:rFonts w:asciiTheme="minorHAnsi" w:hAnsiTheme="minorHAnsi"/>
                <w:iCs/>
                <w:color w:val="auto"/>
                <w:sz w:val="24"/>
                <w:szCs w:val="24"/>
              </w:rPr>
            </w:pPr>
          </w:p>
          <w:p w14:paraId="47E4EF04" w14:textId="7C6F6FB4"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lastRenderedPageBreak/>
              <w:t>My judgement also needed to remain open to new evidence. Information from the respite placement, health colleagues or further direct work with 2 could change my understanding of her needs, risks, capacity or preferences. A defensible assessment is not fixed; it should be reviewed when circumstances or evidence change, particularly when considering a return home or the sustainability of support arrangements. Research and professional guidance can help practitioners recognise risks such as relying on one account or making assumptions about capacity, but they do not replace analysis of the individual circumstances</w:t>
            </w:r>
            <w:r w:rsidR="00EB736A" w:rsidRPr="00E10BF9">
              <w:rPr>
                <w:rFonts w:asciiTheme="minorHAnsi" w:hAnsiTheme="minorHAnsi"/>
                <w:iCs/>
                <w:sz w:val="24"/>
                <w:szCs w:val="24"/>
              </w:rPr>
              <w:t xml:space="preserve"> </w:t>
            </w:r>
            <w:r w:rsidR="00EB736A" w:rsidRPr="00E10BF9">
              <w:rPr>
                <w:rFonts w:asciiTheme="minorHAnsi" w:hAnsiTheme="minorHAnsi"/>
                <w:iCs/>
                <w:color w:val="auto"/>
                <w:sz w:val="24"/>
                <w:szCs w:val="24"/>
              </w:rPr>
              <w:t>(S</w:t>
            </w:r>
            <w:r w:rsidR="00A12B6B">
              <w:rPr>
                <w:rFonts w:asciiTheme="minorHAnsi" w:hAnsiTheme="minorHAnsi"/>
                <w:iCs/>
                <w:color w:val="auto"/>
                <w:sz w:val="24"/>
                <w:szCs w:val="24"/>
              </w:rPr>
              <w:t>CW</w:t>
            </w:r>
            <w:r w:rsidR="00EB736A" w:rsidRPr="00E10BF9">
              <w:rPr>
                <w:rFonts w:asciiTheme="minorHAnsi" w:hAnsiTheme="minorHAnsi"/>
                <w:iCs/>
                <w:color w:val="auto"/>
                <w:sz w:val="24"/>
                <w:szCs w:val="24"/>
              </w:rPr>
              <w:t xml:space="preserve">, 2026; </w:t>
            </w:r>
            <w:r w:rsidR="006522A8">
              <w:rPr>
                <w:rFonts w:asciiTheme="minorHAnsi" w:hAnsiTheme="minorHAnsi"/>
                <w:iCs/>
                <w:color w:val="auto"/>
                <w:sz w:val="24"/>
                <w:szCs w:val="24"/>
              </w:rPr>
              <w:t>WPS</w:t>
            </w:r>
            <w:r w:rsidR="00EB736A" w:rsidRPr="00E10BF9">
              <w:rPr>
                <w:rFonts w:asciiTheme="minorHAnsi" w:hAnsiTheme="minorHAnsi"/>
                <w:iCs/>
                <w:color w:val="auto"/>
                <w:sz w:val="24"/>
                <w:szCs w:val="24"/>
              </w:rPr>
              <w:t>, 2026)</w:t>
            </w:r>
            <w:r w:rsidRPr="00E10BF9">
              <w:rPr>
                <w:rFonts w:asciiTheme="minorHAnsi" w:hAnsiTheme="minorHAnsi"/>
                <w:iCs/>
                <w:color w:val="auto"/>
                <w:sz w:val="24"/>
                <w:szCs w:val="24"/>
              </w:rPr>
              <w:t>.</w:t>
            </w:r>
          </w:p>
          <w:p w14:paraId="34B24D56" w14:textId="77777777" w:rsidR="00C356B0" w:rsidRPr="00E10BF9" w:rsidRDefault="00C356B0" w:rsidP="00C356B0">
            <w:pPr>
              <w:jc w:val="both"/>
              <w:rPr>
                <w:rFonts w:asciiTheme="minorHAnsi" w:hAnsiTheme="minorHAnsi"/>
                <w:iCs/>
                <w:color w:val="auto"/>
                <w:sz w:val="24"/>
                <w:szCs w:val="24"/>
              </w:rPr>
            </w:pPr>
          </w:p>
          <w:p w14:paraId="374DB0C3" w14:textId="061536C1"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Contingency planning was important because the caring arrangement, 2’s needs or wishes, and service availability could change. Planning therefore needed to consider how concerns would be recognised, who should be contacted and what further assessment or intervention might be required. Any contingency plan should be clear, proportionate and understood by relevant people</w:t>
            </w:r>
            <w:r w:rsidR="00F80436" w:rsidRPr="00E10BF9">
              <w:rPr>
                <w:rFonts w:asciiTheme="minorHAnsi" w:hAnsiTheme="minorHAnsi"/>
                <w:iCs/>
                <w:sz w:val="24"/>
                <w:szCs w:val="24"/>
              </w:rPr>
              <w:t xml:space="preserve"> (</w:t>
            </w:r>
            <w:r w:rsidR="00F80436" w:rsidRPr="00E10BF9">
              <w:rPr>
                <w:rFonts w:asciiTheme="minorHAnsi" w:hAnsiTheme="minorHAnsi"/>
                <w:iCs/>
                <w:color w:val="auto"/>
                <w:sz w:val="24"/>
                <w:szCs w:val="24"/>
              </w:rPr>
              <w:t>S</w:t>
            </w:r>
            <w:r w:rsidR="003A7CF4">
              <w:rPr>
                <w:rFonts w:asciiTheme="minorHAnsi" w:hAnsiTheme="minorHAnsi"/>
                <w:iCs/>
                <w:color w:val="auto"/>
                <w:sz w:val="24"/>
                <w:szCs w:val="24"/>
              </w:rPr>
              <w:t>CW</w:t>
            </w:r>
            <w:r w:rsidR="00F80436" w:rsidRPr="00E10BF9">
              <w:rPr>
                <w:rFonts w:asciiTheme="minorHAnsi" w:hAnsiTheme="minorHAnsi"/>
                <w:iCs/>
                <w:color w:val="auto"/>
                <w:sz w:val="24"/>
                <w:szCs w:val="24"/>
              </w:rPr>
              <w:t>, 2026)</w:t>
            </w:r>
            <w:r w:rsidRPr="00E10BF9">
              <w:rPr>
                <w:rFonts w:asciiTheme="minorHAnsi" w:hAnsiTheme="minorHAnsi"/>
                <w:iCs/>
                <w:color w:val="auto"/>
                <w:sz w:val="24"/>
                <w:szCs w:val="24"/>
              </w:rPr>
              <w:t>.</w:t>
            </w:r>
          </w:p>
          <w:p w14:paraId="4616F39D" w14:textId="77777777" w:rsidR="00C356B0" w:rsidRPr="00E10BF9" w:rsidRDefault="00C356B0" w:rsidP="00C356B0">
            <w:pPr>
              <w:jc w:val="both"/>
              <w:rPr>
                <w:rFonts w:asciiTheme="minorHAnsi" w:hAnsiTheme="minorHAnsi"/>
                <w:iCs/>
                <w:color w:val="auto"/>
                <w:sz w:val="24"/>
                <w:szCs w:val="24"/>
              </w:rPr>
            </w:pPr>
          </w:p>
          <w:p w14:paraId="798CADA4" w14:textId="7D88EEAF" w:rsidR="00C356B0" w:rsidRPr="00E10BF9"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The placement offered a temporary opportunity to consider 2’s support needs and presentation outside the home. However, the placement itself was not an outcome in isolation. Assessment needed to consider whether it supported her well-being and preferences, what she wanted to happen next and what further planning was required. Any proposed plan needed to connect actions to outcomes such as safety, meaningful participation, continuity of important relationships and consideration of her wishes about home and support.</w:t>
            </w:r>
          </w:p>
          <w:p w14:paraId="24EE6417" w14:textId="77777777" w:rsidR="00C356B0" w:rsidRPr="00E10BF9" w:rsidRDefault="00C356B0" w:rsidP="00C356B0">
            <w:pPr>
              <w:jc w:val="both"/>
              <w:rPr>
                <w:rFonts w:asciiTheme="minorHAnsi" w:hAnsiTheme="minorHAnsi"/>
                <w:iCs/>
                <w:color w:val="auto"/>
                <w:sz w:val="24"/>
                <w:szCs w:val="24"/>
              </w:rPr>
            </w:pPr>
          </w:p>
          <w:p w14:paraId="68829567" w14:textId="77777777" w:rsidR="00C356B0" w:rsidRDefault="00C356B0" w:rsidP="00C356B0">
            <w:pPr>
              <w:jc w:val="both"/>
              <w:rPr>
                <w:rFonts w:asciiTheme="minorHAnsi" w:hAnsiTheme="minorHAnsi"/>
                <w:iCs/>
                <w:color w:val="auto"/>
                <w:sz w:val="24"/>
                <w:szCs w:val="24"/>
              </w:rPr>
            </w:pPr>
            <w:r w:rsidRPr="00E10BF9">
              <w:rPr>
                <w:rFonts w:asciiTheme="minorHAnsi" w:hAnsiTheme="minorHAnsi"/>
                <w:iCs/>
                <w:color w:val="auto"/>
                <w:sz w:val="24"/>
                <w:szCs w:val="24"/>
              </w:rPr>
              <w:t>Possible options included additional support, environmental changes, respite, monitoring and a revised care plan. Their appropriateness depended on the evidence, 2’s wishes, capacity where relevant, available services and the level of risk. Regional safeguarding board procedures, priorities, audits and learning from adult practice reviews provide a wider governance framework for consistent multi-agency practice. Although the board did not direct my day-to-day intervention, this framework reinforced the importance of professional curiosity, timely information sharing, accurate recording, escalation and learning from practice.</w:t>
            </w:r>
          </w:p>
          <w:p w14:paraId="7B3774E8" w14:textId="77777777" w:rsidR="00C3532C" w:rsidRDefault="00C3532C" w:rsidP="00C356B0">
            <w:pPr>
              <w:jc w:val="both"/>
              <w:rPr>
                <w:rFonts w:asciiTheme="minorHAnsi" w:hAnsiTheme="minorHAnsi"/>
                <w:iCs/>
                <w:color w:val="auto"/>
                <w:sz w:val="24"/>
                <w:szCs w:val="24"/>
              </w:rPr>
            </w:pPr>
          </w:p>
          <w:p w14:paraId="0204E34E" w14:textId="77777777" w:rsidR="00C3532C" w:rsidRPr="00C3532C" w:rsidRDefault="00C3532C" w:rsidP="00C3532C">
            <w:pPr>
              <w:jc w:val="both"/>
              <w:rPr>
                <w:rFonts w:asciiTheme="minorHAnsi" w:hAnsiTheme="minorHAnsi"/>
                <w:iCs/>
                <w:color w:val="auto"/>
                <w:sz w:val="24"/>
                <w:szCs w:val="24"/>
              </w:rPr>
            </w:pPr>
            <w:r w:rsidRPr="00C3532C">
              <w:rPr>
                <w:rFonts w:asciiTheme="minorHAnsi" w:hAnsiTheme="minorHAnsi"/>
                <w:iCs/>
                <w:color w:val="auto"/>
                <w:sz w:val="24"/>
                <w:szCs w:val="24"/>
              </w:rPr>
              <w:t>This case strengthened my understanding that safeguarding assessment is an ongoing analytical process requiring the integration of legal duties, professional values, theory, information from different sources and the person’s own views (WPS, 2026). It also requires practitioners to recognise uncertainty and revise their analysis as new evidence emerges.</w:t>
            </w:r>
          </w:p>
          <w:p w14:paraId="1090DEA3" w14:textId="77777777" w:rsidR="00C3532C" w:rsidRPr="00C3532C" w:rsidRDefault="00C3532C" w:rsidP="00C3532C">
            <w:pPr>
              <w:jc w:val="both"/>
              <w:rPr>
                <w:rFonts w:asciiTheme="minorHAnsi" w:hAnsiTheme="minorHAnsi"/>
                <w:iCs/>
                <w:color w:val="auto"/>
                <w:sz w:val="24"/>
                <w:szCs w:val="24"/>
              </w:rPr>
            </w:pPr>
          </w:p>
          <w:p w14:paraId="20B9C8A5" w14:textId="77777777" w:rsidR="00C3532C" w:rsidRPr="00C3532C" w:rsidRDefault="00C3532C" w:rsidP="00C3532C">
            <w:pPr>
              <w:jc w:val="both"/>
              <w:rPr>
                <w:rFonts w:asciiTheme="minorHAnsi" w:hAnsiTheme="minorHAnsi"/>
                <w:iCs/>
                <w:color w:val="auto"/>
                <w:sz w:val="24"/>
                <w:szCs w:val="24"/>
              </w:rPr>
            </w:pPr>
            <w:r w:rsidRPr="00C3532C">
              <w:rPr>
                <w:rFonts w:asciiTheme="minorHAnsi" w:hAnsiTheme="minorHAnsi"/>
                <w:iCs/>
                <w:color w:val="auto"/>
                <w:sz w:val="24"/>
                <w:szCs w:val="24"/>
              </w:rPr>
              <w:t>A strength of my practice was maintaining focus on 2’s voice while considering safeguarding concerns and 3’s needs as a carer. I recognised that the incident could not be understood solely through 3’s stated intention or an assumption of deliberate harm. Carer stress and risk to 2 required separate consideration while recognising how they interacted. Multi-agency information gathering and supervision enabled me to consider different perspectives, challenge assumptions and reflect on the balance between risk and rights.</w:t>
            </w:r>
          </w:p>
          <w:p w14:paraId="1253199E" w14:textId="77777777" w:rsidR="00C3532C" w:rsidRPr="00C3532C" w:rsidRDefault="00C3532C" w:rsidP="00C3532C">
            <w:pPr>
              <w:jc w:val="both"/>
              <w:rPr>
                <w:rFonts w:asciiTheme="minorHAnsi" w:hAnsiTheme="minorHAnsi"/>
                <w:iCs/>
                <w:color w:val="auto"/>
                <w:sz w:val="24"/>
                <w:szCs w:val="24"/>
              </w:rPr>
            </w:pPr>
          </w:p>
          <w:p w14:paraId="190A744E" w14:textId="77777777" w:rsidR="00C3532C" w:rsidRPr="00C3532C" w:rsidRDefault="00C3532C" w:rsidP="00C3532C">
            <w:pPr>
              <w:jc w:val="both"/>
              <w:rPr>
                <w:rFonts w:asciiTheme="minorHAnsi" w:hAnsiTheme="minorHAnsi"/>
                <w:iCs/>
                <w:color w:val="auto"/>
                <w:sz w:val="24"/>
                <w:szCs w:val="24"/>
              </w:rPr>
            </w:pPr>
            <w:r w:rsidRPr="00C3532C">
              <w:rPr>
                <w:rFonts w:asciiTheme="minorHAnsi" w:hAnsiTheme="minorHAnsi"/>
                <w:iCs/>
                <w:color w:val="auto"/>
                <w:sz w:val="24"/>
                <w:szCs w:val="24"/>
              </w:rPr>
              <w:t xml:space="preserve">There were areas for development. I could have distinguished 3’s carer support needs from 2’s safeguarding assessment more explicitly at an earlier stage. I also want to strengthen my </w:t>
            </w:r>
            <w:r w:rsidRPr="00C3532C">
              <w:rPr>
                <w:rFonts w:asciiTheme="minorHAnsi" w:hAnsiTheme="minorHAnsi"/>
                <w:iCs/>
                <w:color w:val="auto"/>
                <w:sz w:val="24"/>
                <w:szCs w:val="24"/>
              </w:rPr>
              <w:lastRenderedPageBreak/>
              <w:t>confidence in complex multi-agency discussions, particularly in summarising competing views and making recommendations clearly and assertively. Further development in structured approaches to assessing capacity, risk and outcomes would support more transparent decision-making (SCW, 2026d).</w:t>
            </w:r>
          </w:p>
          <w:p w14:paraId="411C86C3" w14:textId="77777777" w:rsidR="00C3532C" w:rsidRPr="00C3532C" w:rsidRDefault="00C3532C" w:rsidP="00C3532C">
            <w:pPr>
              <w:jc w:val="both"/>
              <w:rPr>
                <w:rFonts w:asciiTheme="minorHAnsi" w:hAnsiTheme="minorHAnsi"/>
                <w:iCs/>
                <w:color w:val="auto"/>
                <w:sz w:val="24"/>
                <w:szCs w:val="24"/>
              </w:rPr>
            </w:pPr>
          </w:p>
          <w:p w14:paraId="7E6ACA0B" w14:textId="77777777" w:rsidR="00C3532C" w:rsidRPr="00C3532C" w:rsidRDefault="00C3532C" w:rsidP="00C3532C">
            <w:pPr>
              <w:jc w:val="both"/>
              <w:rPr>
                <w:rFonts w:asciiTheme="minorHAnsi" w:hAnsiTheme="minorHAnsi"/>
                <w:iCs/>
                <w:color w:val="auto"/>
                <w:sz w:val="24"/>
                <w:szCs w:val="24"/>
              </w:rPr>
            </w:pPr>
            <w:r w:rsidRPr="00C3532C">
              <w:rPr>
                <w:rFonts w:asciiTheme="minorHAnsi" w:hAnsiTheme="minorHAnsi"/>
                <w:iCs/>
                <w:color w:val="auto"/>
                <w:sz w:val="24"/>
                <w:szCs w:val="24"/>
              </w:rPr>
              <w:t>I was aware that decisions could affect 2’s safety, liberty, home life and relationship with 3. I experienced uncertainty about balancing protection with empowerment because all available options involved some degree of risk (Braye et al., 2017). Reflective supervision, consultation with colleagues and careful application of legislation helped me manage this uncertainty and remain focused on proportionate decision-making. I now understand resilience not as being unaffected by complex work, but as recognising emotional impact, seeking support, reflecting critically and making reasoned decisions within professional and legal boundaries.</w:t>
            </w:r>
          </w:p>
          <w:p w14:paraId="61D5F4B7" w14:textId="77777777" w:rsidR="00C3532C" w:rsidRPr="00C3532C" w:rsidRDefault="00C3532C" w:rsidP="00C3532C">
            <w:pPr>
              <w:jc w:val="both"/>
              <w:rPr>
                <w:rFonts w:asciiTheme="minorHAnsi" w:hAnsiTheme="minorHAnsi"/>
                <w:iCs/>
                <w:color w:val="auto"/>
                <w:sz w:val="24"/>
                <w:szCs w:val="24"/>
              </w:rPr>
            </w:pPr>
          </w:p>
          <w:p w14:paraId="6819FFE6" w14:textId="77777777" w:rsidR="00C3532C" w:rsidRPr="00C3532C" w:rsidRDefault="00C3532C" w:rsidP="00C3532C">
            <w:pPr>
              <w:jc w:val="both"/>
              <w:rPr>
                <w:rFonts w:asciiTheme="minorHAnsi" w:hAnsiTheme="minorHAnsi"/>
                <w:iCs/>
                <w:color w:val="auto"/>
                <w:sz w:val="24"/>
                <w:szCs w:val="24"/>
              </w:rPr>
            </w:pPr>
            <w:r w:rsidRPr="00C3532C">
              <w:rPr>
                <w:rFonts w:asciiTheme="minorHAnsi" w:hAnsiTheme="minorHAnsi"/>
                <w:iCs/>
                <w:color w:val="auto"/>
                <w:sz w:val="24"/>
                <w:szCs w:val="24"/>
              </w:rPr>
              <w:t>This experience demonstrated the importance of person-centred, outcome-focused safeguarding that considers strengths, needs, protective factors, relationships and the circumstances of carers, rather than focusing on risk alone. The legislation, Wales Safeguarding Procedures and professional standards informed my assessment, while theoretical perspectives helped me understand the interaction between individual needs, relationships, environment, strengths and risk. Collaborative working provided a wider evidence base, and supervision supported professional accountability.</w:t>
            </w:r>
          </w:p>
          <w:p w14:paraId="487AF837" w14:textId="77777777" w:rsidR="00C3532C" w:rsidRPr="00C3532C" w:rsidRDefault="00C3532C" w:rsidP="00C3532C">
            <w:pPr>
              <w:jc w:val="both"/>
              <w:rPr>
                <w:rFonts w:asciiTheme="minorHAnsi" w:hAnsiTheme="minorHAnsi"/>
                <w:iCs/>
                <w:color w:val="auto"/>
                <w:sz w:val="24"/>
                <w:szCs w:val="24"/>
              </w:rPr>
            </w:pPr>
          </w:p>
          <w:p w14:paraId="4FA29911" w14:textId="309131C5" w:rsidR="00C3532C" w:rsidRPr="00E10BF9" w:rsidRDefault="00C3532C" w:rsidP="00C3532C">
            <w:pPr>
              <w:jc w:val="both"/>
              <w:rPr>
                <w:rFonts w:asciiTheme="minorHAnsi" w:hAnsiTheme="minorHAnsi"/>
                <w:iCs/>
                <w:color w:val="auto"/>
                <w:sz w:val="24"/>
                <w:szCs w:val="24"/>
              </w:rPr>
            </w:pPr>
            <w:r w:rsidRPr="00C3532C">
              <w:rPr>
                <w:rFonts w:asciiTheme="minorHAnsi" w:hAnsiTheme="minorHAnsi"/>
                <w:iCs/>
                <w:color w:val="auto"/>
                <w:sz w:val="24"/>
                <w:szCs w:val="24"/>
              </w:rPr>
              <w:t>In future practice, I will prepare thoroughly, use accessible communication, seek the person’s desired outcomes, analyse multiple perspectives and record my rationale clearly. I will remain professionally curious, use supervision constructively and challenge assumptions or recommendations where evidence or the person’s rights require it. This case reinforced that effective safeguarding requires proportionate intervention, professional assertiveness and a willingness to modify judgement when new evidence emerges, supporting my continued development as a reflective, accountable and person-centred social worker.</w:t>
            </w:r>
          </w:p>
          <w:p w14:paraId="742A4F73" w14:textId="62F8135B" w:rsidR="00C356B0" w:rsidRPr="00E10BF9" w:rsidRDefault="00C356B0" w:rsidP="00C356B0">
            <w:pPr>
              <w:jc w:val="both"/>
              <w:rPr>
                <w:rFonts w:asciiTheme="minorHAnsi" w:hAnsiTheme="minorHAnsi"/>
                <w:iCs/>
                <w:color w:val="auto"/>
                <w:sz w:val="24"/>
                <w:szCs w:val="24"/>
              </w:rPr>
            </w:pPr>
          </w:p>
          <w:p w14:paraId="079B83E6" w14:textId="77777777" w:rsidR="0038074D" w:rsidRPr="00E10BF9" w:rsidRDefault="0038074D" w:rsidP="003C3A72">
            <w:pPr>
              <w:jc w:val="both"/>
              <w:rPr>
                <w:rFonts w:asciiTheme="minorHAnsi" w:hAnsiTheme="minorHAnsi"/>
                <w:iCs/>
                <w:color w:val="FF0000"/>
                <w:sz w:val="24"/>
                <w:szCs w:val="24"/>
              </w:rPr>
            </w:pPr>
          </w:p>
          <w:p w14:paraId="0599AC05" w14:textId="0FA8C81A" w:rsidR="00222940" w:rsidRPr="000B632C" w:rsidRDefault="00A07F94" w:rsidP="003C3A72">
            <w:pPr>
              <w:jc w:val="both"/>
              <w:rPr>
                <w:rFonts w:asciiTheme="minorHAnsi" w:hAnsiTheme="minorHAnsi"/>
                <w:iCs/>
                <w:color w:val="auto"/>
                <w:sz w:val="24"/>
                <w:szCs w:val="24"/>
              </w:rPr>
            </w:pPr>
            <w:r w:rsidRPr="00E10BF9">
              <w:rPr>
                <w:rFonts w:asciiTheme="minorHAnsi" w:hAnsiTheme="minorHAnsi"/>
                <w:iCs/>
                <w:color w:val="auto"/>
                <w:sz w:val="24"/>
                <w:szCs w:val="24"/>
              </w:rPr>
              <w:t xml:space="preserve">Word count: </w:t>
            </w:r>
            <w:r w:rsidR="000B632C">
              <w:rPr>
                <w:rFonts w:asciiTheme="minorHAnsi" w:hAnsiTheme="minorHAnsi"/>
                <w:iCs/>
                <w:color w:val="auto"/>
                <w:sz w:val="24"/>
                <w:szCs w:val="24"/>
              </w:rPr>
              <w:t>4</w:t>
            </w:r>
            <w:r w:rsidR="00A7225F">
              <w:rPr>
                <w:rFonts w:asciiTheme="minorHAnsi" w:hAnsiTheme="minorHAnsi"/>
                <w:iCs/>
                <w:color w:val="auto"/>
                <w:sz w:val="24"/>
                <w:szCs w:val="24"/>
              </w:rPr>
              <w:t>6</w:t>
            </w:r>
            <w:r w:rsidR="00F866E7">
              <w:rPr>
                <w:rFonts w:asciiTheme="minorHAnsi" w:hAnsiTheme="minorHAnsi"/>
                <w:iCs/>
                <w:color w:val="auto"/>
                <w:sz w:val="24"/>
                <w:szCs w:val="24"/>
              </w:rPr>
              <w:t>69</w:t>
            </w:r>
          </w:p>
        </w:tc>
      </w:tr>
    </w:tbl>
    <w:p w14:paraId="09253CC6" w14:textId="77777777" w:rsidR="00F833B7" w:rsidRPr="0038074D" w:rsidRDefault="00F833B7">
      <w:pPr>
        <w:rPr>
          <w:color w:val="FF0000"/>
        </w:rPr>
      </w:pPr>
    </w:p>
    <w:sectPr w:rsidR="00F833B7" w:rsidRPr="0038074D" w:rsidSect="00222940">
      <w:headerReference w:type="default" r:id="rId8"/>
      <w:footerReference w:type="default" r:id="rId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E9D13" w14:textId="77777777" w:rsidR="00A8242E" w:rsidRDefault="00A8242E">
      <w:r>
        <w:separator/>
      </w:r>
    </w:p>
  </w:endnote>
  <w:endnote w:type="continuationSeparator" w:id="0">
    <w:p w14:paraId="3E39F012" w14:textId="77777777" w:rsidR="00A8242E" w:rsidRDefault="00A824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DE30A" w14:textId="77777777" w:rsidR="00222940" w:rsidRDefault="00222940">
    <w:pPr>
      <w:pStyle w:val="Footer"/>
      <w:jc w:val="right"/>
    </w:pPr>
    <w:r>
      <w:fldChar w:fldCharType="begin"/>
    </w:r>
    <w:r>
      <w:instrText xml:space="preserve"> PAGE   \* MERGEFORMAT </w:instrText>
    </w:r>
    <w:r>
      <w:fldChar w:fldCharType="separate"/>
    </w:r>
    <w:r>
      <w:rPr>
        <w:noProof/>
      </w:rPr>
      <w:t>24</w:t>
    </w:r>
    <w:r>
      <w:rPr>
        <w:noProof/>
      </w:rPr>
      <w:fldChar w:fldCharType="end"/>
    </w:r>
  </w:p>
  <w:p w14:paraId="770BD7D0" w14:textId="77777777" w:rsidR="00222940" w:rsidRPr="00E60F42" w:rsidRDefault="0022294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F3282" w14:textId="77777777" w:rsidR="00A8242E" w:rsidRDefault="00A8242E">
      <w:r>
        <w:separator/>
      </w:r>
    </w:p>
  </w:footnote>
  <w:footnote w:type="continuationSeparator" w:id="0">
    <w:p w14:paraId="74BAD7EC" w14:textId="77777777" w:rsidR="00A8242E" w:rsidRDefault="00A824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F3FB3" w14:textId="77777777" w:rsidR="00222940" w:rsidRDefault="00222940">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75371"/>
    <w:multiLevelType w:val="hybridMultilevel"/>
    <w:tmpl w:val="9A705A90"/>
    <w:lvl w:ilvl="0" w:tplc="C100B850">
      <w:start w:val="1"/>
      <w:numFmt w:val="bullet"/>
      <w:lvlText w:val="•"/>
      <w:lvlJc w:val="left"/>
      <w:pPr>
        <w:tabs>
          <w:tab w:val="num" w:pos="720"/>
        </w:tabs>
        <w:ind w:left="720" w:hanging="360"/>
      </w:pPr>
      <w:rPr>
        <w:rFonts w:ascii="Arial" w:hAnsi="Arial" w:hint="default"/>
      </w:rPr>
    </w:lvl>
    <w:lvl w:ilvl="1" w:tplc="53E61E18" w:tentative="1">
      <w:start w:val="1"/>
      <w:numFmt w:val="bullet"/>
      <w:lvlText w:val="•"/>
      <w:lvlJc w:val="left"/>
      <w:pPr>
        <w:tabs>
          <w:tab w:val="num" w:pos="1440"/>
        </w:tabs>
        <w:ind w:left="1440" w:hanging="360"/>
      </w:pPr>
      <w:rPr>
        <w:rFonts w:ascii="Arial" w:hAnsi="Arial" w:hint="default"/>
      </w:rPr>
    </w:lvl>
    <w:lvl w:ilvl="2" w:tplc="F3ACD0F6" w:tentative="1">
      <w:start w:val="1"/>
      <w:numFmt w:val="bullet"/>
      <w:lvlText w:val="•"/>
      <w:lvlJc w:val="left"/>
      <w:pPr>
        <w:tabs>
          <w:tab w:val="num" w:pos="2160"/>
        </w:tabs>
        <w:ind w:left="2160" w:hanging="360"/>
      </w:pPr>
      <w:rPr>
        <w:rFonts w:ascii="Arial" w:hAnsi="Arial" w:hint="default"/>
      </w:rPr>
    </w:lvl>
    <w:lvl w:ilvl="3" w:tplc="10CEFB5C" w:tentative="1">
      <w:start w:val="1"/>
      <w:numFmt w:val="bullet"/>
      <w:lvlText w:val="•"/>
      <w:lvlJc w:val="left"/>
      <w:pPr>
        <w:tabs>
          <w:tab w:val="num" w:pos="2880"/>
        </w:tabs>
        <w:ind w:left="2880" w:hanging="360"/>
      </w:pPr>
      <w:rPr>
        <w:rFonts w:ascii="Arial" w:hAnsi="Arial" w:hint="default"/>
      </w:rPr>
    </w:lvl>
    <w:lvl w:ilvl="4" w:tplc="7F600D7C" w:tentative="1">
      <w:start w:val="1"/>
      <w:numFmt w:val="bullet"/>
      <w:lvlText w:val="•"/>
      <w:lvlJc w:val="left"/>
      <w:pPr>
        <w:tabs>
          <w:tab w:val="num" w:pos="3600"/>
        </w:tabs>
        <w:ind w:left="3600" w:hanging="360"/>
      </w:pPr>
      <w:rPr>
        <w:rFonts w:ascii="Arial" w:hAnsi="Arial" w:hint="default"/>
      </w:rPr>
    </w:lvl>
    <w:lvl w:ilvl="5" w:tplc="A6FA4930" w:tentative="1">
      <w:start w:val="1"/>
      <w:numFmt w:val="bullet"/>
      <w:lvlText w:val="•"/>
      <w:lvlJc w:val="left"/>
      <w:pPr>
        <w:tabs>
          <w:tab w:val="num" w:pos="4320"/>
        </w:tabs>
        <w:ind w:left="4320" w:hanging="360"/>
      </w:pPr>
      <w:rPr>
        <w:rFonts w:ascii="Arial" w:hAnsi="Arial" w:hint="default"/>
      </w:rPr>
    </w:lvl>
    <w:lvl w:ilvl="6" w:tplc="122224DE" w:tentative="1">
      <w:start w:val="1"/>
      <w:numFmt w:val="bullet"/>
      <w:lvlText w:val="•"/>
      <w:lvlJc w:val="left"/>
      <w:pPr>
        <w:tabs>
          <w:tab w:val="num" w:pos="5040"/>
        </w:tabs>
        <w:ind w:left="5040" w:hanging="360"/>
      </w:pPr>
      <w:rPr>
        <w:rFonts w:ascii="Arial" w:hAnsi="Arial" w:hint="default"/>
      </w:rPr>
    </w:lvl>
    <w:lvl w:ilvl="7" w:tplc="A42E089C" w:tentative="1">
      <w:start w:val="1"/>
      <w:numFmt w:val="bullet"/>
      <w:lvlText w:val="•"/>
      <w:lvlJc w:val="left"/>
      <w:pPr>
        <w:tabs>
          <w:tab w:val="num" w:pos="5760"/>
        </w:tabs>
        <w:ind w:left="5760" w:hanging="360"/>
      </w:pPr>
      <w:rPr>
        <w:rFonts w:ascii="Arial" w:hAnsi="Arial" w:hint="default"/>
      </w:rPr>
    </w:lvl>
    <w:lvl w:ilvl="8" w:tplc="BD1C7A66" w:tentative="1">
      <w:start w:val="1"/>
      <w:numFmt w:val="bullet"/>
      <w:lvlText w:val="•"/>
      <w:lvlJc w:val="left"/>
      <w:pPr>
        <w:tabs>
          <w:tab w:val="num" w:pos="6480"/>
        </w:tabs>
        <w:ind w:left="6480" w:hanging="360"/>
      </w:pPr>
      <w:rPr>
        <w:rFonts w:ascii="Arial" w:hAnsi="Arial" w:hint="default"/>
      </w:rPr>
    </w:lvl>
  </w:abstractNum>
  <w:num w:numId="1" w16cid:durableId="190340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940"/>
    <w:rsid w:val="0001091D"/>
    <w:rsid w:val="00021A07"/>
    <w:rsid w:val="0003792E"/>
    <w:rsid w:val="00045F91"/>
    <w:rsid w:val="00047075"/>
    <w:rsid w:val="00056219"/>
    <w:rsid w:val="0006165E"/>
    <w:rsid w:val="0006667D"/>
    <w:rsid w:val="000733B2"/>
    <w:rsid w:val="000B632C"/>
    <w:rsid w:val="000B7B09"/>
    <w:rsid w:val="000C5067"/>
    <w:rsid w:val="000C5A03"/>
    <w:rsid w:val="000D0DD2"/>
    <w:rsid w:val="000D2D85"/>
    <w:rsid w:val="000F21A7"/>
    <w:rsid w:val="001046F9"/>
    <w:rsid w:val="00111D67"/>
    <w:rsid w:val="00121A9E"/>
    <w:rsid w:val="00132D33"/>
    <w:rsid w:val="00143020"/>
    <w:rsid w:val="001561BD"/>
    <w:rsid w:val="00174C0E"/>
    <w:rsid w:val="001A741D"/>
    <w:rsid w:val="001B77F5"/>
    <w:rsid w:val="001C5AA8"/>
    <w:rsid w:val="001E7242"/>
    <w:rsid w:val="001F7208"/>
    <w:rsid w:val="001F7FC4"/>
    <w:rsid w:val="00202B8B"/>
    <w:rsid w:val="00206022"/>
    <w:rsid w:val="00213D3B"/>
    <w:rsid w:val="00215951"/>
    <w:rsid w:val="0021606F"/>
    <w:rsid w:val="002211AA"/>
    <w:rsid w:val="00222940"/>
    <w:rsid w:val="0024555C"/>
    <w:rsid w:val="00247457"/>
    <w:rsid w:val="00251DB3"/>
    <w:rsid w:val="00287BDE"/>
    <w:rsid w:val="00294ED9"/>
    <w:rsid w:val="002951A5"/>
    <w:rsid w:val="002A6F20"/>
    <w:rsid w:val="002B2D40"/>
    <w:rsid w:val="002C0718"/>
    <w:rsid w:val="002C4598"/>
    <w:rsid w:val="002E3F1E"/>
    <w:rsid w:val="002E646F"/>
    <w:rsid w:val="002F24E4"/>
    <w:rsid w:val="002F3EF3"/>
    <w:rsid w:val="002F5046"/>
    <w:rsid w:val="002F63EB"/>
    <w:rsid w:val="002F72A4"/>
    <w:rsid w:val="00304C5A"/>
    <w:rsid w:val="00323147"/>
    <w:rsid w:val="00333BBE"/>
    <w:rsid w:val="003354D9"/>
    <w:rsid w:val="00341B48"/>
    <w:rsid w:val="00350958"/>
    <w:rsid w:val="00377A2B"/>
    <w:rsid w:val="0038074D"/>
    <w:rsid w:val="0039212C"/>
    <w:rsid w:val="003A4A0B"/>
    <w:rsid w:val="003A7CF4"/>
    <w:rsid w:val="003B5FBF"/>
    <w:rsid w:val="003D42FE"/>
    <w:rsid w:val="003D50B1"/>
    <w:rsid w:val="003E27FC"/>
    <w:rsid w:val="003F3160"/>
    <w:rsid w:val="004143D0"/>
    <w:rsid w:val="00415796"/>
    <w:rsid w:val="00416B50"/>
    <w:rsid w:val="0047041B"/>
    <w:rsid w:val="0048035A"/>
    <w:rsid w:val="00494651"/>
    <w:rsid w:val="004B7DD8"/>
    <w:rsid w:val="004D56D7"/>
    <w:rsid w:val="004D5AF6"/>
    <w:rsid w:val="004E4E23"/>
    <w:rsid w:val="004F6843"/>
    <w:rsid w:val="0050740A"/>
    <w:rsid w:val="00511B0C"/>
    <w:rsid w:val="00521341"/>
    <w:rsid w:val="00523A22"/>
    <w:rsid w:val="005902CE"/>
    <w:rsid w:val="0059164E"/>
    <w:rsid w:val="00592815"/>
    <w:rsid w:val="00593A50"/>
    <w:rsid w:val="005A46BB"/>
    <w:rsid w:val="005B0D10"/>
    <w:rsid w:val="005B1EDE"/>
    <w:rsid w:val="005D4430"/>
    <w:rsid w:val="005D49F9"/>
    <w:rsid w:val="005E0372"/>
    <w:rsid w:val="005F476B"/>
    <w:rsid w:val="0063636B"/>
    <w:rsid w:val="00637BDA"/>
    <w:rsid w:val="00647527"/>
    <w:rsid w:val="006522A8"/>
    <w:rsid w:val="006529A7"/>
    <w:rsid w:val="00653275"/>
    <w:rsid w:val="0066629E"/>
    <w:rsid w:val="006749B5"/>
    <w:rsid w:val="006751EA"/>
    <w:rsid w:val="00685B55"/>
    <w:rsid w:val="006A5F89"/>
    <w:rsid w:val="006A7AE9"/>
    <w:rsid w:val="006C56CD"/>
    <w:rsid w:val="006C7B6F"/>
    <w:rsid w:val="006D3C33"/>
    <w:rsid w:val="006D5FC6"/>
    <w:rsid w:val="0070067F"/>
    <w:rsid w:val="00705254"/>
    <w:rsid w:val="00714193"/>
    <w:rsid w:val="007154A6"/>
    <w:rsid w:val="00725285"/>
    <w:rsid w:val="007304D1"/>
    <w:rsid w:val="00736C1E"/>
    <w:rsid w:val="007700BC"/>
    <w:rsid w:val="00777D44"/>
    <w:rsid w:val="00790470"/>
    <w:rsid w:val="00792888"/>
    <w:rsid w:val="0079388D"/>
    <w:rsid w:val="007A03AE"/>
    <w:rsid w:val="007A241B"/>
    <w:rsid w:val="007B434D"/>
    <w:rsid w:val="007C1143"/>
    <w:rsid w:val="007C2D60"/>
    <w:rsid w:val="007D4E20"/>
    <w:rsid w:val="007E69C4"/>
    <w:rsid w:val="00801F87"/>
    <w:rsid w:val="00811CD7"/>
    <w:rsid w:val="00811F89"/>
    <w:rsid w:val="00812C5B"/>
    <w:rsid w:val="00814C72"/>
    <w:rsid w:val="008253C3"/>
    <w:rsid w:val="00840E0F"/>
    <w:rsid w:val="00842B16"/>
    <w:rsid w:val="00853824"/>
    <w:rsid w:val="00867398"/>
    <w:rsid w:val="00875D24"/>
    <w:rsid w:val="00883CE6"/>
    <w:rsid w:val="008A3752"/>
    <w:rsid w:val="008B2957"/>
    <w:rsid w:val="008D706A"/>
    <w:rsid w:val="008E5FC9"/>
    <w:rsid w:val="0090061E"/>
    <w:rsid w:val="0090495F"/>
    <w:rsid w:val="00907170"/>
    <w:rsid w:val="00913328"/>
    <w:rsid w:val="00917480"/>
    <w:rsid w:val="00922D3E"/>
    <w:rsid w:val="00925AD7"/>
    <w:rsid w:val="00945DFD"/>
    <w:rsid w:val="0096150D"/>
    <w:rsid w:val="009704BB"/>
    <w:rsid w:val="00972066"/>
    <w:rsid w:val="00977F37"/>
    <w:rsid w:val="009A0340"/>
    <w:rsid w:val="009A715D"/>
    <w:rsid w:val="009F3F9E"/>
    <w:rsid w:val="009F5835"/>
    <w:rsid w:val="009F6FF2"/>
    <w:rsid w:val="00A07F94"/>
    <w:rsid w:val="00A12B6B"/>
    <w:rsid w:val="00A32AB5"/>
    <w:rsid w:val="00A518C9"/>
    <w:rsid w:val="00A5732D"/>
    <w:rsid w:val="00A61E99"/>
    <w:rsid w:val="00A67406"/>
    <w:rsid w:val="00A7225F"/>
    <w:rsid w:val="00A8242E"/>
    <w:rsid w:val="00A83F7D"/>
    <w:rsid w:val="00A87050"/>
    <w:rsid w:val="00AB4855"/>
    <w:rsid w:val="00AC5A18"/>
    <w:rsid w:val="00AC7ECE"/>
    <w:rsid w:val="00AD35CA"/>
    <w:rsid w:val="00AD6D4C"/>
    <w:rsid w:val="00AF4E92"/>
    <w:rsid w:val="00AF6CE8"/>
    <w:rsid w:val="00B01A6A"/>
    <w:rsid w:val="00B0284D"/>
    <w:rsid w:val="00B11A9E"/>
    <w:rsid w:val="00B25F0E"/>
    <w:rsid w:val="00B33165"/>
    <w:rsid w:val="00B42700"/>
    <w:rsid w:val="00B44489"/>
    <w:rsid w:val="00B45FB5"/>
    <w:rsid w:val="00B6128E"/>
    <w:rsid w:val="00B9532E"/>
    <w:rsid w:val="00B96B1F"/>
    <w:rsid w:val="00BB7477"/>
    <w:rsid w:val="00BC7924"/>
    <w:rsid w:val="00BD372E"/>
    <w:rsid w:val="00BD7BD6"/>
    <w:rsid w:val="00BF2CB3"/>
    <w:rsid w:val="00BF3CC7"/>
    <w:rsid w:val="00BF7CA6"/>
    <w:rsid w:val="00C00D04"/>
    <w:rsid w:val="00C10AE6"/>
    <w:rsid w:val="00C10C05"/>
    <w:rsid w:val="00C1720F"/>
    <w:rsid w:val="00C20E57"/>
    <w:rsid w:val="00C3532C"/>
    <w:rsid w:val="00C356B0"/>
    <w:rsid w:val="00C45ECA"/>
    <w:rsid w:val="00C50A5B"/>
    <w:rsid w:val="00C51940"/>
    <w:rsid w:val="00C57EFB"/>
    <w:rsid w:val="00C830BA"/>
    <w:rsid w:val="00C837D3"/>
    <w:rsid w:val="00C87AD4"/>
    <w:rsid w:val="00C904FC"/>
    <w:rsid w:val="00C911E2"/>
    <w:rsid w:val="00CA2AAF"/>
    <w:rsid w:val="00CB2DAA"/>
    <w:rsid w:val="00CB5A7D"/>
    <w:rsid w:val="00CC3410"/>
    <w:rsid w:val="00CF02C0"/>
    <w:rsid w:val="00CF532E"/>
    <w:rsid w:val="00D00C2F"/>
    <w:rsid w:val="00D01F65"/>
    <w:rsid w:val="00D20304"/>
    <w:rsid w:val="00D223E2"/>
    <w:rsid w:val="00D31732"/>
    <w:rsid w:val="00D331AA"/>
    <w:rsid w:val="00D45DDA"/>
    <w:rsid w:val="00D80617"/>
    <w:rsid w:val="00D86484"/>
    <w:rsid w:val="00D875FB"/>
    <w:rsid w:val="00D87BD0"/>
    <w:rsid w:val="00DA1765"/>
    <w:rsid w:val="00DB32A5"/>
    <w:rsid w:val="00DC3393"/>
    <w:rsid w:val="00DC3D49"/>
    <w:rsid w:val="00DD2771"/>
    <w:rsid w:val="00DF5A6B"/>
    <w:rsid w:val="00DF6146"/>
    <w:rsid w:val="00E00F6C"/>
    <w:rsid w:val="00E10BF9"/>
    <w:rsid w:val="00E10FD7"/>
    <w:rsid w:val="00E131AA"/>
    <w:rsid w:val="00E22513"/>
    <w:rsid w:val="00E24272"/>
    <w:rsid w:val="00E27DC5"/>
    <w:rsid w:val="00E42666"/>
    <w:rsid w:val="00E43197"/>
    <w:rsid w:val="00E679B7"/>
    <w:rsid w:val="00E843B1"/>
    <w:rsid w:val="00EB062D"/>
    <w:rsid w:val="00EB736A"/>
    <w:rsid w:val="00EC0986"/>
    <w:rsid w:val="00EC3A04"/>
    <w:rsid w:val="00EC66C7"/>
    <w:rsid w:val="00ED4D56"/>
    <w:rsid w:val="00ED4D7C"/>
    <w:rsid w:val="00EE104B"/>
    <w:rsid w:val="00EE1363"/>
    <w:rsid w:val="00EE3A02"/>
    <w:rsid w:val="00EE3AC0"/>
    <w:rsid w:val="00EF2535"/>
    <w:rsid w:val="00F17DAE"/>
    <w:rsid w:val="00F25913"/>
    <w:rsid w:val="00F55EA9"/>
    <w:rsid w:val="00F80436"/>
    <w:rsid w:val="00F833B7"/>
    <w:rsid w:val="00F866E7"/>
    <w:rsid w:val="00F86FCE"/>
    <w:rsid w:val="00F91102"/>
    <w:rsid w:val="00F92A6D"/>
    <w:rsid w:val="00F942B5"/>
    <w:rsid w:val="00F95F34"/>
    <w:rsid w:val="00FC1F20"/>
    <w:rsid w:val="00FC6DB7"/>
    <w:rsid w:val="00FC7826"/>
    <w:rsid w:val="00FE6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E0655"/>
  <w15:chartTrackingRefBased/>
  <w15:docId w15:val="{6A1E486A-182C-4E7F-AD23-5F8C65AEF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940"/>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222940"/>
    <w:pPr>
      <w:keepNext/>
      <w:keepLines/>
      <w:overflowPunct/>
      <w:autoSpaceDE/>
      <w:autoSpaceDN/>
      <w:adjustRightInd/>
      <w:spacing w:before="360" w:after="80" w:line="278"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22940"/>
    <w:pPr>
      <w:keepNext/>
      <w:keepLines/>
      <w:overflowPunct/>
      <w:autoSpaceDE/>
      <w:autoSpaceDN/>
      <w:adjustRightInd/>
      <w:spacing w:before="160" w:after="80" w:line="278"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22940"/>
    <w:pPr>
      <w:keepNext/>
      <w:keepLines/>
      <w:overflowPunct/>
      <w:autoSpaceDE/>
      <w:autoSpaceDN/>
      <w:adjustRightInd/>
      <w:spacing w:before="160" w:after="80" w:line="278"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22940"/>
    <w:pPr>
      <w:keepNext/>
      <w:keepLines/>
      <w:overflowPunct/>
      <w:autoSpaceDE/>
      <w:autoSpaceDN/>
      <w:adjustRightInd/>
      <w:spacing w:before="80" w:after="40" w:line="278" w:lineRule="auto"/>
      <w:textAlignment w:val="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22940"/>
    <w:pPr>
      <w:keepNext/>
      <w:keepLines/>
      <w:overflowPunct/>
      <w:autoSpaceDE/>
      <w:autoSpaceDN/>
      <w:adjustRightInd/>
      <w:spacing w:before="80" w:after="40" w:line="278" w:lineRule="auto"/>
      <w:textAlignment w:val="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22940"/>
    <w:pPr>
      <w:keepNext/>
      <w:keepLines/>
      <w:overflowPunct/>
      <w:autoSpaceDE/>
      <w:autoSpaceDN/>
      <w:adjustRightInd/>
      <w:spacing w:before="40" w:line="278" w:lineRule="auto"/>
      <w:textAlignment w:val="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22940"/>
    <w:pPr>
      <w:keepNext/>
      <w:keepLines/>
      <w:overflowPunct/>
      <w:autoSpaceDE/>
      <w:autoSpaceDN/>
      <w:adjustRightInd/>
      <w:spacing w:before="40" w:line="278" w:lineRule="auto"/>
      <w:textAlignment w:val="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22940"/>
    <w:pPr>
      <w:keepNext/>
      <w:keepLines/>
      <w:overflowPunct/>
      <w:autoSpaceDE/>
      <w:autoSpaceDN/>
      <w:adjustRightInd/>
      <w:spacing w:line="278" w:lineRule="auto"/>
      <w:textAlignment w:val="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22940"/>
    <w:pPr>
      <w:keepNext/>
      <w:keepLines/>
      <w:overflowPunct/>
      <w:autoSpaceDE/>
      <w:autoSpaceDN/>
      <w:adjustRightInd/>
      <w:spacing w:line="278" w:lineRule="auto"/>
      <w:textAlignment w:val="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9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29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29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9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9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940"/>
    <w:rPr>
      <w:rFonts w:eastAsiaTheme="majorEastAsia" w:cstheme="majorBidi"/>
      <w:color w:val="272727" w:themeColor="text1" w:themeTint="D8"/>
    </w:rPr>
  </w:style>
  <w:style w:type="paragraph" w:styleId="Title">
    <w:name w:val="Title"/>
    <w:basedOn w:val="Normal"/>
    <w:next w:val="Normal"/>
    <w:link w:val="TitleChar"/>
    <w:uiPriority w:val="10"/>
    <w:qFormat/>
    <w:rsid w:val="00222940"/>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22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940"/>
    <w:pPr>
      <w:numPr>
        <w:ilvl w:val="1"/>
      </w:numPr>
      <w:overflowPunct/>
      <w:autoSpaceDE/>
      <w:autoSpaceDN/>
      <w:adjustRightInd/>
      <w:spacing w:after="160" w:line="278"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22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940"/>
    <w:pPr>
      <w:overflowPunct/>
      <w:autoSpaceDE/>
      <w:autoSpaceDN/>
      <w:adjustRightInd/>
      <w:spacing w:before="160" w:after="160" w:line="278" w:lineRule="auto"/>
      <w:jc w:val="center"/>
      <w:textAlignment w:val="auto"/>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22940"/>
    <w:rPr>
      <w:i/>
      <w:iCs/>
      <w:color w:val="404040" w:themeColor="text1" w:themeTint="BF"/>
    </w:rPr>
  </w:style>
  <w:style w:type="paragraph" w:styleId="ListParagraph">
    <w:name w:val="List Paragraph"/>
    <w:basedOn w:val="Normal"/>
    <w:uiPriority w:val="34"/>
    <w:qFormat/>
    <w:rsid w:val="00222940"/>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character" w:styleId="IntenseEmphasis">
    <w:name w:val="Intense Emphasis"/>
    <w:basedOn w:val="DefaultParagraphFont"/>
    <w:uiPriority w:val="21"/>
    <w:qFormat/>
    <w:rsid w:val="00222940"/>
    <w:rPr>
      <w:i/>
      <w:iCs/>
      <w:color w:val="0F4761" w:themeColor="accent1" w:themeShade="BF"/>
    </w:rPr>
  </w:style>
  <w:style w:type="paragraph" w:styleId="IntenseQuote">
    <w:name w:val="Intense Quote"/>
    <w:basedOn w:val="Normal"/>
    <w:next w:val="Normal"/>
    <w:link w:val="IntenseQuoteChar"/>
    <w:uiPriority w:val="30"/>
    <w:qFormat/>
    <w:rsid w:val="00222940"/>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textAlignment w:val="auto"/>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22940"/>
    <w:rPr>
      <w:i/>
      <w:iCs/>
      <w:color w:val="0F4761" w:themeColor="accent1" w:themeShade="BF"/>
    </w:rPr>
  </w:style>
  <w:style w:type="character" w:styleId="IntenseReference">
    <w:name w:val="Intense Reference"/>
    <w:basedOn w:val="DefaultParagraphFont"/>
    <w:uiPriority w:val="32"/>
    <w:qFormat/>
    <w:rsid w:val="00222940"/>
    <w:rPr>
      <w:b/>
      <w:bCs/>
      <w:smallCaps/>
      <w:color w:val="0F4761" w:themeColor="accent1" w:themeShade="BF"/>
      <w:spacing w:val="5"/>
    </w:rPr>
  </w:style>
  <w:style w:type="paragraph" w:styleId="Header">
    <w:name w:val="header"/>
    <w:basedOn w:val="Normal"/>
    <w:link w:val="HeaderChar"/>
    <w:semiHidden/>
    <w:rsid w:val="00222940"/>
    <w:pPr>
      <w:tabs>
        <w:tab w:val="center" w:pos="4320"/>
        <w:tab w:val="right" w:pos="8640"/>
      </w:tabs>
    </w:pPr>
  </w:style>
  <w:style w:type="character" w:customStyle="1" w:styleId="HeaderChar">
    <w:name w:val="Header Char"/>
    <w:basedOn w:val="DefaultParagraphFont"/>
    <w:link w:val="Header"/>
    <w:semiHidden/>
    <w:rsid w:val="00222940"/>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222940"/>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222940"/>
    <w:rPr>
      <w:rFonts w:ascii="Arial" w:eastAsia="Times New Roman" w:hAnsi="Arial" w:cs="Times New Roman"/>
      <w:color w:val="000000"/>
      <w:kern w:val="0"/>
      <w:sz w:val="20"/>
      <w:szCs w:val="20"/>
      <w:lang w:val="x-none" w:eastAsia="x-none"/>
      <w14:ligatures w14:val="none"/>
    </w:rPr>
  </w:style>
  <w:style w:type="paragraph" w:customStyle="1" w:styleId="Default">
    <w:name w:val="Default"/>
    <w:rsid w:val="00EE3AC0"/>
    <w:pPr>
      <w:autoSpaceDE w:val="0"/>
      <w:autoSpaceDN w:val="0"/>
      <w:adjustRightInd w:val="0"/>
      <w:spacing w:after="0" w:line="240" w:lineRule="auto"/>
    </w:pPr>
    <w:rPr>
      <w:rFonts w:ascii="Arial" w:hAnsi="Arial" w:cs="Arial"/>
      <w:color w:val="000000"/>
      <w:kern w:val="0"/>
    </w:rPr>
  </w:style>
  <w:style w:type="paragraph" w:styleId="NormalWeb">
    <w:name w:val="Normal (Web)"/>
    <w:basedOn w:val="Normal"/>
    <w:uiPriority w:val="99"/>
    <w:semiHidden/>
    <w:unhideWhenUsed/>
    <w:rsid w:val="001B77F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BookTitle">
    <w:name w:val="Book Title"/>
    <w:basedOn w:val="DefaultParagraphFont"/>
    <w:uiPriority w:val="33"/>
    <w:qFormat/>
    <w:rsid w:val="001046F9"/>
    <w:rPr>
      <w:b/>
      <w:bCs/>
      <w:i/>
      <w:iCs/>
      <w:spacing w:val="5"/>
    </w:rPr>
  </w:style>
  <w:style w:type="paragraph" w:styleId="Caption">
    <w:name w:val="caption"/>
    <w:basedOn w:val="Normal"/>
    <w:next w:val="Normal"/>
    <w:uiPriority w:val="35"/>
    <w:semiHidden/>
    <w:unhideWhenUsed/>
    <w:qFormat/>
    <w:rsid w:val="001046F9"/>
    <w:pPr>
      <w:spacing w:after="200"/>
    </w:pPr>
    <w:rPr>
      <w:i/>
      <w:iCs/>
      <w:color w:val="0E2841" w:themeColor="text2"/>
      <w:sz w:val="18"/>
      <w:szCs w:val="18"/>
    </w:rPr>
  </w:style>
  <w:style w:type="character" w:styleId="Emphasis">
    <w:name w:val="Emphasis"/>
    <w:basedOn w:val="DefaultParagraphFont"/>
    <w:uiPriority w:val="20"/>
    <w:qFormat/>
    <w:rsid w:val="001046F9"/>
    <w:rPr>
      <w:i/>
      <w:iCs/>
    </w:rPr>
  </w:style>
  <w:style w:type="paragraph" w:styleId="NoSpacing">
    <w:name w:val="No Spacing"/>
    <w:uiPriority w:val="1"/>
    <w:qFormat/>
    <w:rsid w:val="001046F9"/>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styleId="Strong">
    <w:name w:val="Strong"/>
    <w:basedOn w:val="DefaultParagraphFont"/>
    <w:uiPriority w:val="22"/>
    <w:qFormat/>
    <w:rsid w:val="001046F9"/>
    <w:rPr>
      <w:b/>
      <w:bCs/>
    </w:rPr>
  </w:style>
  <w:style w:type="character" w:styleId="SubtleEmphasis">
    <w:name w:val="Subtle Emphasis"/>
    <w:basedOn w:val="DefaultParagraphFont"/>
    <w:uiPriority w:val="19"/>
    <w:qFormat/>
    <w:rsid w:val="001046F9"/>
    <w:rPr>
      <w:i/>
      <w:iCs/>
      <w:color w:val="404040" w:themeColor="text1" w:themeTint="BF"/>
    </w:rPr>
  </w:style>
  <w:style w:type="character" w:styleId="SubtleReference">
    <w:name w:val="Subtle Reference"/>
    <w:basedOn w:val="DefaultParagraphFont"/>
    <w:uiPriority w:val="31"/>
    <w:qFormat/>
    <w:rsid w:val="001046F9"/>
    <w:rPr>
      <w:smallCaps/>
      <w:color w:val="5A5A5A" w:themeColor="text1" w:themeTint="A5"/>
    </w:rPr>
  </w:style>
  <w:style w:type="paragraph" w:styleId="TOCHeading">
    <w:name w:val="TOC Heading"/>
    <w:basedOn w:val="Heading1"/>
    <w:next w:val="Normal"/>
    <w:uiPriority w:val="39"/>
    <w:semiHidden/>
    <w:unhideWhenUsed/>
    <w:qFormat/>
    <w:rsid w:val="001046F9"/>
    <w:pPr>
      <w:overflowPunct w:val="0"/>
      <w:autoSpaceDE w:val="0"/>
      <w:autoSpaceDN w:val="0"/>
      <w:adjustRightInd w:val="0"/>
      <w:spacing w:before="240" w:after="0" w:line="240" w:lineRule="auto"/>
      <w:textAlignment w:val="baseline"/>
      <w:outlineLvl w:val="9"/>
    </w:pPr>
    <w:rPr>
      <w:kern w:val="0"/>
      <w:sz w:val="32"/>
      <w:szCs w:val="32"/>
      <w:lang w:eastAsia="en-GB"/>
      <w14:ligatures w14:val="none"/>
    </w:rPr>
  </w:style>
  <w:style w:type="paragraph" w:styleId="Revision">
    <w:name w:val="Revision"/>
    <w:hidden/>
    <w:uiPriority w:val="99"/>
    <w:semiHidden/>
    <w:rsid w:val="009A0340"/>
    <w:pPr>
      <w:spacing w:after="0" w:line="240" w:lineRule="auto"/>
    </w:pPr>
    <w:rPr>
      <w:rFonts w:ascii="Arial" w:eastAsia="Times New Roman" w:hAnsi="Arial" w:cs="Arial"/>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4871</Words>
  <Characters>30445</Characters>
  <Application>Microsoft Office Word</Application>
  <DocSecurity>0</DocSecurity>
  <Lines>661</Lines>
  <Paragraphs>152</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35164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Hatcher</dc:creator>
  <cp:keywords/>
  <dc:description/>
  <cp:lastModifiedBy>Sara Hatcher</cp:lastModifiedBy>
  <cp:revision>15</cp:revision>
  <cp:lastPrinted>2026-10-05T16:14:00Z</cp:lastPrinted>
  <dcterms:created xsi:type="dcterms:W3CDTF">2026-10-05T21:22:00Z</dcterms:created>
  <dcterms:modified xsi:type="dcterms:W3CDTF">2026-10-05T21:57:00Z</dcterms:modified>
</cp:coreProperties>
</file>