
<file path=[Content_Types].xml><?xml version="1.0" encoding="utf-8"?>
<Types xmlns="http://schemas.openxmlformats.org/package/2006/content-types">
  <Default Extension="jpeg" ContentType="image/jpeg"/>
  <Default Extension="jpg"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2.jpg" ContentType="image/jpeg"/>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E52B17" w14:textId="13425C0B" w:rsidR="00B92DAB" w:rsidRPr="000B0590" w:rsidRDefault="00B92DAB" w:rsidP="00117B4A">
      <w:pPr>
        <w:spacing w:line="360" w:lineRule="auto"/>
        <w:jc w:val="center"/>
        <w:rPr>
          <w:rFonts w:asciiTheme="minorHAnsi" w:hAnsiTheme="minorHAnsi" w:cstheme="minorHAnsi"/>
        </w:rPr>
      </w:pPr>
      <w:r w:rsidRPr="000B0590">
        <w:rPr>
          <w:rFonts w:asciiTheme="minorHAnsi" w:hAnsiTheme="minorHAnsi" w:cstheme="minorHAnsi"/>
        </w:rPr>
        <w:t>HPAH7014 - Site Analysis</w:t>
      </w:r>
    </w:p>
    <w:p w14:paraId="66B2BF82" w14:textId="77777777" w:rsidR="00B92DAB" w:rsidRPr="00117B4A" w:rsidRDefault="00B92DAB" w:rsidP="00117B4A">
      <w:pPr>
        <w:spacing w:line="360" w:lineRule="auto"/>
        <w:jc w:val="center"/>
        <w:rPr>
          <w:rFonts w:asciiTheme="minorHAnsi" w:hAnsiTheme="minorHAnsi" w:cstheme="minorHAnsi"/>
          <w:sz w:val="28"/>
          <w:szCs w:val="28"/>
        </w:rPr>
      </w:pPr>
      <w:r w:rsidRPr="00117B4A">
        <w:rPr>
          <w:rFonts w:asciiTheme="minorHAnsi" w:hAnsiTheme="minorHAnsi" w:cstheme="minorHAnsi"/>
          <w:sz w:val="28"/>
          <w:szCs w:val="28"/>
        </w:rPr>
        <w:t>Paphos</w:t>
      </w:r>
    </w:p>
    <w:p w14:paraId="473714FC" w14:textId="6B10C865" w:rsidR="00117B4A" w:rsidRPr="000B0590" w:rsidRDefault="00117B4A" w:rsidP="00117B4A">
      <w:pPr>
        <w:pStyle w:val="FootnoteText"/>
        <w:spacing w:after="120" w:line="360" w:lineRule="auto"/>
        <w:jc w:val="center"/>
        <w:rPr>
          <w:rFonts w:asciiTheme="minorHAnsi" w:hAnsiTheme="minorHAnsi" w:cstheme="minorHAnsi"/>
          <w:sz w:val="24"/>
          <w:szCs w:val="24"/>
        </w:rPr>
      </w:pPr>
      <w:r w:rsidRPr="00117B4A">
        <w:rPr>
          <w:rFonts w:asciiTheme="minorHAnsi" w:hAnsiTheme="minorHAnsi" w:cstheme="minorHAnsi"/>
          <w:i/>
          <w:iCs/>
          <w:sz w:val="24"/>
          <w:szCs w:val="24"/>
        </w:rPr>
        <w:t>Aphrodite Euploia always has been pleased to gaze from land across the glitter of the sea</w:t>
      </w:r>
      <w:r>
        <w:rPr>
          <w:rFonts w:asciiTheme="minorHAnsi" w:hAnsiTheme="minorHAnsi" w:cstheme="minorHAnsi"/>
          <w:sz w:val="24"/>
          <w:szCs w:val="24"/>
        </w:rPr>
        <w:t>.</w:t>
      </w:r>
      <w:r>
        <w:rPr>
          <w:rStyle w:val="FootnoteReference"/>
          <w:rFonts w:asciiTheme="minorHAnsi" w:hAnsiTheme="minorHAnsi" w:cstheme="minorHAnsi"/>
          <w:sz w:val="24"/>
          <w:szCs w:val="24"/>
        </w:rPr>
        <w:footnoteReference w:id="1"/>
      </w:r>
    </w:p>
    <w:p w14:paraId="61E5FAE0" w14:textId="721D14E1" w:rsidR="00B92DAB" w:rsidRPr="000B0590" w:rsidRDefault="00117B4A"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noProof/>
          <w:sz w:val="24"/>
          <w:szCs w:val="24"/>
        </w:rPr>
        <w:drawing>
          <wp:anchor distT="0" distB="0" distL="114300" distR="114300" simplePos="0" relativeHeight="251659264" behindDoc="0" locked="0" layoutInCell="1" allowOverlap="1" wp14:anchorId="1F116BDE" wp14:editId="55142481">
            <wp:simplePos x="0" y="0"/>
            <wp:positionH relativeFrom="margin">
              <wp:align>left</wp:align>
            </wp:positionH>
            <wp:positionV relativeFrom="paragraph">
              <wp:posOffset>2005965</wp:posOffset>
            </wp:positionV>
            <wp:extent cx="3220720" cy="2668905"/>
            <wp:effectExtent l="0" t="0" r="0" b="0"/>
            <wp:wrapSquare wrapText="bothSides"/>
            <wp:docPr id="41751850" name="Picture 1" descr="A map of cypru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1850" name="Picture 1" descr="A map of cyprus with black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20720" cy="2668905"/>
                    </a:xfrm>
                    <a:prstGeom prst="rect">
                      <a:avLst/>
                    </a:prstGeom>
                  </pic:spPr>
                </pic:pic>
              </a:graphicData>
            </a:graphic>
            <wp14:sizeRelH relativeFrom="page">
              <wp14:pctWidth>0</wp14:pctWidth>
            </wp14:sizeRelH>
            <wp14:sizeRelV relativeFrom="page">
              <wp14:pctHeight>0</wp14:pctHeight>
            </wp14:sizeRelV>
          </wp:anchor>
        </w:drawing>
      </w:r>
      <w:r w:rsidR="00B92DAB" w:rsidRPr="000B0590">
        <w:rPr>
          <w:rFonts w:asciiTheme="minorHAnsi" w:hAnsiTheme="minorHAnsi" w:cstheme="minorHAnsi"/>
          <w:sz w:val="24"/>
          <w:szCs w:val="24"/>
        </w:rPr>
        <w:t>This essay concludes a set on the broad theme of Goddess worship in Cyprus: it focuses primarily on the site now known as Palaepaphos</w:t>
      </w:r>
      <w:r w:rsidR="00B92DAB" w:rsidRPr="000B0590">
        <w:rPr>
          <w:rStyle w:val="FootnoteReference"/>
          <w:rFonts w:asciiTheme="minorHAnsi" w:hAnsiTheme="minorHAnsi" w:cstheme="minorHAnsi"/>
          <w:sz w:val="24"/>
          <w:szCs w:val="24"/>
        </w:rPr>
        <w:footnoteReference w:id="2"/>
      </w:r>
      <w:r w:rsidR="00B92DAB" w:rsidRPr="000B0590">
        <w:rPr>
          <w:rFonts w:asciiTheme="minorHAnsi" w:hAnsiTheme="minorHAnsi" w:cstheme="minorHAnsi"/>
          <w:sz w:val="24"/>
          <w:szCs w:val="24"/>
        </w:rPr>
        <w:t xml:space="preserve">, more specifically upon the sacred precinct of Aphrodite - </w:t>
      </w:r>
      <w:proofErr w:type="spellStart"/>
      <w:r w:rsidR="00B92DAB" w:rsidRPr="000B0590">
        <w:rPr>
          <w:rFonts w:asciiTheme="minorHAnsi" w:hAnsiTheme="minorHAnsi" w:cstheme="minorHAnsi"/>
          <w:sz w:val="24"/>
          <w:szCs w:val="24"/>
        </w:rPr>
        <w:t>Τέμενος</w:t>
      </w:r>
      <w:proofErr w:type="spellEnd"/>
      <w:r w:rsidR="00B92DAB" w:rsidRPr="000B0590">
        <w:rPr>
          <w:rFonts w:asciiTheme="minorHAnsi" w:hAnsiTheme="minorHAnsi" w:cstheme="minorHAnsi"/>
          <w:sz w:val="24"/>
          <w:szCs w:val="24"/>
        </w:rPr>
        <w:t xml:space="preserve"> </w:t>
      </w:r>
      <w:proofErr w:type="spellStart"/>
      <w:r w:rsidR="00B92DAB" w:rsidRPr="000B0590">
        <w:rPr>
          <w:rFonts w:asciiTheme="minorHAnsi" w:hAnsiTheme="minorHAnsi" w:cstheme="minorHAnsi"/>
          <w:sz w:val="24"/>
          <w:szCs w:val="24"/>
        </w:rPr>
        <w:t>Ἀφροδίτης</w:t>
      </w:r>
      <w:proofErr w:type="spellEnd"/>
      <w:r w:rsidR="00B92DAB" w:rsidRPr="000B0590">
        <w:rPr>
          <w:rFonts w:asciiTheme="minorHAnsi" w:hAnsiTheme="minorHAnsi" w:cstheme="minorHAnsi"/>
          <w:sz w:val="24"/>
          <w:szCs w:val="24"/>
        </w:rPr>
        <w:t xml:space="preserve">  (TA),</w:t>
      </w:r>
      <w:r w:rsidR="00EE46A1" w:rsidRPr="000B0590">
        <w:rPr>
          <w:rFonts w:asciiTheme="minorHAnsi" w:hAnsiTheme="minorHAnsi" w:cstheme="minorHAnsi"/>
          <w:sz w:val="24"/>
          <w:szCs w:val="24"/>
        </w:rPr>
        <w:t xml:space="preserve"> and some of the nearby sites</w:t>
      </w:r>
      <w:r w:rsidR="00B92DAB" w:rsidRPr="000B0590">
        <w:rPr>
          <w:rFonts w:asciiTheme="minorHAnsi" w:hAnsiTheme="minorHAnsi" w:cstheme="minorHAnsi"/>
          <w:sz w:val="24"/>
          <w:szCs w:val="24"/>
        </w:rPr>
        <w:t xml:space="preserve"> in the context of a larger sacred landscape, in the broader scope of western Cyprus.</w:t>
      </w:r>
      <w:r w:rsidR="00F135D8" w:rsidRPr="000B0590">
        <w:rPr>
          <w:rFonts w:asciiTheme="minorHAnsi" w:hAnsiTheme="minorHAnsi" w:cstheme="minorHAnsi"/>
          <w:sz w:val="24"/>
          <w:szCs w:val="24"/>
        </w:rPr>
        <w:t xml:space="preserve"> The concept of ‘sacred landscape’ is currently “very popular” in archaeology.</w:t>
      </w:r>
      <w:r w:rsidR="00F135D8" w:rsidRPr="000B0590">
        <w:rPr>
          <w:rStyle w:val="FootnoteReference"/>
          <w:rFonts w:asciiTheme="minorHAnsi" w:hAnsiTheme="minorHAnsi" w:cstheme="minorHAnsi"/>
          <w:sz w:val="24"/>
          <w:szCs w:val="24"/>
        </w:rPr>
        <w:footnoteReference w:id="3"/>
      </w:r>
      <w:r w:rsidR="00F135D8" w:rsidRPr="000B0590">
        <w:rPr>
          <w:rFonts w:asciiTheme="minorHAnsi" w:hAnsiTheme="minorHAnsi" w:cstheme="minorHAnsi"/>
          <w:sz w:val="24"/>
          <w:szCs w:val="24"/>
        </w:rPr>
        <w:t xml:space="preserve"> This essay, however, uses </w:t>
      </w:r>
      <w:r w:rsidR="003D4FF7" w:rsidRPr="000B0590">
        <w:rPr>
          <w:rFonts w:asciiTheme="minorHAnsi" w:hAnsiTheme="minorHAnsi" w:cstheme="minorHAnsi"/>
          <w:sz w:val="24"/>
          <w:szCs w:val="24"/>
        </w:rPr>
        <w:t xml:space="preserve">the terminology of sacredness principally within a rather different problematic of </w:t>
      </w:r>
      <w:proofErr w:type="spellStart"/>
      <w:r w:rsidR="00737E6B">
        <w:rPr>
          <w:rFonts w:asciiTheme="minorHAnsi" w:hAnsiTheme="minorHAnsi" w:cstheme="minorHAnsi"/>
          <w:sz w:val="24"/>
          <w:szCs w:val="24"/>
        </w:rPr>
        <w:t>P</w:t>
      </w:r>
      <w:r w:rsidR="003D4FF7" w:rsidRPr="000B0590">
        <w:rPr>
          <w:rFonts w:asciiTheme="minorHAnsi" w:hAnsiTheme="minorHAnsi" w:cstheme="minorHAnsi"/>
          <w:sz w:val="24"/>
          <w:szCs w:val="24"/>
        </w:rPr>
        <w:t>olytheology</w:t>
      </w:r>
      <w:proofErr w:type="spellEnd"/>
      <w:r w:rsidR="003D4FF7" w:rsidRPr="000B0590">
        <w:rPr>
          <w:rFonts w:asciiTheme="minorHAnsi" w:hAnsiTheme="minorHAnsi" w:cstheme="minorHAnsi"/>
          <w:sz w:val="24"/>
          <w:szCs w:val="24"/>
        </w:rPr>
        <w:t>.</w:t>
      </w:r>
      <w:r w:rsidR="003D4FF7" w:rsidRPr="000B0590">
        <w:rPr>
          <w:rStyle w:val="FootnoteReference"/>
          <w:rFonts w:asciiTheme="minorHAnsi" w:hAnsiTheme="minorHAnsi" w:cstheme="minorHAnsi"/>
          <w:sz w:val="24"/>
          <w:szCs w:val="24"/>
        </w:rPr>
        <w:footnoteReference w:id="4"/>
      </w:r>
    </w:p>
    <w:p w14:paraId="4ED63D83" w14:textId="02232C87" w:rsidR="00B92DAB" w:rsidRPr="000B0590" w:rsidRDefault="00B92DAB" w:rsidP="00F22994">
      <w:pPr>
        <w:pStyle w:val="FootnoteText"/>
        <w:spacing w:after="120" w:line="360" w:lineRule="auto"/>
        <w:rPr>
          <w:rFonts w:asciiTheme="minorHAnsi" w:hAnsiTheme="minorHAnsi" w:cstheme="minorHAnsi"/>
          <w:sz w:val="24"/>
          <w:szCs w:val="24"/>
        </w:rPr>
      </w:pPr>
    </w:p>
    <w:p w14:paraId="0C02B823" w14:textId="7FFCED56" w:rsidR="00B92DAB"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i/>
          <w:iCs/>
          <w:sz w:val="24"/>
          <w:szCs w:val="24"/>
        </w:rPr>
        <w:t>Map of Cyprus showing some historical sites.</w:t>
      </w:r>
      <w:r w:rsidRPr="000B0590">
        <w:rPr>
          <w:rStyle w:val="FootnoteReference"/>
          <w:rFonts w:asciiTheme="minorHAnsi" w:hAnsiTheme="minorHAnsi" w:cstheme="minorHAnsi"/>
          <w:sz w:val="24"/>
          <w:szCs w:val="24"/>
        </w:rPr>
        <w:t xml:space="preserve"> </w:t>
      </w:r>
      <w:r w:rsidRPr="000B0590">
        <w:rPr>
          <w:rStyle w:val="FootnoteReference"/>
          <w:rFonts w:asciiTheme="minorHAnsi" w:hAnsiTheme="minorHAnsi" w:cstheme="minorHAnsi"/>
          <w:sz w:val="24"/>
          <w:szCs w:val="24"/>
        </w:rPr>
        <w:footnoteReference w:id="5"/>
      </w:r>
      <w:r w:rsidRPr="000B0590">
        <w:rPr>
          <w:rFonts w:asciiTheme="minorHAnsi" w:hAnsiTheme="minorHAnsi" w:cstheme="minorHAnsi"/>
          <w:i/>
          <w:iCs/>
          <w:sz w:val="24"/>
          <w:szCs w:val="24"/>
        </w:rPr>
        <w:t xml:space="preserve"> Paphos is in the southwest, the two sites </w:t>
      </w:r>
      <w:proofErr w:type="spellStart"/>
      <w:r w:rsidRPr="000B0590">
        <w:rPr>
          <w:rFonts w:asciiTheme="minorHAnsi" w:hAnsiTheme="minorHAnsi" w:cstheme="minorHAnsi"/>
          <w:i/>
          <w:iCs/>
          <w:sz w:val="24"/>
          <w:szCs w:val="24"/>
        </w:rPr>
        <w:t>Neapaphos</w:t>
      </w:r>
      <w:proofErr w:type="spellEnd"/>
      <w:r w:rsidR="003D4FF7" w:rsidRPr="000B0590">
        <w:rPr>
          <w:rFonts w:asciiTheme="minorHAnsi" w:hAnsiTheme="minorHAnsi" w:cstheme="minorHAnsi"/>
          <w:i/>
          <w:iCs/>
          <w:sz w:val="24"/>
          <w:szCs w:val="24"/>
        </w:rPr>
        <w:t xml:space="preserve"> </w:t>
      </w:r>
      <w:r w:rsidRPr="000B0590">
        <w:rPr>
          <w:rFonts w:asciiTheme="minorHAnsi" w:hAnsiTheme="minorHAnsi" w:cstheme="minorHAnsi"/>
          <w:i/>
          <w:iCs/>
          <w:sz w:val="24"/>
          <w:szCs w:val="24"/>
        </w:rPr>
        <w:t xml:space="preserve"> (‘New Paphos’) and Palaepaphos (‘Old Paphos’) approximately 17 km apart</w:t>
      </w:r>
      <w:r w:rsidRPr="000B0590">
        <w:rPr>
          <w:rFonts w:asciiTheme="minorHAnsi" w:hAnsiTheme="minorHAnsi" w:cstheme="minorHAnsi"/>
          <w:sz w:val="24"/>
          <w:szCs w:val="24"/>
        </w:rPr>
        <w:t>.</w:t>
      </w:r>
    </w:p>
    <w:p w14:paraId="5F5EDF9E"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55B5A67C"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34C0C714"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574EE1EE" w14:textId="3AA7D719" w:rsidR="00AF137F" w:rsidRPr="000B0590" w:rsidRDefault="00B92DAB" w:rsidP="00AF137F">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From the beginning of Greek literature, around 700 BCE, Paphos has been known as the primary locus of Aphrodite. Hesiod tells us that She came into being from a white foam after the genitals of Ouranos fell into the sea;</w:t>
      </w:r>
      <w:r w:rsidRPr="000B0590">
        <w:rPr>
          <w:rStyle w:val="FootnoteReference"/>
          <w:rFonts w:asciiTheme="minorHAnsi" w:hAnsiTheme="minorHAnsi" w:cstheme="minorHAnsi"/>
          <w:sz w:val="24"/>
          <w:szCs w:val="24"/>
        </w:rPr>
        <w:footnoteReference w:id="6"/>
      </w:r>
      <w:r w:rsidRPr="000B0590">
        <w:rPr>
          <w:rFonts w:asciiTheme="minorHAnsi" w:hAnsiTheme="minorHAnsi" w:cstheme="minorHAnsi"/>
          <w:sz w:val="24"/>
          <w:szCs w:val="24"/>
        </w:rPr>
        <w:t xml:space="preserve"> She first “drew near to Holy Kythera”</w:t>
      </w:r>
      <w:r w:rsidRPr="000B0590">
        <w:rPr>
          <w:rStyle w:val="FootnoteReference"/>
          <w:rFonts w:asciiTheme="minorHAnsi" w:hAnsiTheme="minorHAnsi" w:cstheme="minorHAnsi"/>
          <w:sz w:val="24"/>
          <w:szCs w:val="24"/>
        </w:rPr>
        <w:footnoteReference w:id="7"/>
      </w:r>
      <w:r w:rsidRPr="000B0590">
        <w:rPr>
          <w:rFonts w:asciiTheme="minorHAnsi" w:hAnsiTheme="minorHAnsi" w:cstheme="minorHAnsi"/>
          <w:sz w:val="24"/>
          <w:szCs w:val="24"/>
        </w:rPr>
        <w:t xml:space="preserve"> and thence came to land at “sea-girt Cyprus”, from which Hesiod gives Her the title of </w:t>
      </w:r>
      <w:proofErr w:type="spellStart"/>
      <w:r w:rsidRPr="000B0590">
        <w:rPr>
          <w:rFonts w:asciiTheme="minorHAnsi" w:hAnsiTheme="minorHAnsi" w:cstheme="minorHAnsi"/>
          <w:sz w:val="24"/>
          <w:szCs w:val="24"/>
        </w:rPr>
        <w:t>Kyprogenia</w:t>
      </w:r>
      <w:proofErr w:type="spellEnd"/>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8"/>
      </w:r>
      <w:r w:rsidRPr="000B0590">
        <w:rPr>
          <w:rFonts w:asciiTheme="minorHAnsi" w:hAnsiTheme="minorHAnsi" w:cstheme="minorHAnsi"/>
          <w:sz w:val="24"/>
          <w:szCs w:val="24"/>
        </w:rPr>
        <w:t xml:space="preserve"> In </w:t>
      </w:r>
      <w:r w:rsidRPr="000B0590">
        <w:rPr>
          <w:rFonts w:asciiTheme="minorHAnsi" w:hAnsiTheme="minorHAnsi" w:cstheme="minorHAnsi"/>
          <w:i/>
          <w:iCs/>
          <w:sz w:val="24"/>
          <w:szCs w:val="24"/>
        </w:rPr>
        <w:t>Odyssey</w:t>
      </w:r>
      <w:r w:rsidRPr="000B0590">
        <w:rPr>
          <w:rFonts w:asciiTheme="minorHAnsi" w:hAnsiTheme="minorHAnsi" w:cstheme="minorHAnsi"/>
          <w:sz w:val="24"/>
          <w:szCs w:val="24"/>
        </w:rPr>
        <w:t>, Homer tells us She went specifically to “Paphos, where is her demesne and fragrant altar”.</w:t>
      </w:r>
      <w:r w:rsidRPr="000B0590">
        <w:rPr>
          <w:rStyle w:val="FootnoteReference"/>
          <w:rFonts w:asciiTheme="minorHAnsi" w:hAnsiTheme="minorHAnsi" w:cstheme="minorHAnsi"/>
          <w:sz w:val="24"/>
          <w:szCs w:val="24"/>
        </w:rPr>
        <w:footnoteReference w:id="9"/>
      </w:r>
      <w:r w:rsidRPr="000B0590">
        <w:rPr>
          <w:rFonts w:asciiTheme="minorHAnsi" w:hAnsiTheme="minorHAnsi" w:cstheme="minorHAnsi"/>
          <w:sz w:val="24"/>
          <w:szCs w:val="24"/>
        </w:rPr>
        <w:t xml:space="preserve"> The classical account has a typical ‘mythological paradox’ in that Aphrodite’s Paphos precinct seems to exist prior to Her own ‘birth’.</w:t>
      </w:r>
      <w:r w:rsidR="00737E6B">
        <w:rPr>
          <w:rStyle w:val="FootnoteReference"/>
          <w:rFonts w:asciiTheme="minorHAnsi" w:hAnsiTheme="minorHAnsi" w:cstheme="minorHAnsi"/>
          <w:sz w:val="24"/>
          <w:szCs w:val="24"/>
        </w:rPr>
        <w:footnoteReference w:id="10"/>
      </w:r>
      <w:r w:rsidRPr="000B0590">
        <w:rPr>
          <w:rFonts w:asciiTheme="minorHAnsi" w:hAnsiTheme="minorHAnsi" w:cstheme="minorHAnsi"/>
          <w:sz w:val="24"/>
          <w:szCs w:val="24"/>
        </w:rPr>
        <w:t xml:space="preserve"> Certainly the sanctuary at Palaepaphos did exist long before the time of Homer and Hesiod: subsequent ancient authors discuss its founding in the language of legend, tales related without much possibility of material confirmation</w:t>
      </w:r>
      <w:r w:rsidR="00AF137F" w:rsidRPr="000B0590">
        <w:rPr>
          <w:rFonts w:asciiTheme="minorHAnsi" w:hAnsiTheme="minorHAnsi" w:cstheme="minorHAnsi"/>
          <w:sz w:val="24"/>
          <w:szCs w:val="24"/>
        </w:rPr>
        <w:t xml:space="preserve">, </w:t>
      </w:r>
      <w:r w:rsidRPr="000B0590">
        <w:rPr>
          <w:rFonts w:asciiTheme="minorHAnsi" w:hAnsiTheme="minorHAnsi" w:cstheme="minorHAnsi"/>
          <w:sz w:val="24"/>
          <w:szCs w:val="24"/>
        </w:rPr>
        <w:t>generally involv</w:t>
      </w:r>
      <w:r w:rsidR="00AF137F" w:rsidRPr="000B0590">
        <w:rPr>
          <w:rFonts w:asciiTheme="minorHAnsi" w:hAnsiTheme="minorHAnsi" w:cstheme="minorHAnsi"/>
          <w:sz w:val="24"/>
          <w:szCs w:val="24"/>
        </w:rPr>
        <w:t>ing</w:t>
      </w:r>
      <w:r w:rsidRPr="000B0590">
        <w:rPr>
          <w:rFonts w:asciiTheme="minorHAnsi" w:hAnsiTheme="minorHAnsi" w:cstheme="minorHAnsi"/>
          <w:sz w:val="24"/>
          <w:szCs w:val="24"/>
        </w:rPr>
        <w:t xml:space="preserve"> the time around the Trojan War</w:t>
      </w:r>
      <w:r w:rsidR="00737E6B">
        <w:rPr>
          <w:rFonts w:asciiTheme="minorHAnsi" w:hAnsiTheme="minorHAnsi" w:cstheme="minorHAnsi"/>
          <w:sz w:val="24"/>
          <w:szCs w:val="24"/>
        </w:rPr>
        <w:t xml:space="preserve"> (that is, Late Bronze Age)</w:t>
      </w:r>
      <w:r w:rsidR="00AF137F" w:rsidRPr="000B0590">
        <w:rPr>
          <w:rFonts w:asciiTheme="minorHAnsi" w:hAnsiTheme="minorHAnsi" w:cstheme="minorHAnsi"/>
          <w:sz w:val="24"/>
          <w:szCs w:val="24"/>
        </w:rPr>
        <w:t>.</w:t>
      </w:r>
      <w:r w:rsidRPr="000B0590">
        <w:rPr>
          <w:rFonts w:asciiTheme="minorHAnsi" w:hAnsiTheme="minorHAnsi" w:cstheme="minorHAnsi"/>
          <w:sz w:val="24"/>
          <w:szCs w:val="24"/>
        </w:rPr>
        <w:t xml:space="preserve"> J. Karageorghis adopts a Euhemerist position: “Mythology most certainly has its roots in history”</w:t>
      </w:r>
      <w:r w:rsidRPr="000B0590">
        <w:rPr>
          <w:rStyle w:val="FootnoteReference"/>
          <w:rFonts w:asciiTheme="minorHAnsi" w:hAnsiTheme="minorHAnsi" w:cstheme="minorHAnsi"/>
          <w:sz w:val="24"/>
          <w:szCs w:val="24"/>
        </w:rPr>
        <w:footnoteReference w:id="11"/>
      </w:r>
      <w:r w:rsidRPr="000B0590">
        <w:rPr>
          <w:rFonts w:asciiTheme="minorHAnsi" w:hAnsiTheme="minorHAnsi" w:cstheme="minorHAnsi"/>
          <w:sz w:val="24"/>
          <w:szCs w:val="24"/>
        </w:rPr>
        <w:t xml:space="preserve"> but fails to go beyond that idea.</w:t>
      </w:r>
      <w:r w:rsidR="00AF137F" w:rsidRPr="000B0590">
        <w:rPr>
          <w:rFonts w:asciiTheme="minorHAnsi" w:hAnsiTheme="minorHAnsi" w:cstheme="minorHAnsi"/>
          <w:sz w:val="24"/>
          <w:szCs w:val="24"/>
        </w:rPr>
        <w:t xml:space="preserve"> </w:t>
      </w:r>
    </w:p>
    <w:p w14:paraId="4BBA8983" w14:textId="77777777" w:rsidR="00AF137F" w:rsidRPr="000B0590" w:rsidRDefault="00AF137F" w:rsidP="00AF137F">
      <w:pPr>
        <w:pStyle w:val="FootnoteText"/>
        <w:spacing w:after="120" w:line="360" w:lineRule="auto"/>
        <w:rPr>
          <w:rFonts w:asciiTheme="minorHAnsi" w:hAnsiTheme="minorHAnsi" w:cstheme="minorHAnsi"/>
          <w:sz w:val="24"/>
          <w:szCs w:val="24"/>
        </w:rPr>
      </w:pPr>
    </w:p>
    <w:p w14:paraId="27AF208F" w14:textId="579AF05F" w:rsidR="00AF137F" w:rsidRPr="000B0590" w:rsidRDefault="00AF137F" w:rsidP="00AF137F">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As a city, the foundation date of the city of Palaepaphos is now set about 1600 BCE</w:t>
      </w:r>
      <w:r w:rsidRPr="000B0590">
        <w:rPr>
          <w:rStyle w:val="FootnoteReference"/>
          <w:rFonts w:asciiTheme="minorHAnsi" w:hAnsiTheme="minorHAnsi" w:cstheme="minorHAnsi"/>
          <w:sz w:val="24"/>
          <w:szCs w:val="24"/>
        </w:rPr>
        <w:footnoteReference w:id="12"/>
      </w:r>
      <w:r w:rsidRPr="000B0590">
        <w:rPr>
          <w:rFonts w:asciiTheme="minorHAnsi" w:hAnsiTheme="minorHAnsi" w:cstheme="minorHAnsi"/>
          <w:sz w:val="24"/>
          <w:szCs w:val="24"/>
        </w:rPr>
        <w:t xml:space="preserve">. The site is located </w:t>
      </w:r>
      <w:r w:rsidR="00944B8C">
        <w:rPr>
          <w:rFonts w:asciiTheme="minorHAnsi" w:hAnsiTheme="minorHAnsi" w:cstheme="minorHAnsi"/>
          <w:sz w:val="24"/>
          <w:szCs w:val="24"/>
        </w:rPr>
        <w:t xml:space="preserve">on a minor plateau </w:t>
      </w:r>
      <w:r w:rsidRPr="000B0590">
        <w:rPr>
          <w:rFonts w:asciiTheme="minorHAnsi" w:hAnsiTheme="minorHAnsi" w:cstheme="minorHAnsi"/>
          <w:sz w:val="24"/>
          <w:szCs w:val="24"/>
        </w:rPr>
        <w:t xml:space="preserve">at about 80m above sea level, having a good defensive position with respect to the coastal plain and a year-round water supply from </w:t>
      </w:r>
      <w:proofErr w:type="spellStart"/>
      <w:r w:rsidRPr="000B0590">
        <w:rPr>
          <w:rFonts w:asciiTheme="minorHAnsi" w:hAnsiTheme="minorHAnsi" w:cstheme="minorHAnsi"/>
          <w:sz w:val="24"/>
          <w:szCs w:val="24"/>
        </w:rPr>
        <w:t>Dhiarizos</w:t>
      </w:r>
      <w:proofErr w:type="spellEnd"/>
      <w:r w:rsidRPr="000B0590">
        <w:rPr>
          <w:rFonts w:asciiTheme="minorHAnsi" w:hAnsiTheme="minorHAnsi" w:cstheme="minorHAnsi"/>
          <w:sz w:val="24"/>
          <w:szCs w:val="24"/>
        </w:rPr>
        <w:t xml:space="preserve"> river. With the absence of any readable texts of the period it is impossible to ascertain any concepts of sacredness </w:t>
      </w:r>
      <w:r w:rsidR="00240C74">
        <w:rPr>
          <w:rFonts w:asciiTheme="minorHAnsi" w:hAnsiTheme="minorHAnsi" w:cstheme="minorHAnsi"/>
          <w:sz w:val="24"/>
          <w:szCs w:val="24"/>
        </w:rPr>
        <w:t>understood by the founders.</w:t>
      </w:r>
      <w:r w:rsidRPr="000B0590">
        <w:rPr>
          <w:rFonts w:asciiTheme="minorHAnsi" w:hAnsiTheme="minorHAnsi" w:cstheme="minorHAnsi"/>
          <w:sz w:val="24"/>
          <w:szCs w:val="24"/>
        </w:rPr>
        <w:t xml:space="preserve"> </w:t>
      </w:r>
    </w:p>
    <w:p w14:paraId="5C8EACFD" w14:textId="77777777" w:rsidR="00AF137F" w:rsidRPr="000B0590" w:rsidRDefault="00AF137F" w:rsidP="00AF137F">
      <w:pPr>
        <w:pStyle w:val="FootnoteText"/>
        <w:spacing w:after="120" w:line="360" w:lineRule="auto"/>
        <w:rPr>
          <w:rFonts w:asciiTheme="minorHAnsi" w:hAnsiTheme="minorHAnsi" w:cstheme="minorHAnsi"/>
          <w:sz w:val="24"/>
          <w:szCs w:val="24"/>
        </w:rPr>
      </w:pPr>
    </w:p>
    <w:p w14:paraId="5E4D8F3A" w14:textId="6CD50846" w:rsidR="00AF137F" w:rsidRPr="000B0590" w:rsidRDefault="00AF137F" w:rsidP="00AF137F">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noProof/>
          <w:sz w:val="24"/>
          <w:szCs w:val="24"/>
        </w:rPr>
        <w:drawing>
          <wp:inline distT="0" distB="0" distL="0" distR="0" wp14:anchorId="43AB61A9" wp14:editId="461F21BC">
            <wp:extent cx="6080078" cy="7389316"/>
            <wp:effectExtent l="0" t="0" r="0" b="2540"/>
            <wp:docPr id="16598467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846774" name="Picture 1659846774"/>
                    <pic:cNvPicPr/>
                  </pic:nvPicPr>
                  <pic:blipFill rotWithShape="1">
                    <a:blip r:embed="rId7">
                      <a:extLst>
                        <a:ext uri="{28A0092B-C50C-407E-A947-70E740481C1C}">
                          <a14:useLocalDpi xmlns:a14="http://schemas.microsoft.com/office/drawing/2010/main" val="0"/>
                        </a:ext>
                      </a:extLst>
                    </a:blip>
                    <a:srcRect t="3842"/>
                    <a:stretch>
                      <a:fillRect/>
                    </a:stretch>
                  </pic:blipFill>
                  <pic:spPr bwMode="auto">
                    <a:xfrm>
                      <a:off x="0" y="0"/>
                      <a:ext cx="6094059" cy="7406308"/>
                    </a:xfrm>
                    <a:prstGeom prst="rect">
                      <a:avLst/>
                    </a:prstGeom>
                    <a:ln>
                      <a:noFill/>
                    </a:ln>
                    <a:extLst>
                      <a:ext uri="{53640926-AAD7-44D8-BBD7-CCE9431645EC}">
                        <a14:shadowObscured xmlns:a14="http://schemas.microsoft.com/office/drawing/2010/main"/>
                      </a:ext>
                    </a:extLst>
                  </pic:spPr>
                </pic:pic>
              </a:graphicData>
            </a:graphic>
          </wp:inline>
        </w:drawing>
      </w:r>
    </w:p>
    <w:p w14:paraId="08EA1169" w14:textId="77777777" w:rsidR="003D4FF7" w:rsidRPr="000B0590" w:rsidRDefault="003D4FF7" w:rsidP="00F22994">
      <w:pPr>
        <w:pStyle w:val="FootnoteText"/>
        <w:spacing w:after="120" w:line="360" w:lineRule="auto"/>
        <w:jc w:val="center"/>
        <w:rPr>
          <w:rFonts w:asciiTheme="minorHAnsi" w:hAnsiTheme="minorHAnsi" w:cstheme="minorHAnsi"/>
          <w:sz w:val="24"/>
          <w:szCs w:val="24"/>
        </w:rPr>
      </w:pPr>
      <w:r w:rsidRPr="000B0590">
        <w:rPr>
          <w:rFonts w:asciiTheme="minorHAnsi" w:hAnsiTheme="minorHAnsi" w:cstheme="minorHAnsi"/>
          <w:i/>
          <w:iCs/>
          <w:sz w:val="24"/>
          <w:szCs w:val="24"/>
        </w:rPr>
        <w:t>Archaeological map of area approx. 1 km radius of Palaepaphos-</w:t>
      </w:r>
      <w:proofErr w:type="spellStart"/>
      <w:r w:rsidRPr="000B0590">
        <w:rPr>
          <w:rFonts w:asciiTheme="minorHAnsi" w:hAnsiTheme="minorHAnsi" w:cstheme="minorHAnsi"/>
          <w:i/>
          <w:iCs/>
          <w:sz w:val="24"/>
          <w:szCs w:val="24"/>
        </w:rPr>
        <w:t>Kouklia</w:t>
      </w:r>
      <w:proofErr w:type="spellEnd"/>
      <w:r w:rsidRPr="000B0590">
        <w:rPr>
          <w:rStyle w:val="FootnoteReference"/>
          <w:rFonts w:asciiTheme="minorHAnsi" w:hAnsiTheme="minorHAnsi" w:cstheme="minorHAnsi"/>
          <w:sz w:val="24"/>
          <w:szCs w:val="24"/>
        </w:rPr>
        <w:footnoteReference w:id="13"/>
      </w:r>
    </w:p>
    <w:p w14:paraId="28A7ADBE" w14:textId="77777777" w:rsidR="00737E6B" w:rsidRDefault="00AF137F"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lastRenderedPageBreak/>
        <w:t xml:space="preserve">Iacovou argues that the site was much closer to </w:t>
      </w:r>
      <w:r w:rsidR="00F22994" w:rsidRPr="000B0590">
        <w:rPr>
          <w:rFonts w:asciiTheme="minorHAnsi" w:hAnsiTheme="minorHAnsi" w:cstheme="minorHAnsi"/>
          <w:sz w:val="24"/>
          <w:szCs w:val="24"/>
        </w:rPr>
        <w:t>the shore than currently and that the establishment of a port made (Palae-)Paphos the prime focus for the cop</w:t>
      </w:r>
      <w:r w:rsidR="00A37224" w:rsidRPr="000B0590">
        <w:rPr>
          <w:rFonts w:asciiTheme="minorHAnsi" w:hAnsiTheme="minorHAnsi" w:cstheme="minorHAnsi"/>
          <w:sz w:val="24"/>
          <w:szCs w:val="24"/>
        </w:rPr>
        <w:t>p</w:t>
      </w:r>
      <w:r w:rsidR="00F22994" w:rsidRPr="000B0590">
        <w:rPr>
          <w:rFonts w:asciiTheme="minorHAnsi" w:hAnsiTheme="minorHAnsi" w:cstheme="minorHAnsi"/>
          <w:sz w:val="24"/>
          <w:szCs w:val="24"/>
        </w:rPr>
        <w:t>er industry of western Cyprus.</w:t>
      </w:r>
      <w:r w:rsidR="00FE0FB9" w:rsidRPr="000B0590">
        <w:rPr>
          <w:rStyle w:val="FootnoteReference"/>
          <w:rFonts w:asciiTheme="minorHAnsi" w:hAnsiTheme="minorHAnsi" w:cstheme="minorHAnsi"/>
          <w:sz w:val="24"/>
          <w:szCs w:val="24"/>
        </w:rPr>
        <w:footnoteReference w:id="14"/>
      </w:r>
      <w:r w:rsidRPr="000B0590">
        <w:rPr>
          <w:rFonts w:asciiTheme="minorHAnsi" w:hAnsiTheme="minorHAnsi" w:cstheme="minorHAnsi"/>
          <w:sz w:val="24"/>
          <w:szCs w:val="24"/>
        </w:rPr>
        <w:t xml:space="preserve"> </w:t>
      </w:r>
    </w:p>
    <w:p w14:paraId="64DF0D67" w14:textId="6424B690" w:rsidR="00737E6B" w:rsidRDefault="00737E6B" w:rsidP="00737E6B">
      <w:pPr>
        <w:pStyle w:val="FootnoteText"/>
        <w:spacing w:after="120"/>
        <w:rPr>
          <w:rFonts w:asciiTheme="minorHAnsi" w:hAnsiTheme="minorHAnsi" w:cstheme="minorHAnsi"/>
          <w:sz w:val="24"/>
          <w:szCs w:val="24"/>
        </w:rPr>
      </w:pPr>
      <w:r w:rsidRPr="00737E6B">
        <w:rPr>
          <w:rFonts w:asciiTheme="minorHAnsi" w:hAnsiTheme="minorHAnsi" w:cstheme="minorHAnsi"/>
          <w:i/>
          <w:iCs/>
          <w:noProof/>
          <w:sz w:val="24"/>
          <w:szCs w:val="24"/>
        </w:rPr>
        <w:drawing>
          <wp:anchor distT="0" distB="0" distL="114300" distR="114300" simplePos="0" relativeHeight="251671552" behindDoc="0" locked="0" layoutInCell="1" allowOverlap="1" wp14:anchorId="085BE76E" wp14:editId="0E38D00A">
            <wp:simplePos x="0" y="0"/>
            <wp:positionH relativeFrom="column">
              <wp:posOffset>0</wp:posOffset>
            </wp:positionH>
            <wp:positionV relativeFrom="paragraph">
              <wp:posOffset>1270</wp:posOffset>
            </wp:positionV>
            <wp:extent cx="3658145" cy="2599899"/>
            <wp:effectExtent l="0" t="0" r="0" b="0"/>
            <wp:wrapSquare wrapText="bothSides"/>
            <wp:docPr id="698492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8145" cy="2599899"/>
                    </a:xfrm>
                    <a:prstGeom prst="rect">
                      <a:avLst/>
                    </a:prstGeom>
                    <a:noFill/>
                    <a:ln>
                      <a:noFill/>
                    </a:ln>
                  </pic:spPr>
                </pic:pic>
              </a:graphicData>
            </a:graphic>
          </wp:anchor>
        </w:drawing>
      </w:r>
      <w:r w:rsidRPr="00737E6B">
        <w:rPr>
          <w:rFonts w:asciiTheme="minorHAnsi" w:hAnsiTheme="minorHAnsi" w:cstheme="minorHAnsi"/>
          <w:i/>
          <w:iCs/>
          <w:sz w:val="24"/>
          <w:szCs w:val="24"/>
        </w:rPr>
        <w:t xml:space="preserve">Map indicating coastal </w:t>
      </w:r>
      <w:r w:rsidR="00B96BEE">
        <w:rPr>
          <w:rFonts w:asciiTheme="minorHAnsi" w:hAnsiTheme="minorHAnsi" w:cstheme="minorHAnsi"/>
          <w:i/>
          <w:iCs/>
          <w:sz w:val="24"/>
          <w:szCs w:val="24"/>
        </w:rPr>
        <w:t xml:space="preserve">sedimentation </w:t>
      </w:r>
      <w:r w:rsidRPr="00737E6B">
        <w:rPr>
          <w:rFonts w:asciiTheme="minorHAnsi" w:hAnsiTheme="minorHAnsi" w:cstheme="minorHAnsi"/>
          <w:i/>
          <w:iCs/>
          <w:sz w:val="24"/>
          <w:szCs w:val="24"/>
        </w:rPr>
        <w:t>(brown) since the Late Bronze Age foundation of Palaepaphos.</w:t>
      </w:r>
      <w:r w:rsidRPr="00737E6B">
        <w:rPr>
          <w:rStyle w:val="FootnoteReference"/>
          <w:rFonts w:asciiTheme="minorHAnsi" w:hAnsiTheme="minorHAnsi" w:cstheme="minorHAnsi"/>
          <w:i/>
          <w:iCs/>
          <w:sz w:val="24"/>
          <w:szCs w:val="24"/>
        </w:rPr>
        <w:footnoteReference w:id="15"/>
      </w:r>
      <w:r w:rsidRPr="00737E6B">
        <w:rPr>
          <w:rFonts w:asciiTheme="minorHAnsi" w:hAnsiTheme="minorHAnsi" w:cstheme="minorHAnsi"/>
          <w:i/>
          <w:iCs/>
          <w:sz w:val="24"/>
          <w:szCs w:val="24"/>
        </w:rPr>
        <w:t xml:space="preserve"> (unscaled, shows </w:t>
      </w:r>
      <w:r>
        <w:rPr>
          <w:rFonts w:asciiTheme="minorHAnsi" w:hAnsiTheme="minorHAnsi" w:cstheme="minorHAnsi"/>
          <w:i/>
          <w:iCs/>
          <w:sz w:val="24"/>
          <w:szCs w:val="24"/>
        </w:rPr>
        <w:t xml:space="preserve">approx. </w:t>
      </w:r>
      <w:r w:rsidRPr="00737E6B">
        <w:rPr>
          <w:rFonts w:asciiTheme="minorHAnsi" w:hAnsiTheme="minorHAnsi" w:cstheme="minorHAnsi"/>
          <w:i/>
          <w:iCs/>
          <w:sz w:val="24"/>
          <w:szCs w:val="24"/>
        </w:rPr>
        <w:t>1 km from TA)</w:t>
      </w:r>
      <w:r>
        <w:rPr>
          <w:rFonts w:asciiTheme="minorHAnsi" w:hAnsiTheme="minorHAnsi" w:cstheme="minorHAnsi"/>
          <w:sz w:val="24"/>
          <w:szCs w:val="24"/>
        </w:rPr>
        <w:t>.</w:t>
      </w:r>
    </w:p>
    <w:p w14:paraId="3DF2815A" w14:textId="77777777" w:rsidR="00737E6B" w:rsidRDefault="00737E6B" w:rsidP="00F22994">
      <w:pPr>
        <w:pStyle w:val="FootnoteText"/>
        <w:spacing w:after="120" w:line="360" w:lineRule="auto"/>
        <w:rPr>
          <w:rFonts w:asciiTheme="minorHAnsi" w:hAnsiTheme="minorHAnsi" w:cstheme="minorHAnsi"/>
          <w:sz w:val="24"/>
          <w:szCs w:val="24"/>
        </w:rPr>
      </w:pPr>
    </w:p>
    <w:p w14:paraId="0EE68D07" w14:textId="77777777" w:rsidR="00737E6B" w:rsidRDefault="00737E6B" w:rsidP="00F22994">
      <w:pPr>
        <w:pStyle w:val="FootnoteText"/>
        <w:spacing w:after="120" w:line="360" w:lineRule="auto"/>
        <w:rPr>
          <w:rFonts w:asciiTheme="minorHAnsi" w:hAnsiTheme="minorHAnsi" w:cstheme="minorHAnsi"/>
          <w:sz w:val="24"/>
          <w:szCs w:val="24"/>
        </w:rPr>
      </w:pPr>
    </w:p>
    <w:p w14:paraId="1798703F" w14:textId="77777777" w:rsidR="00737E6B" w:rsidRDefault="00737E6B" w:rsidP="00F22994">
      <w:pPr>
        <w:pStyle w:val="FootnoteText"/>
        <w:spacing w:after="120" w:line="360" w:lineRule="auto"/>
        <w:rPr>
          <w:rFonts w:asciiTheme="minorHAnsi" w:hAnsiTheme="minorHAnsi" w:cstheme="minorHAnsi"/>
          <w:sz w:val="24"/>
          <w:szCs w:val="24"/>
        </w:rPr>
      </w:pPr>
    </w:p>
    <w:p w14:paraId="5FCEE392" w14:textId="77777777" w:rsidR="00737E6B" w:rsidRDefault="00737E6B" w:rsidP="00F22994">
      <w:pPr>
        <w:pStyle w:val="FootnoteText"/>
        <w:spacing w:after="120" w:line="360" w:lineRule="auto"/>
        <w:rPr>
          <w:rFonts w:asciiTheme="minorHAnsi" w:hAnsiTheme="minorHAnsi" w:cstheme="minorHAnsi"/>
          <w:sz w:val="24"/>
          <w:szCs w:val="24"/>
        </w:rPr>
      </w:pPr>
    </w:p>
    <w:p w14:paraId="77491E8A" w14:textId="77777777" w:rsidR="00737E6B" w:rsidRDefault="00737E6B" w:rsidP="00F22994">
      <w:pPr>
        <w:pStyle w:val="FootnoteText"/>
        <w:spacing w:after="120" w:line="360" w:lineRule="auto"/>
        <w:rPr>
          <w:rFonts w:asciiTheme="minorHAnsi" w:hAnsiTheme="minorHAnsi" w:cstheme="minorHAnsi"/>
          <w:sz w:val="24"/>
          <w:szCs w:val="24"/>
        </w:rPr>
      </w:pPr>
    </w:p>
    <w:p w14:paraId="79D89A98" w14:textId="1EFD5240" w:rsidR="007C010C" w:rsidRPr="000B0590" w:rsidRDefault="007C010C"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Elsewhere </w:t>
      </w:r>
      <w:r w:rsidR="00AF11D7" w:rsidRPr="000B0590">
        <w:rPr>
          <w:rFonts w:asciiTheme="minorHAnsi" w:hAnsiTheme="minorHAnsi" w:cstheme="minorHAnsi"/>
          <w:sz w:val="24"/>
          <w:szCs w:val="24"/>
        </w:rPr>
        <w:t xml:space="preserve">evidence from </w:t>
      </w:r>
      <w:r w:rsidRPr="000B0590">
        <w:rPr>
          <w:rFonts w:asciiTheme="minorHAnsi" w:hAnsiTheme="minorHAnsi" w:cstheme="minorHAnsi"/>
          <w:sz w:val="24"/>
          <w:szCs w:val="24"/>
        </w:rPr>
        <w:t>eastern Cyprus shows drastic upheaval</w:t>
      </w:r>
      <w:r w:rsidR="00AF137F" w:rsidRPr="000B0590">
        <w:rPr>
          <w:rFonts w:asciiTheme="minorHAnsi" w:hAnsiTheme="minorHAnsi" w:cstheme="minorHAnsi"/>
          <w:sz w:val="24"/>
          <w:szCs w:val="24"/>
        </w:rPr>
        <w:t xml:space="preserve"> at this time</w:t>
      </w:r>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16"/>
      </w:r>
      <w:r w:rsidR="00AF11D7" w:rsidRPr="000B0590">
        <w:rPr>
          <w:rFonts w:asciiTheme="minorHAnsi" w:hAnsiTheme="minorHAnsi" w:cstheme="minorHAnsi"/>
          <w:sz w:val="24"/>
          <w:szCs w:val="24"/>
        </w:rPr>
        <w:t xml:space="preserve"> Although evidence is in no way precise, arguably euphemised by archaeology,</w:t>
      </w:r>
      <w:r w:rsidR="00795481" w:rsidRPr="000B0590">
        <w:rPr>
          <w:rStyle w:val="FootnoteReference"/>
          <w:rFonts w:asciiTheme="minorHAnsi" w:hAnsiTheme="minorHAnsi" w:cstheme="minorHAnsi"/>
          <w:sz w:val="24"/>
          <w:szCs w:val="24"/>
        </w:rPr>
        <w:footnoteReference w:id="17"/>
      </w:r>
      <w:r w:rsidR="00AF11D7" w:rsidRPr="000B0590">
        <w:rPr>
          <w:rFonts w:asciiTheme="minorHAnsi" w:hAnsiTheme="minorHAnsi" w:cstheme="minorHAnsi"/>
          <w:sz w:val="24"/>
          <w:szCs w:val="24"/>
        </w:rPr>
        <w:t xml:space="preserve"> it seems to this writer that </w:t>
      </w:r>
      <w:r w:rsidR="00053F42" w:rsidRPr="000B0590">
        <w:rPr>
          <w:rFonts w:asciiTheme="minorHAnsi" w:hAnsiTheme="minorHAnsi" w:cstheme="minorHAnsi"/>
          <w:sz w:val="24"/>
          <w:szCs w:val="24"/>
        </w:rPr>
        <w:t xml:space="preserve">many </w:t>
      </w:r>
      <w:r w:rsidR="00AF11D7" w:rsidRPr="000B0590">
        <w:rPr>
          <w:rFonts w:asciiTheme="minorHAnsi" w:hAnsiTheme="minorHAnsi" w:cstheme="minorHAnsi"/>
          <w:sz w:val="24"/>
          <w:szCs w:val="24"/>
        </w:rPr>
        <w:t xml:space="preserve">communities were forced from their land in order to work in </w:t>
      </w:r>
      <w:r w:rsidR="00EC189A" w:rsidRPr="000B0590">
        <w:rPr>
          <w:rFonts w:asciiTheme="minorHAnsi" w:hAnsiTheme="minorHAnsi" w:cstheme="minorHAnsi"/>
          <w:sz w:val="24"/>
          <w:szCs w:val="24"/>
        </w:rPr>
        <w:t xml:space="preserve">a </w:t>
      </w:r>
      <w:r w:rsidR="00A71437" w:rsidRPr="000B0590">
        <w:rPr>
          <w:rFonts w:asciiTheme="minorHAnsi" w:hAnsiTheme="minorHAnsi" w:cstheme="minorHAnsi"/>
          <w:sz w:val="24"/>
          <w:szCs w:val="24"/>
        </w:rPr>
        <w:t>much-intensified</w:t>
      </w:r>
      <w:r w:rsidR="00EC189A" w:rsidRPr="000B0590">
        <w:rPr>
          <w:rFonts w:asciiTheme="minorHAnsi" w:hAnsiTheme="minorHAnsi" w:cstheme="minorHAnsi"/>
          <w:sz w:val="24"/>
          <w:szCs w:val="24"/>
        </w:rPr>
        <w:t xml:space="preserve"> </w:t>
      </w:r>
      <w:r w:rsidR="00AF11D7" w:rsidRPr="000B0590">
        <w:rPr>
          <w:rFonts w:asciiTheme="minorHAnsi" w:hAnsiTheme="minorHAnsi" w:cstheme="minorHAnsi"/>
          <w:sz w:val="24"/>
          <w:szCs w:val="24"/>
        </w:rPr>
        <w:t xml:space="preserve">copper industry, </w:t>
      </w:r>
      <w:r w:rsidR="00EC189A" w:rsidRPr="000B0590">
        <w:rPr>
          <w:rFonts w:asciiTheme="minorHAnsi" w:hAnsiTheme="minorHAnsi" w:cstheme="minorHAnsi"/>
          <w:sz w:val="24"/>
          <w:szCs w:val="24"/>
        </w:rPr>
        <w:t>a major component of the complex economy of the Late Bronze Age Mediterranean.</w:t>
      </w:r>
      <w:r w:rsidR="00C47BD5">
        <w:rPr>
          <w:rStyle w:val="FootnoteReference"/>
          <w:rFonts w:asciiTheme="minorHAnsi" w:hAnsiTheme="minorHAnsi" w:cstheme="minorHAnsi"/>
          <w:sz w:val="24"/>
          <w:szCs w:val="24"/>
        </w:rPr>
        <w:footnoteReference w:id="18"/>
      </w:r>
      <w:r w:rsidR="00AF11D7" w:rsidRPr="000B0590">
        <w:rPr>
          <w:rFonts w:asciiTheme="minorHAnsi" w:hAnsiTheme="minorHAnsi" w:cstheme="minorHAnsi"/>
          <w:sz w:val="24"/>
          <w:szCs w:val="24"/>
        </w:rPr>
        <w:t xml:space="preserve">. </w:t>
      </w:r>
      <w:r w:rsidR="00AC0F01" w:rsidRPr="000B0590">
        <w:rPr>
          <w:rFonts w:asciiTheme="minorHAnsi" w:hAnsiTheme="minorHAnsi" w:cstheme="minorHAnsi"/>
          <w:sz w:val="24"/>
          <w:szCs w:val="24"/>
        </w:rPr>
        <w:t>It is noted at the same time that a shift occurred in religious practice</w:t>
      </w:r>
      <w:r w:rsidR="00F615BA" w:rsidRPr="000B0590">
        <w:rPr>
          <w:rFonts w:asciiTheme="minorHAnsi" w:hAnsiTheme="minorHAnsi" w:cstheme="minorHAnsi"/>
          <w:sz w:val="24"/>
          <w:szCs w:val="24"/>
        </w:rPr>
        <w:t xml:space="preserve">, </w:t>
      </w:r>
      <w:r w:rsidR="00F615BA" w:rsidRPr="000B0590">
        <w:rPr>
          <w:rFonts w:asciiTheme="minorHAnsi" w:hAnsiTheme="minorHAnsi" w:cstheme="minorHAnsi"/>
          <w:sz w:val="24"/>
          <w:szCs w:val="24"/>
        </w:rPr>
        <w:lastRenderedPageBreak/>
        <w:t>analysed mostly in terms of mortuary ritual</w:t>
      </w:r>
      <w:r w:rsidR="00A71437" w:rsidRPr="000B0590">
        <w:rPr>
          <w:rFonts w:asciiTheme="minorHAnsi" w:hAnsiTheme="minorHAnsi" w:cstheme="minorHAnsi"/>
          <w:sz w:val="24"/>
          <w:szCs w:val="24"/>
        </w:rPr>
        <w:t>.</w:t>
      </w:r>
      <w:r w:rsidR="00B97BDA" w:rsidRPr="000B0590">
        <w:rPr>
          <w:rStyle w:val="FootnoteReference"/>
          <w:rFonts w:asciiTheme="minorHAnsi" w:hAnsiTheme="minorHAnsi" w:cstheme="minorHAnsi"/>
          <w:sz w:val="24"/>
          <w:szCs w:val="24"/>
        </w:rPr>
        <w:footnoteReference w:id="19"/>
      </w:r>
      <w:r w:rsidR="00A71437" w:rsidRPr="000B0590">
        <w:rPr>
          <w:rFonts w:asciiTheme="minorHAnsi" w:hAnsiTheme="minorHAnsi" w:cstheme="minorHAnsi"/>
          <w:sz w:val="24"/>
          <w:szCs w:val="24"/>
        </w:rPr>
        <w:t xml:space="preserve"> </w:t>
      </w:r>
      <w:r w:rsidR="00AC0F01" w:rsidRPr="000B0590">
        <w:rPr>
          <w:rFonts w:asciiTheme="minorHAnsi" w:hAnsiTheme="minorHAnsi" w:cstheme="minorHAnsi"/>
          <w:sz w:val="24"/>
          <w:szCs w:val="24"/>
        </w:rPr>
        <w:t xml:space="preserve">Steel notes </w:t>
      </w:r>
      <w:r w:rsidR="00491649" w:rsidRPr="000B0590">
        <w:rPr>
          <w:rFonts w:asciiTheme="minorHAnsi" w:hAnsiTheme="minorHAnsi" w:cstheme="minorHAnsi"/>
          <w:sz w:val="24"/>
          <w:szCs w:val="24"/>
        </w:rPr>
        <w:t xml:space="preserve">the development of a </w:t>
      </w:r>
      <w:r w:rsidR="00AC0F01" w:rsidRPr="000B0590">
        <w:rPr>
          <w:rFonts w:asciiTheme="minorHAnsi" w:hAnsiTheme="minorHAnsi" w:cstheme="minorHAnsi"/>
          <w:sz w:val="24"/>
          <w:szCs w:val="24"/>
        </w:rPr>
        <w:t>monumental</w:t>
      </w:r>
      <w:r w:rsidR="00491649" w:rsidRPr="000B0590">
        <w:rPr>
          <w:rFonts w:asciiTheme="minorHAnsi" w:hAnsiTheme="minorHAnsi" w:cstheme="minorHAnsi"/>
          <w:sz w:val="24"/>
          <w:szCs w:val="24"/>
        </w:rPr>
        <w:t xml:space="preserve"> ceremonial landscape</w:t>
      </w:r>
      <w:r w:rsidR="00302B16" w:rsidRPr="000B0590">
        <w:rPr>
          <w:rFonts w:asciiTheme="minorHAnsi" w:hAnsiTheme="minorHAnsi" w:cstheme="minorHAnsi"/>
          <w:sz w:val="24"/>
          <w:szCs w:val="24"/>
        </w:rPr>
        <w:t xml:space="preserve"> </w:t>
      </w:r>
      <w:r w:rsidR="00AC0F01" w:rsidRPr="000B0590">
        <w:rPr>
          <w:rFonts w:asciiTheme="minorHAnsi" w:hAnsiTheme="minorHAnsi" w:cstheme="minorHAnsi"/>
          <w:sz w:val="24"/>
          <w:szCs w:val="24"/>
        </w:rPr>
        <w:t>in north-eastern Cyprus</w:t>
      </w:r>
      <w:r w:rsidR="00C47BD5">
        <w:rPr>
          <w:rFonts w:asciiTheme="minorHAnsi" w:hAnsiTheme="minorHAnsi" w:cstheme="minorHAnsi"/>
          <w:sz w:val="24"/>
          <w:szCs w:val="24"/>
        </w:rPr>
        <w:t>,</w:t>
      </w:r>
      <w:r w:rsidR="00AC0F01" w:rsidRPr="000B0590">
        <w:rPr>
          <w:rStyle w:val="FootnoteReference"/>
          <w:rFonts w:asciiTheme="minorHAnsi" w:hAnsiTheme="minorHAnsi" w:cstheme="minorHAnsi"/>
          <w:sz w:val="24"/>
          <w:szCs w:val="24"/>
        </w:rPr>
        <w:footnoteReference w:id="20"/>
      </w:r>
      <w:r w:rsidR="00F615BA" w:rsidRPr="000B0590">
        <w:rPr>
          <w:rFonts w:asciiTheme="minorHAnsi" w:hAnsiTheme="minorHAnsi" w:cstheme="minorHAnsi"/>
          <w:sz w:val="24"/>
          <w:szCs w:val="24"/>
        </w:rPr>
        <w:t xml:space="preserve"> </w:t>
      </w:r>
      <w:r w:rsidR="00C47BD5">
        <w:rPr>
          <w:rFonts w:asciiTheme="minorHAnsi" w:hAnsiTheme="minorHAnsi" w:cstheme="minorHAnsi"/>
          <w:sz w:val="24"/>
          <w:szCs w:val="24"/>
        </w:rPr>
        <w:t xml:space="preserve">and that </w:t>
      </w:r>
      <w:r w:rsidR="00C47BD5" w:rsidRPr="000B0590">
        <w:rPr>
          <w:rFonts w:asciiTheme="minorHAnsi" w:hAnsiTheme="minorHAnsi" w:cstheme="minorHAnsi"/>
          <w:sz w:val="24"/>
          <w:szCs w:val="24"/>
        </w:rPr>
        <w:t>“Control of space lies at the heart of social power</w:t>
      </w:r>
      <w:r w:rsidR="00C47BD5">
        <w:rPr>
          <w:rFonts w:asciiTheme="minorHAnsi" w:hAnsiTheme="minorHAnsi" w:cstheme="minorHAnsi"/>
          <w:sz w:val="24"/>
          <w:szCs w:val="24"/>
        </w:rPr>
        <w:t>"</w:t>
      </w:r>
      <w:r w:rsidR="00A137E1">
        <w:rPr>
          <w:rFonts w:asciiTheme="minorHAnsi" w:hAnsiTheme="minorHAnsi" w:cstheme="minorHAnsi"/>
          <w:sz w:val="24"/>
          <w:szCs w:val="24"/>
        </w:rPr>
        <w:t>:</w:t>
      </w:r>
      <w:r w:rsidR="00C47BD5" w:rsidRPr="000B0590">
        <w:rPr>
          <w:rStyle w:val="FootnoteReference"/>
          <w:rFonts w:asciiTheme="minorHAnsi" w:hAnsiTheme="minorHAnsi" w:cstheme="minorHAnsi"/>
          <w:sz w:val="24"/>
          <w:szCs w:val="24"/>
        </w:rPr>
        <w:footnoteReference w:id="21"/>
      </w:r>
      <w:r w:rsidR="00C47BD5" w:rsidRPr="000B0590">
        <w:rPr>
          <w:rFonts w:asciiTheme="minorHAnsi" w:hAnsiTheme="minorHAnsi" w:cstheme="minorHAnsi"/>
          <w:sz w:val="24"/>
          <w:szCs w:val="24"/>
        </w:rPr>
        <w:t xml:space="preserve"> </w:t>
      </w:r>
      <w:r w:rsidR="00491649" w:rsidRPr="000B0590">
        <w:rPr>
          <w:rFonts w:asciiTheme="minorHAnsi" w:hAnsiTheme="minorHAnsi" w:cstheme="minorHAnsi"/>
          <w:sz w:val="24"/>
          <w:szCs w:val="24"/>
        </w:rPr>
        <w:t>th</w:t>
      </w:r>
      <w:r w:rsidR="00A137E1">
        <w:rPr>
          <w:rFonts w:asciiTheme="minorHAnsi" w:hAnsiTheme="minorHAnsi" w:cstheme="minorHAnsi"/>
          <w:sz w:val="24"/>
          <w:szCs w:val="24"/>
        </w:rPr>
        <w:t xml:space="preserve">at is, </w:t>
      </w:r>
      <w:r w:rsidR="00491649" w:rsidRPr="000B0590">
        <w:rPr>
          <w:rFonts w:asciiTheme="minorHAnsi" w:hAnsiTheme="minorHAnsi" w:cstheme="minorHAnsi"/>
          <w:sz w:val="24"/>
          <w:szCs w:val="24"/>
        </w:rPr>
        <w:t>the new</w:t>
      </w:r>
      <w:r w:rsidR="00DE7ADE">
        <w:rPr>
          <w:rFonts w:asciiTheme="minorHAnsi" w:hAnsiTheme="minorHAnsi" w:cstheme="minorHAnsi"/>
          <w:sz w:val="24"/>
          <w:szCs w:val="24"/>
        </w:rPr>
        <w:t>ly manipulated</w:t>
      </w:r>
      <w:r w:rsidR="00491649" w:rsidRPr="000B0590">
        <w:rPr>
          <w:rFonts w:asciiTheme="minorHAnsi" w:hAnsiTheme="minorHAnsi" w:cstheme="minorHAnsi"/>
          <w:sz w:val="24"/>
          <w:szCs w:val="24"/>
        </w:rPr>
        <w:t xml:space="preserve"> </w:t>
      </w:r>
      <w:r w:rsidR="00F4257A" w:rsidRPr="000B0590">
        <w:rPr>
          <w:rFonts w:asciiTheme="minorHAnsi" w:hAnsiTheme="minorHAnsi" w:cstheme="minorHAnsi"/>
          <w:sz w:val="24"/>
          <w:szCs w:val="24"/>
        </w:rPr>
        <w:t xml:space="preserve">landscape should be seen </w:t>
      </w:r>
      <w:r w:rsidR="00A71437" w:rsidRPr="000B0590">
        <w:rPr>
          <w:rFonts w:asciiTheme="minorHAnsi" w:hAnsiTheme="minorHAnsi" w:cstheme="minorHAnsi"/>
          <w:sz w:val="24"/>
          <w:szCs w:val="24"/>
        </w:rPr>
        <w:t xml:space="preserve">entirely </w:t>
      </w:r>
      <w:r w:rsidR="00F4257A" w:rsidRPr="000B0590">
        <w:rPr>
          <w:rFonts w:asciiTheme="minorHAnsi" w:hAnsiTheme="minorHAnsi" w:cstheme="minorHAnsi"/>
          <w:sz w:val="24"/>
          <w:szCs w:val="24"/>
        </w:rPr>
        <w:t xml:space="preserve">as </w:t>
      </w:r>
      <w:r w:rsidR="00692809">
        <w:rPr>
          <w:rFonts w:asciiTheme="minorHAnsi" w:hAnsiTheme="minorHAnsi" w:cstheme="minorHAnsi"/>
          <w:sz w:val="24"/>
          <w:szCs w:val="24"/>
        </w:rPr>
        <w:t>controlled by</w:t>
      </w:r>
      <w:r w:rsidR="00F4257A" w:rsidRPr="000B0590">
        <w:rPr>
          <w:rFonts w:asciiTheme="minorHAnsi" w:hAnsiTheme="minorHAnsi" w:cstheme="minorHAnsi"/>
          <w:sz w:val="24"/>
          <w:szCs w:val="24"/>
        </w:rPr>
        <w:t xml:space="preserve"> </w:t>
      </w:r>
      <w:r w:rsidR="00A137E1">
        <w:rPr>
          <w:rFonts w:asciiTheme="minorHAnsi" w:hAnsiTheme="minorHAnsi" w:cstheme="minorHAnsi"/>
          <w:sz w:val="24"/>
          <w:szCs w:val="24"/>
        </w:rPr>
        <w:t>a</w:t>
      </w:r>
      <w:r w:rsidR="00F4257A" w:rsidRPr="000B0590">
        <w:rPr>
          <w:rFonts w:asciiTheme="minorHAnsi" w:hAnsiTheme="minorHAnsi" w:cstheme="minorHAnsi"/>
          <w:sz w:val="24"/>
          <w:szCs w:val="24"/>
        </w:rPr>
        <w:t xml:space="preserve"> dominant class</w:t>
      </w:r>
      <w:r w:rsidR="00C47BD5">
        <w:rPr>
          <w:rFonts w:asciiTheme="minorHAnsi" w:hAnsiTheme="minorHAnsi" w:cstheme="minorHAnsi"/>
          <w:sz w:val="24"/>
          <w:szCs w:val="24"/>
        </w:rPr>
        <w:t>.</w:t>
      </w:r>
      <w:r w:rsidR="00CD259E">
        <w:rPr>
          <w:rStyle w:val="FootnoteReference"/>
          <w:rFonts w:asciiTheme="minorHAnsi" w:hAnsiTheme="minorHAnsi" w:cstheme="minorHAnsi"/>
          <w:sz w:val="24"/>
          <w:szCs w:val="24"/>
        </w:rPr>
        <w:footnoteReference w:id="22"/>
      </w:r>
      <w:r w:rsidR="00F4257A" w:rsidRPr="000B0590">
        <w:rPr>
          <w:rFonts w:asciiTheme="minorHAnsi" w:hAnsiTheme="minorHAnsi" w:cstheme="minorHAnsi"/>
          <w:sz w:val="24"/>
          <w:szCs w:val="24"/>
        </w:rPr>
        <w:t xml:space="preserve">. </w:t>
      </w:r>
      <w:r w:rsidR="00682D38" w:rsidRPr="000B0590">
        <w:rPr>
          <w:rFonts w:asciiTheme="minorHAnsi" w:hAnsiTheme="minorHAnsi" w:cstheme="minorHAnsi"/>
          <w:sz w:val="24"/>
          <w:szCs w:val="24"/>
        </w:rPr>
        <w:t>Phrases such as “socially coercive ritual iconography”</w:t>
      </w:r>
      <w:r w:rsidR="00682D38" w:rsidRPr="000B0590">
        <w:rPr>
          <w:rStyle w:val="FootnoteReference"/>
          <w:rFonts w:asciiTheme="minorHAnsi" w:hAnsiTheme="minorHAnsi" w:cstheme="minorHAnsi"/>
          <w:sz w:val="24"/>
          <w:szCs w:val="24"/>
        </w:rPr>
        <w:footnoteReference w:id="23"/>
      </w:r>
      <w:r w:rsidR="00682D38" w:rsidRPr="000B0590">
        <w:rPr>
          <w:rFonts w:asciiTheme="minorHAnsi" w:hAnsiTheme="minorHAnsi" w:cstheme="minorHAnsi"/>
          <w:sz w:val="24"/>
          <w:szCs w:val="24"/>
        </w:rPr>
        <w:t xml:space="preserve"> </w:t>
      </w:r>
      <w:r w:rsidR="00F86252" w:rsidRPr="000B0590">
        <w:rPr>
          <w:rFonts w:asciiTheme="minorHAnsi" w:hAnsiTheme="minorHAnsi" w:cstheme="minorHAnsi"/>
          <w:sz w:val="24"/>
          <w:szCs w:val="24"/>
        </w:rPr>
        <w:t xml:space="preserve">are used widely, but discussion of </w:t>
      </w:r>
      <w:r w:rsidR="00A71437" w:rsidRPr="000B0590">
        <w:rPr>
          <w:rFonts w:asciiTheme="minorHAnsi" w:hAnsiTheme="minorHAnsi" w:cstheme="minorHAnsi"/>
          <w:sz w:val="24"/>
          <w:szCs w:val="24"/>
        </w:rPr>
        <w:t xml:space="preserve">directly </w:t>
      </w:r>
      <w:r w:rsidR="00F86252" w:rsidRPr="000B0590">
        <w:rPr>
          <w:rFonts w:asciiTheme="minorHAnsi" w:hAnsiTheme="minorHAnsi" w:cstheme="minorHAnsi"/>
          <w:sz w:val="24"/>
          <w:szCs w:val="24"/>
        </w:rPr>
        <w:t xml:space="preserve">coercive relations of production </w:t>
      </w:r>
      <w:r w:rsidR="00A137E1">
        <w:rPr>
          <w:rFonts w:asciiTheme="minorHAnsi" w:hAnsiTheme="minorHAnsi" w:cstheme="minorHAnsi"/>
          <w:sz w:val="24"/>
          <w:szCs w:val="24"/>
        </w:rPr>
        <w:t xml:space="preserve">- of "class struggle" - </w:t>
      </w:r>
      <w:r w:rsidR="00F86252" w:rsidRPr="000B0590">
        <w:rPr>
          <w:rFonts w:asciiTheme="minorHAnsi" w:hAnsiTheme="minorHAnsi" w:cstheme="minorHAnsi"/>
          <w:sz w:val="24"/>
          <w:szCs w:val="24"/>
        </w:rPr>
        <w:t xml:space="preserve">is avoided. It seems to this writer </w:t>
      </w:r>
      <w:r w:rsidR="00F4257A" w:rsidRPr="000B0590">
        <w:rPr>
          <w:rFonts w:asciiTheme="minorHAnsi" w:hAnsiTheme="minorHAnsi" w:cstheme="minorHAnsi"/>
          <w:sz w:val="24"/>
          <w:szCs w:val="24"/>
        </w:rPr>
        <w:t>that a religious shift of a different nature would be expected of the dominated class, separated from their traditional honouring of ancestors</w:t>
      </w:r>
      <w:r w:rsidR="00A10154">
        <w:rPr>
          <w:rFonts w:asciiTheme="minorHAnsi" w:hAnsiTheme="minorHAnsi" w:cstheme="minorHAnsi"/>
          <w:sz w:val="24"/>
          <w:szCs w:val="24"/>
        </w:rPr>
        <w:t xml:space="preserve"> and without power for monumental construction</w:t>
      </w:r>
      <w:r w:rsidR="00F86252" w:rsidRPr="000B0590">
        <w:rPr>
          <w:rFonts w:asciiTheme="minorHAnsi" w:hAnsiTheme="minorHAnsi" w:cstheme="minorHAnsi"/>
          <w:sz w:val="24"/>
          <w:szCs w:val="24"/>
        </w:rPr>
        <w:t xml:space="preserve"> - perhaps towards the entheogens discussed by Collard</w:t>
      </w:r>
      <w:r w:rsidR="00F4257A" w:rsidRPr="000B0590">
        <w:rPr>
          <w:rFonts w:asciiTheme="minorHAnsi" w:hAnsiTheme="minorHAnsi" w:cstheme="minorHAnsi"/>
          <w:sz w:val="24"/>
          <w:szCs w:val="24"/>
        </w:rPr>
        <w:t>.</w:t>
      </w:r>
      <w:r w:rsidR="00F4257A" w:rsidRPr="000B0590">
        <w:rPr>
          <w:rStyle w:val="FootnoteReference"/>
          <w:rFonts w:asciiTheme="minorHAnsi" w:hAnsiTheme="minorHAnsi" w:cstheme="minorHAnsi"/>
          <w:sz w:val="24"/>
          <w:szCs w:val="24"/>
        </w:rPr>
        <w:footnoteReference w:id="24"/>
      </w:r>
      <w:r w:rsidR="00F4257A" w:rsidRPr="000B0590">
        <w:rPr>
          <w:rFonts w:asciiTheme="minorHAnsi" w:hAnsiTheme="minorHAnsi" w:cstheme="minorHAnsi"/>
          <w:sz w:val="24"/>
          <w:szCs w:val="24"/>
        </w:rPr>
        <w:t xml:space="preserve"> It must be plausible that a proportion of the exploited workers escaped westwards:</w:t>
      </w:r>
      <w:r w:rsidR="00F615BA" w:rsidRPr="000B0590">
        <w:rPr>
          <w:rStyle w:val="FootnoteReference"/>
          <w:rFonts w:asciiTheme="minorHAnsi" w:hAnsiTheme="minorHAnsi" w:cstheme="minorHAnsi"/>
          <w:sz w:val="24"/>
          <w:szCs w:val="24"/>
        </w:rPr>
        <w:footnoteReference w:id="25"/>
      </w:r>
      <w:r w:rsidR="00F4257A" w:rsidRPr="000B0590">
        <w:rPr>
          <w:rFonts w:asciiTheme="minorHAnsi" w:hAnsiTheme="minorHAnsi" w:cstheme="minorHAnsi"/>
          <w:sz w:val="24"/>
          <w:szCs w:val="24"/>
        </w:rPr>
        <w:t xml:space="preserve"> whether this had any correlation with the establishment of Palaepaphos can but be speculated.</w:t>
      </w:r>
    </w:p>
    <w:p w14:paraId="0D8B5ED8" w14:textId="77777777" w:rsidR="00A71437" w:rsidRPr="000B0590" w:rsidRDefault="00A71437" w:rsidP="00F22994">
      <w:pPr>
        <w:pStyle w:val="FootnoteText"/>
        <w:spacing w:after="120" w:line="360" w:lineRule="auto"/>
        <w:rPr>
          <w:rFonts w:asciiTheme="minorHAnsi" w:hAnsiTheme="minorHAnsi" w:cstheme="minorHAnsi"/>
          <w:sz w:val="24"/>
          <w:szCs w:val="24"/>
        </w:rPr>
      </w:pPr>
    </w:p>
    <w:p w14:paraId="68917A4E" w14:textId="12034E85" w:rsidR="00AF137F"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Iacovou sets the foundation of the TA much later</w:t>
      </w:r>
      <w:r w:rsidR="00E933E6" w:rsidRPr="000B0590">
        <w:rPr>
          <w:rFonts w:asciiTheme="minorHAnsi" w:hAnsiTheme="minorHAnsi" w:cstheme="minorHAnsi"/>
          <w:sz w:val="24"/>
          <w:szCs w:val="24"/>
        </w:rPr>
        <w:t>, early in the 12th century BCE, dedicated to “the Cypriot Goddess” whom she calls “the Kypris”</w:t>
      </w:r>
      <w:r w:rsidRPr="000B0590">
        <w:rPr>
          <w:rStyle w:val="FootnoteReference"/>
          <w:rFonts w:asciiTheme="minorHAnsi" w:hAnsiTheme="minorHAnsi" w:cstheme="minorHAnsi"/>
          <w:sz w:val="24"/>
          <w:szCs w:val="24"/>
        </w:rPr>
        <w:footnoteReference w:id="26"/>
      </w:r>
      <w:r w:rsidRPr="000B0590">
        <w:rPr>
          <w:rFonts w:asciiTheme="minorHAnsi" w:hAnsiTheme="minorHAnsi" w:cstheme="minorHAnsi"/>
          <w:sz w:val="24"/>
          <w:szCs w:val="24"/>
        </w:rPr>
        <w:t xml:space="preserve"> </w:t>
      </w:r>
      <w:r w:rsidR="003677E1" w:rsidRPr="000B0590">
        <w:rPr>
          <w:rFonts w:asciiTheme="minorHAnsi" w:hAnsiTheme="minorHAnsi" w:cstheme="minorHAnsi"/>
          <w:sz w:val="24"/>
          <w:szCs w:val="24"/>
        </w:rPr>
        <w:t xml:space="preserve">This point in time has in the past been associated with substantial influx of a </w:t>
      </w:r>
      <w:r w:rsidR="00AF137F" w:rsidRPr="000B0590">
        <w:rPr>
          <w:rFonts w:asciiTheme="minorHAnsi" w:hAnsiTheme="minorHAnsi" w:cstheme="minorHAnsi"/>
          <w:sz w:val="24"/>
          <w:szCs w:val="24"/>
        </w:rPr>
        <w:t xml:space="preserve">Mycenaean / </w:t>
      </w:r>
      <w:r w:rsidR="003677E1" w:rsidRPr="000B0590">
        <w:rPr>
          <w:rFonts w:asciiTheme="minorHAnsi" w:hAnsiTheme="minorHAnsi" w:cstheme="minorHAnsi"/>
          <w:sz w:val="24"/>
          <w:szCs w:val="24"/>
        </w:rPr>
        <w:t>Greek population, an idea now questioned.</w:t>
      </w:r>
      <w:r w:rsidR="003677E1" w:rsidRPr="000B0590">
        <w:rPr>
          <w:rStyle w:val="FootnoteReference"/>
          <w:rFonts w:asciiTheme="minorHAnsi" w:hAnsiTheme="minorHAnsi" w:cstheme="minorHAnsi"/>
          <w:sz w:val="24"/>
          <w:szCs w:val="24"/>
        </w:rPr>
        <w:footnoteReference w:id="27"/>
      </w:r>
      <w:r w:rsidR="003677E1" w:rsidRPr="000B0590">
        <w:rPr>
          <w:rFonts w:asciiTheme="minorHAnsi" w:hAnsiTheme="minorHAnsi" w:cstheme="minorHAnsi"/>
          <w:sz w:val="24"/>
          <w:szCs w:val="24"/>
        </w:rPr>
        <w:t xml:space="preserve"> </w:t>
      </w:r>
      <w:r w:rsidR="00D01D9C" w:rsidRPr="000B0590">
        <w:rPr>
          <w:rFonts w:asciiTheme="minorHAnsi" w:hAnsiTheme="minorHAnsi" w:cstheme="minorHAnsi"/>
          <w:sz w:val="24"/>
          <w:szCs w:val="24"/>
        </w:rPr>
        <w:t xml:space="preserve">This point was roughly the termination of the late Bronze Age, with warfare </w:t>
      </w:r>
      <w:r w:rsidR="00D01D9C" w:rsidRPr="000B0590">
        <w:rPr>
          <w:rFonts w:asciiTheme="minorHAnsi" w:hAnsiTheme="minorHAnsi" w:cstheme="minorHAnsi"/>
          <w:sz w:val="24"/>
          <w:szCs w:val="24"/>
        </w:rPr>
        <w:lastRenderedPageBreak/>
        <w:t>and destruction all across the Eastern Mediterranean</w:t>
      </w:r>
      <w:r w:rsidR="00A40A97" w:rsidRPr="000B0590">
        <w:rPr>
          <w:rFonts w:asciiTheme="minorHAnsi" w:hAnsiTheme="minorHAnsi" w:cstheme="minorHAnsi"/>
          <w:sz w:val="24"/>
          <w:szCs w:val="24"/>
        </w:rPr>
        <w:t xml:space="preserve"> but</w:t>
      </w:r>
      <w:r w:rsidR="00D01D9C" w:rsidRPr="000B0590">
        <w:rPr>
          <w:rFonts w:asciiTheme="minorHAnsi" w:hAnsiTheme="minorHAnsi" w:cstheme="minorHAnsi"/>
          <w:sz w:val="24"/>
          <w:szCs w:val="24"/>
        </w:rPr>
        <w:t xml:space="preserve"> Paphos </w:t>
      </w:r>
      <w:r w:rsidR="00A40A97" w:rsidRPr="000B0590">
        <w:rPr>
          <w:rFonts w:asciiTheme="minorHAnsi" w:hAnsiTheme="minorHAnsi" w:cstheme="minorHAnsi"/>
          <w:sz w:val="24"/>
          <w:szCs w:val="24"/>
        </w:rPr>
        <w:t xml:space="preserve">and several other major Cypriot towns </w:t>
      </w:r>
      <w:r w:rsidR="00D01D9C" w:rsidRPr="000B0590">
        <w:rPr>
          <w:rFonts w:asciiTheme="minorHAnsi" w:hAnsiTheme="minorHAnsi" w:cstheme="minorHAnsi"/>
          <w:sz w:val="24"/>
          <w:szCs w:val="24"/>
        </w:rPr>
        <w:t>survived this, apparently unscathed</w:t>
      </w:r>
      <w:r w:rsidR="00A40A97" w:rsidRPr="000B0590">
        <w:rPr>
          <w:rFonts w:asciiTheme="minorHAnsi" w:hAnsiTheme="minorHAnsi" w:cstheme="minorHAnsi"/>
          <w:sz w:val="24"/>
          <w:szCs w:val="24"/>
        </w:rPr>
        <w:t>:</w:t>
      </w:r>
      <w:r w:rsidR="00D01D9C" w:rsidRPr="000B0590">
        <w:rPr>
          <w:rStyle w:val="FootnoteReference"/>
          <w:rFonts w:asciiTheme="minorHAnsi" w:hAnsiTheme="minorHAnsi" w:cstheme="minorHAnsi"/>
          <w:sz w:val="24"/>
          <w:szCs w:val="24"/>
        </w:rPr>
        <w:footnoteReference w:id="28"/>
      </w:r>
      <w:r w:rsidR="00D01D9C" w:rsidRPr="000B0590">
        <w:rPr>
          <w:rFonts w:asciiTheme="minorHAnsi" w:hAnsiTheme="minorHAnsi" w:cstheme="minorHAnsi"/>
          <w:sz w:val="24"/>
          <w:szCs w:val="24"/>
        </w:rPr>
        <w:t xml:space="preserve"> </w:t>
      </w:r>
      <w:proofErr w:type="spellStart"/>
      <w:r w:rsidR="0084318D">
        <w:rPr>
          <w:rFonts w:asciiTheme="minorHAnsi" w:hAnsiTheme="minorHAnsi" w:cstheme="minorHAnsi"/>
          <w:sz w:val="24"/>
          <w:szCs w:val="24"/>
        </w:rPr>
        <w:t>Iacovou</w:t>
      </w:r>
      <w:proofErr w:type="spellEnd"/>
      <w:r w:rsidR="0084318D">
        <w:rPr>
          <w:rFonts w:asciiTheme="minorHAnsi" w:hAnsiTheme="minorHAnsi" w:cstheme="minorHAnsi"/>
          <w:sz w:val="24"/>
          <w:szCs w:val="24"/>
        </w:rPr>
        <w:t xml:space="preserve"> notes a "power vacuum" in the island.</w:t>
      </w:r>
      <w:r w:rsidR="0084318D">
        <w:rPr>
          <w:rStyle w:val="FootnoteReference"/>
          <w:rFonts w:asciiTheme="minorHAnsi" w:hAnsiTheme="minorHAnsi" w:cstheme="minorHAnsi"/>
          <w:sz w:val="24"/>
          <w:szCs w:val="24"/>
        </w:rPr>
        <w:footnoteReference w:id="29"/>
      </w:r>
      <w:r w:rsidR="0084318D">
        <w:rPr>
          <w:rFonts w:asciiTheme="minorHAnsi" w:hAnsiTheme="minorHAnsi" w:cstheme="minorHAnsi"/>
          <w:sz w:val="24"/>
          <w:szCs w:val="24"/>
        </w:rPr>
        <w:t xml:space="preserve"> T</w:t>
      </w:r>
      <w:r w:rsidR="00D01D9C" w:rsidRPr="000B0590">
        <w:rPr>
          <w:rFonts w:asciiTheme="minorHAnsi" w:hAnsiTheme="minorHAnsi" w:cstheme="minorHAnsi"/>
          <w:sz w:val="24"/>
          <w:szCs w:val="24"/>
        </w:rPr>
        <w:t xml:space="preserve">hat </w:t>
      </w:r>
      <w:r w:rsidR="00AF137F" w:rsidRPr="000B0590">
        <w:rPr>
          <w:rFonts w:asciiTheme="minorHAnsi" w:hAnsiTheme="minorHAnsi" w:cstheme="minorHAnsi"/>
          <w:sz w:val="24"/>
          <w:szCs w:val="24"/>
        </w:rPr>
        <w:t xml:space="preserve">Paphos </w:t>
      </w:r>
      <w:r w:rsidR="00A40A97" w:rsidRPr="000B0590">
        <w:rPr>
          <w:rFonts w:asciiTheme="minorHAnsi" w:hAnsiTheme="minorHAnsi" w:cstheme="minorHAnsi"/>
          <w:sz w:val="24"/>
          <w:szCs w:val="24"/>
        </w:rPr>
        <w:t xml:space="preserve">(or Cyprus as a whole) </w:t>
      </w:r>
      <w:r w:rsidR="00D01D9C" w:rsidRPr="000B0590">
        <w:rPr>
          <w:rFonts w:asciiTheme="minorHAnsi" w:hAnsiTheme="minorHAnsi" w:cstheme="minorHAnsi"/>
          <w:sz w:val="24"/>
          <w:szCs w:val="24"/>
        </w:rPr>
        <w:t xml:space="preserve">was in fact a major centre of the infamous ‘Sea Peoples’ seems thoroughly plausible, but is rarely suggested. </w:t>
      </w:r>
      <w:r w:rsidR="002D647A" w:rsidRPr="000B0590">
        <w:rPr>
          <w:rFonts w:asciiTheme="minorHAnsi" w:hAnsiTheme="minorHAnsi" w:cstheme="minorHAnsi"/>
          <w:sz w:val="24"/>
          <w:szCs w:val="24"/>
        </w:rPr>
        <w:t>Iacovou simply notes that the sanctuary “must have been planned and executed by a centralized political authority”.</w:t>
      </w:r>
      <w:r w:rsidR="002D647A" w:rsidRPr="000B0590">
        <w:rPr>
          <w:rStyle w:val="FootnoteReference"/>
          <w:rFonts w:asciiTheme="minorHAnsi" w:hAnsiTheme="minorHAnsi" w:cstheme="minorHAnsi"/>
          <w:sz w:val="24"/>
          <w:szCs w:val="24"/>
        </w:rPr>
        <w:footnoteReference w:id="30"/>
      </w:r>
      <w:r w:rsidR="00D01D9C" w:rsidRPr="000B0590">
        <w:rPr>
          <w:rFonts w:asciiTheme="minorHAnsi" w:hAnsiTheme="minorHAnsi" w:cstheme="minorHAnsi"/>
          <w:sz w:val="24"/>
          <w:szCs w:val="24"/>
        </w:rPr>
        <w:t xml:space="preserve"> </w:t>
      </w:r>
      <w:r w:rsidR="002D647A" w:rsidRPr="000B0590">
        <w:rPr>
          <w:rFonts w:asciiTheme="minorHAnsi" w:hAnsiTheme="minorHAnsi" w:cstheme="minorHAnsi"/>
          <w:sz w:val="24"/>
          <w:szCs w:val="24"/>
        </w:rPr>
        <w:t>Peltenburg, argues for a “resurgence of flourishing earlier tradition” (as evidenced by the Chalcolithic figurines from Souskiou, etc</w:t>
      </w:r>
      <w:r w:rsidR="00A10154">
        <w:rPr>
          <w:rFonts w:asciiTheme="minorHAnsi" w:hAnsiTheme="minorHAnsi" w:cstheme="minorHAnsi"/>
          <w:sz w:val="24"/>
          <w:szCs w:val="24"/>
        </w:rPr>
        <w:t>, more than a thousand years earlier</w:t>
      </w:r>
      <w:r w:rsidR="002D647A" w:rsidRPr="000B0590">
        <w:rPr>
          <w:rFonts w:asciiTheme="minorHAnsi" w:hAnsiTheme="minorHAnsi" w:cstheme="minorHAnsi"/>
          <w:sz w:val="24"/>
          <w:szCs w:val="24"/>
        </w:rPr>
        <w:t>),</w:t>
      </w:r>
      <w:r w:rsidR="002D647A" w:rsidRPr="000B0590">
        <w:rPr>
          <w:rStyle w:val="FootnoteReference"/>
          <w:rFonts w:asciiTheme="minorHAnsi" w:hAnsiTheme="minorHAnsi" w:cstheme="minorHAnsi"/>
          <w:sz w:val="24"/>
          <w:szCs w:val="24"/>
        </w:rPr>
        <w:footnoteReference w:id="31"/>
      </w:r>
      <w:r w:rsidR="002D647A" w:rsidRPr="000B0590">
        <w:rPr>
          <w:rFonts w:asciiTheme="minorHAnsi" w:hAnsiTheme="minorHAnsi" w:cstheme="minorHAnsi"/>
          <w:sz w:val="24"/>
          <w:szCs w:val="24"/>
        </w:rPr>
        <w:t xml:space="preserve"> although the claim is entirely probabilist.</w:t>
      </w:r>
      <w:r w:rsidR="002D647A" w:rsidRPr="000B0590">
        <w:rPr>
          <w:rStyle w:val="FootnoteReference"/>
          <w:rFonts w:asciiTheme="minorHAnsi" w:hAnsiTheme="minorHAnsi" w:cstheme="minorHAnsi"/>
          <w:sz w:val="24"/>
          <w:szCs w:val="24"/>
        </w:rPr>
        <w:footnoteReference w:id="32"/>
      </w:r>
      <w:r w:rsidR="002D647A" w:rsidRPr="000B0590">
        <w:rPr>
          <w:rFonts w:asciiTheme="minorHAnsi" w:hAnsiTheme="minorHAnsi" w:cstheme="minorHAnsi"/>
          <w:sz w:val="24"/>
          <w:szCs w:val="24"/>
        </w:rPr>
        <w:t xml:space="preserve"> Iacovou entirely rejects any earlier religious significance of the site (</w:t>
      </w:r>
      <w:r w:rsidR="004D0FDF" w:rsidRPr="000B0590">
        <w:rPr>
          <w:rFonts w:asciiTheme="minorHAnsi" w:hAnsiTheme="minorHAnsi" w:cstheme="minorHAnsi"/>
          <w:sz w:val="24"/>
          <w:szCs w:val="24"/>
        </w:rPr>
        <w:t xml:space="preserve">which she considers with </w:t>
      </w:r>
      <w:r w:rsidR="00944B8C">
        <w:rPr>
          <w:rFonts w:asciiTheme="minorHAnsi" w:hAnsiTheme="minorHAnsi" w:cstheme="minorHAnsi"/>
          <w:sz w:val="24"/>
          <w:szCs w:val="24"/>
        </w:rPr>
        <w:t xml:space="preserve">respect to </w:t>
      </w:r>
      <w:r w:rsidR="004D0FDF" w:rsidRPr="000B0590">
        <w:rPr>
          <w:rFonts w:asciiTheme="minorHAnsi" w:hAnsiTheme="minorHAnsi" w:cstheme="minorHAnsi"/>
          <w:sz w:val="24"/>
          <w:szCs w:val="24"/>
        </w:rPr>
        <w:t xml:space="preserve">a concept of </w:t>
      </w:r>
      <w:r w:rsidR="00A10154">
        <w:rPr>
          <w:rFonts w:asciiTheme="minorHAnsi" w:hAnsiTheme="minorHAnsi" w:cstheme="minorHAnsi"/>
          <w:sz w:val="24"/>
          <w:szCs w:val="24"/>
        </w:rPr>
        <w:t>“</w:t>
      </w:r>
      <w:r w:rsidR="004D0FDF" w:rsidRPr="000B0590">
        <w:rPr>
          <w:rFonts w:asciiTheme="minorHAnsi" w:hAnsiTheme="minorHAnsi" w:cstheme="minorHAnsi"/>
          <w:sz w:val="24"/>
          <w:szCs w:val="24"/>
        </w:rPr>
        <w:t>pilgrimage</w:t>
      </w:r>
      <w:r w:rsidR="00A10154">
        <w:rPr>
          <w:rFonts w:asciiTheme="minorHAnsi" w:hAnsiTheme="minorHAnsi" w:cstheme="minorHAnsi"/>
          <w:sz w:val="24"/>
          <w:szCs w:val="24"/>
        </w:rPr>
        <w:t>”</w:t>
      </w:r>
      <w:r w:rsidR="004D0FDF" w:rsidRPr="000B0590">
        <w:rPr>
          <w:rStyle w:val="FootnoteReference"/>
          <w:rFonts w:asciiTheme="minorHAnsi" w:hAnsiTheme="minorHAnsi" w:cstheme="minorHAnsi"/>
          <w:sz w:val="24"/>
          <w:szCs w:val="24"/>
        </w:rPr>
        <w:footnoteReference w:id="33"/>
      </w:r>
      <w:r w:rsidR="004D0FDF" w:rsidRPr="000B0590">
        <w:rPr>
          <w:rFonts w:asciiTheme="minorHAnsi" w:hAnsiTheme="minorHAnsi" w:cstheme="minorHAnsi"/>
          <w:sz w:val="24"/>
          <w:szCs w:val="24"/>
        </w:rPr>
        <w:t>)</w:t>
      </w:r>
      <w:r w:rsidR="009A78E5" w:rsidRPr="000B0590">
        <w:rPr>
          <w:rFonts w:asciiTheme="minorHAnsi" w:hAnsiTheme="minorHAnsi" w:cstheme="minorHAnsi"/>
          <w:sz w:val="24"/>
          <w:szCs w:val="24"/>
        </w:rPr>
        <w:t xml:space="preserve"> as a reason for the TA development</w:t>
      </w:r>
      <w:r w:rsidR="00944B8C">
        <w:rPr>
          <w:rFonts w:asciiTheme="minorHAnsi" w:hAnsiTheme="minorHAnsi" w:cstheme="minorHAnsi"/>
          <w:sz w:val="24"/>
          <w:szCs w:val="24"/>
        </w:rPr>
        <w:t>. N</w:t>
      </w:r>
      <w:r w:rsidR="00755A83">
        <w:rPr>
          <w:rFonts w:asciiTheme="minorHAnsi" w:hAnsiTheme="minorHAnsi" w:cstheme="minorHAnsi"/>
          <w:sz w:val="24"/>
          <w:szCs w:val="24"/>
        </w:rPr>
        <w:t xml:space="preserve">or does she give any </w:t>
      </w:r>
      <w:r w:rsidR="005B3983">
        <w:rPr>
          <w:rFonts w:asciiTheme="minorHAnsi" w:hAnsiTheme="minorHAnsi" w:cstheme="minorHAnsi"/>
          <w:sz w:val="24"/>
          <w:szCs w:val="24"/>
        </w:rPr>
        <w:t xml:space="preserve">mention of the tradition of foundation </w:t>
      </w:r>
      <w:r w:rsidR="00755A83">
        <w:rPr>
          <w:rFonts w:asciiTheme="minorHAnsi" w:hAnsiTheme="minorHAnsi" w:cstheme="minorHAnsi"/>
          <w:sz w:val="24"/>
          <w:szCs w:val="24"/>
        </w:rPr>
        <w:t xml:space="preserve">from the older temple at </w:t>
      </w:r>
      <w:proofErr w:type="spellStart"/>
      <w:r w:rsidR="00755A83">
        <w:rPr>
          <w:rFonts w:asciiTheme="minorHAnsi" w:hAnsiTheme="minorHAnsi" w:cstheme="minorHAnsi"/>
          <w:sz w:val="24"/>
          <w:szCs w:val="24"/>
        </w:rPr>
        <w:t>Ascalon</w:t>
      </w:r>
      <w:proofErr w:type="spellEnd"/>
      <w:r w:rsidR="00755A83">
        <w:rPr>
          <w:rFonts w:asciiTheme="minorHAnsi" w:hAnsiTheme="minorHAnsi" w:cstheme="minorHAnsi"/>
          <w:sz w:val="24"/>
          <w:szCs w:val="24"/>
        </w:rPr>
        <w:t xml:space="preserve"> in Palestine and what that might mean with respect to the deity worshipped</w:t>
      </w:r>
      <w:r w:rsidR="00491D81">
        <w:rPr>
          <w:rFonts w:asciiTheme="minorHAnsi" w:hAnsiTheme="minorHAnsi" w:cstheme="minorHAnsi"/>
          <w:sz w:val="24"/>
          <w:szCs w:val="24"/>
        </w:rPr>
        <w:t>,</w:t>
      </w:r>
      <w:r w:rsidR="00755A83">
        <w:rPr>
          <w:rStyle w:val="FootnoteReference"/>
          <w:rFonts w:asciiTheme="minorHAnsi" w:hAnsiTheme="minorHAnsi" w:cstheme="minorHAnsi"/>
          <w:sz w:val="24"/>
          <w:szCs w:val="24"/>
        </w:rPr>
        <w:footnoteReference w:id="34"/>
      </w:r>
      <w:r w:rsidR="00491D81">
        <w:rPr>
          <w:rFonts w:asciiTheme="minorHAnsi" w:hAnsiTheme="minorHAnsi" w:cstheme="minorHAnsi"/>
          <w:sz w:val="24"/>
          <w:szCs w:val="24"/>
        </w:rPr>
        <w:t xml:space="preserve"> nor indeed </w:t>
      </w:r>
      <w:r w:rsidR="00CD6EC5">
        <w:rPr>
          <w:rFonts w:asciiTheme="minorHAnsi" w:hAnsiTheme="minorHAnsi" w:cstheme="minorHAnsi"/>
          <w:sz w:val="24"/>
          <w:szCs w:val="24"/>
        </w:rPr>
        <w:t xml:space="preserve">the plausibility </w:t>
      </w:r>
      <w:r w:rsidR="00491D81">
        <w:rPr>
          <w:rFonts w:asciiTheme="minorHAnsi" w:hAnsiTheme="minorHAnsi" w:cstheme="minorHAnsi"/>
          <w:sz w:val="24"/>
          <w:szCs w:val="24"/>
        </w:rPr>
        <w:t>of a single Goddess-temple network across the eastern Mediterranean, perhaps a 'sacred landscape' writ large.</w:t>
      </w:r>
      <w:r w:rsidR="00491D81">
        <w:rPr>
          <w:rStyle w:val="FootnoteReference"/>
          <w:rFonts w:asciiTheme="minorHAnsi" w:hAnsiTheme="minorHAnsi" w:cstheme="minorHAnsi"/>
          <w:sz w:val="24"/>
          <w:szCs w:val="24"/>
        </w:rPr>
        <w:footnoteReference w:id="35"/>
      </w:r>
      <w:r w:rsidR="00755A83">
        <w:rPr>
          <w:rFonts w:asciiTheme="minorHAnsi" w:hAnsiTheme="minorHAnsi" w:cstheme="minorHAnsi"/>
          <w:sz w:val="24"/>
          <w:szCs w:val="24"/>
        </w:rPr>
        <w:t xml:space="preserve"> </w:t>
      </w:r>
      <w:r w:rsidR="006C34F3">
        <w:rPr>
          <w:rFonts w:asciiTheme="minorHAnsi" w:hAnsiTheme="minorHAnsi" w:cstheme="minorHAnsi"/>
          <w:sz w:val="24"/>
          <w:szCs w:val="24"/>
        </w:rPr>
        <w:t>The location of the LBA sanctuary</w:t>
      </w:r>
      <w:r w:rsidR="00D80F7C">
        <w:rPr>
          <w:rFonts w:asciiTheme="minorHAnsi" w:hAnsiTheme="minorHAnsi" w:cstheme="minorHAnsi"/>
          <w:sz w:val="24"/>
          <w:szCs w:val="24"/>
        </w:rPr>
        <w:t>, around half a hectare in area,</w:t>
      </w:r>
      <w:r w:rsidR="006C34F3">
        <w:rPr>
          <w:rFonts w:asciiTheme="minorHAnsi" w:hAnsiTheme="minorHAnsi" w:cstheme="minorHAnsi"/>
          <w:sz w:val="24"/>
          <w:szCs w:val="24"/>
        </w:rPr>
        <w:t xml:space="preserve"> within the larger urban area must be considered </w:t>
      </w:r>
      <w:r w:rsidR="006C34F3">
        <w:rPr>
          <w:rFonts w:asciiTheme="minorHAnsi" w:hAnsiTheme="minorHAnsi" w:cstheme="minorHAnsi"/>
          <w:sz w:val="24"/>
          <w:szCs w:val="24"/>
        </w:rPr>
        <w:lastRenderedPageBreak/>
        <w:t xml:space="preserve">significant, providing </w:t>
      </w:r>
      <w:r w:rsidR="00A10154">
        <w:rPr>
          <w:rFonts w:asciiTheme="minorHAnsi" w:hAnsiTheme="minorHAnsi" w:cstheme="minorHAnsi"/>
          <w:sz w:val="24"/>
          <w:szCs w:val="24"/>
        </w:rPr>
        <w:t>“impressive visibility towards the sea and vice versa” and very plausibly “a beacon for sea traffic”.</w:t>
      </w:r>
      <w:r w:rsidR="00A10154">
        <w:rPr>
          <w:rStyle w:val="FootnoteReference"/>
          <w:rFonts w:asciiTheme="minorHAnsi" w:hAnsiTheme="minorHAnsi" w:cstheme="minorHAnsi"/>
          <w:sz w:val="24"/>
          <w:szCs w:val="24"/>
        </w:rPr>
        <w:footnoteReference w:id="36"/>
      </w:r>
    </w:p>
    <w:p w14:paraId="28DA3C0A" w14:textId="5F900560" w:rsidR="00B92DAB" w:rsidRPr="000B0590" w:rsidRDefault="00755A83"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noProof/>
          <w:sz w:val="24"/>
          <w:szCs w:val="24"/>
        </w:rPr>
        <w:drawing>
          <wp:anchor distT="0" distB="0" distL="114300" distR="114300" simplePos="0" relativeHeight="251668480" behindDoc="0" locked="0" layoutInCell="1" allowOverlap="1" wp14:anchorId="2C4C03A0" wp14:editId="40642DE3">
            <wp:simplePos x="0" y="0"/>
            <wp:positionH relativeFrom="margin">
              <wp:align>left</wp:align>
            </wp:positionH>
            <wp:positionV relativeFrom="paragraph">
              <wp:posOffset>7193</wp:posOffset>
            </wp:positionV>
            <wp:extent cx="4351824" cy="2427444"/>
            <wp:effectExtent l="0" t="0" r="0" b="0"/>
            <wp:wrapSquare wrapText="bothSides"/>
            <wp:docPr id="177393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38227" name="Picture 177393822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51824" cy="2427444"/>
                    </a:xfrm>
                    <a:prstGeom prst="rect">
                      <a:avLst/>
                    </a:prstGeom>
                  </pic:spPr>
                </pic:pic>
              </a:graphicData>
            </a:graphic>
            <wp14:sizeRelH relativeFrom="margin">
              <wp14:pctWidth>0</wp14:pctWidth>
            </wp14:sizeRelH>
            <wp14:sizeRelV relativeFrom="margin">
              <wp14:pctHeight>0</wp14:pctHeight>
            </wp14:sizeRelV>
          </wp:anchor>
        </w:drawing>
      </w:r>
    </w:p>
    <w:p w14:paraId="2297AF92" w14:textId="3CFA0B4B" w:rsidR="009A78E5" w:rsidRPr="000B0590" w:rsidRDefault="009A78E5" w:rsidP="00F22994">
      <w:pPr>
        <w:pStyle w:val="FootnoteText"/>
        <w:spacing w:after="120" w:line="360" w:lineRule="auto"/>
        <w:rPr>
          <w:rFonts w:asciiTheme="minorHAnsi" w:hAnsiTheme="minorHAnsi" w:cstheme="minorHAnsi"/>
          <w:sz w:val="24"/>
          <w:szCs w:val="24"/>
        </w:rPr>
      </w:pPr>
    </w:p>
    <w:p w14:paraId="52D937C0" w14:textId="4D28A8AF" w:rsidR="009A78E5" w:rsidRPr="000B0590" w:rsidRDefault="009A78E5" w:rsidP="009A78E5">
      <w:pPr>
        <w:pStyle w:val="FootnoteText"/>
        <w:spacing w:after="120"/>
        <w:rPr>
          <w:rFonts w:asciiTheme="minorHAnsi" w:hAnsiTheme="minorHAnsi" w:cstheme="minorHAnsi"/>
          <w:sz w:val="24"/>
          <w:szCs w:val="24"/>
        </w:rPr>
      </w:pPr>
      <w:r w:rsidRPr="000B0590">
        <w:rPr>
          <w:rFonts w:asciiTheme="minorHAnsi" w:hAnsiTheme="minorHAnsi" w:cstheme="minorHAnsi"/>
          <w:i/>
          <w:iCs/>
          <w:sz w:val="24"/>
          <w:szCs w:val="24"/>
        </w:rPr>
        <w:t>Reconstruction of the LBA Sanctuary</w:t>
      </w:r>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37"/>
      </w:r>
    </w:p>
    <w:p w14:paraId="185CD78A" w14:textId="77777777" w:rsidR="009A78E5" w:rsidRPr="000B0590" w:rsidRDefault="009A78E5" w:rsidP="00F22994">
      <w:pPr>
        <w:pStyle w:val="FootnoteText"/>
        <w:spacing w:after="120" w:line="360" w:lineRule="auto"/>
        <w:rPr>
          <w:rFonts w:asciiTheme="minorHAnsi" w:hAnsiTheme="minorHAnsi" w:cstheme="minorHAnsi"/>
          <w:sz w:val="24"/>
          <w:szCs w:val="24"/>
        </w:rPr>
      </w:pPr>
    </w:p>
    <w:p w14:paraId="6A877B52" w14:textId="2998BA97" w:rsidR="00B92DAB" w:rsidRPr="000B0590" w:rsidRDefault="00B92DAB" w:rsidP="00F22994">
      <w:pPr>
        <w:pStyle w:val="FootnoteText"/>
        <w:spacing w:after="120" w:line="360" w:lineRule="auto"/>
        <w:rPr>
          <w:rFonts w:asciiTheme="minorHAnsi" w:hAnsiTheme="minorHAnsi" w:cstheme="minorHAnsi"/>
          <w:sz w:val="24"/>
          <w:szCs w:val="24"/>
        </w:rPr>
      </w:pPr>
    </w:p>
    <w:p w14:paraId="6A92DC11" w14:textId="5B3B6281" w:rsidR="00B92DAB" w:rsidRPr="000B0590" w:rsidRDefault="00B92DAB" w:rsidP="00F22994">
      <w:pPr>
        <w:pStyle w:val="FootnoteText"/>
        <w:spacing w:after="120" w:line="360" w:lineRule="auto"/>
        <w:rPr>
          <w:rFonts w:asciiTheme="minorHAnsi" w:hAnsiTheme="minorHAnsi" w:cstheme="minorHAnsi"/>
          <w:sz w:val="24"/>
          <w:szCs w:val="24"/>
        </w:rPr>
      </w:pPr>
    </w:p>
    <w:p w14:paraId="795CE708" w14:textId="308E27A2" w:rsidR="00902E94" w:rsidRPr="000B0590" w:rsidRDefault="00902E94" w:rsidP="00F22994">
      <w:pPr>
        <w:spacing w:line="360" w:lineRule="auto"/>
      </w:pPr>
    </w:p>
    <w:p w14:paraId="53A772CD" w14:textId="018A16D9" w:rsidR="00C1237B" w:rsidRPr="000B0590" w:rsidRDefault="00C1237B" w:rsidP="00C1237B">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Very little now remains of the LBA Sanctuary. Hypothetical reconstruction indicates that an open area was surrounded by a wall of </w:t>
      </w:r>
      <w:r w:rsidR="002D1368">
        <w:rPr>
          <w:rFonts w:asciiTheme="minorHAnsi" w:hAnsiTheme="minorHAnsi" w:cstheme="minorHAnsi"/>
          <w:sz w:val="24"/>
          <w:szCs w:val="24"/>
        </w:rPr>
        <w:t xml:space="preserve">large </w:t>
      </w:r>
      <w:r w:rsidRPr="000B0590">
        <w:rPr>
          <w:rFonts w:asciiTheme="minorHAnsi" w:hAnsiTheme="minorHAnsi" w:cstheme="minorHAnsi"/>
          <w:sz w:val="24"/>
          <w:szCs w:val="24"/>
        </w:rPr>
        <w:t xml:space="preserve">ashlar masonry. To the north was a colonnaded hall - it is not thought that there was ever a ‘secret’ inner sanctum </w:t>
      </w:r>
      <w:r w:rsidR="00C47BD5">
        <w:rPr>
          <w:rFonts w:asciiTheme="minorHAnsi" w:hAnsiTheme="minorHAnsi" w:cstheme="minorHAnsi"/>
          <w:sz w:val="24"/>
          <w:szCs w:val="24"/>
        </w:rPr>
        <w:t xml:space="preserve">or liminal area </w:t>
      </w:r>
      <w:r w:rsidRPr="000B0590">
        <w:rPr>
          <w:rFonts w:asciiTheme="minorHAnsi" w:hAnsiTheme="minorHAnsi" w:cstheme="minorHAnsi"/>
          <w:sz w:val="24"/>
          <w:szCs w:val="24"/>
        </w:rPr>
        <w:t>with restricted access</w:t>
      </w:r>
      <w:r w:rsidR="00C47BD5">
        <w:rPr>
          <w:rFonts w:asciiTheme="minorHAnsi" w:hAnsiTheme="minorHAnsi" w:cstheme="minorHAnsi"/>
          <w:sz w:val="24"/>
          <w:szCs w:val="24"/>
        </w:rPr>
        <w:t xml:space="preserve"> as occurs in various </w:t>
      </w:r>
      <w:r w:rsidR="001768BB">
        <w:rPr>
          <w:rFonts w:asciiTheme="minorHAnsi" w:hAnsiTheme="minorHAnsi" w:cstheme="minorHAnsi"/>
          <w:sz w:val="24"/>
          <w:szCs w:val="24"/>
        </w:rPr>
        <w:t xml:space="preserve">approximately contemporary </w:t>
      </w:r>
      <w:r w:rsidR="00C47BD5">
        <w:rPr>
          <w:rFonts w:asciiTheme="minorHAnsi" w:hAnsiTheme="minorHAnsi" w:cstheme="minorHAnsi"/>
          <w:sz w:val="24"/>
          <w:szCs w:val="24"/>
        </w:rPr>
        <w:t>Mycenaean 'palaces'.</w:t>
      </w:r>
      <w:r>
        <w:rPr>
          <w:rFonts w:asciiTheme="minorHAnsi" w:hAnsiTheme="minorHAnsi" w:cstheme="minorHAnsi"/>
          <w:sz w:val="24"/>
          <w:szCs w:val="24"/>
        </w:rPr>
        <w:t xml:space="preserve"> It seems plausible th</w:t>
      </w:r>
      <w:r w:rsidR="0084318D">
        <w:rPr>
          <w:rFonts w:asciiTheme="minorHAnsi" w:hAnsiTheme="minorHAnsi" w:cstheme="minorHAnsi"/>
          <w:sz w:val="24"/>
          <w:szCs w:val="24"/>
        </w:rPr>
        <w:t>e</w:t>
      </w:r>
      <w:r>
        <w:rPr>
          <w:rFonts w:asciiTheme="minorHAnsi" w:hAnsiTheme="minorHAnsi" w:cstheme="minorHAnsi"/>
          <w:sz w:val="24"/>
          <w:szCs w:val="24"/>
        </w:rPr>
        <w:t xml:space="preserve"> </w:t>
      </w:r>
      <w:r w:rsidR="0084318D">
        <w:rPr>
          <w:rFonts w:asciiTheme="minorHAnsi" w:hAnsiTheme="minorHAnsi" w:cstheme="minorHAnsi"/>
          <w:sz w:val="24"/>
          <w:szCs w:val="24"/>
        </w:rPr>
        <w:t xml:space="preserve">independent </w:t>
      </w:r>
      <w:r>
        <w:rPr>
          <w:rFonts w:asciiTheme="minorHAnsi" w:hAnsiTheme="minorHAnsi" w:cstheme="minorHAnsi"/>
          <w:sz w:val="24"/>
          <w:szCs w:val="24"/>
        </w:rPr>
        <w:t xml:space="preserve">polity </w:t>
      </w:r>
      <w:r w:rsidR="0084318D">
        <w:rPr>
          <w:rFonts w:asciiTheme="minorHAnsi" w:hAnsiTheme="minorHAnsi" w:cstheme="minorHAnsi"/>
          <w:sz w:val="24"/>
          <w:szCs w:val="24"/>
        </w:rPr>
        <w:t xml:space="preserve">of </w:t>
      </w:r>
      <w:r>
        <w:rPr>
          <w:rFonts w:asciiTheme="minorHAnsi" w:hAnsiTheme="minorHAnsi" w:cstheme="minorHAnsi"/>
          <w:sz w:val="24"/>
          <w:szCs w:val="24"/>
        </w:rPr>
        <w:t xml:space="preserve">Paphos </w:t>
      </w:r>
      <w:r w:rsidR="0084318D">
        <w:rPr>
          <w:rFonts w:asciiTheme="minorHAnsi" w:hAnsiTheme="minorHAnsi" w:cstheme="minorHAnsi"/>
          <w:sz w:val="24"/>
          <w:szCs w:val="24"/>
        </w:rPr>
        <w:t xml:space="preserve">existed </w:t>
      </w:r>
      <w:r>
        <w:rPr>
          <w:rFonts w:asciiTheme="minorHAnsi" w:hAnsiTheme="minorHAnsi" w:cstheme="minorHAnsi"/>
          <w:sz w:val="24"/>
          <w:szCs w:val="24"/>
        </w:rPr>
        <w:t>at least from this point until the destruction of its monarchy by Ptolemy Soter in 310 BCE: the kings</w:t>
      </w:r>
      <w:r>
        <w:rPr>
          <w:rStyle w:val="FootnoteReference"/>
          <w:rFonts w:asciiTheme="minorHAnsi" w:hAnsiTheme="minorHAnsi" w:cstheme="minorHAnsi"/>
          <w:sz w:val="24"/>
          <w:szCs w:val="24"/>
        </w:rPr>
        <w:footnoteReference w:id="38"/>
      </w:r>
      <w:r>
        <w:rPr>
          <w:rFonts w:asciiTheme="minorHAnsi" w:hAnsiTheme="minorHAnsi" w:cstheme="minorHAnsi"/>
          <w:sz w:val="24"/>
          <w:szCs w:val="24"/>
        </w:rPr>
        <w:t xml:space="preserve"> seem to have functioned equally as ‘high priests’ of the sanctuary.</w:t>
      </w:r>
      <w:r>
        <w:rPr>
          <w:rStyle w:val="FootnoteReference"/>
          <w:rFonts w:asciiTheme="minorHAnsi" w:hAnsiTheme="minorHAnsi" w:cstheme="minorHAnsi"/>
          <w:sz w:val="24"/>
          <w:szCs w:val="24"/>
        </w:rPr>
        <w:footnoteReference w:id="39"/>
      </w:r>
      <w:r>
        <w:rPr>
          <w:rFonts w:asciiTheme="minorHAnsi" w:hAnsiTheme="minorHAnsi" w:cstheme="minorHAnsi"/>
          <w:sz w:val="24"/>
          <w:szCs w:val="24"/>
        </w:rPr>
        <w:t xml:space="preserve"> </w:t>
      </w:r>
      <w:r w:rsidR="009E1209">
        <w:rPr>
          <w:rFonts w:asciiTheme="minorHAnsi" w:hAnsiTheme="minorHAnsi" w:cstheme="minorHAnsi"/>
          <w:sz w:val="24"/>
          <w:szCs w:val="24"/>
        </w:rPr>
        <w:t>A significant votive form in this period is the ‘lady with upraised arms’.</w:t>
      </w:r>
      <w:r w:rsidR="009E1209">
        <w:rPr>
          <w:rStyle w:val="FootnoteReference"/>
          <w:rFonts w:asciiTheme="minorHAnsi" w:hAnsiTheme="minorHAnsi" w:cstheme="minorHAnsi"/>
          <w:sz w:val="24"/>
          <w:szCs w:val="24"/>
        </w:rPr>
        <w:footnoteReference w:id="40"/>
      </w:r>
      <w:r w:rsidR="009E1209">
        <w:rPr>
          <w:rFonts w:asciiTheme="minorHAnsi" w:hAnsiTheme="minorHAnsi" w:cstheme="minorHAnsi"/>
          <w:sz w:val="24"/>
          <w:szCs w:val="24"/>
        </w:rPr>
        <w:t xml:space="preserve"> Thousands of votive terracotta have been found.</w:t>
      </w:r>
      <w:r w:rsidR="009E1209">
        <w:rPr>
          <w:rStyle w:val="FootnoteReference"/>
          <w:rFonts w:asciiTheme="minorHAnsi" w:hAnsiTheme="minorHAnsi" w:cstheme="minorHAnsi"/>
          <w:sz w:val="24"/>
          <w:szCs w:val="24"/>
        </w:rPr>
        <w:footnoteReference w:id="41"/>
      </w:r>
      <w:r w:rsidR="009E1209">
        <w:rPr>
          <w:rFonts w:asciiTheme="minorHAnsi" w:hAnsiTheme="minorHAnsi" w:cstheme="minorHAnsi"/>
          <w:sz w:val="24"/>
          <w:szCs w:val="24"/>
        </w:rPr>
        <w:t xml:space="preserve"> </w:t>
      </w:r>
      <w:r>
        <w:rPr>
          <w:rFonts w:asciiTheme="minorHAnsi" w:hAnsiTheme="minorHAnsi" w:cstheme="minorHAnsi"/>
          <w:sz w:val="24"/>
          <w:szCs w:val="24"/>
        </w:rPr>
        <w:t xml:space="preserve">There are no reports extant of major earthquakes in the centuries after the sanctuary was established so it may well have been unscathed until the Persian Wars when much of its </w:t>
      </w:r>
      <w:r w:rsidR="007B4CEA">
        <w:rPr>
          <w:rFonts w:asciiTheme="minorHAnsi" w:hAnsiTheme="minorHAnsi" w:cstheme="minorHAnsi"/>
          <w:sz w:val="24"/>
          <w:szCs w:val="24"/>
        </w:rPr>
        <w:lastRenderedPageBreak/>
        <w:t xml:space="preserve">movable </w:t>
      </w:r>
      <w:r>
        <w:rPr>
          <w:rFonts w:asciiTheme="minorHAnsi" w:hAnsiTheme="minorHAnsi" w:cstheme="minorHAnsi"/>
          <w:sz w:val="24"/>
          <w:szCs w:val="24"/>
        </w:rPr>
        <w:t xml:space="preserve">material seems to have been used </w:t>
      </w:r>
      <w:r w:rsidR="002B50A7">
        <w:rPr>
          <w:rFonts w:asciiTheme="minorHAnsi" w:hAnsiTheme="minorHAnsi" w:cstheme="minorHAnsi"/>
          <w:sz w:val="24"/>
          <w:szCs w:val="24"/>
        </w:rPr>
        <w:t xml:space="preserve">in 498 BCE </w:t>
      </w:r>
      <w:r>
        <w:rPr>
          <w:rFonts w:asciiTheme="minorHAnsi" w:hAnsiTheme="minorHAnsi" w:cstheme="minorHAnsi"/>
          <w:sz w:val="24"/>
          <w:szCs w:val="24"/>
        </w:rPr>
        <w:t>to construct a siege ramp against the city wall.</w:t>
      </w:r>
      <w:r>
        <w:rPr>
          <w:rStyle w:val="FootnoteReference"/>
          <w:rFonts w:asciiTheme="minorHAnsi" w:hAnsiTheme="minorHAnsi" w:cstheme="minorHAnsi"/>
          <w:sz w:val="24"/>
          <w:szCs w:val="24"/>
        </w:rPr>
        <w:footnoteReference w:id="42"/>
      </w:r>
      <w:r w:rsidR="002B50A7">
        <w:rPr>
          <w:rFonts w:asciiTheme="minorHAnsi" w:hAnsiTheme="minorHAnsi" w:cstheme="minorHAnsi"/>
          <w:sz w:val="24"/>
          <w:szCs w:val="24"/>
        </w:rPr>
        <w:t xml:space="preserve"> </w:t>
      </w:r>
    </w:p>
    <w:p w14:paraId="7DC974F5" w14:textId="5389250A" w:rsidR="009A78E5" w:rsidRPr="000B0590" w:rsidRDefault="009A78E5" w:rsidP="00F22994">
      <w:pPr>
        <w:pStyle w:val="FootnoteText"/>
        <w:spacing w:after="120" w:line="360" w:lineRule="auto"/>
        <w:rPr>
          <w:sz w:val="24"/>
          <w:szCs w:val="24"/>
        </w:rPr>
      </w:pPr>
      <w:r w:rsidRPr="000B0590">
        <w:rPr>
          <w:rFonts w:asciiTheme="minorHAnsi" w:hAnsiTheme="minorHAnsi" w:cstheme="minorHAnsi"/>
          <w:i/>
          <w:iCs/>
          <w:noProof/>
          <w:sz w:val="24"/>
          <w:szCs w:val="24"/>
        </w:rPr>
        <w:drawing>
          <wp:anchor distT="0" distB="0" distL="114300" distR="114300" simplePos="0" relativeHeight="251660288" behindDoc="0" locked="0" layoutInCell="1" allowOverlap="1" wp14:anchorId="65DB9A4B" wp14:editId="0FD0C405">
            <wp:simplePos x="0" y="0"/>
            <wp:positionH relativeFrom="margin">
              <wp:posOffset>101960</wp:posOffset>
            </wp:positionH>
            <wp:positionV relativeFrom="paragraph">
              <wp:posOffset>158087</wp:posOffset>
            </wp:positionV>
            <wp:extent cx="3989070" cy="2131060"/>
            <wp:effectExtent l="0" t="0" r="0" b="2540"/>
            <wp:wrapSquare wrapText="bothSides"/>
            <wp:docPr id="1784246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9070" cy="2131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98E193" w14:textId="3834FA1C" w:rsidR="009A78E5" w:rsidRPr="000B0590" w:rsidRDefault="009A78E5" w:rsidP="009A78E5">
      <w:pPr>
        <w:pStyle w:val="FootnoteText"/>
        <w:spacing w:after="120"/>
        <w:rPr>
          <w:rFonts w:asciiTheme="minorHAnsi" w:hAnsiTheme="minorHAnsi" w:cstheme="minorHAnsi"/>
          <w:sz w:val="24"/>
          <w:szCs w:val="24"/>
        </w:rPr>
      </w:pPr>
      <w:r w:rsidRPr="000B0590">
        <w:rPr>
          <w:rFonts w:asciiTheme="minorHAnsi" w:hAnsiTheme="minorHAnsi" w:cstheme="minorHAnsi"/>
          <w:i/>
          <w:iCs/>
          <w:sz w:val="24"/>
          <w:szCs w:val="24"/>
        </w:rPr>
        <w:t xml:space="preserve">Present-day remains </w:t>
      </w:r>
      <w:r w:rsidRPr="000B0590">
        <w:rPr>
          <w:rFonts w:asciiTheme="minorHAnsi" w:hAnsiTheme="minorHAnsi" w:cstheme="minorHAnsi"/>
          <w:sz w:val="24"/>
          <w:szCs w:val="24"/>
        </w:rPr>
        <w:t>o</w:t>
      </w:r>
      <w:r w:rsidRPr="000B0590">
        <w:rPr>
          <w:rFonts w:asciiTheme="minorHAnsi" w:hAnsiTheme="minorHAnsi" w:cstheme="minorHAnsi"/>
          <w:i/>
          <w:iCs/>
          <w:sz w:val="24"/>
          <w:szCs w:val="24"/>
        </w:rPr>
        <w:t>f the Late Bronze Age Sanctuary I wall.</w:t>
      </w:r>
      <w:r w:rsidRPr="000B0590">
        <w:rPr>
          <w:rStyle w:val="FootnoteReference"/>
          <w:rFonts w:asciiTheme="minorHAnsi" w:hAnsiTheme="minorHAnsi" w:cstheme="minorHAnsi"/>
          <w:i/>
          <w:iCs/>
          <w:sz w:val="24"/>
          <w:szCs w:val="24"/>
        </w:rPr>
        <w:footnoteReference w:id="43"/>
      </w:r>
    </w:p>
    <w:p w14:paraId="5A9BC055" w14:textId="77777777" w:rsidR="009A78E5" w:rsidRPr="000B0590" w:rsidRDefault="009A78E5" w:rsidP="00F22994">
      <w:pPr>
        <w:pStyle w:val="FootnoteText"/>
        <w:spacing w:after="120" w:line="360" w:lineRule="auto"/>
        <w:rPr>
          <w:sz w:val="24"/>
          <w:szCs w:val="24"/>
        </w:rPr>
      </w:pPr>
    </w:p>
    <w:p w14:paraId="247ED774" w14:textId="77777777" w:rsidR="009A78E5" w:rsidRPr="000B0590" w:rsidRDefault="009A78E5" w:rsidP="00F22994">
      <w:pPr>
        <w:pStyle w:val="FootnoteText"/>
        <w:spacing w:after="120" w:line="360" w:lineRule="auto"/>
        <w:rPr>
          <w:sz w:val="24"/>
          <w:szCs w:val="24"/>
        </w:rPr>
      </w:pPr>
    </w:p>
    <w:p w14:paraId="0F34DAC5" w14:textId="77777777" w:rsidR="009A78E5" w:rsidRDefault="009A78E5" w:rsidP="00F22994">
      <w:pPr>
        <w:pStyle w:val="FootnoteText"/>
        <w:spacing w:after="120" w:line="360" w:lineRule="auto"/>
        <w:rPr>
          <w:sz w:val="24"/>
          <w:szCs w:val="24"/>
        </w:rPr>
      </w:pPr>
    </w:p>
    <w:p w14:paraId="6AE78326" w14:textId="77777777" w:rsidR="00A77EA0" w:rsidRDefault="00A77EA0" w:rsidP="00F22994">
      <w:pPr>
        <w:pStyle w:val="FootnoteText"/>
        <w:spacing w:after="120" w:line="360" w:lineRule="auto"/>
        <w:rPr>
          <w:sz w:val="24"/>
          <w:szCs w:val="24"/>
        </w:rPr>
      </w:pPr>
    </w:p>
    <w:p w14:paraId="0B5CD769" w14:textId="307B8C52" w:rsidR="00491D81" w:rsidRDefault="00A77EA0" w:rsidP="001768BB">
      <w:pPr>
        <w:pStyle w:val="FootnoteText"/>
        <w:widowControl w:val="0"/>
        <w:spacing w:after="120" w:line="360" w:lineRule="auto"/>
        <w:rPr>
          <w:rFonts w:asciiTheme="minorHAnsi" w:hAnsiTheme="minorHAnsi" w:cstheme="minorHAnsi"/>
          <w:sz w:val="24"/>
          <w:szCs w:val="24"/>
        </w:rPr>
      </w:pPr>
      <w:r>
        <w:rPr>
          <w:sz w:val="24"/>
          <w:szCs w:val="24"/>
        </w:rPr>
        <w:t xml:space="preserve">It is unknown what reconstruction took place after this disaster or under Ptolemaic rule. </w:t>
      </w:r>
      <w:r w:rsidRPr="000B0590">
        <w:rPr>
          <w:rFonts w:asciiTheme="minorHAnsi" w:hAnsiTheme="minorHAnsi" w:cstheme="minorHAnsi"/>
          <w:sz w:val="24"/>
          <w:szCs w:val="24"/>
        </w:rPr>
        <w:t>In the second half of the last century BCE Cyprus came under Roman control. The Julio-Claudian family of Julius and Augustus Caesar traced their descent back to Aeneas, in myth the son of Aphrodite,</w:t>
      </w:r>
      <w:r w:rsidRPr="000B0590">
        <w:rPr>
          <w:rStyle w:val="FootnoteReference"/>
          <w:rFonts w:asciiTheme="minorHAnsi" w:hAnsiTheme="minorHAnsi" w:cstheme="minorHAnsi"/>
          <w:sz w:val="24"/>
          <w:szCs w:val="24"/>
        </w:rPr>
        <w:footnoteReference w:id="44"/>
      </w:r>
      <w:r w:rsidRPr="000B0590">
        <w:rPr>
          <w:rFonts w:asciiTheme="minorHAnsi" w:hAnsiTheme="minorHAnsi" w:cstheme="minorHAnsi"/>
          <w:sz w:val="24"/>
          <w:szCs w:val="24"/>
        </w:rPr>
        <w:t xml:space="preserve"> and consequently gave ample endowment to the Palaepaphos sanctuary.</w:t>
      </w:r>
      <w:r w:rsidRPr="000B0590">
        <w:rPr>
          <w:rStyle w:val="FootnoteReference"/>
          <w:rFonts w:asciiTheme="minorHAnsi" w:hAnsiTheme="minorHAnsi" w:cstheme="minorHAnsi"/>
          <w:sz w:val="24"/>
          <w:szCs w:val="24"/>
        </w:rPr>
        <w:footnoteReference w:id="45"/>
      </w:r>
      <w:r w:rsidRPr="000B0590">
        <w:rPr>
          <w:rFonts w:asciiTheme="minorHAnsi" w:hAnsiTheme="minorHAnsi" w:cstheme="minorHAnsi"/>
          <w:sz w:val="24"/>
          <w:szCs w:val="24"/>
        </w:rPr>
        <w:t xml:space="preserve"> </w:t>
      </w:r>
    </w:p>
    <w:p w14:paraId="0B7BF3FB" w14:textId="291D72B0" w:rsidR="00491D81" w:rsidRDefault="00491D81" w:rsidP="00A77EA0">
      <w:pPr>
        <w:pStyle w:val="FootnoteText"/>
        <w:spacing w:after="120" w:line="360" w:lineRule="auto"/>
        <w:rPr>
          <w:rFonts w:asciiTheme="minorHAnsi" w:hAnsiTheme="minorHAnsi" w:cstheme="minorHAnsi"/>
          <w:sz w:val="24"/>
          <w:szCs w:val="24"/>
        </w:rPr>
      </w:pPr>
    </w:p>
    <w:p w14:paraId="1B723CE4" w14:textId="77777777" w:rsidR="001768BB" w:rsidRDefault="001768BB" w:rsidP="001768BB">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The site was repeatedly repaired and rebuilt after earthquakes including in 15 BCE and 77/78 CE: what remains today, known as Sanctuary II postdates the latter,</w:t>
      </w:r>
      <w:r>
        <w:rPr>
          <w:rStyle w:val="FootnoteReference"/>
          <w:rFonts w:asciiTheme="minorHAnsi" w:hAnsiTheme="minorHAnsi" w:cstheme="minorHAnsi"/>
          <w:sz w:val="24"/>
          <w:szCs w:val="24"/>
        </w:rPr>
        <w:footnoteReference w:id="46"/>
      </w:r>
      <w:r w:rsidRPr="000B0590">
        <w:rPr>
          <w:rFonts w:asciiTheme="minorHAnsi" w:hAnsiTheme="minorHAnsi" w:cstheme="minorHAnsi"/>
          <w:sz w:val="24"/>
          <w:szCs w:val="24"/>
        </w:rPr>
        <w:t xml:space="preserve"> </w:t>
      </w:r>
      <w:r>
        <w:rPr>
          <w:rFonts w:asciiTheme="minorHAnsi" w:hAnsiTheme="minorHAnsi" w:cstheme="minorHAnsi"/>
          <w:sz w:val="24"/>
          <w:szCs w:val="24"/>
        </w:rPr>
        <w:t xml:space="preserve">with </w:t>
      </w:r>
      <w:r w:rsidRPr="000B0590">
        <w:rPr>
          <w:rFonts w:asciiTheme="minorHAnsi" w:hAnsiTheme="minorHAnsi" w:cstheme="minorHAnsi"/>
          <w:sz w:val="24"/>
          <w:szCs w:val="24"/>
        </w:rPr>
        <w:t xml:space="preserve">some new building </w:t>
      </w:r>
      <w:r>
        <w:rPr>
          <w:rFonts w:asciiTheme="minorHAnsi" w:hAnsiTheme="minorHAnsi" w:cstheme="minorHAnsi"/>
          <w:sz w:val="24"/>
          <w:szCs w:val="24"/>
        </w:rPr>
        <w:t xml:space="preserve">at the beginning of the </w:t>
      </w:r>
      <w:r w:rsidRPr="000B0590">
        <w:rPr>
          <w:rFonts w:asciiTheme="minorHAnsi" w:hAnsiTheme="minorHAnsi" w:cstheme="minorHAnsi"/>
          <w:sz w:val="24"/>
          <w:szCs w:val="24"/>
        </w:rPr>
        <w:t>3</w:t>
      </w:r>
      <w:r w:rsidRPr="000B0590">
        <w:rPr>
          <w:rFonts w:asciiTheme="minorHAnsi" w:hAnsiTheme="minorHAnsi" w:cstheme="minorHAnsi"/>
          <w:sz w:val="24"/>
          <w:szCs w:val="24"/>
          <w:vertAlign w:val="superscript"/>
        </w:rPr>
        <w:t>rd</w:t>
      </w:r>
      <w:r w:rsidRPr="000B0590">
        <w:rPr>
          <w:rFonts w:asciiTheme="minorHAnsi" w:hAnsiTheme="minorHAnsi" w:cstheme="minorHAnsi"/>
          <w:sz w:val="24"/>
          <w:szCs w:val="24"/>
        </w:rPr>
        <w:t xml:space="preserve"> centur</w:t>
      </w:r>
      <w:r>
        <w:rPr>
          <w:rFonts w:asciiTheme="minorHAnsi" w:hAnsiTheme="minorHAnsi" w:cstheme="minorHAnsi"/>
          <w:sz w:val="24"/>
          <w:szCs w:val="24"/>
        </w:rPr>
        <w:t xml:space="preserve">y </w:t>
      </w:r>
      <w:r w:rsidRPr="000B0590">
        <w:rPr>
          <w:rFonts w:asciiTheme="minorHAnsi" w:hAnsiTheme="minorHAnsi" w:cstheme="minorHAnsi"/>
          <w:sz w:val="24"/>
          <w:szCs w:val="24"/>
        </w:rPr>
        <w:t>CE.</w:t>
      </w:r>
      <w:r w:rsidRPr="000B0590">
        <w:rPr>
          <w:rStyle w:val="FootnoteReference"/>
          <w:rFonts w:asciiTheme="minorHAnsi" w:hAnsiTheme="minorHAnsi" w:cstheme="minorHAnsi"/>
          <w:sz w:val="24"/>
          <w:szCs w:val="24"/>
        </w:rPr>
        <w:footnoteReference w:id="47"/>
      </w:r>
      <w:r>
        <w:rPr>
          <w:rFonts w:asciiTheme="minorHAnsi" w:hAnsiTheme="minorHAnsi" w:cstheme="minorHAnsi"/>
          <w:sz w:val="24"/>
          <w:szCs w:val="24"/>
        </w:rPr>
        <w:t xml:space="preserve"> The open nature of the sanctuary seems to have been maintained, unlike the design of classical Graeco-Roman temples.</w:t>
      </w:r>
      <w:r>
        <w:rPr>
          <w:rStyle w:val="FootnoteReference"/>
          <w:rFonts w:asciiTheme="minorHAnsi" w:hAnsiTheme="minorHAnsi" w:cstheme="minorHAnsi"/>
          <w:sz w:val="24"/>
          <w:szCs w:val="24"/>
        </w:rPr>
        <w:footnoteReference w:id="48"/>
      </w:r>
      <w:r>
        <w:rPr>
          <w:rFonts w:asciiTheme="minorHAnsi" w:hAnsiTheme="minorHAnsi" w:cstheme="minorHAnsi"/>
          <w:sz w:val="24"/>
          <w:szCs w:val="24"/>
        </w:rPr>
        <w:t xml:space="preserve"> As Christianity increased power in the fourth century, it seems implausible that much repair </w:t>
      </w:r>
      <w:r>
        <w:rPr>
          <w:rFonts w:asciiTheme="minorHAnsi" w:hAnsiTheme="minorHAnsi" w:cstheme="minorHAnsi"/>
          <w:sz w:val="24"/>
          <w:szCs w:val="24"/>
        </w:rPr>
        <w:lastRenderedPageBreak/>
        <w:t>occurred after the severe earthquakes in 332 and 342 CE: devotees no doubt attempted to continue worship until the final proscription of 391 CE.</w:t>
      </w:r>
      <w:r>
        <w:rPr>
          <w:rStyle w:val="FootnoteReference"/>
          <w:rFonts w:asciiTheme="minorHAnsi" w:hAnsiTheme="minorHAnsi" w:cstheme="minorHAnsi"/>
          <w:sz w:val="24"/>
          <w:szCs w:val="24"/>
        </w:rPr>
        <w:footnoteReference w:id="49"/>
      </w:r>
    </w:p>
    <w:p w14:paraId="1C677644" w14:textId="2EB21678" w:rsidR="009E436D" w:rsidRDefault="001768BB" w:rsidP="009A78E5">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noProof/>
          <w:sz w:val="24"/>
          <w:szCs w:val="24"/>
        </w:rPr>
        <w:drawing>
          <wp:anchor distT="0" distB="0" distL="114300" distR="114300" simplePos="0" relativeHeight="251670528" behindDoc="0" locked="0" layoutInCell="1" allowOverlap="1" wp14:anchorId="04B846A0" wp14:editId="1622A310">
            <wp:simplePos x="0" y="0"/>
            <wp:positionH relativeFrom="margin">
              <wp:posOffset>43189</wp:posOffset>
            </wp:positionH>
            <wp:positionV relativeFrom="paragraph">
              <wp:posOffset>10464</wp:posOffset>
            </wp:positionV>
            <wp:extent cx="2645410" cy="4384675"/>
            <wp:effectExtent l="0" t="0" r="2540" b="0"/>
            <wp:wrapSquare wrapText="bothSides"/>
            <wp:docPr id="1017052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45410" cy="4384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039CA9" w14:textId="156DAD1B" w:rsidR="009E436D" w:rsidRPr="000B0590" w:rsidRDefault="009E436D" w:rsidP="009E436D">
      <w:pPr>
        <w:pStyle w:val="FootnoteText"/>
        <w:spacing w:after="120"/>
        <w:rPr>
          <w:rFonts w:asciiTheme="minorHAnsi" w:hAnsiTheme="minorHAnsi" w:cstheme="minorHAnsi"/>
          <w:i/>
          <w:iCs/>
          <w:sz w:val="24"/>
          <w:szCs w:val="24"/>
        </w:rPr>
      </w:pPr>
      <w:r w:rsidRPr="000B0590">
        <w:rPr>
          <w:i/>
          <w:iCs/>
          <w:sz w:val="24"/>
          <w:szCs w:val="24"/>
        </w:rPr>
        <w:t>Plan of the sanctuary in pre</w:t>
      </w:r>
      <w:r w:rsidR="001768BB">
        <w:rPr>
          <w:i/>
          <w:iCs/>
          <w:sz w:val="24"/>
          <w:szCs w:val="24"/>
        </w:rPr>
        <w:t>s</w:t>
      </w:r>
      <w:r w:rsidRPr="000B0590">
        <w:rPr>
          <w:i/>
          <w:iCs/>
          <w:sz w:val="24"/>
          <w:szCs w:val="24"/>
        </w:rPr>
        <w:t>ent day.</w:t>
      </w:r>
      <w:r w:rsidRPr="000B0590">
        <w:rPr>
          <w:rStyle w:val="FootnoteReference"/>
          <w:i/>
          <w:iCs/>
          <w:sz w:val="24"/>
          <w:szCs w:val="24"/>
        </w:rPr>
        <w:footnoteReference w:id="50"/>
      </w:r>
      <w:r w:rsidRPr="000B0590">
        <w:rPr>
          <w:i/>
          <w:iCs/>
          <w:sz w:val="24"/>
          <w:szCs w:val="24"/>
        </w:rPr>
        <w:t xml:space="preserve"> Bronze-Age remains are to the south, Roman to the north. A shift in cardinal alignment between the two is obvious, but unexplained. </w:t>
      </w:r>
    </w:p>
    <w:p w14:paraId="16A30060" w14:textId="2E21D88D" w:rsidR="009E436D" w:rsidRDefault="009E436D" w:rsidP="009A78E5">
      <w:pPr>
        <w:pStyle w:val="FootnoteText"/>
        <w:spacing w:after="120" w:line="360" w:lineRule="auto"/>
        <w:rPr>
          <w:rFonts w:asciiTheme="minorHAnsi" w:hAnsiTheme="minorHAnsi" w:cstheme="minorHAnsi"/>
          <w:sz w:val="24"/>
          <w:szCs w:val="24"/>
        </w:rPr>
      </w:pPr>
    </w:p>
    <w:p w14:paraId="16CE6542" w14:textId="7176039D" w:rsidR="009E436D" w:rsidRDefault="009E436D" w:rsidP="009A78E5">
      <w:pPr>
        <w:pStyle w:val="FootnoteText"/>
        <w:spacing w:after="120" w:line="360" w:lineRule="auto"/>
        <w:rPr>
          <w:rFonts w:asciiTheme="minorHAnsi" w:hAnsiTheme="minorHAnsi" w:cstheme="minorHAnsi"/>
          <w:sz w:val="24"/>
          <w:szCs w:val="24"/>
        </w:rPr>
      </w:pPr>
    </w:p>
    <w:p w14:paraId="70D13682" w14:textId="22A39F3F" w:rsidR="009E436D" w:rsidRDefault="009E436D" w:rsidP="009A78E5">
      <w:pPr>
        <w:pStyle w:val="FootnoteText"/>
        <w:spacing w:after="120" w:line="360" w:lineRule="auto"/>
        <w:rPr>
          <w:rFonts w:asciiTheme="minorHAnsi" w:hAnsiTheme="minorHAnsi" w:cstheme="minorHAnsi"/>
          <w:sz w:val="24"/>
          <w:szCs w:val="24"/>
        </w:rPr>
      </w:pPr>
    </w:p>
    <w:p w14:paraId="18E91E55" w14:textId="77777777" w:rsidR="009E436D" w:rsidRDefault="009E436D" w:rsidP="009A78E5">
      <w:pPr>
        <w:pStyle w:val="FootnoteText"/>
        <w:spacing w:after="120" w:line="360" w:lineRule="auto"/>
        <w:rPr>
          <w:rFonts w:asciiTheme="minorHAnsi" w:hAnsiTheme="minorHAnsi" w:cstheme="minorHAnsi"/>
          <w:sz w:val="24"/>
          <w:szCs w:val="24"/>
        </w:rPr>
      </w:pPr>
    </w:p>
    <w:p w14:paraId="477CC357" w14:textId="77777777" w:rsidR="009E436D" w:rsidRDefault="009E436D" w:rsidP="009A78E5">
      <w:pPr>
        <w:pStyle w:val="FootnoteText"/>
        <w:spacing w:after="120" w:line="360" w:lineRule="auto"/>
        <w:rPr>
          <w:rFonts w:asciiTheme="minorHAnsi" w:hAnsiTheme="minorHAnsi" w:cstheme="minorHAnsi"/>
          <w:sz w:val="24"/>
          <w:szCs w:val="24"/>
        </w:rPr>
      </w:pPr>
    </w:p>
    <w:p w14:paraId="06514B83" w14:textId="77777777" w:rsidR="009E436D" w:rsidRDefault="009E436D" w:rsidP="009A78E5">
      <w:pPr>
        <w:pStyle w:val="FootnoteText"/>
        <w:spacing w:after="120" w:line="360" w:lineRule="auto"/>
        <w:rPr>
          <w:rFonts w:asciiTheme="minorHAnsi" w:hAnsiTheme="minorHAnsi" w:cstheme="minorHAnsi"/>
          <w:sz w:val="24"/>
          <w:szCs w:val="24"/>
        </w:rPr>
      </w:pPr>
    </w:p>
    <w:p w14:paraId="64CF92F5" w14:textId="77777777" w:rsidR="00491D81" w:rsidRDefault="00491D81" w:rsidP="00491D81">
      <w:pPr>
        <w:pStyle w:val="FootnoteText"/>
        <w:spacing w:after="120" w:line="360" w:lineRule="auto"/>
        <w:rPr>
          <w:rFonts w:asciiTheme="minorHAnsi" w:hAnsiTheme="minorHAnsi" w:cstheme="minorHAnsi"/>
          <w:sz w:val="24"/>
          <w:szCs w:val="24"/>
        </w:rPr>
      </w:pPr>
    </w:p>
    <w:p w14:paraId="2BBF5D3A" w14:textId="77777777" w:rsidR="00491D81" w:rsidRDefault="00491D81" w:rsidP="00491D81">
      <w:pPr>
        <w:pStyle w:val="FootnoteText"/>
        <w:spacing w:after="120" w:line="360" w:lineRule="auto"/>
        <w:rPr>
          <w:rFonts w:asciiTheme="minorHAnsi" w:hAnsiTheme="minorHAnsi" w:cstheme="minorHAnsi"/>
          <w:sz w:val="24"/>
          <w:szCs w:val="24"/>
        </w:rPr>
      </w:pPr>
    </w:p>
    <w:p w14:paraId="27DDE987" w14:textId="77777777" w:rsidR="00491D81" w:rsidRDefault="00491D81" w:rsidP="00491D81">
      <w:pPr>
        <w:pStyle w:val="FootnoteText"/>
        <w:spacing w:after="120" w:line="360" w:lineRule="auto"/>
        <w:rPr>
          <w:rFonts w:asciiTheme="minorHAnsi" w:hAnsiTheme="minorHAnsi" w:cstheme="minorHAnsi"/>
          <w:sz w:val="24"/>
          <w:szCs w:val="24"/>
        </w:rPr>
      </w:pPr>
    </w:p>
    <w:p w14:paraId="2FF2D51E" w14:textId="6E0BB6CE" w:rsidR="009E436D" w:rsidRDefault="009E436D" w:rsidP="009A78E5">
      <w:pPr>
        <w:pStyle w:val="FootnoteText"/>
        <w:spacing w:after="120" w:line="360" w:lineRule="auto"/>
        <w:rPr>
          <w:rFonts w:asciiTheme="minorHAnsi" w:hAnsiTheme="minorHAnsi" w:cstheme="minorHAnsi"/>
          <w:sz w:val="24"/>
          <w:szCs w:val="24"/>
        </w:rPr>
      </w:pPr>
    </w:p>
    <w:p w14:paraId="2BE51D8B" w14:textId="46696938" w:rsidR="009A78E5" w:rsidRDefault="007C369A" w:rsidP="009A78E5">
      <w:pPr>
        <w:pStyle w:val="FootnoteText"/>
        <w:spacing w:after="120" w:line="360" w:lineRule="auto"/>
        <w:rPr>
          <w:rFonts w:asciiTheme="minorHAnsi" w:hAnsiTheme="minorHAnsi" w:cstheme="minorHAnsi"/>
          <w:sz w:val="24"/>
          <w:szCs w:val="24"/>
        </w:rPr>
      </w:pPr>
      <w:r>
        <w:rPr>
          <w:rFonts w:asciiTheme="minorHAnsi" w:hAnsiTheme="minorHAnsi" w:cstheme="minorHAnsi"/>
          <w:sz w:val="24"/>
          <w:szCs w:val="24"/>
        </w:rPr>
        <w:t>The TA site seems to have been looted long ago</w:t>
      </w:r>
      <w:r w:rsidR="00AE4E01">
        <w:rPr>
          <w:rFonts w:asciiTheme="minorHAnsi" w:hAnsiTheme="minorHAnsi" w:cstheme="minorHAnsi"/>
          <w:sz w:val="24"/>
          <w:szCs w:val="24"/>
        </w:rPr>
        <w:t xml:space="preserve"> - not even the usual shards of accounting or administrative records seem to have been found: </w:t>
      </w:r>
      <w:r>
        <w:rPr>
          <w:rFonts w:asciiTheme="minorHAnsi" w:hAnsiTheme="minorHAnsi" w:cstheme="minorHAnsi"/>
          <w:sz w:val="24"/>
          <w:szCs w:val="24"/>
        </w:rPr>
        <w:t xml:space="preserve"> modern excavations </w:t>
      </w:r>
      <w:r w:rsidR="00AE4E01">
        <w:rPr>
          <w:rFonts w:asciiTheme="minorHAnsi" w:hAnsiTheme="minorHAnsi" w:cstheme="minorHAnsi"/>
          <w:sz w:val="24"/>
          <w:szCs w:val="24"/>
        </w:rPr>
        <w:t xml:space="preserve">have </w:t>
      </w:r>
      <w:r>
        <w:rPr>
          <w:rFonts w:asciiTheme="minorHAnsi" w:hAnsiTheme="minorHAnsi" w:cstheme="minorHAnsi"/>
          <w:sz w:val="24"/>
          <w:szCs w:val="24"/>
        </w:rPr>
        <w:t>focus</w:t>
      </w:r>
      <w:r w:rsidR="00AE4E01">
        <w:rPr>
          <w:rFonts w:asciiTheme="minorHAnsi" w:hAnsiTheme="minorHAnsi" w:cstheme="minorHAnsi"/>
          <w:sz w:val="24"/>
          <w:szCs w:val="24"/>
        </w:rPr>
        <w:t>ed</w:t>
      </w:r>
      <w:r>
        <w:rPr>
          <w:rFonts w:asciiTheme="minorHAnsi" w:hAnsiTheme="minorHAnsi" w:cstheme="minorHAnsi"/>
          <w:sz w:val="24"/>
          <w:szCs w:val="24"/>
        </w:rPr>
        <w:t xml:space="preserve"> more on tombs of the surrounding area.</w:t>
      </w:r>
      <w:r>
        <w:rPr>
          <w:rStyle w:val="FootnoteReference"/>
          <w:rFonts w:asciiTheme="minorHAnsi" w:hAnsiTheme="minorHAnsi" w:cstheme="minorHAnsi"/>
          <w:sz w:val="24"/>
          <w:szCs w:val="24"/>
        </w:rPr>
        <w:footnoteReference w:id="51"/>
      </w:r>
      <w:r>
        <w:rPr>
          <w:rFonts w:asciiTheme="minorHAnsi" w:hAnsiTheme="minorHAnsi" w:cstheme="minorHAnsi"/>
          <w:sz w:val="24"/>
          <w:szCs w:val="24"/>
        </w:rPr>
        <w:t xml:space="preserve"> </w:t>
      </w:r>
      <w:r w:rsidR="00D80F7C" w:rsidRPr="000B0590">
        <w:rPr>
          <w:rFonts w:asciiTheme="minorHAnsi" w:hAnsiTheme="minorHAnsi" w:cstheme="minorHAnsi"/>
          <w:sz w:val="24"/>
          <w:szCs w:val="24"/>
        </w:rPr>
        <w:t>A number of sightline links would appear to exist</w:t>
      </w:r>
      <w:r w:rsidR="00D80F7C">
        <w:rPr>
          <w:rFonts w:asciiTheme="minorHAnsi" w:hAnsiTheme="minorHAnsi" w:cstheme="minorHAnsi"/>
          <w:sz w:val="24"/>
          <w:szCs w:val="24"/>
        </w:rPr>
        <w:t xml:space="preserve"> between TA and </w:t>
      </w:r>
      <w:r>
        <w:rPr>
          <w:rFonts w:asciiTheme="minorHAnsi" w:hAnsiTheme="minorHAnsi" w:cstheme="minorHAnsi"/>
          <w:sz w:val="24"/>
          <w:szCs w:val="24"/>
        </w:rPr>
        <w:t>these</w:t>
      </w:r>
      <w:r w:rsidR="00D80F7C" w:rsidRPr="000B0590">
        <w:rPr>
          <w:rFonts w:asciiTheme="minorHAnsi" w:hAnsiTheme="minorHAnsi" w:cstheme="minorHAnsi"/>
          <w:sz w:val="24"/>
          <w:szCs w:val="24"/>
        </w:rPr>
        <w:t xml:space="preserve">, including for the constructions at </w:t>
      </w:r>
      <w:proofErr w:type="spellStart"/>
      <w:r w:rsidR="00D80F7C" w:rsidRPr="000B0590">
        <w:rPr>
          <w:sz w:val="24"/>
          <w:szCs w:val="24"/>
        </w:rPr>
        <w:t>Teratsoudhia</w:t>
      </w:r>
      <w:proofErr w:type="spellEnd"/>
      <w:r w:rsidR="00D80F7C" w:rsidRPr="000B0590">
        <w:rPr>
          <w:sz w:val="24"/>
          <w:szCs w:val="24"/>
        </w:rPr>
        <w:t xml:space="preserve"> and</w:t>
      </w:r>
      <w:r w:rsidR="00AE4E01">
        <w:rPr>
          <w:sz w:val="24"/>
          <w:szCs w:val="24"/>
        </w:rPr>
        <w:t xml:space="preserve"> the</w:t>
      </w:r>
      <w:r w:rsidR="00D80F7C" w:rsidRPr="000B0590">
        <w:rPr>
          <w:sz w:val="24"/>
          <w:szCs w:val="24"/>
        </w:rPr>
        <w:t xml:space="preserve"> </w:t>
      </w:r>
      <w:r w:rsidR="00AE4E01">
        <w:rPr>
          <w:sz w:val="24"/>
          <w:szCs w:val="24"/>
        </w:rPr>
        <w:t>"</w:t>
      </w:r>
      <w:r w:rsidR="00D80F7C" w:rsidRPr="000B0590">
        <w:rPr>
          <w:sz w:val="24"/>
          <w:szCs w:val="24"/>
        </w:rPr>
        <w:t>palace</w:t>
      </w:r>
      <w:r w:rsidR="00AE4E01">
        <w:rPr>
          <w:sz w:val="24"/>
          <w:szCs w:val="24"/>
        </w:rPr>
        <w:t>"</w:t>
      </w:r>
      <w:r w:rsidR="00D80F7C" w:rsidRPr="000B0590">
        <w:rPr>
          <w:sz w:val="24"/>
          <w:szCs w:val="24"/>
        </w:rPr>
        <w:t xml:space="preserve"> at Hadji Abdullah.</w:t>
      </w:r>
      <w:r w:rsidR="00D80F7C" w:rsidRPr="000B0590">
        <w:rPr>
          <w:rStyle w:val="FootnoteReference"/>
          <w:sz w:val="24"/>
          <w:szCs w:val="24"/>
        </w:rPr>
        <w:footnoteReference w:id="52"/>
      </w:r>
      <w:r w:rsidR="00D80F7C" w:rsidRPr="000B0590">
        <w:rPr>
          <w:sz w:val="24"/>
          <w:szCs w:val="24"/>
        </w:rPr>
        <w:t xml:space="preserve"> </w:t>
      </w:r>
      <w:r w:rsidR="00D80F7C">
        <w:rPr>
          <w:sz w:val="24"/>
          <w:szCs w:val="24"/>
        </w:rPr>
        <w:t>Also within visibility, t</w:t>
      </w:r>
      <w:r w:rsidR="00D80F7C" w:rsidRPr="000B0590">
        <w:rPr>
          <w:rFonts w:asciiTheme="minorHAnsi" w:hAnsiTheme="minorHAnsi" w:cstheme="minorHAnsi"/>
          <w:sz w:val="24"/>
          <w:szCs w:val="24"/>
        </w:rPr>
        <w:t>raditionally attributed to a queen, ‘</w:t>
      </w:r>
      <w:proofErr w:type="spellStart"/>
      <w:r w:rsidR="00D80F7C" w:rsidRPr="000B0590">
        <w:rPr>
          <w:sz w:val="24"/>
          <w:szCs w:val="24"/>
        </w:rPr>
        <w:t>Spilaion</w:t>
      </w:r>
      <w:proofErr w:type="spellEnd"/>
      <w:r w:rsidR="00D80F7C" w:rsidRPr="000B0590">
        <w:rPr>
          <w:sz w:val="24"/>
          <w:szCs w:val="24"/>
        </w:rPr>
        <w:t xml:space="preserve"> tis </w:t>
      </w:r>
      <w:proofErr w:type="spellStart"/>
      <w:r w:rsidR="00D80F7C" w:rsidRPr="000B0590">
        <w:rPr>
          <w:sz w:val="24"/>
          <w:szCs w:val="24"/>
        </w:rPr>
        <w:lastRenderedPageBreak/>
        <w:t>Regainas</w:t>
      </w:r>
      <w:proofErr w:type="spellEnd"/>
      <w:r w:rsidR="00D80F7C" w:rsidRPr="000B0590">
        <w:rPr>
          <w:sz w:val="24"/>
          <w:szCs w:val="24"/>
        </w:rPr>
        <w:t>’</w:t>
      </w:r>
      <w:r w:rsidR="00D80F7C" w:rsidRPr="000B0590">
        <w:rPr>
          <w:rFonts w:asciiTheme="minorHAnsi" w:hAnsiTheme="minorHAnsi" w:cstheme="minorHAnsi"/>
          <w:sz w:val="24"/>
          <w:szCs w:val="24"/>
        </w:rPr>
        <w:t xml:space="preserve"> is a large chambered tomb: inscriptions at least prove its use for two of the last kings of Paphos,</w:t>
      </w:r>
      <w:r w:rsidR="00D80F7C" w:rsidRPr="000B0590">
        <w:rPr>
          <w:rStyle w:val="FootnoteReference"/>
          <w:rFonts w:asciiTheme="minorHAnsi" w:hAnsiTheme="minorHAnsi" w:cstheme="minorHAnsi"/>
          <w:sz w:val="24"/>
          <w:szCs w:val="24"/>
        </w:rPr>
        <w:footnoteReference w:id="53"/>
      </w:r>
      <w:r w:rsidR="00D80F7C" w:rsidRPr="000B0590">
        <w:rPr>
          <w:rFonts w:asciiTheme="minorHAnsi" w:hAnsiTheme="minorHAnsi" w:cstheme="minorHAnsi"/>
          <w:sz w:val="24"/>
          <w:szCs w:val="24"/>
        </w:rPr>
        <w:t xml:space="preserve"> the only known royal burial in the region.</w:t>
      </w:r>
      <w:r w:rsidR="00D80F7C">
        <w:rPr>
          <w:rFonts w:asciiTheme="minorHAnsi" w:hAnsiTheme="minorHAnsi" w:cstheme="minorHAnsi"/>
          <w:sz w:val="24"/>
          <w:szCs w:val="24"/>
        </w:rPr>
        <w:t xml:space="preserve"> </w:t>
      </w:r>
      <w:r w:rsidR="00D80F7C" w:rsidRPr="000B0590">
        <w:rPr>
          <w:rFonts w:asciiTheme="minorHAnsi" w:hAnsiTheme="minorHAnsi" w:cstheme="minorHAnsi"/>
          <w:sz w:val="24"/>
          <w:szCs w:val="24"/>
        </w:rPr>
        <w:t>Maier notes its “importance with respect to the topography of Pala</w:t>
      </w:r>
      <w:r w:rsidR="00D80F7C">
        <w:rPr>
          <w:rFonts w:asciiTheme="minorHAnsi" w:hAnsiTheme="minorHAnsi" w:cstheme="minorHAnsi"/>
          <w:sz w:val="24"/>
          <w:szCs w:val="24"/>
        </w:rPr>
        <w:t>e</w:t>
      </w:r>
      <w:r w:rsidR="00D80F7C" w:rsidRPr="000B0590">
        <w:rPr>
          <w:rFonts w:asciiTheme="minorHAnsi" w:hAnsiTheme="minorHAnsi" w:cstheme="minorHAnsi"/>
          <w:sz w:val="24"/>
          <w:szCs w:val="24"/>
        </w:rPr>
        <w:t>paphos in Classical times” but only in the context of determining the layout of the city wall,</w:t>
      </w:r>
      <w:r w:rsidR="00D80F7C" w:rsidRPr="000B0590">
        <w:rPr>
          <w:rStyle w:val="FootnoteReference"/>
          <w:rFonts w:asciiTheme="minorHAnsi" w:hAnsiTheme="minorHAnsi" w:cstheme="minorHAnsi"/>
          <w:sz w:val="24"/>
          <w:szCs w:val="24"/>
        </w:rPr>
        <w:footnoteReference w:id="54"/>
      </w:r>
      <w:r w:rsidR="00D80F7C" w:rsidRPr="000B0590">
        <w:rPr>
          <w:rFonts w:asciiTheme="minorHAnsi" w:hAnsiTheme="minorHAnsi" w:cstheme="minorHAnsi"/>
          <w:sz w:val="24"/>
          <w:szCs w:val="24"/>
        </w:rPr>
        <w:t xml:space="preserve"> he makes no suggestion with respect to sacredness.</w:t>
      </w:r>
    </w:p>
    <w:p w14:paraId="4AF8B068" w14:textId="53F926DE" w:rsidR="007C369A" w:rsidRDefault="007C369A" w:rsidP="009A78E5">
      <w:pPr>
        <w:pStyle w:val="FootnoteText"/>
        <w:spacing w:after="120" w:line="360" w:lineRule="auto"/>
        <w:rPr>
          <w:rFonts w:asciiTheme="minorHAnsi" w:hAnsiTheme="minorHAnsi" w:cstheme="minorHAnsi"/>
          <w:sz w:val="24"/>
          <w:szCs w:val="24"/>
        </w:rPr>
      </w:pPr>
    </w:p>
    <w:p w14:paraId="2EE19E74" w14:textId="77777777" w:rsidR="007C369A" w:rsidRDefault="007C369A" w:rsidP="007C369A">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Hundreds of tombs are known around the TA plateau forming “an almost complete circle around the sanctuary…[giving]…the impression of an </w:t>
      </w:r>
      <w:r w:rsidRPr="000B0590">
        <w:rPr>
          <w:rFonts w:asciiTheme="minorHAnsi" w:hAnsiTheme="minorHAnsi" w:cstheme="minorHAnsi"/>
          <w:i/>
          <w:iCs/>
          <w:sz w:val="24"/>
          <w:szCs w:val="24"/>
        </w:rPr>
        <w:t xml:space="preserve">extra </w:t>
      </w:r>
      <w:proofErr w:type="spellStart"/>
      <w:r w:rsidRPr="000B0590">
        <w:rPr>
          <w:rFonts w:asciiTheme="minorHAnsi" w:hAnsiTheme="minorHAnsi" w:cstheme="minorHAnsi"/>
          <w:i/>
          <w:iCs/>
          <w:sz w:val="24"/>
          <w:szCs w:val="24"/>
        </w:rPr>
        <w:t>muros</w:t>
      </w:r>
      <w:proofErr w:type="spellEnd"/>
      <w:r w:rsidRPr="000B0590">
        <w:rPr>
          <w:rFonts w:asciiTheme="minorHAnsi" w:hAnsiTheme="minorHAnsi" w:cstheme="minorHAnsi"/>
          <w:sz w:val="24"/>
          <w:szCs w:val="24"/>
        </w:rPr>
        <w:t xml:space="preserve"> mortuary landscape”</w:t>
      </w:r>
      <w:r>
        <w:rPr>
          <w:rFonts w:asciiTheme="minorHAnsi" w:hAnsiTheme="minorHAnsi" w:cstheme="minorHAnsi"/>
          <w:sz w:val="24"/>
          <w:szCs w:val="24"/>
        </w:rPr>
        <w:t>.</w:t>
      </w:r>
      <w:r>
        <w:rPr>
          <w:rStyle w:val="FootnoteReference"/>
          <w:rFonts w:asciiTheme="minorHAnsi" w:hAnsiTheme="minorHAnsi" w:cstheme="minorHAnsi"/>
          <w:sz w:val="24"/>
          <w:szCs w:val="24"/>
        </w:rPr>
        <w:footnoteReference w:id="55"/>
      </w:r>
      <w:r>
        <w:rPr>
          <w:rFonts w:asciiTheme="minorHAnsi" w:hAnsiTheme="minorHAnsi" w:cstheme="minorHAnsi"/>
          <w:sz w:val="24"/>
          <w:szCs w:val="24"/>
        </w:rPr>
        <w:t xml:space="preserve"> For this writer, this would constitute the </w:t>
      </w:r>
      <w:r w:rsidRPr="000B0590">
        <w:rPr>
          <w:rFonts w:asciiTheme="minorHAnsi" w:hAnsiTheme="minorHAnsi" w:cstheme="minorHAnsi"/>
          <w:sz w:val="24"/>
          <w:szCs w:val="24"/>
        </w:rPr>
        <w:t>continuing active presence of ancestors</w:t>
      </w:r>
      <w:r>
        <w:rPr>
          <w:rFonts w:asciiTheme="minorHAnsi" w:hAnsiTheme="minorHAnsi" w:cstheme="minorHAnsi"/>
          <w:sz w:val="24"/>
          <w:szCs w:val="24"/>
        </w:rPr>
        <w:t xml:space="preserve">, not simply an </w:t>
      </w:r>
      <w:r w:rsidRPr="000B0590">
        <w:rPr>
          <w:rFonts w:asciiTheme="minorHAnsi" w:hAnsiTheme="minorHAnsi" w:cstheme="minorHAnsi"/>
          <w:sz w:val="24"/>
          <w:szCs w:val="24"/>
        </w:rPr>
        <w:t>expression of purely secular power</w:t>
      </w:r>
      <w:r>
        <w:rPr>
          <w:rFonts w:asciiTheme="minorHAnsi" w:hAnsiTheme="minorHAnsi" w:cstheme="minorHAnsi"/>
          <w:sz w:val="24"/>
          <w:szCs w:val="24"/>
        </w:rPr>
        <w:t>.</w:t>
      </w:r>
    </w:p>
    <w:p w14:paraId="754D3B1C" w14:textId="77777777" w:rsidR="007C369A" w:rsidRDefault="007C369A" w:rsidP="009A78E5">
      <w:pPr>
        <w:pStyle w:val="FootnoteText"/>
        <w:spacing w:after="120" w:line="360" w:lineRule="auto"/>
        <w:rPr>
          <w:rFonts w:asciiTheme="minorHAnsi" w:hAnsiTheme="minorHAnsi" w:cstheme="minorHAnsi"/>
          <w:sz w:val="24"/>
          <w:szCs w:val="24"/>
        </w:rPr>
      </w:pPr>
    </w:p>
    <w:p w14:paraId="5295F9E4" w14:textId="2A43B9A6" w:rsidR="007C369A" w:rsidRPr="000B0590" w:rsidRDefault="007C369A" w:rsidP="007C369A">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The orientation of the original sanctuary is approximately to the north as shown </w:t>
      </w:r>
      <w:r>
        <w:rPr>
          <w:rFonts w:asciiTheme="minorHAnsi" w:hAnsiTheme="minorHAnsi" w:cstheme="minorHAnsi"/>
          <w:sz w:val="24"/>
          <w:szCs w:val="24"/>
        </w:rPr>
        <w:t>below</w:t>
      </w:r>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56"/>
      </w:r>
      <w:r w:rsidRPr="000B0590">
        <w:rPr>
          <w:rFonts w:asciiTheme="minorHAnsi" w:hAnsiTheme="minorHAnsi" w:cstheme="minorHAnsi"/>
          <w:sz w:val="24"/>
          <w:szCs w:val="24"/>
        </w:rPr>
        <w:t xml:space="preserve"> There seems to have been no research on any astronomical alignments for the site, whether solar, lunar or stellar</w:t>
      </w:r>
      <w:r>
        <w:rPr>
          <w:rFonts w:asciiTheme="minorHAnsi" w:hAnsiTheme="minorHAnsi" w:cstheme="minorHAnsi"/>
          <w:sz w:val="24"/>
          <w:szCs w:val="24"/>
        </w:rPr>
        <w:t>, despite the centrality of such to concepts of sacredness</w:t>
      </w:r>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57"/>
      </w:r>
      <w:r w:rsidRPr="000B0590">
        <w:rPr>
          <w:rFonts w:asciiTheme="minorHAnsi" w:hAnsiTheme="minorHAnsi" w:cstheme="minorHAnsi"/>
          <w:sz w:val="24"/>
          <w:szCs w:val="24"/>
        </w:rPr>
        <w:t xml:space="preserve"> A starting point for such would be the GIS database established by Sarris et. al. which links the large number of monuments in the region</w:t>
      </w:r>
      <w:r w:rsidRPr="000B0590">
        <w:rPr>
          <w:rStyle w:val="FootnoteReference"/>
          <w:rFonts w:asciiTheme="minorHAnsi" w:hAnsiTheme="minorHAnsi" w:cstheme="minorHAnsi"/>
          <w:sz w:val="24"/>
          <w:szCs w:val="24"/>
        </w:rPr>
        <w:footnoteReference w:id="58"/>
      </w:r>
      <w:r w:rsidRPr="000B0590">
        <w:rPr>
          <w:rFonts w:asciiTheme="minorHAnsi" w:hAnsiTheme="minorHAnsi" w:cstheme="minorHAnsi"/>
          <w:sz w:val="24"/>
          <w:szCs w:val="24"/>
        </w:rPr>
        <w:t>.</w:t>
      </w:r>
      <w:r>
        <w:rPr>
          <w:rFonts w:asciiTheme="minorHAnsi" w:hAnsiTheme="minorHAnsi" w:cstheme="minorHAnsi"/>
          <w:sz w:val="24"/>
          <w:szCs w:val="24"/>
        </w:rPr>
        <w:t xml:space="preserve"> </w:t>
      </w:r>
      <w:r w:rsidRPr="000B0590">
        <w:rPr>
          <w:rFonts w:asciiTheme="minorHAnsi" w:hAnsiTheme="minorHAnsi" w:cstheme="minorHAnsi"/>
          <w:sz w:val="24"/>
          <w:szCs w:val="24"/>
        </w:rPr>
        <w:t xml:space="preserve">The Sarris study also identified some geophysical </w:t>
      </w:r>
      <w:r w:rsidRPr="000B0590">
        <w:rPr>
          <w:rFonts w:asciiTheme="minorHAnsi" w:hAnsiTheme="minorHAnsi" w:cstheme="minorHAnsi"/>
          <w:sz w:val="24"/>
          <w:szCs w:val="24"/>
        </w:rPr>
        <w:lastRenderedPageBreak/>
        <w:t>anomalies, suggesting some correlation with tombs and other structures. A wide variety of such anomalies are well-correlated with concepts of sacredness, though there is little research to develop understanding of this.</w:t>
      </w:r>
      <w:r w:rsidRPr="000B0590">
        <w:rPr>
          <w:rStyle w:val="FootnoteReference"/>
          <w:rFonts w:asciiTheme="minorHAnsi" w:hAnsiTheme="minorHAnsi" w:cstheme="minorHAnsi"/>
          <w:sz w:val="24"/>
          <w:szCs w:val="24"/>
        </w:rPr>
        <w:footnoteReference w:id="59"/>
      </w:r>
      <w:r w:rsidRPr="000B0590">
        <w:rPr>
          <w:rFonts w:asciiTheme="minorHAnsi" w:hAnsiTheme="minorHAnsi" w:cstheme="minorHAnsi"/>
          <w:sz w:val="24"/>
          <w:szCs w:val="24"/>
        </w:rPr>
        <w:t xml:space="preserve"> Mircea Eliade defines ‘homogenous space’ as profane, without orientation, whereas by contrast, “the religious experience of the non-homogeneity of space is a primordial experience”.</w:t>
      </w:r>
      <w:r w:rsidRPr="000B0590">
        <w:rPr>
          <w:rStyle w:val="FootnoteReference"/>
          <w:rFonts w:asciiTheme="minorHAnsi" w:hAnsiTheme="minorHAnsi" w:cstheme="minorHAnsi"/>
          <w:sz w:val="24"/>
          <w:szCs w:val="24"/>
        </w:rPr>
        <w:footnoteReference w:id="60"/>
      </w:r>
      <w:r w:rsidRPr="000B0590">
        <w:rPr>
          <w:rFonts w:asciiTheme="minorHAnsi" w:hAnsiTheme="minorHAnsi" w:cstheme="minorHAnsi"/>
          <w:sz w:val="24"/>
          <w:szCs w:val="24"/>
        </w:rPr>
        <w:t xml:space="preserve"> However, no specific anomaly has ever been identified as relating to the establishment of Temenos </w:t>
      </w:r>
      <w:proofErr w:type="spellStart"/>
      <w:r w:rsidRPr="000B0590">
        <w:rPr>
          <w:rFonts w:asciiTheme="minorHAnsi" w:hAnsiTheme="minorHAnsi" w:cstheme="minorHAnsi"/>
          <w:sz w:val="24"/>
          <w:szCs w:val="24"/>
        </w:rPr>
        <w:t>Aphroditēs</w:t>
      </w:r>
      <w:proofErr w:type="spellEnd"/>
      <w:r w:rsidRPr="000B0590">
        <w:rPr>
          <w:rFonts w:asciiTheme="minorHAnsi" w:hAnsiTheme="minorHAnsi" w:cstheme="minorHAnsi"/>
          <w:sz w:val="24"/>
          <w:szCs w:val="24"/>
        </w:rPr>
        <w:t xml:space="preserve">. </w:t>
      </w:r>
    </w:p>
    <w:p w14:paraId="04AB7B86" w14:textId="77777777" w:rsidR="00D80F7C" w:rsidRDefault="00D80F7C" w:rsidP="000B0590">
      <w:pPr>
        <w:pStyle w:val="FootnoteText"/>
        <w:spacing w:after="120" w:line="360" w:lineRule="auto"/>
        <w:rPr>
          <w:rFonts w:asciiTheme="minorHAnsi" w:hAnsiTheme="minorHAnsi" w:cstheme="minorHAnsi"/>
          <w:sz w:val="24"/>
          <w:szCs w:val="24"/>
        </w:rPr>
      </w:pPr>
    </w:p>
    <w:p w14:paraId="672F31FD" w14:textId="1C981640" w:rsidR="00D80F7C" w:rsidRPr="000B0590" w:rsidRDefault="00D80F7C" w:rsidP="000B0590">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Another site </w:t>
      </w:r>
      <w:r w:rsidR="0013716D" w:rsidRPr="000B0590">
        <w:rPr>
          <w:rFonts w:asciiTheme="minorHAnsi" w:hAnsiTheme="minorHAnsi" w:cstheme="minorHAnsi"/>
          <w:sz w:val="24"/>
          <w:szCs w:val="24"/>
        </w:rPr>
        <w:t>- shrine, natural cave and nearby burials -</w:t>
      </w:r>
      <w:r w:rsidR="0013716D">
        <w:rPr>
          <w:rFonts w:asciiTheme="minorHAnsi" w:hAnsiTheme="minorHAnsi" w:cstheme="minorHAnsi"/>
          <w:sz w:val="24"/>
          <w:szCs w:val="24"/>
        </w:rPr>
        <w:t xml:space="preserve"> </w:t>
      </w:r>
      <w:r w:rsidRPr="000B0590">
        <w:rPr>
          <w:rFonts w:asciiTheme="minorHAnsi" w:hAnsiTheme="minorHAnsi" w:cstheme="minorHAnsi"/>
          <w:sz w:val="24"/>
          <w:szCs w:val="24"/>
        </w:rPr>
        <w:t xml:space="preserve">very much part of the local sacred landscape is described by Young at </w:t>
      </w:r>
      <w:proofErr w:type="spellStart"/>
      <w:r w:rsidRPr="000B0590">
        <w:rPr>
          <w:rFonts w:asciiTheme="minorHAnsi" w:hAnsiTheme="minorHAnsi" w:cstheme="minorHAnsi"/>
          <w:sz w:val="24"/>
          <w:szCs w:val="24"/>
        </w:rPr>
        <w:t>Rantidi</w:t>
      </w:r>
      <w:proofErr w:type="spellEnd"/>
      <w:r w:rsidRPr="000B0590">
        <w:rPr>
          <w:rFonts w:asciiTheme="minorHAnsi" w:hAnsiTheme="minorHAnsi" w:cstheme="minorHAnsi"/>
          <w:sz w:val="24"/>
          <w:szCs w:val="24"/>
        </w:rPr>
        <w:t xml:space="preserve">, about 6 km from TA and intervisible, adjacent to the old road to </w:t>
      </w:r>
      <w:proofErr w:type="spellStart"/>
      <w:r w:rsidRPr="000B0590">
        <w:rPr>
          <w:rFonts w:asciiTheme="minorHAnsi" w:hAnsiTheme="minorHAnsi" w:cstheme="minorHAnsi"/>
          <w:sz w:val="24"/>
          <w:szCs w:val="24"/>
        </w:rPr>
        <w:t>Kourion</w:t>
      </w:r>
      <w:proofErr w:type="spellEnd"/>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61"/>
      </w:r>
    </w:p>
    <w:p w14:paraId="10D680C5" w14:textId="77777777" w:rsidR="005B3983" w:rsidRPr="000B0590" w:rsidRDefault="005B3983" w:rsidP="00944B8C">
      <w:pPr>
        <w:pStyle w:val="FootnoteText"/>
        <w:spacing w:after="120"/>
        <w:jc w:val="center"/>
        <w:rPr>
          <w:rFonts w:asciiTheme="minorHAnsi" w:hAnsiTheme="minorHAnsi" w:cstheme="minorHAnsi"/>
          <w:sz w:val="24"/>
          <w:szCs w:val="24"/>
        </w:rPr>
      </w:pPr>
      <w:r w:rsidRPr="000B0590">
        <w:rPr>
          <w:rFonts w:asciiTheme="minorHAnsi" w:hAnsiTheme="minorHAnsi" w:cstheme="minorHAnsi"/>
          <w:noProof/>
          <w:sz w:val="24"/>
          <w:szCs w:val="24"/>
        </w:rPr>
        <w:drawing>
          <wp:inline distT="0" distB="0" distL="0" distR="0" wp14:anchorId="52DF8B81" wp14:editId="64F7AE86">
            <wp:extent cx="3959860" cy="2188845"/>
            <wp:effectExtent l="0" t="0" r="2540" b="1905"/>
            <wp:docPr id="18552674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9860" cy="2188845"/>
                    </a:xfrm>
                    <a:prstGeom prst="rect">
                      <a:avLst/>
                    </a:prstGeom>
                    <a:noFill/>
                    <a:ln>
                      <a:noFill/>
                    </a:ln>
                  </pic:spPr>
                </pic:pic>
              </a:graphicData>
            </a:graphic>
          </wp:inline>
        </w:drawing>
      </w:r>
    </w:p>
    <w:p w14:paraId="1016B9B8" w14:textId="0551DE40" w:rsidR="005B3983" w:rsidRPr="000B0590" w:rsidRDefault="005B3983" w:rsidP="005B3983">
      <w:pPr>
        <w:pStyle w:val="FootnoteText"/>
        <w:spacing w:after="120" w:line="360" w:lineRule="auto"/>
        <w:jc w:val="center"/>
        <w:rPr>
          <w:rFonts w:asciiTheme="minorHAnsi" w:hAnsiTheme="minorHAnsi" w:cstheme="minorHAnsi"/>
          <w:sz w:val="24"/>
          <w:szCs w:val="24"/>
        </w:rPr>
      </w:pPr>
      <w:r w:rsidRPr="000B0590">
        <w:rPr>
          <w:rFonts w:asciiTheme="minorHAnsi" w:hAnsiTheme="minorHAnsi" w:cstheme="minorHAnsi"/>
          <w:i/>
          <w:iCs/>
          <w:sz w:val="24"/>
          <w:szCs w:val="24"/>
        </w:rPr>
        <w:t xml:space="preserve">Map showing location of </w:t>
      </w:r>
      <w:proofErr w:type="spellStart"/>
      <w:r w:rsidRPr="000B0590">
        <w:rPr>
          <w:rFonts w:asciiTheme="minorHAnsi" w:hAnsiTheme="minorHAnsi" w:cstheme="minorHAnsi"/>
          <w:i/>
          <w:iCs/>
          <w:sz w:val="24"/>
          <w:szCs w:val="24"/>
        </w:rPr>
        <w:t>Rantidi</w:t>
      </w:r>
      <w:proofErr w:type="spellEnd"/>
      <w:r w:rsidRPr="000B0590">
        <w:rPr>
          <w:rFonts w:asciiTheme="minorHAnsi" w:hAnsiTheme="minorHAnsi" w:cstheme="minorHAnsi"/>
          <w:i/>
          <w:iCs/>
          <w:sz w:val="24"/>
          <w:szCs w:val="24"/>
        </w:rPr>
        <w:t xml:space="preserve"> </w:t>
      </w:r>
      <w:r w:rsidR="00944B8C">
        <w:rPr>
          <w:rFonts w:asciiTheme="minorHAnsi" w:hAnsiTheme="minorHAnsi" w:cstheme="minorHAnsi"/>
          <w:i/>
          <w:iCs/>
          <w:sz w:val="24"/>
          <w:szCs w:val="24"/>
        </w:rPr>
        <w:t>in</w:t>
      </w:r>
      <w:r w:rsidRPr="000B0590">
        <w:rPr>
          <w:rFonts w:asciiTheme="minorHAnsi" w:hAnsiTheme="minorHAnsi" w:cstheme="minorHAnsi"/>
          <w:i/>
          <w:iCs/>
          <w:sz w:val="24"/>
          <w:szCs w:val="24"/>
        </w:rPr>
        <w:t xml:space="preserve"> relation to Palaepaphos.</w:t>
      </w:r>
      <w:r w:rsidRPr="000B0590">
        <w:rPr>
          <w:rFonts w:asciiTheme="minorHAnsi" w:hAnsiTheme="minorHAnsi" w:cstheme="minorHAnsi"/>
          <w:sz w:val="24"/>
          <w:szCs w:val="24"/>
        </w:rPr>
        <w:t xml:space="preserve"> </w:t>
      </w:r>
      <w:r w:rsidRPr="000B0590">
        <w:rPr>
          <w:rStyle w:val="FootnoteReference"/>
          <w:rFonts w:asciiTheme="minorHAnsi" w:hAnsiTheme="minorHAnsi" w:cstheme="minorHAnsi"/>
          <w:sz w:val="24"/>
          <w:szCs w:val="24"/>
        </w:rPr>
        <w:footnoteReference w:id="62"/>
      </w:r>
    </w:p>
    <w:p w14:paraId="1FF4826D" w14:textId="30B8937C" w:rsidR="005B3983" w:rsidRPr="000B0590" w:rsidRDefault="005B3983" w:rsidP="005B3983">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Despite the ruin of th</w:t>
      </w:r>
      <w:r w:rsidR="007C369A">
        <w:rPr>
          <w:rFonts w:asciiTheme="minorHAnsi" w:hAnsiTheme="minorHAnsi" w:cstheme="minorHAnsi"/>
          <w:sz w:val="24"/>
          <w:szCs w:val="24"/>
        </w:rPr>
        <w:t xml:space="preserve">e </w:t>
      </w:r>
      <w:proofErr w:type="spellStart"/>
      <w:r w:rsidR="007C369A">
        <w:rPr>
          <w:rFonts w:asciiTheme="minorHAnsi" w:hAnsiTheme="minorHAnsi" w:cstheme="minorHAnsi"/>
          <w:sz w:val="24"/>
          <w:szCs w:val="24"/>
        </w:rPr>
        <w:t>Rantidi</w:t>
      </w:r>
      <w:proofErr w:type="spellEnd"/>
      <w:r w:rsidRPr="000B0590">
        <w:rPr>
          <w:rFonts w:asciiTheme="minorHAnsi" w:hAnsiTheme="minorHAnsi" w:cstheme="minorHAnsi"/>
          <w:sz w:val="24"/>
          <w:szCs w:val="24"/>
        </w:rPr>
        <w:t xml:space="preserve"> site excavations have resulted in numerous figurines, sundry artefacts with Cypro-syllabic inscriptions and even a ‘horns of consecration.</w:t>
      </w:r>
      <w:r w:rsidRPr="000B0590">
        <w:rPr>
          <w:rStyle w:val="FootnoteReference"/>
          <w:rFonts w:asciiTheme="minorHAnsi" w:hAnsiTheme="minorHAnsi" w:cstheme="minorHAnsi"/>
          <w:sz w:val="24"/>
          <w:szCs w:val="24"/>
        </w:rPr>
        <w:footnoteReference w:id="63"/>
      </w:r>
      <w:r w:rsidRPr="000B0590">
        <w:rPr>
          <w:rFonts w:asciiTheme="minorHAnsi" w:hAnsiTheme="minorHAnsi" w:cstheme="minorHAnsi"/>
          <w:sz w:val="24"/>
          <w:szCs w:val="24"/>
        </w:rPr>
        <w:t xml:space="preserve"> </w:t>
      </w:r>
      <w:r w:rsidR="00EB7FC7">
        <w:rPr>
          <w:rFonts w:asciiTheme="minorHAnsi" w:hAnsiTheme="minorHAnsi" w:cstheme="minorHAnsi"/>
          <w:sz w:val="24"/>
          <w:szCs w:val="24"/>
        </w:rPr>
        <w:t xml:space="preserve">Young </w:t>
      </w:r>
      <w:r w:rsidRPr="000B0590">
        <w:rPr>
          <w:rFonts w:asciiTheme="minorHAnsi" w:hAnsiTheme="minorHAnsi" w:cstheme="minorHAnsi"/>
          <w:sz w:val="24"/>
          <w:szCs w:val="24"/>
        </w:rPr>
        <w:t xml:space="preserve">argues </w:t>
      </w:r>
      <w:r w:rsidRPr="000B0590">
        <w:rPr>
          <w:rFonts w:asciiTheme="minorHAnsi" w:hAnsiTheme="minorHAnsi" w:cstheme="minorHAnsi"/>
          <w:sz w:val="24"/>
          <w:szCs w:val="24"/>
        </w:rPr>
        <w:lastRenderedPageBreak/>
        <w:t xml:space="preserve">that this was dedicated to a male consort deity of Aphrodite, and that the Aphrodisia </w:t>
      </w:r>
      <w:r w:rsidRPr="000B0590">
        <w:rPr>
          <w:sz w:val="24"/>
          <w:szCs w:val="24"/>
        </w:rPr>
        <w:t>procession would have visited both sites.</w:t>
      </w:r>
      <w:r w:rsidRPr="000B0590">
        <w:rPr>
          <w:rStyle w:val="FootnoteReference"/>
          <w:rFonts w:asciiTheme="minorHAnsi" w:hAnsiTheme="minorHAnsi" w:cstheme="minorHAnsi"/>
          <w:sz w:val="24"/>
          <w:szCs w:val="24"/>
        </w:rPr>
        <w:footnoteReference w:id="64"/>
      </w:r>
    </w:p>
    <w:p w14:paraId="7802D6B9" w14:textId="77777777" w:rsidR="005B3983" w:rsidRDefault="005B3983" w:rsidP="009A78E5">
      <w:pPr>
        <w:pStyle w:val="FootnoteText"/>
        <w:spacing w:after="120" w:line="360" w:lineRule="auto"/>
        <w:rPr>
          <w:rFonts w:asciiTheme="minorHAnsi" w:hAnsiTheme="minorHAnsi" w:cstheme="minorHAnsi"/>
          <w:sz w:val="24"/>
          <w:szCs w:val="24"/>
        </w:rPr>
      </w:pPr>
    </w:p>
    <w:p w14:paraId="48563C01" w14:textId="4152610C" w:rsidR="00B92DAB" w:rsidRPr="000B0590" w:rsidRDefault="009E1209" w:rsidP="00611F1F">
      <w:pPr>
        <w:pStyle w:val="FootnoteText"/>
        <w:spacing w:after="120" w:line="360" w:lineRule="auto"/>
        <w:rPr>
          <w:rFonts w:asciiTheme="minorHAnsi" w:hAnsiTheme="minorHAnsi" w:cstheme="minorHAnsi"/>
          <w:sz w:val="24"/>
          <w:szCs w:val="24"/>
        </w:rPr>
      </w:pPr>
      <w:r>
        <w:rPr>
          <w:rFonts w:asciiTheme="minorHAnsi" w:hAnsiTheme="minorHAnsi" w:cstheme="minorHAnsi"/>
          <w:sz w:val="24"/>
          <w:szCs w:val="24"/>
        </w:rPr>
        <w:t xml:space="preserve">A major </w:t>
      </w:r>
      <w:r w:rsidR="009A78E5" w:rsidRPr="000B0590">
        <w:rPr>
          <w:rFonts w:asciiTheme="minorHAnsi" w:hAnsiTheme="minorHAnsi" w:cstheme="minorHAnsi"/>
          <w:sz w:val="24"/>
          <w:szCs w:val="24"/>
        </w:rPr>
        <w:t xml:space="preserve">necropolis of ancient Palaepaphos during the Cypro-Geometric period (c. 1050 - 750 B.C.) </w:t>
      </w:r>
      <w:r>
        <w:rPr>
          <w:rFonts w:asciiTheme="minorHAnsi" w:hAnsiTheme="minorHAnsi" w:cstheme="minorHAnsi"/>
          <w:sz w:val="24"/>
          <w:szCs w:val="24"/>
        </w:rPr>
        <w:t xml:space="preserve">was excavated in 1979 at </w:t>
      </w:r>
      <w:proofErr w:type="spellStart"/>
      <w:r w:rsidR="009A78E5" w:rsidRPr="000B0590">
        <w:rPr>
          <w:rFonts w:asciiTheme="minorHAnsi" w:hAnsiTheme="minorHAnsi" w:cstheme="minorHAnsi"/>
          <w:sz w:val="24"/>
          <w:szCs w:val="24"/>
        </w:rPr>
        <w:t>Skales</w:t>
      </w:r>
      <w:proofErr w:type="spellEnd"/>
      <w:r>
        <w:rPr>
          <w:rFonts w:asciiTheme="minorHAnsi" w:hAnsiTheme="minorHAnsi" w:cstheme="minorHAnsi"/>
          <w:sz w:val="24"/>
          <w:szCs w:val="24"/>
        </w:rPr>
        <w:t xml:space="preserve">, </w:t>
      </w:r>
      <w:r w:rsidR="000021B8">
        <w:rPr>
          <w:rFonts w:asciiTheme="minorHAnsi" w:hAnsiTheme="minorHAnsi" w:cstheme="minorHAnsi"/>
          <w:sz w:val="24"/>
          <w:szCs w:val="24"/>
        </w:rPr>
        <w:t xml:space="preserve">a few km </w:t>
      </w:r>
      <w:r w:rsidR="009A78E5" w:rsidRPr="000B0590">
        <w:rPr>
          <w:rFonts w:asciiTheme="minorHAnsi" w:hAnsiTheme="minorHAnsi" w:cstheme="minorHAnsi"/>
          <w:sz w:val="24"/>
          <w:szCs w:val="24"/>
        </w:rPr>
        <w:t xml:space="preserve">southeast of the </w:t>
      </w:r>
      <w:r>
        <w:rPr>
          <w:rFonts w:asciiTheme="minorHAnsi" w:hAnsiTheme="minorHAnsi" w:cstheme="minorHAnsi"/>
          <w:sz w:val="24"/>
          <w:szCs w:val="24"/>
        </w:rPr>
        <w:t xml:space="preserve">TA, </w:t>
      </w:r>
      <w:r w:rsidR="00173F8B">
        <w:rPr>
          <w:rFonts w:asciiTheme="minorHAnsi" w:hAnsiTheme="minorHAnsi" w:cstheme="minorHAnsi"/>
          <w:sz w:val="24"/>
          <w:szCs w:val="24"/>
        </w:rPr>
        <w:t xml:space="preserve">also </w:t>
      </w:r>
      <w:r w:rsidR="009A78E5" w:rsidRPr="000B0590">
        <w:rPr>
          <w:rFonts w:asciiTheme="minorHAnsi" w:hAnsiTheme="minorHAnsi" w:cstheme="minorHAnsi"/>
          <w:sz w:val="24"/>
          <w:szCs w:val="24"/>
        </w:rPr>
        <w:t xml:space="preserve">presumably within visibility. </w:t>
      </w:r>
      <w:r>
        <w:rPr>
          <w:rFonts w:asciiTheme="minorHAnsi" w:hAnsiTheme="minorHAnsi" w:cstheme="minorHAnsi"/>
          <w:sz w:val="24"/>
          <w:szCs w:val="24"/>
        </w:rPr>
        <w:t>These tombs</w:t>
      </w:r>
      <w:r w:rsidR="00020CDC">
        <w:rPr>
          <w:rFonts w:asciiTheme="minorHAnsi" w:hAnsiTheme="minorHAnsi" w:cstheme="minorHAnsi"/>
          <w:sz w:val="24"/>
          <w:szCs w:val="24"/>
        </w:rPr>
        <w:t xml:space="preserve">, many with multiple burials including women, </w:t>
      </w:r>
      <w:r w:rsidR="009A78E5" w:rsidRPr="000B0590">
        <w:rPr>
          <w:rFonts w:asciiTheme="minorHAnsi" w:hAnsiTheme="minorHAnsi" w:cstheme="minorHAnsi"/>
          <w:sz w:val="24"/>
          <w:szCs w:val="24"/>
        </w:rPr>
        <w:t>display</w:t>
      </w:r>
      <w:r>
        <w:rPr>
          <w:rFonts w:asciiTheme="minorHAnsi" w:hAnsiTheme="minorHAnsi" w:cstheme="minorHAnsi"/>
          <w:sz w:val="24"/>
          <w:szCs w:val="24"/>
        </w:rPr>
        <w:t>ed</w:t>
      </w:r>
      <w:r w:rsidR="009A78E5" w:rsidRPr="000B0590">
        <w:rPr>
          <w:rFonts w:asciiTheme="minorHAnsi" w:hAnsiTheme="minorHAnsi" w:cstheme="minorHAnsi"/>
          <w:sz w:val="24"/>
          <w:szCs w:val="24"/>
        </w:rPr>
        <w:t xml:space="preserve"> an extraordinary wealth of pottery</w:t>
      </w:r>
      <w:r>
        <w:rPr>
          <w:rFonts w:asciiTheme="minorHAnsi" w:hAnsiTheme="minorHAnsi" w:cstheme="minorHAnsi"/>
          <w:sz w:val="24"/>
          <w:szCs w:val="24"/>
        </w:rPr>
        <w:t xml:space="preserve"> and </w:t>
      </w:r>
      <w:r w:rsidR="009A78E5" w:rsidRPr="000B0590">
        <w:rPr>
          <w:rFonts w:asciiTheme="minorHAnsi" w:hAnsiTheme="minorHAnsi" w:cstheme="minorHAnsi"/>
          <w:sz w:val="24"/>
          <w:szCs w:val="24"/>
        </w:rPr>
        <w:t>metalwork</w:t>
      </w:r>
      <w:r>
        <w:rPr>
          <w:rFonts w:asciiTheme="minorHAnsi" w:hAnsiTheme="minorHAnsi" w:cstheme="minorHAnsi"/>
          <w:sz w:val="24"/>
          <w:szCs w:val="24"/>
        </w:rPr>
        <w:t>, vases, weapons and</w:t>
      </w:r>
      <w:r w:rsidR="009A78E5" w:rsidRPr="000B0590">
        <w:rPr>
          <w:rFonts w:asciiTheme="minorHAnsi" w:hAnsiTheme="minorHAnsi" w:cstheme="minorHAnsi"/>
          <w:sz w:val="24"/>
          <w:szCs w:val="24"/>
        </w:rPr>
        <w:t xml:space="preserve"> implements of various types</w:t>
      </w:r>
      <w:r w:rsidR="00542AFB">
        <w:rPr>
          <w:rFonts w:asciiTheme="minorHAnsi" w:hAnsiTheme="minorHAnsi" w:cstheme="minorHAnsi"/>
          <w:sz w:val="24"/>
          <w:szCs w:val="24"/>
        </w:rPr>
        <w:t>.</w:t>
      </w:r>
      <w:r w:rsidR="00542AFB">
        <w:rPr>
          <w:rStyle w:val="FootnoteReference"/>
          <w:rFonts w:asciiTheme="minorHAnsi" w:hAnsiTheme="minorHAnsi" w:cstheme="minorHAnsi"/>
          <w:sz w:val="24"/>
          <w:szCs w:val="24"/>
        </w:rPr>
        <w:footnoteReference w:id="65"/>
      </w:r>
      <w:r w:rsidR="009A78E5" w:rsidRPr="000B0590">
        <w:rPr>
          <w:rFonts w:asciiTheme="minorHAnsi" w:hAnsiTheme="minorHAnsi" w:cstheme="minorHAnsi"/>
          <w:sz w:val="24"/>
          <w:szCs w:val="24"/>
        </w:rPr>
        <w:t>. These chambered tombs all have their dromos</w:t>
      </w:r>
      <w:r w:rsidR="00173F8B">
        <w:rPr>
          <w:rFonts w:asciiTheme="minorHAnsi" w:hAnsiTheme="minorHAnsi" w:cstheme="minorHAnsi"/>
          <w:sz w:val="24"/>
          <w:szCs w:val="24"/>
        </w:rPr>
        <w:t xml:space="preserve"> </w:t>
      </w:r>
      <w:r w:rsidR="009A78E5" w:rsidRPr="000B0590">
        <w:rPr>
          <w:rFonts w:asciiTheme="minorHAnsi" w:hAnsiTheme="minorHAnsi" w:cstheme="minorHAnsi"/>
          <w:sz w:val="24"/>
          <w:szCs w:val="24"/>
        </w:rPr>
        <w:t>oriented to the south-west</w:t>
      </w:r>
      <w:r w:rsidR="00173F8B">
        <w:rPr>
          <w:rFonts w:asciiTheme="minorHAnsi" w:hAnsiTheme="minorHAnsi" w:cstheme="minorHAnsi"/>
          <w:sz w:val="24"/>
          <w:szCs w:val="24"/>
        </w:rPr>
        <w:t>, around 4-5m in length. It does not seem known whether any displayed ‘light phenomena’ in the manner of the famous Newgrange mound.</w:t>
      </w:r>
      <w:r w:rsidR="00173F8B">
        <w:rPr>
          <w:rStyle w:val="FootnoteReference"/>
          <w:rFonts w:asciiTheme="minorHAnsi" w:hAnsiTheme="minorHAnsi" w:cstheme="minorHAnsi"/>
          <w:sz w:val="24"/>
          <w:szCs w:val="24"/>
        </w:rPr>
        <w:footnoteReference w:id="66"/>
      </w:r>
      <w:r w:rsidR="00611F1F">
        <w:rPr>
          <w:rFonts w:asciiTheme="minorHAnsi" w:hAnsiTheme="minorHAnsi" w:cstheme="minorHAnsi"/>
          <w:sz w:val="24"/>
          <w:szCs w:val="24"/>
        </w:rPr>
        <w:t xml:space="preserve"> </w:t>
      </w:r>
    </w:p>
    <w:p w14:paraId="0D3B07FB"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631C1E63" w14:textId="747E8249" w:rsidR="00E45A3B" w:rsidRPr="000B0590" w:rsidRDefault="00E45A3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There is little to tell us as to any specific rites performed at Aphrodite’s Temenos. Herodotus’ account of religious sexuality at Babylon claims “a custom like this in some parts of Cyprus” but without mentioning Paphos.</w:t>
      </w:r>
      <w:r w:rsidRPr="000B0590">
        <w:rPr>
          <w:rStyle w:val="FootnoteReference"/>
          <w:rFonts w:asciiTheme="minorHAnsi" w:hAnsiTheme="minorHAnsi" w:cstheme="minorHAnsi"/>
          <w:sz w:val="24"/>
          <w:szCs w:val="24"/>
        </w:rPr>
        <w:footnoteReference w:id="67"/>
      </w:r>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Serwint</w:t>
      </w:r>
      <w:proofErr w:type="spellEnd"/>
      <w:r w:rsidRPr="000B0590">
        <w:rPr>
          <w:rFonts w:asciiTheme="minorHAnsi" w:hAnsiTheme="minorHAnsi" w:cstheme="minorHAnsi"/>
          <w:sz w:val="24"/>
          <w:szCs w:val="24"/>
        </w:rPr>
        <w:t xml:space="preserve"> seems h</w:t>
      </w:r>
      <w:r w:rsidR="003D0B63" w:rsidRPr="000B0590">
        <w:rPr>
          <w:rFonts w:asciiTheme="minorHAnsi" w:hAnsiTheme="minorHAnsi" w:cstheme="minorHAnsi"/>
          <w:sz w:val="24"/>
          <w:szCs w:val="24"/>
        </w:rPr>
        <w:t>a</w:t>
      </w:r>
      <w:r w:rsidRPr="000B0590">
        <w:rPr>
          <w:rFonts w:asciiTheme="minorHAnsi" w:hAnsiTheme="minorHAnsi" w:cstheme="minorHAnsi"/>
          <w:sz w:val="24"/>
          <w:szCs w:val="24"/>
        </w:rPr>
        <w:t xml:space="preserve">ppy to accept </w:t>
      </w:r>
      <w:r w:rsidR="003D0B63" w:rsidRPr="000B0590">
        <w:rPr>
          <w:rFonts w:asciiTheme="minorHAnsi" w:hAnsiTheme="minorHAnsi" w:cstheme="minorHAnsi"/>
          <w:sz w:val="24"/>
          <w:szCs w:val="24"/>
        </w:rPr>
        <w:t>the insulting term “sacred prostit</w:t>
      </w:r>
      <w:r w:rsidR="00AE4E01">
        <w:rPr>
          <w:rFonts w:asciiTheme="minorHAnsi" w:hAnsiTheme="minorHAnsi" w:cstheme="minorHAnsi"/>
          <w:sz w:val="24"/>
          <w:szCs w:val="24"/>
        </w:rPr>
        <w:t>ut</w:t>
      </w:r>
      <w:r w:rsidR="003D0B63" w:rsidRPr="000B0590">
        <w:rPr>
          <w:rFonts w:asciiTheme="minorHAnsi" w:hAnsiTheme="minorHAnsi" w:cstheme="minorHAnsi"/>
          <w:sz w:val="24"/>
          <w:szCs w:val="24"/>
        </w:rPr>
        <w:t>ion”</w:t>
      </w:r>
      <w:r w:rsidR="003D0B63" w:rsidRPr="000B0590">
        <w:rPr>
          <w:rStyle w:val="FootnoteReference"/>
          <w:rFonts w:asciiTheme="minorHAnsi" w:hAnsiTheme="minorHAnsi" w:cstheme="minorHAnsi"/>
          <w:sz w:val="24"/>
          <w:szCs w:val="24"/>
        </w:rPr>
        <w:footnoteReference w:id="68"/>
      </w:r>
      <w:r w:rsidR="00731402" w:rsidRPr="000B0590">
        <w:rPr>
          <w:rFonts w:asciiTheme="minorHAnsi" w:hAnsiTheme="minorHAnsi" w:cstheme="minorHAnsi"/>
          <w:sz w:val="24"/>
          <w:szCs w:val="24"/>
        </w:rPr>
        <w:t>: Budin</w:t>
      </w:r>
      <w:r w:rsidR="00A64DCF" w:rsidRPr="000B0590">
        <w:rPr>
          <w:rFonts w:asciiTheme="minorHAnsi" w:hAnsiTheme="minorHAnsi" w:cstheme="minorHAnsi"/>
          <w:sz w:val="24"/>
          <w:szCs w:val="24"/>
        </w:rPr>
        <w:t xml:space="preserve"> however firmly rejects the entire notion as “bad scholarship over 2000+ years”.</w:t>
      </w:r>
      <w:r w:rsidR="00A64DCF" w:rsidRPr="000B0590">
        <w:rPr>
          <w:rStyle w:val="FootnoteReference"/>
          <w:rFonts w:asciiTheme="minorHAnsi" w:hAnsiTheme="minorHAnsi" w:cstheme="minorHAnsi"/>
          <w:sz w:val="24"/>
          <w:szCs w:val="24"/>
        </w:rPr>
        <w:footnoteReference w:id="69"/>
      </w:r>
      <w:r w:rsidRPr="000B0590">
        <w:rPr>
          <w:rFonts w:asciiTheme="minorHAnsi" w:hAnsiTheme="minorHAnsi" w:cstheme="minorHAnsi"/>
          <w:sz w:val="24"/>
          <w:szCs w:val="24"/>
        </w:rPr>
        <w:t xml:space="preserve"> </w:t>
      </w:r>
      <w:r w:rsidRPr="000B0590">
        <w:rPr>
          <w:rFonts w:asciiTheme="minorHAnsi" w:hAnsiTheme="minorHAnsi" w:cstheme="minorHAnsi"/>
          <w:i/>
          <w:iCs/>
          <w:sz w:val="24"/>
          <w:szCs w:val="24"/>
        </w:rPr>
        <w:t>Odyssey</w:t>
      </w:r>
      <w:r w:rsidRPr="000B0590">
        <w:rPr>
          <w:rFonts w:asciiTheme="minorHAnsi" w:hAnsiTheme="minorHAnsi" w:cstheme="minorHAnsi"/>
          <w:sz w:val="24"/>
          <w:szCs w:val="24"/>
        </w:rPr>
        <w:t xml:space="preserve"> tells us that on arrival at Her temple, Aphrodite is bathed by the Graces and anointed with immortal oil, then “clothed …in lovely raiment”.</w:t>
      </w:r>
      <w:r w:rsidRPr="000B0590">
        <w:rPr>
          <w:rStyle w:val="FootnoteReference"/>
          <w:rFonts w:asciiTheme="minorHAnsi" w:hAnsiTheme="minorHAnsi" w:cstheme="minorHAnsi"/>
          <w:sz w:val="24"/>
          <w:szCs w:val="24"/>
        </w:rPr>
        <w:footnoteReference w:id="70"/>
      </w:r>
      <w:r w:rsidRPr="000B0590">
        <w:rPr>
          <w:rFonts w:asciiTheme="minorHAnsi" w:hAnsiTheme="minorHAnsi" w:cstheme="minorHAnsi"/>
          <w:sz w:val="24"/>
          <w:szCs w:val="24"/>
        </w:rPr>
        <w:t xml:space="preserve"> This seems entirely to match the well-documented rite of the Athenian </w:t>
      </w:r>
      <w:proofErr w:type="spellStart"/>
      <w:r w:rsidRPr="000B0590">
        <w:rPr>
          <w:rFonts w:asciiTheme="minorHAnsi" w:hAnsiTheme="minorHAnsi" w:cstheme="minorHAnsi"/>
          <w:sz w:val="24"/>
          <w:szCs w:val="24"/>
        </w:rPr>
        <w:t>Panathenaia</w:t>
      </w:r>
      <w:proofErr w:type="spellEnd"/>
      <w:r w:rsidRPr="000B0590">
        <w:rPr>
          <w:rFonts w:asciiTheme="minorHAnsi" w:hAnsiTheme="minorHAnsi" w:cstheme="minorHAnsi"/>
          <w:sz w:val="24"/>
          <w:szCs w:val="24"/>
        </w:rPr>
        <w:t>, a year-</w:t>
      </w:r>
      <w:r w:rsidRPr="000B0590">
        <w:rPr>
          <w:rFonts w:asciiTheme="minorHAnsi" w:hAnsiTheme="minorHAnsi" w:cstheme="minorHAnsi"/>
          <w:sz w:val="24"/>
          <w:szCs w:val="24"/>
        </w:rPr>
        <w:lastRenderedPageBreak/>
        <w:t>end festival of renewal, in which the statue of Athena is dressed in a newly-woven robe.</w:t>
      </w:r>
      <w:r w:rsidRPr="000B0590">
        <w:rPr>
          <w:rStyle w:val="FootnoteReference"/>
          <w:rFonts w:asciiTheme="minorHAnsi" w:hAnsiTheme="minorHAnsi" w:cstheme="minorHAnsi"/>
          <w:sz w:val="24"/>
          <w:szCs w:val="24"/>
        </w:rPr>
        <w:footnoteReference w:id="71"/>
      </w:r>
      <w:r w:rsidRPr="000B0590">
        <w:rPr>
          <w:rFonts w:asciiTheme="minorHAnsi" w:hAnsiTheme="minorHAnsi" w:cstheme="minorHAnsi"/>
          <w:sz w:val="24"/>
          <w:szCs w:val="24"/>
        </w:rPr>
        <w:t xml:space="preserve"> Such rites were widespread, entirely plausible at Paphos, but raise the question that unless the process were </w:t>
      </w:r>
      <w:r w:rsidR="00836BA6" w:rsidRPr="000B0590">
        <w:rPr>
          <w:rFonts w:asciiTheme="minorHAnsi" w:hAnsiTheme="minorHAnsi" w:cstheme="minorHAnsi"/>
          <w:sz w:val="24"/>
          <w:szCs w:val="24"/>
        </w:rPr>
        <w:t xml:space="preserve">actually </w:t>
      </w:r>
      <w:r w:rsidRPr="000B0590">
        <w:rPr>
          <w:rFonts w:asciiTheme="minorHAnsi" w:hAnsiTheme="minorHAnsi" w:cstheme="minorHAnsi"/>
          <w:sz w:val="24"/>
          <w:szCs w:val="24"/>
        </w:rPr>
        <w:t xml:space="preserve">applied to a mortal priestess, some sort of gynomorphic statue would be required. </w:t>
      </w:r>
      <w:r w:rsidR="008C27E9" w:rsidRPr="000B0590">
        <w:rPr>
          <w:rFonts w:asciiTheme="minorHAnsi" w:hAnsiTheme="minorHAnsi" w:cstheme="minorHAnsi"/>
          <w:sz w:val="24"/>
          <w:szCs w:val="24"/>
        </w:rPr>
        <w:t xml:space="preserve">However, </w:t>
      </w:r>
      <w:r w:rsidRPr="000B0590">
        <w:rPr>
          <w:rFonts w:asciiTheme="minorHAnsi" w:hAnsiTheme="minorHAnsi" w:cstheme="minorHAnsi"/>
          <w:sz w:val="24"/>
          <w:szCs w:val="24"/>
        </w:rPr>
        <w:t>all reports deny</w:t>
      </w:r>
      <w:r w:rsidR="003B3A27">
        <w:rPr>
          <w:rFonts w:asciiTheme="minorHAnsi" w:hAnsiTheme="minorHAnsi" w:cstheme="minorHAnsi"/>
          <w:sz w:val="24"/>
          <w:szCs w:val="24"/>
        </w:rPr>
        <w:t xml:space="preserve"> the existence of such</w:t>
      </w:r>
      <w:r w:rsidRPr="000B0590">
        <w:rPr>
          <w:rFonts w:asciiTheme="minorHAnsi" w:hAnsiTheme="minorHAnsi" w:cstheme="minorHAnsi"/>
          <w:sz w:val="24"/>
          <w:szCs w:val="24"/>
        </w:rPr>
        <w:t xml:space="preserve">, referring </w:t>
      </w:r>
      <w:r w:rsidR="008C27E9" w:rsidRPr="000B0590">
        <w:rPr>
          <w:rFonts w:asciiTheme="minorHAnsi" w:hAnsiTheme="minorHAnsi" w:cstheme="minorHAnsi"/>
          <w:sz w:val="24"/>
          <w:szCs w:val="24"/>
        </w:rPr>
        <w:t xml:space="preserve">only </w:t>
      </w:r>
      <w:r w:rsidRPr="000B0590">
        <w:rPr>
          <w:rFonts w:asciiTheme="minorHAnsi" w:hAnsiTheme="minorHAnsi" w:cstheme="minorHAnsi"/>
          <w:sz w:val="24"/>
          <w:szCs w:val="24"/>
        </w:rPr>
        <w:t xml:space="preserve">to the </w:t>
      </w:r>
      <w:r w:rsidR="008C27E9" w:rsidRPr="000B0590">
        <w:rPr>
          <w:rFonts w:asciiTheme="minorHAnsi" w:hAnsiTheme="minorHAnsi" w:cstheme="minorHAnsi"/>
          <w:sz w:val="24"/>
          <w:szCs w:val="24"/>
        </w:rPr>
        <w:t>a</w:t>
      </w:r>
      <w:r w:rsidRPr="000B0590">
        <w:rPr>
          <w:rFonts w:asciiTheme="minorHAnsi" w:hAnsiTheme="minorHAnsi" w:cstheme="minorHAnsi"/>
          <w:sz w:val="24"/>
          <w:szCs w:val="24"/>
        </w:rPr>
        <w:t>niconic</w:t>
      </w:r>
      <w:r w:rsidR="008C27E9" w:rsidRPr="000B0590">
        <w:rPr>
          <w:rFonts w:asciiTheme="minorHAnsi" w:hAnsiTheme="minorHAnsi" w:cstheme="minorHAnsi"/>
          <w:sz w:val="24"/>
          <w:szCs w:val="24"/>
        </w:rPr>
        <w:t xml:space="preserve"> altar stone, as discussed further below</w:t>
      </w:r>
      <w:r w:rsidRPr="000B0590">
        <w:rPr>
          <w:rFonts w:asciiTheme="minorHAnsi" w:hAnsiTheme="minorHAnsi" w:cstheme="minorHAnsi"/>
          <w:sz w:val="24"/>
          <w:szCs w:val="24"/>
        </w:rPr>
        <w:t>.</w:t>
      </w:r>
    </w:p>
    <w:p w14:paraId="3E118B46" w14:textId="77777777" w:rsidR="00F22994" w:rsidRPr="000B0590" w:rsidRDefault="00F22994" w:rsidP="00F22994">
      <w:pPr>
        <w:pStyle w:val="FootnoteText"/>
        <w:spacing w:after="120" w:line="360" w:lineRule="auto"/>
        <w:rPr>
          <w:rFonts w:asciiTheme="minorHAnsi" w:hAnsiTheme="minorHAnsi" w:cstheme="minorHAnsi"/>
          <w:sz w:val="24"/>
          <w:szCs w:val="24"/>
        </w:rPr>
      </w:pPr>
    </w:p>
    <w:p w14:paraId="6A716572" w14:textId="7EDA54BD" w:rsidR="00761DBB" w:rsidRPr="000B0590" w:rsidRDefault="0007206C"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Festivals at the sanctuary similarly have limited documentation: best attested is the annual Aphrodisia related by Strabo</w:t>
      </w:r>
      <w:r w:rsidR="00D80F7C">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72"/>
      </w:r>
      <w:r w:rsidR="00D80F7C">
        <w:rPr>
          <w:rFonts w:asciiTheme="minorHAnsi" w:hAnsiTheme="minorHAnsi" w:cstheme="minorHAnsi"/>
          <w:sz w:val="24"/>
          <w:szCs w:val="24"/>
        </w:rPr>
        <w:t xml:space="preserve"> t</w:t>
      </w:r>
      <w:r w:rsidRPr="000B0590">
        <w:rPr>
          <w:rFonts w:asciiTheme="minorHAnsi" w:hAnsiTheme="minorHAnsi" w:cstheme="minorHAnsi"/>
          <w:sz w:val="24"/>
          <w:szCs w:val="24"/>
        </w:rPr>
        <w:t xml:space="preserve">his began with a procession from </w:t>
      </w:r>
      <w:proofErr w:type="spellStart"/>
      <w:r w:rsidRPr="000B0590">
        <w:rPr>
          <w:rFonts w:asciiTheme="minorHAnsi" w:hAnsiTheme="minorHAnsi" w:cstheme="minorHAnsi"/>
          <w:sz w:val="24"/>
          <w:szCs w:val="24"/>
        </w:rPr>
        <w:t>Neapaphos</w:t>
      </w:r>
      <w:proofErr w:type="spellEnd"/>
      <w:r w:rsidRPr="000B0590">
        <w:rPr>
          <w:rFonts w:asciiTheme="minorHAnsi" w:hAnsiTheme="minorHAnsi" w:cstheme="minorHAnsi"/>
          <w:sz w:val="24"/>
          <w:szCs w:val="24"/>
        </w:rPr>
        <w:t>, a distance around 11km.</w:t>
      </w:r>
      <w:r w:rsidRPr="000B0590">
        <w:rPr>
          <w:rStyle w:val="FootnoteReference"/>
          <w:rFonts w:asciiTheme="minorHAnsi" w:hAnsiTheme="minorHAnsi" w:cstheme="minorHAnsi"/>
          <w:sz w:val="24"/>
          <w:szCs w:val="24"/>
        </w:rPr>
        <w:footnoteReference w:id="73"/>
      </w:r>
      <w:r w:rsidRPr="000B0590">
        <w:rPr>
          <w:rFonts w:asciiTheme="minorHAnsi" w:hAnsiTheme="minorHAnsi" w:cstheme="minorHAnsi"/>
          <w:sz w:val="24"/>
          <w:szCs w:val="24"/>
        </w:rPr>
        <w:t xml:space="preserve"> </w:t>
      </w:r>
      <w:r w:rsidR="00835651">
        <w:rPr>
          <w:rFonts w:asciiTheme="minorHAnsi" w:hAnsiTheme="minorHAnsi" w:cstheme="minorHAnsi"/>
          <w:sz w:val="24"/>
          <w:szCs w:val="24"/>
        </w:rPr>
        <w:t>Karageorghis and Maier describe it as solemn, the participants crowned with Myrtle, and offering a</w:t>
      </w:r>
      <w:r w:rsidR="00D80F7C">
        <w:rPr>
          <w:rFonts w:asciiTheme="minorHAnsi" w:hAnsiTheme="minorHAnsi" w:cstheme="minorHAnsi"/>
          <w:sz w:val="24"/>
          <w:szCs w:val="24"/>
        </w:rPr>
        <w:t>t</w:t>
      </w:r>
      <w:r w:rsidR="00835651">
        <w:rPr>
          <w:rFonts w:asciiTheme="minorHAnsi" w:hAnsiTheme="minorHAnsi" w:cstheme="minorHAnsi"/>
          <w:sz w:val="24"/>
          <w:szCs w:val="24"/>
        </w:rPr>
        <w:t xml:space="preserve"> chapels by the roadside.</w:t>
      </w:r>
      <w:r w:rsidR="00835651">
        <w:rPr>
          <w:rStyle w:val="FootnoteReference"/>
          <w:rFonts w:asciiTheme="minorHAnsi" w:hAnsiTheme="minorHAnsi" w:cstheme="minorHAnsi"/>
          <w:sz w:val="24"/>
          <w:szCs w:val="24"/>
        </w:rPr>
        <w:footnoteReference w:id="74"/>
      </w:r>
      <w:r w:rsidRPr="000B0590">
        <w:rPr>
          <w:rFonts w:asciiTheme="minorHAnsi" w:hAnsiTheme="minorHAnsi" w:cstheme="minorHAnsi"/>
          <w:sz w:val="24"/>
          <w:szCs w:val="24"/>
        </w:rPr>
        <w:t xml:space="preserve">A number of later Christian authors are horrified by the idea that the sanctuary also maintained a mystery tradition, but any reliable facts remain elusive. A little distance along the road were the </w:t>
      </w:r>
      <w:proofErr w:type="spellStart"/>
      <w:r w:rsidRPr="000B0590">
        <w:rPr>
          <w:rFonts w:asciiTheme="minorHAnsi" w:hAnsiTheme="minorHAnsi" w:cstheme="minorHAnsi"/>
          <w:sz w:val="24"/>
          <w:szCs w:val="24"/>
        </w:rPr>
        <w:t>Ἱεροκη</w:t>
      </w:r>
      <w:proofErr w:type="spellEnd"/>
      <w:r w:rsidRPr="000B0590">
        <w:rPr>
          <w:rFonts w:asciiTheme="minorHAnsi" w:hAnsiTheme="minorHAnsi" w:cstheme="minorHAnsi"/>
          <w:sz w:val="24"/>
          <w:szCs w:val="24"/>
        </w:rPr>
        <w:t xml:space="preserve">πία - sacred gardens - the name preserved in the present-day village of </w:t>
      </w:r>
      <w:proofErr w:type="spellStart"/>
      <w:r w:rsidRPr="000B0590">
        <w:rPr>
          <w:rFonts w:asciiTheme="minorHAnsi" w:hAnsiTheme="minorHAnsi" w:cstheme="minorHAnsi"/>
          <w:sz w:val="24"/>
          <w:szCs w:val="24"/>
        </w:rPr>
        <w:t>Yeroskipou</w:t>
      </w:r>
      <w:proofErr w:type="spellEnd"/>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75"/>
      </w:r>
      <w:r w:rsidRPr="000B0590">
        <w:rPr>
          <w:rFonts w:asciiTheme="minorHAnsi" w:hAnsiTheme="minorHAnsi" w:cstheme="minorHAnsi"/>
          <w:sz w:val="24"/>
          <w:szCs w:val="24"/>
        </w:rPr>
        <w:t xml:space="preserve"> A number of ‘uplifted arm’ and other figurines, have been found at </w:t>
      </w:r>
      <w:proofErr w:type="spellStart"/>
      <w:r w:rsidRPr="000B0590">
        <w:rPr>
          <w:rFonts w:asciiTheme="minorHAnsi" w:hAnsiTheme="minorHAnsi" w:cstheme="minorHAnsi"/>
          <w:sz w:val="24"/>
          <w:szCs w:val="24"/>
        </w:rPr>
        <w:t>Yeroskipou</w:t>
      </w:r>
      <w:proofErr w:type="spellEnd"/>
      <w:r w:rsidRPr="000B0590">
        <w:rPr>
          <w:rFonts w:asciiTheme="minorHAnsi" w:hAnsiTheme="minorHAnsi" w:cstheme="minorHAnsi"/>
          <w:sz w:val="24"/>
          <w:szCs w:val="24"/>
        </w:rPr>
        <w:t xml:space="preserve"> and along the road.</w:t>
      </w:r>
      <w:r w:rsidRPr="000B0590">
        <w:rPr>
          <w:rStyle w:val="FootnoteReference"/>
          <w:rFonts w:asciiTheme="minorHAnsi" w:hAnsiTheme="minorHAnsi" w:cstheme="minorHAnsi"/>
          <w:sz w:val="24"/>
          <w:szCs w:val="24"/>
        </w:rPr>
        <w:footnoteReference w:id="76"/>
      </w:r>
      <w:r w:rsidRPr="000B0590">
        <w:rPr>
          <w:rFonts w:asciiTheme="minorHAnsi" w:hAnsiTheme="minorHAnsi" w:cstheme="minorHAnsi"/>
          <w:sz w:val="24"/>
          <w:szCs w:val="24"/>
        </w:rPr>
        <w:t xml:space="preserve"> Although the sanctuary must have had numerous personnel, records of these are also absent: bizarrely, mentions that exist seem only to be of males, designated by the legendary title from the purported founder Kinyras.</w:t>
      </w:r>
      <w:r w:rsidRPr="000B0590">
        <w:rPr>
          <w:rStyle w:val="FootnoteReference"/>
          <w:rFonts w:asciiTheme="minorHAnsi" w:hAnsiTheme="minorHAnsi" w:cstheme="minorHAnsi"/>
          <w:sz w:val="24"/>
          <w:szCs w:val="24"/>
        </w:rPr>
        <w:footnoteReference w:id="77"/>
      </w:r>
      <w:r w:rsidRPr="000B0590">
        <w:rPr>
          <w:rFonts w:asciiTheme="minorHAnsi" w:hAnsiTheme="minorHAnsi" w:cstheme="minorHAnsi"/>
          <w:sz w:val="24"/>
          <w:szCs w:val="24"/>
        </w:rPr>
        <w:t xml:space="preserve"> </w:t>
      </w:r>
      <w:r w:rsidR="00761DBB" w:rsidRPr="000B0590">
        <w:rPr>
          <w:rFonts w:asciiTheme="minorHAnsi" w:hAnsiTheme="minorHAnsi" w:cstheme="minorHAnsi"/>
          <w:sz w:val="24"/>
          <w:szCs w:val="24"/>
        </w:rPr>
        <w:t xml:space="preserve">Ovid tells us of the Adonia festival, celebrated by </w:t>
      </w:r>
      <w:r w:rsidR="00761DBB" w:rsidRPr="000B0590">
        <w:rPr>
          <w:rFonts w:asciiTheme="minorHAnsi" w:hAnsiTheme="minorHAnsi" w:cstheme="minorHAnsi"/>
          <w:sz w:val="24"/>
          <w:szCs w:val="24"/>
        </w:rPr>
        <w:lastRenderedPageBreak/>
        <w:t>women in memory of the death of Aphrodite’s love Adonis.</w:t>
      </w:r>
      <w:r w:rsidR="00761DBB" w:rsidRPr="000B0590">
        <w:rPr>
          <w:rStyle w:val="FootnoteReference"/>
          <w:rFonts w:asciiTheme="minorHAnsi" w:hAnsiTheme="minorHAnsi" w:cstheme="minorHAnsi"/>
          <w:sz w:val="24"/>
          <w:szCs w:val="24"/>
        </w:rPr>
        <w:footnoteReference w:id="78"/>
      </w:r>
      <w:r w:rsidR="00761DBB" w:rsidRPr="000B0590">
        <w:rPr>
          <w:rFonts w:asciiTheme="minorHAnsi" w:hAnsiTheme="minorHAnsi" w:cstheme="minorHAnsi"/>
          <w:sz w:val="24"/>
          <w:szCs w:val="24"/>
        </w:rPr>
        <w:t xml:space="preserve"> </w:t>
      </w:r>
      <w:r w:rsidR="00CF2A59" w:rsidRPr="000B0590">
        <w:rPr>
          <w:rFonts w:asciiTheme="minorHAnsi" w:hAnsiTheme="minorHAnsi" w:cstheme="minorHAnsi"/>
          <w:sz w:val="24"/>
          <w:szCs w:val="24"/>
        </w:rPr>
        <w:t xml:space="preserve">The modern-day festival of </w:t>
      </w:r>
      <w:proofErr w:type="spellStart"/>
      <w:r w:rsidR="00CF2A59" w:rsidRPr="000B0590">
        <w:rPr>
          <w:rFonts w:asciiTheme="minorHAnsi" w:hAnsiTheme="minorHAnsi" w:cstheme="minorHAnsi"/>
          <w:sz w:val="24"/>
          <w:szCs w:val="24"/>
        </w:rPr>
        <w:t>Kataklysmos</w:t>
      </w:r>
      <w:proofErr w:type="spellEnd"/>
      <w:r w:rsidR="00CF2A59" w:rsidRPr="000B0590">
        <w:rPr>
          <w:rFonts w:asciiTheme="minorHAnsi" w:hAnsiTheme="minorHAnsi" w:cstheme="minorHAnsi"/>
          <w:sz w:val="24"/>
          <w:szCs w:val="24"/>
        </w:rPr>
        <w:t xml:space="preserve"> is not attested, arguably a return to the traditions of old.</w:t>
      </w:r>
      <w:r w:rsidR="00CF2A59" w:rsidRPr="000B0590">
        <w:rPr>
          <w:rStyle w:val="FootnoteReference"/>
          <w:rFonts w:asciiTheme="minorHAnsi" w:hAnsiTheme="minorHAnsi" w:cstheme="minorHAnsi"/>
          <w:sz w:val="24"/>
          <w:szCs w:val="24"/>
        </w:rPr>
        <w:footnoteReference w:id="79"/>
      </w:r>
      <w:r w:rsidR="00CF2A59" w:rsidRPr="000B0590">
        <w:rPr>
          <w:rFonts w:asciiTheme="minorHAnsi" w:hAnsiTheme="minorHAnsi" w:cstheme="minorHAnsi"/>
          <w:sz w:val="24"/>
          <w:szCs w:val="24"/>
        </w:rPr>
        <w:t>.</w:t>
      </w:r>
    </w:p>
    <w:p w14:paraId="0E555E0E" w14:textId="77777777" w:rsidR="00E45A3B" w:rsidRPr="000B0590" w:rsidRDefault="00E45A3B" w:rsidP="00F22994">
      <w:pPr>
        <w:pStyle w:val="FootnoteText"/>
        <w:spacing w:after="120" w:line="360" w:lineRule="auto"/>
        <w:rPr>
          <w:rFonts w:asciiTheme="minorHAnsi" w:hAnsiTheme="minorHAnsi" w:cstheme="minorHAnsi"/>
          <w:sz w:val="24"/>
          <w:szCs w:val="24"/>
        </w:rPr>
      </w:pPr>
    </w:p>
    <w:p w14:paraId="11390F8B" w14:textId="18F1E181" w:rsidR="00836BA6" w:rsidRDefault="008A5E95"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The ”visual equation between shells and vulva”</w:t>
      </w:r>
      <w:r w:rsidR="00014F76" w:rsidRPr="000B0590">
        <w:rPr>
          <w:rStyle w:val="FootnoteReference"/>
          <w:rFonts w:asciiTheme="minorHAnsi" w:hAnsiTheme="minorHAnsi" w:cstheme="minorHAnsi"/>
          <w:sz w:val="24"/>
          <w:szCs w:val="24"/>
        </w:rPr>
        <w:footnoteReference w:id="80"/>
      </w:r>
      <w:r w:rsidRPr="000B0590">
        <w:rPr>
          <w:rFonts w:asciiTheme="minorHAnsi" w:hAnsiTheme="minorHAnsi" w:cstheme="minorHAnsi"/>
          <w:sz w:val="24"/>
          <w:szCs w:val="24"/>
        </w:rPr>
        <w:t xml:space="preserve"> makes the offering of shells appropriate for a Goddess strongly associated with sexuality.</w:t>
      </w:r>
      <w:r w:rsidRPr="000B0590">
        <w:rPr>
          <w:rStyle w:val="FootnoteReference"/>
          <w:rFonts w:asciiTheme="minorHAnsi" w:hAnsiTheme="minorHAnsi" w:cstheme="minorHAnsi"/>
          <w:sz w:val="24"/>
          <w:szCs w:val="24"/>
        </w:rPr>
        <w:footnoteReference w:id="81"/>
      </w:r>
      <w:r w:rsidR="00370591" w:rsidRPr="000B0590">
        <w:rPr>
          <w:rFonts w:asciiTheme="minorHAnsi" w:hAnsiTheme="minorHAnsi" w:cstheme="minorHAnsi"/>
          <w:sz w:val="24"/>
          <w:szCs w:val="24"/>
        </w:rPr>
        <w:t xml:space="preserve"> </w:t>
      </w:r>
      <w:r w:rsidR="00455156" w:rsidRPr="000B0590">
        <w:rPr>
          <w:rFonts w:asciiTheme="minorHAnsi" w:hAnsiTheme="minorHAnsi" w:cstheme="minorHAnsi"/>
          <w:sz w:val="24"/>
          <w:szCs w:val="24"/>
        </w:rPr>
        <w:t>More generally, offerings of all kings of flowers and foliage, fruit and foods were made.</w:t>
      </w:r>
      <w:r w:rsidR="00455156" w:rsidRPr="000B0590">
        <w:rPr>
          <w:rStyle w:val="FootnoteReference"/>
          <w:rFonts w:asciiTheme="minorHAnsi" w:hAnsiTheme="minorHAnsi" w:cstheme="minorHAnsi"/>
          <w:sz w:val="24"/>
          <w:szCs w:val="24"/>
        </w:rPr>
        <w:footnoteReference w:id="82"/>
      </w:r>
      <w:r w:rsidR="00455156" w:rsidRPr="000B0590">
        <w:rPr>
          <w:rFonts w:asciiTheme="minorHAnsi" w:hAnsiTheme="minorHAnsi" w:cstheme="minorHAnsi"/>
          <w:sz w:val="24"/>
          <w:szCs w:val="24"/>
        </w:rPr>
        <w:t xml:space="preserve"> </w:t>
      </w:r>
      <w:r w:rsidR="00697415" w:rsidRPr="000B0590">
        <w:rPr>
          <w:rFonts w:asciiTheme="minorHAnsi" w:hAnsiTheme="minorHAnsi" w:cstheme="minorHAnsi"/>
          <w:sz w:val="24"/>
          <w:szCs w:val="24"/>
        </w:rPr>
        <w:t>A</w:t>
      </w:r>
      <w:r w:rsidR="00FA56B9" w:rsidRPr="000B0590">
        <w:rPr>
          <w:rFonts w:asciiTheme="minorHAnsi" w:hAnsiTheme="minorHAnsi" w:cstheme="minorHAnsi"/>
          <w:sz w:val="24"/>
          <w:szCs w:val="24"/>
        </w:rPr>
        <w:t xml:space="preserve"> </w:t>
      </w:r>
      <w:r w:rsidR="00697415" w:rsidRPr="000B0590">
        <w:rPr>
          <w:rFonts w:asciiTheme="minorHAnsi" w:hAnsiTheme="minorHAnsi" w:cstheme="minorHAnsi"/>
          <w:sz w:val="24"/>
          <w:szCs w:val="24"/>
        </w:rPr>
        <w:t>n</w:t>
      </w:r>
      <w:r w:rsidR="00FA56B9" w:rsidRPr="000B0590">
        <w:rPr>
          <w:rFonts w:asciiTheme="minorHAnsi" w:hAnsiTheme="minorHAnsi" w:cstheme="minorHAnsi"/>
          <w:sz w:val="24"/>
          <w:szCs w:val="24"/>
        </w:rPr>
        <w:t>umber of an</w:t>
      </w:r>
      <w:r w:rsidR="00697415" w:rsidRPr="000B0590">
        <w:rPr>
          <w:rFonts w:asciiTheme="minorHAnsi" w:hAnsiTheme="minorHAnsi" w:cstheme="minorHAnsi"/>
          <w:sz w:val="24"/>
          <w:szCs w:val="24"/>
        </w:rPr>
        <w:t xml:space="preserve">cient writers lay stress on the purity of Aphrodite’s cult, noting that no blood sacrifice was ever </w:t>
      </w:r>
      <w:r w:rsidR="00455156" w:rsidRPr="000B0590">
        <w:rPr>
          <w:rFonts w:asciiTheme="minorHAnsi" w:hAnsiTheme="minorHAnsi" w:cstheme="minorHAnsi"/>
          <w:sz w:val="24"/>
          <w:szCs w:val="24"/>
        </w:rPr>
        <w:t xml:space="preserve">performed </w:t>
      </w:r>
      <w:r w:rsidR="00697415" w:rsidRPr="000B0590">
        <w:rPr>
          <w:rFonts w:asciiTheme="minorHAnsi" w:hAnsiTheme="minorHAnsi" w:cstheme="minorHAnsi"/>
          <w:sz w:val="24"/>
          <w:szCs w:val="24"/>
        </w:rPr>
        <w:t>on Her altar</w:t>
      </w:r>
      <w:r w:rsidR="00FA56B9" w:rsidRPr="000B0590">
        <w:rPr>
          <w:rFonts w:asciiTheme="minorHAnsi" w:hAnsiTheme="minorHAnsi" w:cstheme="minorHAnsi"/>
          <w:sz w:val="24"/>
          <w:szCs w:val="24"/>
        </w:rPr>
        <w:t>.</w:t>
      </w:r>
      <w:r w:rsidR="00697415" w:rsidRPr="000B0590">
        <w:rPr>
          <w:rFonts w:asciiTheme="minorHAnsi" w:hAnsiTheme="minorHAnsi" w:cstheme="minorHAnsi"/>
          <w:sz w:val="24"/>
          <w:szCs w:val="24"/>
        </w:rPr>
        <w:t xml:space="preserve"> Porphyry quotes the 5</w:t>
      </w:r>
      <w:r w:rsidR="00697415" w:rsidRPr="000B0590">
        <w:rPr>
          <w:rFonts w:asciiTheme="minorHAnsi" w:hAnsiTheme="minorHAnsi" w:cstheme="minorHAnsi"/>
          <w:sz w:val="24"/>
          <w:szCs w:val="24"/>
          <w:vertAlign w:val="superscript"/>
        </w:rPr>
        <w:t>th</w:t>
      </w:r>
      <w:r w:rsidR="00697415" w:rsidRPr="000B0590">
        <w:rPr>
          <w:rFonts w:asciiTheme="minorHAnsi" w:hAnsiTheme="minorHAnsi" w:cstheme="minorHAnsi"/>
          <w:sz w:val="24"/>
          <w:szCs w:val="24"/>
        </w:rPr>
        <w:t xml:space="preserve"> century BCE Empedocles that offerings were instead made of painted animals</w:t>
      </w:r>
      <w:r w:rsidR="00014FB8" w:rsidRPr="000B0590">
        <w:rPr>
          <w:rFonts w:asciiTheme="minorHAnsi" w:hAnsiTheme="minorHAnsi" w:cstheme="minorHAnsi"/>
          <w:sz w:val="24"/>
          <w:szCs w:val="24"/>
        </w:rPr>
        <w:t>, perfumes</w:t>
      </w:r>
      <w:r w:rsidR="00697415" w:rsidRPr="000B0590">
        <w:rPr>
          <w:rFonts w:asciiTheme="minorHAnsi" w:hAnsiTheme="minorHAnsi" w:cstheme="minorHAnsi"/>
          <w:sz w:val="24"/>
          <w:szCs w:val="24"/>
        </w:rPr>
        <w:t xml:space="preserve"> and </w:t>
      </w:r>
      <w:r w:rsidR="00014FB8" w:rsidRPr="000B0590">
        <w:rPr>
          <w:rFonts w:asciiTheme="minorHAnsi" w:hAnsiTheme="minorHAnsi" w:cstheme="minorHAnsi"/>
          <w:sz w:val="24"/>
          <w:szCs w:val="24"/>
        </w:rPr>
        <w:t>honey.</w:t>
      </w:r>
      <w:r w:rsidR="00014FB8" w:rsidRPr="000B0590">
        <w:rPr>
          <w:rStyle w:val="FootnoteReference"/>
          <w:rFonts w:asciiTheme="minorHAnsi" w:hAnsiTheme="minorHAnsi" w:cstheme="minorHAnsi"/>
          <w:sz w:val="24"/>
          <w:szCs w:val="24"/>
        </w:rPr>
        <w:footnoteReference w:id="83"/>
      </w:r>
      <w:r w:rsidR="00014FB8" w:rsidRPr="000B0590">
        <w:rPr>
          <w:rFonts w:asciiTheme="minorHAnsi" w:hAnsiTheme="minorHAnsi" w:cstheme="minorHAnsi"/>
          <w:sz w:val="24"/>
          <w:szCs w:val="24"/>
        </w:rPr>
        <w:t xml:space="preserve"> J. Karageorghis notes the distinct word</w:t>
      </w:r>
      <w:r w:rsidR="00014FB8" w:rsidRPr="000B0590">
        <w:rPr>
          <w:sz w:val="24"/>
          <w:szCs w:val="24"/>
        </w:rPr>
        <w:t xml:space="preserve"> </w:t>
      </w:r>
      <w:r w:rsidR="00014FB8" w:rsidRPr="000B0590">
        <w:rPr>
          <w:rFonts w:asciiTheme="minorHAnsi" w:hAnsiTheme="minorHAnsi" w:cstheme="minorHAnsi"/>
          <w:sz w:val="24"/>
          <w:szCs w:val="24"/>
        </w:rPr>
        <w:t>σαπ</w:t>
      </w:r>
      <w:proofErr w:type="spellStart"/>
      <w:r w:rsidR="00014FB8" w:rsidRPr="000B0590">
        <w:rPr>
          <w:rFonts w:asciiTheme="minorHAnsi" w:hAnsiTheme="minorHAnsi" w:cstheme="minorHAnsi"/>
          <w:sz w:val="24"/>
          <w:szCs w:val="24"/>
        </w:rPr>
        <w:t>ίθι</w:t>
      </w:r>
      <w:proofErr w:type="spellEnd"/>
      <w:r w:rsidR="00014FB8" w:rsidRPr="000B0590">
        <w:rPr>
          <w:rFonts w:asciiTheme="minorHAnsi" w:hAnsiTheme="minorHAnsi" w:cstheme="minorHAnsi"/>
          <w:sz w:val="24"/>
          <w:szCs w:val="24"/>
        </w:rPr>
        <w:t>α (</w:t>
      </w:r>
      <w:proofErr w:type="spellStart"/>
      <w:r w:rsidR="00014FB8" w:rsidRPr="000B0590">
        <w:rPr>
          <w:rFonts w:asciiTheme="minorHAnsi" w:hAnsiTheme="minorHAnsi" w:cstheme="minorHAnsi"/>
          <w:sz w:val="24"/>
          <w:szCs w:val="24"/>
        </w:rPr>
        <w:t>sapithia</w:t>
      </w:r>
      <w:proofErr w:type="spellEnd"/>
      <w:r w:rsidR="00014FB8" w:rsidRPr="000B0590">
        <w:rPr>
          <w:rFonts w:asciiTheme="minorHAnsi" w:hAnsiTheme="minorHAnsi" w:cstheme="minorHAnsi"/>
          <w:sz w:val="24"/>
          <w:szCs w:val="24"/>
        </w:rPr>
        <w:t>) as “sacrifice’ among the Paphians”.</w:t>
      </w:r>
      <w:r w:rsidR="00014FB8" w:rsidRPr="000B0590">
        <w:rPr>
          <w:rStyle w:val="FootnoteReference"/>
          <w:rFonts w:asciiTheme="minorHAnsi" w:hAnsiTheme="minorHAnsi" w:cstheme="minorHAnsi"/>
          <w:sz w:val="24"/>
          <w:szCs w:val="24"/>
        </w:rPr>
        <w:footnoteReference w:id="84"/>
      </w:r>
      <w:r w:rsidR="00014FB8" w:rsidRPr="000B0590">
        <w:rPr>
          <w:rFonts w:asciiTheme="minorHAnsi" w:hAnsiTheme="minorHAnsi" w:cstheme="minorHAnsi"/>
          <w:sz w:val="24"/>
          <w:szCs w:val="24"/>
        </w:rPr>
        <w:t xml:space="preserve"> </w:t>
      </w:r>
      <w:r w:rsidR="007F7936" w:rsidRPr="000B0590">
        <w:rPr>
          <w:rFonts w:asciiTheme="minorHAnsi" w:hAnsiTheme="minorHAnsi" w:cstheme="minorHAnsi"/>
          <w:sz w:val="24"/>
          <w:szCs w:val="24"/>
        </w:rPr>
        <w:t>It is known that a number of trees - myrtle, linden, apple, quince and pomegranate</w:t>
      </w:r>
      <w:r w:rsidR="007F7936" w:rsidRPr="000B0590">
        <w:rPr>
          <w:rStyle w:val="FootnoteReference"/>
          <w:rFonts w:asciiTheme="minorHAnsi" w:hAnsiTheme="minorHAnsi" w:cstheme="minorHAnsi"/>
          <w:sz w:val="24"/>
          <w:szCs w:val="24"/>
        </w:rPr>
        <w:footnoteReference w:id="85"/>
      </w:r>
      <w:r w:rsidR="007F7936" w:rsidRPr="000B0590">
        <w:rPr>
          <w:rFonts w:asciiTheme="minorHAnsi" w:hAnsiTheme="minorHAnsi" w:cstheme="minorHAnsi"/>
          <w:sz w:val="24"/>
          <w:szCs w:val="24"/>
        </w:rPr>
        <w:t xml:space="preserve"> - were sacred to Aphrodite, but no archaeological reports document evidence of these within the sanctuary itself.</w:t>
      </w:r>
      <w:r w:rsidR="00AF3E2F">
        <w:rPr>
          <w:rStyle w:val="FootnoteReference"/>
          <w:rFonts w:asciiTheme="minorHAnsi" w:hAnsiTheme="minorHAnsi" w:cstheme="minorHAnsi"/>
          <w:sz w:val="24"/>
          <w:szCs w:val="24"/>
        </w:rPr>
        <w:footnoteReference w:id="86"/>
      </w:r>
      <w:r w:rsidR="007F7936" w:rsidRPr="000B0590">
        <w:rPr>
          <w:rFonts w:asciiTheme="minorHAnsi" w:hAnsiTheme="minorHAnsi" w:cstheme="minorHAnsi"/>
          <w:sz w:val="24"/>
          <w:szCs w:val="24"/>
        </w:rPr>
        <w:t xml:space="preserve"> </w:t>
      </w:r>
      <w:proofErr w:type="spellStart"/>
      <w:r w:rsidR="00455156" w:rsidRPr="000B0590">
        <w:rPr>
          <w:rFonts w:asciiTheme="minorHAnsi" w:hAnsiTheme="minorHAnsi" w:cstheme="minorHAnsi"/>
          <w:sz w:val="24"/>
          <w:szCs w:val="24"/>
        </w:rPr>
        <w:t>Cornutas</w:t>
      </w:r>
      <w:proofErr w:type="spellEnd"/>
      <w:r w:rsidR="00455156" w:rsidRPr="000B0590">
        <w:rPr>
          <w:rFonts w:asciiTheme="minorHAnsi" w:hAnsiTheme="minorHAnsi" w:cstheme="minorHAnsi"/>
          <w:sz w:val="24"/>
          <w:szCs w:val="24"/>
        </w:rPr>
        <w:t xml:space="preserve"> describes Aphrodite as “attended by doves”</w:t>
      </w:r>
      <w:r w:rsidR="00455156" w:rsidRPr="000B0590">
        <w:rPr>
          <w:rStyle w:val="FootnoteReference"/>
          <w:rFonts w:asciiTheme="minorHAnsi" w:hAnsiTheme="minorHAnsi" w:cstheme="minorHAnsi"/>
          <w:sz w:val="24"/>
          <w:szCs w:val="24"/>
        </w:rPr>
        <w:footnoteReference w:id="87"/>
      </w:r>
      <w:r w:rsidR="00455156" w:rsidRPr="000B0590">
        <w:rPr>
          <w:rFonts w:asciiTheme="minorHAnsi" w:hAnsiTheme="minorHAnsi" w:cstheme="minorHAnsi"/>
          <w:sz w:val="24"/>
          <w:szCs w:val="24"/>
        </w:rPr>
        <w:t xml:space="preserve"> so it is</w:t>
      </w:r>
      <w:r w:rsidR="00FA56B9" w:rsidRPr="000B0590">
        <w:rPr>
          <w:rFonts w:asciiTheme="minorHAnsi" w:hAnsiTheme="minorHAnsi" w:cstheme="minorHAnsi"/>
          <w:sz w:val="24"/>
          <w:szCs w:val="24"/>
        </w:rPr>
        <w:t xml:space="preserve"> reasonable to assume </w:t>
      </w:r>
      <w:r w:rsidR="00455156" w:rsidRPr="000B0590">
        <w:rPr>
          <w:rFonts w:asciiTheme="minorHAnsi" w:hAnsiTheme="minorHAnsi" w:cstheme="minorHAnsi"/>
          <w:sz w:val="24"/>
          <w:szCs w:val="24"/>
        </w:rPr>
        <w:t xml:space="preserve">their presence, and surely </w:t>
      </w:r>
      <w:r w:rsidR="00455156" w:rsidRPr="000B0590">
        <w:rPr>
          <w:rFonts w:asciiTheme="minorHAnsi" w:hAnsiTheme="minorHAnsi" w:cstheme="minorHAnsi"/>
          <w:sz w:val="24"/>
          <w:szCs w:val="24"/>
        </w:rPr>
        <w:lastRenderedPageBreak/>
        <w:t xml:space="preserve">also, after </w:t>
      </w:r>
      <w:proofErr w:type="spellStart"/>
      <w:r w:rsidR="00455156" w:rsidRPr="000B0590">
        <w:rPr>
          <w:rFonts w:asciiTheme="minorHAnsi" w:hAnsiTheme="minorHAnsi" w:cstheme="minorHAnsi"/>
          <w:sz w:val="24"/>
          <w:szCs w:val="24"/>
        </w:rPr>
        <w:t>Psaffa’s</w:t>
      </w:r>
      <w:proofErr w:type="spellEnd"/>
      <w:r w:rsidR="00455156" w:rsidRPr="000B0590">
        <w:rPr>
          <w:rFonts w:asciiTheme="minorHAnsi" w:hAnsiTheme="minorHAnsi" w:cstheme="minorHAnsi"/>
          <w:sz w:val="24"/>
          <w:szCs w:val="24"/>
        </w:rPr>
        <w:t xml:space="preserve"> poem, </w:t>
      </w:r>
      <w:r w:rsidR="00836BA6" w:rsidRPr="000B0590">
        <w:rPr>
          <w:rFonts w:asciiTheme="minorHAnsi" w:hAnsiTheme="minorHAnsi" w:cstheme="minorHAnsi"/>
          <w:sz w:val="24"/>
          <w:szCs w:val="24"/>
        </w:rPr>
        <w:t xml:space="preserve">that </w:t>
      </w:r>
      <w:r w:rsidR="00AF3E2F">
        <w:rPr>
          <w:rFonts w:asciiTheme="minorHAnsi" w:hAnsiTheme="minorHAnsi" w:cstheme="minorHAnsi"/>
          <w:sz w:val="24"/>
          <w:szCs w:val="24"/>
        </w:rPr>
        <w:t xml:space="preserve">“wind-whirring </w:t>
      </w:r>
      <w:r w:rsidR="00455156" w:rsidRPr="000B0590">
        <w:rPr>
          <w:rFonts w:asciiTheme="minorHAnsi" w:hAnsiTheme="minorHAnsi" w:cstheme="minorHAnsi"/>
          <w:sz w:val="24"/>
          <w:szCs w:val="24"/>
        </w:rPr>
        <w:t>sparrows</w:t>
      </w:r>
      <w:r w:rsidR="00AF3E2F">
        <w:rPr>
          <w:rFonts w:asciiTheme="minorHAnsi" w:hAnsiTheme="minorHAnsi" w:cstheme="minorHAnsi"/>
          <w:sz w:val="24"/>
          <w:szCs w:val="24"/>
        </w:rPr>
        <w:t>”</w:t>
      </w:r>
      <w:r w:rsidR="00836BA6" w:rsidRPr="000B0590">
        <w:rPr>
          <w:rFonts w:asciiTheme="minorHAnsi" w:hAnsiTheme="minorHAnsi" w:cstheme="minorHAnsi"/>
          <w:sz w:val="24"/>
          <w:szCs w:val="24"/>
        </w:rPr>
        <w:t xml:space="preserve"> and other small songbirds were welcomed</w:t>
      </w:r>
      <w:r w:rsidR="00455156" w:rsidRPr="000B0590">
        <w:rPr>
          <w:rFonts w:asciiTheme="minorHAnsi" w:hAnsiTheme="minorHAnsi" w:cstheme="minorHAnsi"/>
          <w:sz w:val="24"/>
          <w:szCs w:val="24"/>
        </w:rPr>
        <w:t>.</w:t>
      </w:r>
      <w:r w:rsidR="00455156" w:rsidRPr="000B0590">
        <w:rPr>
          <w:rStyle w:val="FootnoteReference"/>
          <w:rFonts w:asciiTheme="minorHAnsi" w:hAnsiTheme="minorHAnsi" w:cstheme="minorHAnsi"/>
          <w:sz w:val="24"/>
          <w:szCs w:val="24"/>
        </w:rPr>
        <w:footnoteReference w:id="88"/>
      </w:r>
      <w:r w:rsidR="002A3C04">
        <w:rPr>
          <w:rFonts w:asciiTheme="minorHAnsi" w:hAnsiTheme="minorHAnsi" w:cstheme="minorHAnsi"/>
          <w:sz w:val="24"/>
          <w:szCs w:val="24"/>
        </w:rPr>
        <w:t xml:space="preserve"> </w:t>
      </w:r>
      <w:r w:rsidR="00611F1F">
        <w:rPr>
          <w:rFonts w:asciiTheme="minorHAnsi" w:hAnsiTheme="minorHAnsi" w:cstheme="minorHAnsi"/>
          <w:sz w:val="24"/>
          <w:szCs w:val="24"/>
        </w:rPr>
        <w:t>In addition to the many votive offerings, perhaps offered by the poorer, the Roman sanctuary is known to have contained hundreds of statues</w:t>
      </w:r>
      <w:r w:rsidR="002A3C04">
        <w:rPr>
          <w:rFonts w:asciiTheme="minorHAnsi" w:hAnsiTheme="minorHAnsi" w:cstheme="minorHAnsi"/>
          <w:sz w:val="24"/>
          <w:szCs w:val="24"/>
        </w:rPr>
        <w:t xml:space="preserve"> dedicated by the wealthier. W</w:t>
      </w:r>
      <w:r w:rsidR="00117B4A">
        <w:rPr>
          <w:rFonts w:asciiTheme="minorHAnsi" w:hAnsiTheme="minorHAnsi" w:cstheme="minorHAnsi"/>
          <w:sz w:val="24"/>
          <w:szCs w:val="24"/>
        </w:rPr>
        <w:t xml:space="preserve">hether of marble or of bronze, nothing remains but their </w:t>
      </w:r>
      <w:r w:rsidR="002A3C04">
        <w:rPr>
          <w:rFonts w:asciiTheme="minorHAnsi" w:hAnsiTheme="minorHAnsi" w:cstheme="minorHAnsi"/>
          <w:sz w:val="24"/>
          <w:szCs w:val="24"/>
        </w:rPr>
        <w:t xml:space="preserve">scattered inscribed </w:t>
      </w:r>
      <w:r w:rsidR="00117B4A">
        <w:rPr>
          <w:rFonts w:asciiTheme="minorHAnsi" w:hAnsiTheme="minorHAnsi" w:cstheme="minorHAnsi"/>
          <w:sz w:val="24"/>
          <w:szCs w:val="24"/>
        </w:rPr>
        <w:t>pedestals.</w:t>
      </w:r>
      <w:r w:rsidR="002A3C04">
        <w:rPr>
          <w:rStyle w:val="FootnoteReference"/>
          <w:rFonts w:asciiTheme="minorHAnsi" w:hAnsiTheme="minorHAnsi" w:cstheme="minorHAnsi"/>
          <w:sz w:val="24"/>
          <w:szCs w:val="24"/>
        </w:rPr>
        <w:footnoteReference w:id="89"/>
      </w:r>
      <w:r w:rsidR="00117B4A">
        <w:rPr>
          <w:rFonts w:asciiTheme="minorHAnsi" w:hAnsiTheme="minorHAnsi" w:cstheme="minorHAnsi"/>
          <w:sz w:val="24"/>
          <w:szCs w:val="24"/>
        </w:rPr>
        <w:t xml:space="preserve"> </w:t>
      </w:r>
    </w:p>
    <w:p w14:paraId="45E6E0DE" w14:textId="77777777" w:rsidR="002A3C04" w:rsidRPr="000B0590" w:rsidRDefault="002A3C04" w:rsidP="00F22994">
      <w:pPr>
        <w:pStyle w:val="FootnoteText"/>
        <w:spacing w:after="120" w:line="360" w:lineRule="auto"/>
        <w:rPr>
          <w:rFonts w:asciiTheme="minorHAnsi" w:hAnsiTheme="minorHAnsi" w:cstheme="minorHAnsi"/>
          <w:sz w:val="24"/>
          <w:szCs w:val="24"/>
        </w:rPr>
      </w:pPr>
    </w:p>
    <w:p w14:paraId="2CADD49E" w14:textId="0379AD59" w:rsidR="00B92DAB"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For this writer, any discussion of </w:t>
      </w:r>
      <w:r w:rsidRPr="000B0590">
        <w:rPr>
          <w:rFonts w:asciiTheme="minorHAnsi" w:hAnsiTheme="minorHAnsi" w:cstheme="minorHAnsi"/>
          <w:i/>
          <w:iCs/>
          <w:sz w:val="24"/>
          <w:szCs w:val="24"/>
        </w:rPr>
        <w:t xml:space="preserve">Temenos </w:t>
      </w:r>
      <w:proofErr w:type="spellStart"/>
      <w:r w:rsidRPr="000B0590">
        <w:rPr>
          <w:rFonts w:asciiTheme="minorHAnsi" w:hAnsiTheme="minorHAnsi" w:cstheme="minorHAnsi"/>
          <w:i/>
          <w:iCs/>
          <w:sz w:val="24"/>
          <w:szCs w:val="24"/>
        </w:rPr>
        <w:t>Aphroditēs</w:t>
      </w:r>
      <w:proofErr w:type="spellEnd"/>
      <w:r w:rsidRPr="000B0590">
        <w:rPr>
          <w:rFonts w:asciiTheme="minorHAnsi" w:hAnsiTheme="minorHAnsi" w:cstheme="minorHAnsi"/>
          <w:sz w:val="24"/>
          <w:szCs w:val="24"/>
        </w:rPr>
        <w:t xml:space="preserve"> </w:t>
      </w:r>
      <w:r w:rsidR="00E45A3B" w:rsidRPr="000B0590">
        <w:rPr>
          <w:rFonts w:asciiTheme="minorHAnsi" w:hAnsiTheme="minorHAnsi" w:cstheme="minorHAnsi"/>
          <w:sz w:val="24"/>
          <w:szCs w:val="24"/>
        </w:rPr>
        <w:t xml:space="preserve">in terms of ‘sacred landscape’ </w:t>
      </w:r>
      <w:r w:rsidRPr="000B0590">
        <w:rPr>
          <w:rFonts w:asciiTheme="minorHAnsi" w:hAnsiTheme="minorHAnsi" w:cstheme="minorHAnsi"/>
          <w:sz w:val="24"/>
          <w:szCs w:val="24"/>
        </w:rPr>
        <w:t>must also consider the ‘actual’ landscape, independent of human constructions, and ways in which this holds sacredness for human beings. The developing academic tradition of landscape archaeology certainly has moved on from a perspective of the land as “a neutral and passive object”</w:t>
      </w:r>
      <w:r w:rsidRPr="000B0590">
        <w:rPr>
          <w:rStyle w:val="FootnoteReference"/>
          <w:rFonts w:asciiTheme="minorHAnsi" w:hAnsiTheme="minorHAnsi" w:cstheme="minorHAnsi"/>
          <w:sz w:val="24"/>
          <w:szCs w:val="24"/>
        </w:rPr>
        <w:footnoteReference w:id="90"/>
      </w:r>
      <w:r w:rsidRPr="000B0590">
        <w:rPr>
          <w:rFonts w:asciiTheme="minorHAnsi" w:hAnsiTheme="minorHAnsi" w:cstheme="minorHAnsi"/>
          <w:sz w:val="24"/>
          <w:szCs w:val="24"/>
        </w:rPr>
        <w:t>, although notions of landscape as “</w:t>
      </w:r>
      <w:r w:rsidR="002B7545">
        <w:rPr>
          <w:rFonts w:asciiTheme="minorHAnsi" w:hAnsiTheme="minorHAnsi" w:cstheme="minorHAnsi"/>
          <w:sz w:val="24"/>
          <w:szCs w:val="24"/>
        </w:rPr>
        <w:t>'</w:t>
      </w:r>
      <w:r w:rsidRPr="000B0590">
        <w:rPr>
          <w:rFonts w:asciiTheme="minorHAnsi" w:hAnsiTheme="minorHAnsi" w:cstheme="minorHAnsi"/>
          <w:sz w:val="24"/>
          <w:szCs w:val="24"/>
        </w:rPr>
        <w:t>arena</w:t>
      </w:r>
      <w:r w:rsidR="002B7545">
        <w:rPr>
          <w:rFonts w:asciiTheme="minorHAnsi" w:hAnsiTheme="minorHAnsi" w:cstheme="minorHAnsi"/>
          <w:sz w:val="24"/>
          <w:szCs w:val="24"/>
        </w:rPr>
        <w:t>'</w:t>
      </w:r>
      <w:r w:rsidRPr="000B0590">
        <w:rPr>
          <w:rFonts w:asciiTheme="minorHAnsi" w:hAnsiTheme="minorHAnsi" w:cstheme="minorHAnsi"/>
          <w:sz w:val="24"/>
          <w:szCs w:val="24"/>
        </w:rPr>
        <w:t xml:space="preserve"> for social agency”</w:t>
      </w:r>
      <w:r w:rsidRPr="000B0590">
        <w:rPr>
          <w:rStyle w:val="FootnoteReference"/>
          <w:rFonts w:asciiTheme="minorHAnsi" w:hAnsiTheme="minorHAnsi" w:cstheme="minorHAnsi"/>
          <w:sz w:val="24"/>
          <w:szCs w:val="24"/>
        </w:rPr>
        <w:footnoteReference w:id="91"/>
      </w:r>
      <w:r w:rsidRPr="000B0590">
        <w:rPr>
          <w:rFonts w:asciiTheme="minorHAnsi" w:hAnsiTheme="minorHAnsi" w:cstheme="minorHAnsi"/>
          <w:sz w:val="24"/>
          <w:szCs w:val="24"/>
        </w:rPr>
        <w:t xml:space="preserve"> seem to this writer little improvement. The perspective of Papantoniou and </w:t>
      </w:r>
      <w:proofErr w:type="spellStart"/>
      <w:r w:rsidR="002D1368">
        <w:rPr>
          <w:rFonts w:asciiTheme="minorHAnsi" w:hAnsiTheme="minorHAnsi" w:cstheme="minorHAnsi"/>
          <w:sz w:val="24"/>
          <w:szCs w:val="24"/>
        </w:rPr>
        <w:t>Vionis</w:t>
      </w:r>
      <w:proofErr w:type="spellEnd"/>
      <w:r w:rsidRPr="000B0590">
        <w:rPr>
          <w:rFonts w:asciiTheme="minorHAnsi" w:hAnsiTheme="minorHAnsi" w:cstheme="minorHAnsi"/>
          <w:sz w:val="24"/>
          <w:szCs w:val="24"/>
        </w:rPr>
        <w:t>, for example, seems typical of th</w:t>
      </w:r>
      <w:r w:rsidR="00B9379D" w:rsidRPr="000B0590">
        <w:rPr>
          <w:rFonts w:asciiTheme="minorHAnsi" w:hAnsiTheme="minorHAnsi" w:cstheme="minorHAnsi"/>
          <w:sz w:val="24"/>
          <w:szCs w:val="24"/>
        </w:rPr>
        <w:t xml:space="preserve">is </w:t>
      </w:r>
      <w:r w:rsidR="007B5883" w:rsidRPr="000B0590">
        <w:rPr>
          <w:rFonts w:asciiTheme="minorHAnsi" w:hAnsiTheme="minorHAnsi" w:cstheme="minorHAnsi"/>
          <w:sz w:val="24"/>
          <w:szCs w:val="24"/>
        </w:rPr>
        <w:t>paradigm</w:t>
      </w:r>
      <w:r w:rsidRPr="000B0590">
        <w:rPr>
          <w:rFonts w:asciiTheme="minorHAnsi" w:hAnsiTheme="minorHAnsi" w:cstheme="minorHAnsi"/>
          <w:sz w:val="24"/>
          <w:szCs w:val="24"/>
        </w:rPr>
        <w:t>, in having no interest whatsoever in sacredness as such, but rather in “sacred landscapes … in relation to political power, political economy and ideology”.</w:t>
      </w:r>
      <w:r w:rsidRPr="000B0590">
        <w:rPr>
          <w:rStyle w:val="FootnoteReference"/>
          <w:rFonts w:asciiTheme="minorHAnsi" w:hAnsiTheme="minorHAnsi" w:cstheme="minorHAnsi"/>
          <w:sz w:val="24"/>
          <w:szCs w:val="24"/>
        </w:rPr>
        <w:footnoteReference w:id="92"/>
      </w:r>
      <w:r w:rsidRPr="000B0590">
        <w:rPr>
          <w:rFonts w:asciiTheme="minorHAnsi" w:hAnsiTheme="minorHAnsi" w:cstheme="minorHAnsi"/>
          <w:sz w:val="24"/>
          <w:szCs w:val="24"/>
        </w:rPr>
        <w:t xml:space="preserve"> </w:t>
      </w:r>
    </w:p>
    <w:p w14:paraId="23C2803A"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77BDE7D7" w14:textId="7EC09409" w:rsidR="00B92DAB"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One of the sacred sites which must be considered within the total sacred landscape of Western Cyprus is that of the cave and pool known as </w:t>
      </w:r>
      <w:proofErr w:type="spellStart"/>
      <w:r w:rsidRPr="000B0590">
        <w:rPr>
          <w:rFonts w:asciiTheme="minorHAnsi" w:hAnsiTheme="minorHAnsi" w:cstheme="minorHAnsi"/>
          <w:sz w:val="24"/>
          <w:szCs w:val="24"/>
        </w:rPr>
        <w:t>Λουτρά</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της</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Αφροδίτης</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Loutra</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tēs</w:t>
      </w:r>
      <w:proofErr w:type="spellEnd"/>
      <w:r w:rsidRPr="000B0590">
        <w:rPr>
          <w:rFonts w:asciiTheme="minorHAnsi" w:hAnsiTheme="minorHAnsi" w:cstheme="minorHAnsi"/>
          <w:sz w:val="24"/>
          <w:szCs w:val="24"/>
        </w:rPr>
        <w:t xml:space="preserve"> Aphroditēs, literally “Baths of Aphrodite”), some 45km to the north of </w:t>
      </w:r>
      <w:proofErr w:type="spellStart"/>
      <w:r w:rsidRPr="000B0590">
        <w:rPr>
          <w:rFonts w:asciiTheme="minorHAnsi" w:hAnsiTheme="minorHAnsi" w:cstheme="minorHAnsi"/>
          <w:sz w:val="24"/>
          <w:szCs w:val="24"/>
        </w:rPr>
        <w:t>Neapaphos</w:t>
      </w:r>
      <w:proofErr w:type="spellEnd"/>
      <w:r w:rsidRPr="000B0590">
        <w:rPr>
          <w:rFonts w:asciiTheme="minorHAnsi" w:hAnsiTheme="minorHAnsi" w:cstheme="minorHAnsi"/>
          <w:sz w:val="24"/>
          <w:szCs w:val="24"/>
        </w:rPr>
        <w:t xml:space="preserve"> on the </w:t>
      </w:r>
      <w:proofErr w:type="spellStart"/>
      <w:r w:rsidRPr="000B0590">
        <w:rPr>
          <w:rFonts w:asciiTheme="minorHAnsi" w:hAnsiTheme="minorHAnsi" w:cstheme="minorHAnsi"/>
          <w:sz w:val="24"/>
          <w:szCs w:val="24"/>
        </w:rPr>
        <w:t>Akamas</w:t>
      </w:r>
      <w:proofErr w:type="spellEnd"/>
      <w:r w:rsidRPr="000B0590">
        <w:rPr>
          <w:rFonts w:asciiTheme="minorHAnsi" w:hAnsiTheme="minorHAnsi" w:cstheme="minorHAnsi"/>
          <w:sz w:val="24"/>
          <w:szCs w:val="24"/>
        </w:rPr>
        <w:t xml:space="preserve"> peninsula near the modern town of Polis </w:t>
      </w:r>
      <w:proofErr w:type="spellStart"/>
      <w:r w:rsidRPr="000B0590">
        <w:rPr>
          <w:rFonts w:asciiTheme="minorHAnsi" w:hAnsiTheme="minorHAnsi" w:cstheme="minorHAnsi"/>
          <w:sz w:val="24"/>
          <w:szCs w:val="24"/>
        </w:rPr>
        <w:t>Chrysochous</w:t>
      </w:r>
      <w:proofErr w:type="spellEnd"/>
      <w:r w:rsidRPr="000B0590">
        <w:rPr>
          <w:rFonts w:asciiTheme="minorHAnsi" w:hAnsiTheme="minorHAnsi" w:cstheme="minorHAnsi"/>
          <w:sz w:val="24"/>
          <w:szCs w:val="24"/>
        </w:rPr>
        <w:t xml:space="preserve">, where the ancient city </w:t>
      </w:r>
      <w:r w:rsidRPr="000B0590">
        <w:rPr>
          <w:rFonts w:asciiTheme="minorHAnsi" w:hAnsiTheme="minorHAnsi" w:cstheme="minorHAnsi"/>
          <w:sz w:val="24"/>
          <w:szCs w:val="24"/>
        </w:rPr>
        <w:lastRenderedPageBreak/>
        <w:t>Marion once stood</w:t>
      </w:r>
      <w:r w:rsidR="00370591" w:rsidRPr="000B0590">
        <w:rPr>
          <w:rFonts w:asciiTheme="minorHAnsi" w:hAnsiTheme="minorHAnsi" w:cstheme="minorHAnsi"/>
          <w:sz w:val="24"/>
          <w:szCs w:val="24"/>
        </w:rPr>
        <w:t>, its own shrines to Aphrodite destroyed by Ptolemy Soter</w:t>
      </w:r>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93"/>
      </w:r>
      <w:r w:rsidRPr="000B0590">
        <w:rPr>
          <w:rFonts w:asciiTheme="minorHAnsi" w:hAnsiTheme="minorHAnsi" w:cstheme="minorHAnsi"/>
          <w:sz w:val="24"/>
          <w:szCs w:val="24"/>
        </w:rPr>
        <w:t xml:space="preserve"> This site constitutes a starting point for “Aphrodite’s Cultural Route” taking a tourist devotee from West to East across the island (but sadly excluding the north).</w:t>
      </w:r>
      <w:r w:rsidRPr="000B0590">
        <w:rPr>
          <w:rStyle w:val="FootnoteReference"/>
          <w:rFonts w:asciiTheme="minorHAnsi" w:hAnsiTheme="minorHAnsi" w:cstheme="minorHAnsi"/>
          <w:sz w:val="24"/>
          <w:szCs w:val="24"/>
        </w:rPr>
        <w:footnoteReference w:id="94"/>
      </w:r>
      <w:r w:rsidRPr="000B0590">
        <w:rPr>
          <w:rFonts w:asciiTheme="minorHAnsi" w:hAnsiTheme="minorHAnsi" w:cstheme="minorHAnsi"/>
          <w:sz w:val="24"/>
          <w:szCs w:val="24"/>
        </w:rPr>
        <w:t xml:space="preserve"> </w:t>
      </w:r>
      <w:r w:rsidR="00370591" w:rsidRPr="000B0590">
        <w:rPr>
          <w:rFonts w:asciiTheme="minorHAnsi" w:hAnsiTheme="minorHAnsi" w:cstheme="minorHAnsi"/>
          <w:sz w:val="24"/>
          <w:szCs w:val="24"/>
        </w:rPr>
        <w:t xml:space="preserve">J. Karageorghis cites </w:t>
      </w:r>
      <w:proofErr w:type="spellStart"/>
      <w:r w:rsidR="00370591" w:rsidRPr="000B0590">
        <w:rPr>
          <w:rFonts w:asciiTheme="minorHAnsi" w:hAnsiTheme="minorHAnsi" w:cstheme="minorHAnsi"/>
          <w:sz w:val="24"/>
          <w:szCs w:val="24"/>
        </w:rPr>
        <w:t>Ha</w:t>
      </w:r>
      <w:r w:rsidR="00697415" w:rsidRPr="000B0590">
        <w:rPr>
          <w:rFonts w:asciiTheme="minorHAnsi" w:hAnsiTheme="minorHAnsi" w:cstheme="minorHAnsi"/>
          <w:sz w:val="24"/>
          <w:szCs w:val="24"/>
        </w:rPr>
        <w:t>d</w:t>
      </w:r>
      <w:r w:rsidR="00370591" w:rsidRPr="000B0590">
        <w:rPr>
          <w:rFonts w:asciiTheme="minorHAnsi" w:hAnsiTheme="minorHAnsi" w:cstheme="minorHAnsi"/>
          <w:sz w:val="24"/>
          <w:szCs w:val="24"/>
        </w:rPr>
        <w:t>jioannu</w:t>
      </w:r>
      <w:proofErr w:type="spellEnd"/>
      <w:r w:rsidR="00370591" w:rsidRPr="000B0590">
        <w:rPr>
          <w:rFonts w:asciiTheme="minorHAnsi" w:hAnsiTheme="minorHAnsi" w:cstheme="minorHAnsi"/>
          <w:sz w:val="24"/>
          <w:szCs w:val="24"/>
        </w:rPr>
        <w:t xml:space="preserve"> that the entire peninsula was the gift of Hepha</w:t>
      </w:r>
      <w:r w:rsidR="00697415" w:rsidRPr="000B0590">
        <w:rPr>
          <w:rFonts w:asciiTheme="minorHAnsi" w:hAnsiTheme="minorHAnsi" w:cstheme="minorHAnsi"/>
          <w:sz w:val="24"/>
          <w:szCs w:val="24"/>
        </w:rPr>
        <w:t>istos to Aphrodite.</w:t>
      </w:r>
      <w:r w:rsidR="00697415" w:rsidRPr="000B0590">
        <w:rPr>
          <w:rStyle w:val="FootnoteReference"/>
          <w:rFonts w:asciiTheme="minorHAnsi" w:hAnsiTheme="minorHAnsi" w:cstheme="minorHAnsi"/>
          <w:sz w:val="24"/>
          <w:szCs w:val="24"/>
        </w:rPr>
        <w:footnoteReference w:id="95"/>
      </w:r>
      <w:r w:rsidR="00697415" w:rsidRPr="000B0590">
        <w:rPr>
          <w:rFonts w:asciiTheme="minorHAnsi" w:hAnsiTheme="minorHAnsi" w:cstheme="minorHAnsi"/>
          <w:sz w:val="24"/>
          <w:szCs w:val="24"/>
        </w:rPr>
        <w:t xml:space="preserve"> </w:t>
      </w:r>
      <w:r w:rsidRPr="000B0590">
        <w:rPr>
          <w:rFonts w:asciiTheme="minorHAnsi" w:hAnsiTheme="minorHAnsi" w:cstheme="minorHAnsi"/>
          <w:sz w:val="24"/>
          <w:szCs w:val="24"/>
        </w:rPr>
        <w:t>A modern form of sacralization continues in the nature trails at the site, walkers pointed to the springtime flowers of the Goddess.</w:t>
      </w:r>
      <w:r w:rsidRPr="000B0590">
        <w:rPr>
          <w:rStyle w:val="FootnoteReference"/>
          <w:rFonts w:asciiTheme="minorHAnsi" w:hAnsiTheme="minorHAnsi" w:cstheme="minorHAnsi"/>
          <w:sz w:val="24"/>
          <w:szCs w:val="24"/>
        </w:rPr>
        <w:footnoteReference w:id="96"/>
      </w:r>
      <w:r w:rsidRPr="000B0590">
        <w:rPr>
          <w:rFonts w:asciiTheme="minorHAnsi" w:hAnsiTheme="minorHAnsi" w:cstheme="minorHAnsi"/>
          <w:sz w:val="24"/>
          <w:szCs w:val="24"/>
        </w:rPr>
        <w:t xml:space="preserve"> The site has produce</w:t>
      </w:r>
      <w:r w:rsidR="007B5883" w:rsidRPr="000B0590">
        <w:rPr>
          <w:rFonts w:asciiTheme="minorHAnsi" w:hAnsiTheme="minorHAnsi" w:cstheme="minorHAnsi"/>
          <w:sz w:val="24"/>
          <w:szCs w:val="24"/>
        </w:rPr>
        <w:t>d</w:t>
      </w:r>
      <w:r w:rsidRPr="000B0590">
        <w:rPr>
          <w:rFonts w:asciiTheme="minorHAnsi" w:hAnsiTheme="minorHAnsi" w:cstheme="minorHAnsi"/>
          <w:sz w:val="24"/>
          <w:szCs w:val="24"/>
        </w:rPr>
        <w:t xml:space="preserve"> nothing by way of archaeological artefacts</w:t>
      </w:r>
      <w:r w:rsidR="007B5883" w:rsidRPr="000B0590">
        <w:rPr>
          <w:rFonts w:asciiTheme="minorHAnsi" w:hAnsiTheme="minorHAnsi" w:cstheme="minorHAnsi"/>
          <w:sz w:val="24"/>
          <w:szCs w:val="24"/>
        </w:rPr>
        <w:t xml:space="preserve">. </w:t>
      </w:r>
      <w:r w:rsidR="007B5883" w:rsidRPr="000B0590">
        <w:rPr>
          <w:rStyle w:val="FootnoteReference"/>
          <w:rFonts w:asciiTheme="minorHAnsi" w:hAnsiTheme="minorHAnsi" w:cstheme="minorHAnsi"/>
          <w:sz w:val="24"/>
          <w:szCs w:val="24"/>
        </w:rPr>
        <w:footnoteReference w:id="97"/>
      </w:r>
      <w:r w:rsidRPr="000B0590">
        <w:rPr>
          <w:rFonts w:asciiTheme="minorHAnsi" w:hAnsiTheme="minorHAnsi" w:cstheme="minorHAnsi"/>
          <w:sz w:val="24"/>
          <w:szCs w:val="24"/>
        </w:rPr>
        <w:t xml:space="preserve"> Those visiting the ‘Baths’ may well think of the surrounding landscape as little changed in thousands of years</w:t>
      </w:r>
      <w:r w:rsidRPr="000B0590">
        <w:rPr>
          <w:rStyle w:val="FootnoteReference"/>
          <w:rFonts w:asciiTheme="minorHAnsi" w:hAnsiTheme="minorHAnsi" w:cstheme="minorHAnsi"/>
          <w:sz w:val="24"/>
          <w:szCs w:val="24"/>
        </w:rPr>
        <w:footnoteReference w:id="98"/>
      </w:r>
      <w:r w:rsidRPr="000B0590">
        <w:rPr>
          <w:rFonts w:asciiTheme="minorHAnsi" w:hAnsiTheme="minorHAnsi" w:cstheme="minorHAnsi"/>
          <w:sz w:val="24"/>
          <w:szCs w:val="24"/>
        </w:rPr>
        <w:t>, not in any way “perpetually under construction” or appropriate for the “reading of social power”.</w:t>
      </w:r>
      <w:r w:rsidRPr="000B0590">
        <w:rPr>
          <w:rStyle w:val="FootnoteReference"/>
          <w:rFonts w:asciiTheme="minorHAnsi" w:hAnsiTheme="minorHAnsi" w:cstheme="minorHAnsi"/>
          <w:sz w:val="24"/>
          <w:szCs w:val="24"/>
        </w:rPr>
        <w:footnoteReference w:id="99"/>
      </w:r>
      <w:r w:rsidR="00876942" w:rsidRPr="000B0590">
        <w:rPr>
          <w:rFonts w:asciiTheme="minorHAnsi" w:hAnsiTheme="minorHAnsi" w:cstheme="minorHAnsi"/>
          <w:sz w:val="24"/>
          <w:szCs w:val="24"/>
        </w:rPr>
        <w:t xml:space="preserve"> </w:t>
      </w:r>
      <w:r w:rsidRPr="000B0590">
        <w:rPr>
          <w:rFonts w:asciiTheme="minorHAnsi" w:hAnsiTheme="minorHAnsi" w:cstheme="minorHAnsi"/>
          <w:sz w:val="24"/>
          <w:szCs w:val="24"/>
        </w:rPr>
        <w:t xml:space="preserve">The social memory of the </w:t>
      </w:r>
      <w:proofErr w:type="spellStart"/>
      <w:r w:rsidR="00876942" w:rsidRPr="000021B8">
        <w:rPr>
          <w:rFonts w:asciiTheme="minorHAnsi" w:hAnsiTheme="minorHAnsi" w:cstheme="minorHAnsi"/>
          <w:i/>
          <w:iCs/>
          <w:sz w:val="24"/>
          <w:szCs w:val="24"/>
        </w:rPr>
        <w:t>Loutra</w:t>
      </w:r>
      <w:proofErr w:type="spellEnd"/>
      <w:r w:rsidR="00876942" w:rsidRPr="000B0590">
        <w:rPr>
          <w:rFonts w:asciiTheme="minorHAnsi" w:hAnsiTheme="minorHAnsi" w:cstheme="minorHAnsi"/>
          <w:sz w:val="24"/>
          <w:szCs w:val="24"/>
        </w:rPr>
        <w:t xml:space="preserve"> </w:t>
      </w:r>
      <w:r w:rsidRPr="000B0590">
        <w:rPr>
          <w:rFonts w:asciiTheme="minorHAnsi" w:hAnsiTheme="minorHAnsi" w:cstheme="minorHAnsi"/>
          <w:sz w:val="24"/>
          <w:szCs w:val="24"/>
        </w:rPr>
        <w:t>may well have been developed by “repeated movement of the body throughout the landscape”,</w:t>
      </w:r>
      <w:r w:rsidR="007B5883" w:rsidRPr="000B0590">
        <w:rPr>
          <w:rStyle w:val="FootnoteReference"/>
          <w:rFonts w:asciiTheme="minorHAnsi" w:hAnsiTheme="minorHAnsi" w:cstheme="minorHAnsi"/>
          <w:sz w:val="24"/>
          <w:szCs w:val="24"/>
        </w:rPr>
        <w:footnoteReference w:id="100"/>
      </w:r>
      <w:r w:rsidRPr="000B0590">
        <w:rPr>
          <w:rFonts w:asciiTheme="minorHAnsi" w:hAnsiTheme="minorHAnsi" w:cstheme="minorHAnsi"/>
          <w:sz w:val="24"/>
          <w:szCs w:val="24"/>
        </w:rPr>
        <w:t xml:space="preserve"> but also by the relatively static experience of storytelling, through which ‘myth‘ and ‘legend’ linked to landscape can maintain accuracy for thousands of years.</w:t>
      </w:r>
      <w:r w:rsidRPr="000B0590">
        <w:rPr>
          <w:rStyle w:val="FootnoteReference"/>
          <w:rFonts w:asciiTheme="minorHAnsi" w:hAnsiTheme="minorHAnsi" w:cstheme="minorHAnsi"/>
          <w:sz w:val="24"/>
          <w:szCs w:val="24"/>
        </w:rPr>
        <w:footnoteReference w:id="101"/>
      </w:r>
    </w:p>
    <w:p w14:paraId="40368E23"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07537AE8" w14:textId="7BB6F80E" w:rsidR="00B92DAB"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The baths of Aphrodite can then easily be dismissed by archaeologists as relevant only in ‘legend’ or ‘folklore’. The legend has Aphrodite meeting Adonis here; the folklore that the </w:t>
      </w:r>
      <w:r w:rsidRPr="000B0590">
        <w:rPr>
          <w:rFonts w:asciiTheme="minorHAnsi" w:hAnsiTheme="minorHAnsi" w:cstheme="minorHAnsi"/>
          <w:sz w:val="24"/>
          <w:szCs w:val="24"/>
        </w:rPr>
        <w:lastRenderedPageBreak/>
        <w:t>pool has special powers to bestow eternal youth</w:t>
      </w:r>
      <w:r w:rsidR="007B5883" w:rsidRPr="000B0590">
        <w:rPr>
          <w:rFonts w:asciiTheme="minorHAnsi" w:hAnsiTheme="minorHAnsi" w:cstheme="minorHAnsi"/>
          <w:sz w:val="24"/>
          <w:szCs w:val="24"/>
        </w:rPr>
        <w:t>.</w:t>
      </w:r>
      <w:r w:rsidR="007B5883" w:rsidRPr="000B0590">
        <w:rPr>
          <w:rStyle w:val="FootnoteReference"/>
          <w:rFonts w:asciiTheme="minorHAnsi" w:hAnsiTheme="minorHAnsi" w:cstheme="minorHAnsi"/>
          <w:sz w:val="24"/>
          <w:szCs w:val="24"/>
        </w:rPr>
        <w:footnoteReference w:id="102"/>
      </w:r>
      <w:r w:rsidRPr="000B0590">
        <w:rPr>
          <w:rFonts w:asciiTheme="minorHAnsi" w:hAnsiTheme="minorHAnsi" w:cstheme="minorHAnsi"/>
          <w:sz w:val="24"/>
          <w:szCs w:val="24"/>
        </w:rPr>
        <w:t xml:space="preserve"> It is thoroughly plausible, </w:t>
      </w:r>
      <w:r w:rsidR="007B5883" w:rsidRPr="000B0590">
        <w:rPr>
          <w:rFonts w:asciiTheme="minorHAnsi" w:hAnsiTheme="minorHAnsi" w:cstheme="minorHAnsi"/>
          <w:sz w:val="24"/>
          <w:szCs w:val="24"/>
        </w:rPr>
        <w:t>ye</w:t>
      </w:r>
      <w:r w:rsidRPr="000B0590">
        <w:rPr>
          <w:rFonts w:asciiTheme="minorHAnsi" w:hAnsiTheme="minorHAnsi" w:cstheme="minorHAnsi"/>
          <w:sz w:val="24"/>
          <w:szCs w:val="24"/>
        </w:rPr>
        <w:t xml:space="preserve">t wholly unprovable, that the ‘legend’ and ‘folklore’ are indeed ‘memories’ of religious rites of renewal, either for </w:t>
      </w:r>
      <w:r w:rsidR="000D4BFB" w:rsidRPr="000B0590">
        <w:rPr>
          <w:rFonts w:asciiTheme="minorHAnsi" w:hAnsiTheme="minorHAnsi" w:cstheme="minorHAnsi"/>
          <w:sz w:val="24"/>
          <w:szCs w:val="24"/>
        </w:rPr>
        <w:t xml:space="preserve">a </w:t>
      </w:r>
      <w:r w:rsidR="00E45A3B" w:rsidRPr="000B0590">
        <w:rPr>
          <w:rFonts w:asciiTheme="minorHAnsi" w:hAnsiTheme="minorHAnsi" w:cstheme="minorHAnsi"/>
          <w:sz w:val="24"/>
          <w:szCs w:val="24"/>
        </w:rPr>
        <w:t>priestess</w:t>
      </w:r>
      <w:r w:rsidRPr="000B0590">
        <w:rPr>
          <w:rFonts w:asciiTheme="minorHAnsi" w:hAnsiTheme="minorHAnsi" w:cstheme="minorHAnsi"/>
          <w:sz w:val="24"/>
          <w:szCs w:val="24"/>
        </w:rPr>
        <w:t xml:space="preserve"> or for a deit</w:t>
      </w:r>
      <w:r w:rsidR="00E45A3B" w:rsidRPr="000B0590">
        <w:rPr>
          <w:rFonts w:asciiTheme="minorHAnsi" w:hAnsiTheme="minorHAnsi" w:cstheme="minorHAnsi"/>
          <w:sz w:val="24"/>
          <w:szCs w:val="24"/>
        </w:rPr>
        <w:t xml:space="preserve">y’s </w:t>
      </w:r>
      <w:r w:rsidRPr="000B0590">
        <w:rPr>
          <w:rFonts w:asciiTheme="minorHAnsi" w:hAnsiTheme="minorHAnsi" w:cstheme="minorHAnsi"/>
          <w:sz w:val="24"/>
          <w:szCs w:val="24"/>
        </w:rPr>
        <w:t xml:space="preserve">statue, similar to that described of Hera at the </w:t>
      </w:r>
      <w:proofErr w:type="spellStart"/>
      <w:r w:rsidRPr="000B0590">
        <w:rPr>
          <w:rFonts w:asciiTheme="minorHAnsi" w:hAnsiTheme="minorHAnsi" w:cstheme="minorHAnsi"/>
          <w:sz w:val="24"/>
          <w:szCs w:val="24"/>
        </w:rPr>
        <w:t>Kanathos</w:t>
      </w:r>
      <w:proofErr w:type="spellEnd"/>
      <w:r w:rsidRPr="000B0590">
        <w:rPr>
          <w:rFonts w:asciiTheme="minorHAnsi" w:hAnsiTheme="minorHAnsi" w:cstheme="minorHAnsi"/>
          <w:sz w:val="24"/>
          <w:szCs w:val="24"/>
        </w:rPr>
        <w:t xml:space="preserve"> spring at </w:t>
      </w:r>
      <w:proofErr w:type="spellStart"/>
      <w:r w:rsidRPr="000B0590">
        <w:rPr>
          <w:rFonts w:asciiTheme="minorHAnsi" w:hAnsiTheme="minorHAnsi" w:cstheme="minorHAnsi"/>
          <w:sz w:val="24"/>
          <w:szCs w:val="24"/>
        </w:rPr>
        <w:t>Nauplia</w:t>
      </w:r>
      <w:proofErr w:type="spellEnd"/>
      <w:r w:rsidRPr="000B0590">
        <w:rPr>
          <w:rFonts w:asciiTheme="minorHAnsi" w:hAnsiTheme="minorHAnsi" w:cstheme="minorHAnsi"/>
          <w:sz w:val="24"/>
          <w:szCs w:val="24"/>
        </w:rPr>
        <w:t xml:space="preserve"> in the </w:t>
      </w:r>
      <w:proofErr w:type="spellStart"/>
      <w:r w:rsidRPr="000B0590">
        <w:rPr>
          <w:rFonts w:asciiTheme="minorHAnsi" w:hAnsiTheme="minorHAnsi" w:cstheme="minorHAnsi"/>
          <w:sz w:val="24"/>
          <w:szCs w:val="24"/>
        </w:rPr>
        <w:t>Argolid</w:t>
      </w:r>
      <w:proofErr w:type="spellEnd"/>
      <w:r w:rsidRPr="000B0590">
        <w:rPr>
          <w:rFonts w:asciiTheme="minorHAnsi" w:hAnsiTheme="minorHAnsi" w:cstheme="minorHAnsi"/>
          <w:sz w:val="24"/>
          <w:szCs w:val="24"/>
        </w:rPr>
        <w:t>, as described by Pausanias,</w:t>
      </w:r>
      <w:r w:rsidRPr="000B0590">
        <w:rPr>
          <w:rStyle w:val="FootnoteReference"/>
          <w:rFonts w:asciiTheme="minorHAnsi" w:hAnsiTheme="minorHAnsi" w:cstheme="minorHAnsi"/>
          <w:sz w:val="24"/>
          <w:szCs w:val="24"/>
        </w:rPr>
        <w:footnoteReference w:id="103"/>
      </w:r>
      <w:r w:rsidRPr="000B0590">
        <w:rPr>
          <w:rFonts w:asciiTheme="minorHAnsi" w:hAnsiTheme="minorHAnsi" w:cstheme="minorHAnsi"/>
          <w:sz w:val="24"/>
          <w:szCs w:val="24"/>
        </w:rPr>
        <w:t xml:space="preserve"> but not otherwise mythologised: Casson links the famous </w:t>
      </w:r>
      <w:proofErr w:type="spellStart"/>
      <w:r w:rsidRPr="000B0590">
        <w:rPr>
          <w:rFonts w:asciiTheme="minorHAnsi" w:hAnsiTheme="minorHAnsi" w:cstheme="minorHAnsi"/>
          <w:sz w:val="24"/>
          <w:szCs w:val="24"/>
        </w:rPr>
        <w:t>Ludovisi</w:t>
      </w:r>
      <w:proofErr w:type="spellEnd"/>
      <w:r w:rsidRPr="000B0590">
        <w:rPr>
          <w:rFonts w:asciiTheme="minorHAnsi" w:hAnsiTheme="minorHAnsi" w:cstheme="minorHAnsi"/>
          <w:sz w:val="24"/>
          <w:szCs w:val="24"/>
        </w:rPr>
        <w:t xml:space="preserve"> throne sculpture to a similar rite of Aphrodite.</w:t>
      </w:r>
      <w:r w:rsidRPr="000B0590">
        <w:rPr>
          <w:rStyle w:val="FootnoteReference"/>
          <w:rFonts w:asciiTheme="minorHAnsi" w:hAnsiTheme="minorHAnsi" w:cstheme="minorHAnsi"/>
          <w:sz w:val="24"/>
          <w:szCs w:val="24"/>
        </w:rPr>
        <w:footnoteReference w:id="104"/>
      </w:r>
      <w:r w:rsidRPr="000B0590">
        <w:rPr>
          <w:rFonts w:asciiTheme="minorHAnsi" w:hAnsiTheme="minorHAnsi" w:cstheme="minorHAnsi"/>
          <w:sz w:val="24"/>
          <w:szCs w:val="24"/>
        </w:rPr>
        <w:t xml:space="preserve"> </w:t>
      </w:r>
      <w:r w:rsidR="000D4BFB" w:rsidRPr="000B0590">
        <w:rPr>
          <w:rFonts w:asciiTheme="minorHAnsi" w:hAnsiTheme="minorHAnsi" w:cstheme="minorHAnsi"/>
          <w:sz w:val="24"/>
          <w:szCs w:val="24"/>
        </w:rPr>
        <w:t xml:space="preserve">Likewise </w:t>
      </w:r>
      <w:r w:rsidR="00FD0648">
        <w:rPr>
          <w:rFonts w:asciiTheme="minorHAnsi" w:hAnsiTheme="minorHAnsi" w:cstheme="minorHAnsi"/>
          <w:sz w:val="24"/>
          <w:szCs w:val="24"/>
        </w:rPr>
        <w:t xml:space="preserve">usually </w:t>
      </w:r>
      <w:r w:rsidRPr="000B0590">
        <w:rPr>
          <w:rFonts w:asciiTheme="minorHAnsi" w:hAnsiTheme="minorHAnsi" w:cstheme="minorHAnsi"/>
          <w:sz w:val="24"/>
          <w:szCs w:val="24"/>
        </w:rPr>
        <w:t>dismissed as only relevant to folklore are the many other sacred springs, pools, mountain-tops and wooded groves, again rarely associated with archaeological material, but nonetheless significant in the devotional sacred landscape.</w:t>
      </w:r>
      <w:r w:rsidR="00EA1B3C">
        <w:rPr>
          <w:rStyle w:val="FootnoteReference"/>
          <w:rFonts w:asciiTheme="minorHAnsi" w:hAnsiTheme="minorHAnsi" w:cstheme="minorHAnsi"/>
          <w:sz w:val="24"/>
          <w:szCs w:val="24"/>
        </w:rPr>
        <w:footnoteReference w:id="105"/>
      </w:r>
      <w:r w:rsidR="00FD0648">
        <w:rPr>
          <w:rFonts w:asciiTheme="minorHAnsi" w:hAnsiTheme="minorHAnsi" w:cstheme="minorHAnsi"/>
          <w:sz w:val="24"/>
          <w:szCs w:val="24"/>
        </w:rPr>
        <w:t xml:space="preserve"> </w:t>
      </w:r>
      <w:r w:rsidRPr="000B0590">
        <w:rPr>
          <w:rFonts w:asciiTheme="minorHAnsi" w:hAnsiTheme="minorHAnsi" w:cstheme="minorHAnsi"/>
          <w:sz w:val="24"/>
          <w:szCs w:val="24"/>
        </w:rPr>
        <w:t>Both the now archaeological</w:t>
      </w:r>
      <w:r w:rsidR="00AC2C96">
        <w:rPr>
          <w:rFonts w:asciiTheme="minorHAnsi" w:hAnsiTheme="minorHAnsi" w:cstheme="minorHAnsi"/>
          <w:sz w:val="24"/>
          <w:szCs w:val="24"/>
        </w:rPr>
        <w:t xml:space="preserve">ly </w:t>
      </w:r>
      <w:r w:rsidR="00AC2C96" w:rsidRPr="000B0590">
        <w:rPr>
          <w:rFonts w:asciiTheme="minorHAnsi" w:hAnsiTheme="minorHAnsi" w:cstheme="minorHAnsi"/>
          <w:sz w:val="24"/>
          <w:szCs w:val="24"/>
        </w:rPr>
        <w:t>unfashionable</w:t>
      </w:r>
      <w:r w:rsidRPr="000B0590">
        <w:rPr>
          <w:rFonts w:asciiTheme="minorHAnsi" w:hAnsiTheme="minorHAnsi" w:cstheme="minorHAnsi"/>
          <w:sz w:val="24"/>
          <w:szCs w:val="24"/>
        </w:rPr>
        <w:t xml:space="preserve"> notion of a ‘Great Goddess’ and the modern atheism of writers such as Papantoniou </w:t>
      </w:r>
      <w:r w:rsidR="002B7545">
        <w:rPr>
          <w:rFonts w:asciiTheme="minorHAnsi" w:hAnsiTheme="minorHAnsi" w:cstheme="minorHAnsi"/>
          <w:sz w:val="24"/>
          <w:szCs w:val="24"/>
        </w:rPr>
        <w:t xml:space="preserve">&amp; </w:t>
      </w:r>
      <w:proofErr w:type="spellStart"/>
      <w:r w:rsidR="002B7545">
        <w:rPr>
          <w:rFonts w:asciiTheme="minorHAnsi" w:hAnsiTheme="minorHAnsi" w:cstheme="minorHAnsi"/>
          <w:sz w:val="24"/>
          <w:szCs w:val="24"/>
        </w:rPr>
        <w:t>Vionis</w:t>
      </w:r>
      <w:proofErr w:type="spellEnd"/>
      <w:r w:rsidR="002B7545">
        <w:rPr>
          <w:rFonts w:asciiTheme="minorHAnsi" w:hAnsiTheme="minorHAnsi" w:cstheme="minorHAnsi"/>
          <w:sz w:val="24"/>
          <w:szCs w:val="24"/>
        </w:rPr>
        <w:t xml:space="preserve"> </w:t>
      </w:r>
      <w:r w:rsidRPr="000B0590">
        <w:rPr>
          <w:rFonts w:asciiTheme="minorHAnsi" w:hAnsiTheme="minorHAnsi" w:cstheme="minorHAnsi"/>
          <w:sz w:val="24"/>
          <w:szCs w:val="24"/>
        </w:rPr>
        <w:t>fail to understand the pleroma of divine beings understood by Pagan religions past and present.</w:t>
      </w:r>
      <w:r w:rsidRPr="000B0590">
        <w:rPr>
          <w:rStyle w:val="FootnoteReference"/>
          <w:rFonts w:asciiTheme="minorHAnsi" w:hAnsiTheme="minorHAnsi" w:cstheme="minorHAnsi"/>
          <w:sz w:val="24"/>
          <w:szCs w:val="24"/>
        </w:rPr>
        <w:footnoteReference w:id="106"/>
      </w:r>
      <w:r w:rsidRPr="000B0590">
        <w:rPr>
          <w:rFonts w:asciiTheme="minorHAnsi" w:hAnsiTheme="minorHAnsi" w:cstheme="minorHAnsi"/>
          <w:sz w:val="24"/>
          <w:szCs w:val="24"/>
        </w:rPr>
        <w:t xml:space="preserve"> Pools such as the </w:t>
      </w:r>
      <w:proofErr w:type="spellStart"/>
      <w:r w:rsidRPr="000B0590">
        <w:rPr>
          <w:rFonts w:asciiTheme="minorHAnsi" w:hAnsiTheme="minorHAnsi" w:cstheme="minorHAnsi"/>
          <w:i/>
          <w:iCs/>
          <w:sz w:val="24"/>
          <w:szCs w:val="24"/>
        </w:rPr>
        <w:t>Loutra</w:t>
      </w:r>
      <w:proofErr w:type="spellEnd"/>
      <w:r w:rsidRPr="000B0590">
        <w:rPr>
          <w:rFonts w:asciiTheme="minorHAnsi" w:hAnsiTheme="minorHAnsi" w:cstheme="minorHAnsi"/>
          <w:sz w:val="24"/>
          <w:szCs w:val="24"/>
        </w:rPr>
        <w:t xml:space="preserve"> are more usually linked to ‘nymphs’ - immortal and sometimes amorous, but with powers of lesser scope than the greater deities such as Aphrodite</w:t>
      </w:r>
      <w:r w:rsidR="00401074">
        <w:rPr>
          <w:rFonts w:asciiTheme="minorHAnsi" w:hAnsiTheme="minorHAnsi" w:cstheme="minorHAnsi"/>
          <w:sz w:val="24"/>
          <w:szCs w:val="24"/>
        </w:rPr>
        <w:t>: it is also the case that such sites are associated with devotions by the "rural and non-elite populations".</w:t>
      </w:r>
      <w:r w:rsidR="00401074">
        <w:rPr>
          <w:rStyle w:val="FootnoteReference"/>
          <w:rFonts w:asciiTheme="minorHAnsi" w:hAnsiTheme="minorHAnsi" w:cstheme="minorHAnsi"/>
          <w:sz w:val="24"/>
          <w:szCs w:val="24"/>
        </w:rPr>
        <w:footnoteReference w:id="107"/>
      </w:r>
      <w:r w:rsidRPr="000B0590">
        <w:rPr>
          <w:rFonts w:asciiTheme="minorHAnsi" w:hAnsiTheme="minorHAnsi" w:cstheme="minorHAnsi"/>
          <w:sz w:val="24"/>
          <w:szCs w:val="24"/>
        </w:rPr>
        <w:t xml:space="preserve"> </w:t>
      </w:r>
    </w:p>
    <w:p w14:paraId="6F895F51"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041A9FE3" w14:textId="180EE883" w:rsidR="00B92DAB"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A very different sacred site, only a few kilometres southwest from Aphrodite’s Temenos is the rocks of Petra </w:t>
      </w:r>
      <w:proofErr w:type="spellStart"/>
      <w:r w:rsidRPr="000B0590">
        <w:rPr>
          <w:rFonts w:asciiTheme="minorHAnsi" w:hAnsiTheme="minorHAnsi" w:cstheme="minorHAnsi"/>
          <w:sz w:val="24"/>
          <w:szCs w:val="24"/>
        </w:rPr>
        <w:t>tou</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Romiou</w:t>
      </w:r>
      <w:proofErr w:type="spellEnd"/>
      <w:r w:rsidRPr="000B0590">
        <w:rPr>
          <w:rFonts w:asciiTheme="minorHAnsi" w:hAnsiTheme="minorHAnsi" w:cstheme="minorHAnsi"/>
          <w:sz w:val="24"/>
          <w:szCs w:val="24"/>
        </w:rPr>
        <w:t>, currently just offshore, and within direct visibility from the sanctuary for the clear-sighted.</w:t>
      </w:r>
      <w:r w:rsidRPr="000B0590">
        <w:rPr>
          <w:rStyle w:val="FootnoteReference"/>
          <w:rFonts w:asciiTheme="minorHAnsi" w:hAnsiTheme="minorHAnsi" w:cstheme="minorHAnsi"/>
          <w:sz w:val="24"/>
          <w:szCs w:val="24"/>
        </w:rPr>
        <w:footnoteReference w:id="108"/>
      </w:r>
      <w:r w:rsidRPr="000B0590">
        <w:rPr>
          <w:rFonts w:asciiTheme="minorHAnsi" w:hAnsiTheme="minorHAnsi" w:cstheme="minorHAnsi"/>
          <w:sz w:val="24"/>
          <w:szCs w:val="24"/>
        </w:rPr>
        <w:t xml:space="preserve"> The name means ‘Rock of the Greek’, supposedly deriving </w:t>
      </w:r>
      <w:r w:rsidRPr="000B0590">
        <w:rPr>
          <w:rFonts w:asciiTheme="minorHAnsi" w:hAnsiTheme="minorHAnsi" w:cstheme="minorHAnsi"/>
          <w:sz w:val="24"/>
          <w:szCs w:val="24"/>
        </w:rPr>
        <w:lastRenderedPageBreak/>
        <w:t>from the actions of one ‘Digenis Akritas’ repelling Saracen invaders.</w:t>
      </w:r>
      <w:r w:rsidR="00737D79">
        <w:rPr>
          <w:rStyle w:val="FootnoteReference"/>
          <w:rFonts w:asciiTheme="minorHAnsi" w:hAnsiTheme="minorHAnsi" w:cstheme="minorHAnsi"/>
          <w:sz w:val="24"/>
          <w:szCs w:val="24"/>
        </w:rPr>
        <w:footnoteReference w:id="109"/>
      </w:r>
      <w:r w:rsidRPr="000B0590">
        <w:rPr>
          <w:rFonts w:asciiTheme="minorHAnsi" w:hAnsiTheme="minorHAnsi" w:cstheme="minorHAnsi"/>
          <w:sz w:val="24"/>
          <w:szCs w:val="24"/>
        </w:rPr>
        <w:t xml:space="preserve"> It is nowadays claimed (‘prevailing oral tradition’</w:t>
      </w:r>
      <w:r w:rsidRPr="000B0590">
        <w:rPr>
          <w:rStyle w:val="FootnoteReference"/>
          <w:rFonts w:asciiTheme="minorHAnsi" w:hAnsiTheme="minorHAnsi" w:cstheme="minorHAnsi"/>
          <w:sz w:val="24"/>
          <w:szCs w:val="24"/>
        </w:rPr>
        <w:footnoteReference w:id="110"/>
      </w:r>
      <w:r w:rsidRPr="000B0590">
        <w:rPr>
          <w:rFonts w:asciiTheme="minorHAnsi" w:hAnsiTheme="minorHAnsi" w:cstheme="minorHAnsi"/>
          <w:sz w:val="24"/>
          <w:szCs w:val="24"/>
        </w:rPr>
        <w:t>) as the precise location of Aphrodite’s Emergence, although not so mentioned by ancient writers.</w:t>
      </w:r>
      <w:r w:rsidRPr="000B0590">
        <w:rPr>
          <w:rStyle w:val="FootnoteReference"/>
          <w:rFonts w:asciiTheme="minorHAnsi" w:hAnsiTheme="minorHAnsi" w:cstheme="minorHAnsi"/>
          <w:sz w:val="24"/>
          <w:szCs w:val="24"/>
        </w:rPr>
        <w:footnoteReference w:id="111"/>
      </w:r>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Merrillees</w:t>
      </w:r>
      <w:proofErr w:type="spellEnd"/>
      <w:r w:rsidRPr="000B0590">
        <w:rPr>
          <w:rFonts w:asciiTheme="minorHAnsi" w:hAnsiTheme="minorHAnsi" w:cstheme="minorHAnsi"/>
          <w:sz w:val="24"/>
          <w:szCs w:val="24"/>
        </w:rPr>
        <w:t xml:space="preserve"> is scathing that this ‘myth’ is of 20</w:t>
      </w:r>
      <w:r w:rsidRPr="000B0590">
        <w:rPr>
          <w:rFonts w:asciiTheme="minorHAnsi" w:hAnsiTheme="minorHAnsi" w:cstheme="minorHAnsi"/>
          <w:sz w:val="24"/>
          <w:szCs w:val="24"/>
          <w:vertAlign w:val="superscript"/>
        </w:rPr>
        <w:t>th</w:t>
      </w:r>
      <w:r w:rsidRPr="000B0590">
        <w:rPr>
          <w:rFonts w:asciiTheme="minorHAnsi" w:hAnsiTheme="minorHAnsi" w:cstheme="minorHAnsi"/>
          <w:sz w:val="24"/>
          <w:szCs w:val="24"/>
        </w:rPr>
        <w:t>-century origin.</w:t>
      </w:r>
      <w:r w:rsidRPr="000B0590">
        <w:rPr>
          <w:rStyle w:val="FootnoteReference"/>
          <w:rFonts w:asciiTheme="minorHAnsi" w:hAnsiTheme="minorHAnsi" w:cstheme="minorHAnsi"/>
          <w:sz w:val="24"/>
          <w:szCs w:val="24"/>
        </w:rPr>
        <w:footnoteReference w:id="112"/>
      </w:r>
      <w:r w:rsidRPr="000B0590">
        <w:rPr>
          <w:rFonts w:asciiTheme="minorHAnsi" w:hAnsiTheme="minorHAnsi" w:cstheme="minorHAnsi"/>
          <w:sz w:val="24"/>
          <w:szCs w:val="24"/>
        </w:rPr>
        <w:t xml:space="preserve"> The rocks </w:t>
      </w:r>
      <w:r w:rsidR="003B3A27">
        <w:rPr>
          <w:rFonts w:asciiTheme="minorHAnsi" w:hAnsiTheme="minorHAnsi" w:cstheme="minorHAnsi"/>
          <w:sz w:val="24"/>
          <w:szCs w:val="24"/>
        </w:rPr>
        <w:t xml:space="preserve">themselves </w:t>
      </w:r>
      <w:r w:rsidRPr="000B0590">
        <w:rPr>
          <w:rFonts w:asciiTheme="minorHAnsi" w:hAnsiTheme="minorHAnsi" w:cstheme="minorHAnsi"/>
          <w:sz w:val="24"/>
          <w:szCs w:val="24"/>
        </w:rPr>
        <w:t>are intriguing in that they have a geological character different from those of the shore only a few metres</w:t>
      </w:r>
      <w:r w:rsidR="008264A4">
        <w:rPr>
          <w:rFonts w:asciiTheme="minorHAnsi" w:hAnsiTheme="minorHAnsi" w:cstheme="minorHAnsi"/>
          <w:sz w:val="24"/>
          <w:szCs w:val="24"/>
        </w:rPr>
        <w:t xml:space="preserve"> away:</w:t>
      </w:r>
      <w:r w:rsidRPr="000B0590">
        <w:rPr>
          <w:rStyle w:val="FootnoteReference"/>
          <w:rFonts w:asciiTheme="minorHAnsi" w:hAnsiTheme="minorHAnsi" w:cstheme="minorHAnsi"/>
          <w:sz w:val="24"/>
          <w:szCs w:val="24"/>
        </w:rPr>
        <w:footnoteReference w:id="113"/>
      </w:r>
      <w:r w:rsidRPr="000B0590">
        <w:rPr>
          <w:rFonts w:asciiTheme="minorHAnsi" w:hAnsiTheme="minorHAnsi" w:cstheme="minorHAnsi"/>
          <w:sz w:val="24"/>
          <w:szCs w:val="24"/>
        </w:rPr>
        <w:t xml:space="preserve"> </w:t>
      </w:r>
      <w:r w:rsidR="008264A4">
        <w:rPr>
          <w:rFonts w:asciiTheme="minorHAnsi" w:hAnsiTheme="minorHAnsi" w:cstheme="minorHAnsi"/>
          <w:sz w:val="24"/>
          <w:szCs w:val="24"/>
        </w:rPr>
        <w:t>were</w:t>
      </w:r>
      <w:r w:rsidRPr="000B0590">
        <w:rPr>
          <w:rFonts w:asciiTheme="minorHAnsi" w:hAnsiTheme="minorHAnsi" w:cstheme="minorHAnsi"/>
          <w:sz w:val="24"/>
          <w:szCs w:val="24"/>
        </w:rPr>
        <w:t xml:space="preserve"> they actually of meteoric origin the correlation with the Hesiodic story would be overwhelming</w:t>
      </w:r>
      <w:r w:rsidR="008264A4">
        <w:rPr>
          <w:rFonts w:asciiTheme="minorHAnsi" w:hAnsiTheme="minorHAnsi" w:cstheme="minorHAnsi"/>
          <w:sz w:val="24"/>
          <w:szCs w:val="24"/>
        </w:rPr>
        <w:t>.</w:t>
      </w:r>
      <w:r w:rsidR="008264A4">
        <w:rPr>
          <w:rStyle w:val="FootnoteReference"/>
          <w:rFonts w:asciiTheme="minorHAnsi" w:hAnsiTheme="minorHAnsi" w:cstheme="minorHAnsi"/>
          <w:sz w:val="24"/>
          <w:szCs w:val="24"/>
        </w:rPr>
        <w:footnoteReference w:id="114"/>
      </w:r>
    </w:p>
    <w:p w14:paraId="69C63B30" w14:textId="77777777" w:rsidR="00AC2C96" w:rsidRPr="000B0590" w:rsidRDefault="00AC2C96" w:rsidP="00F22994">
      <w:pPr>
        <w:pStyle w:val="FootnoteText"/>
        <w:spacing w:after="120" w:line="360" w:lineRule="auto"/>
        <w:rPr>
          <w:rFonts w:asciiTheme="minorHAnsi" w:hAnsiTheme="minorHAnsi" w:cstheme="minorHAnsi"/>
          <w:sz w:val="24"/>
          <w:szCs w:val="24"/>
        </w:rPr>
      </w:pPr>
    </w:p>
    <w:p w14:paraId="6E26E3FE" w14:textId="68FC40FD" w:rsidR="00B92DAB"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It is unclear whether </w:t>
      </w:r>
      <w:proofErr w:type="spellStart"/>
      <w:r w:rsidRPr="000B0590">
        <w:rPr>
          <w:rFonts w:asciiTheme="minorHAnsi" w:hAnsiTheme="minorHAnsi" w:cstheme="minorHAnsi"/>
          <w:sz w:val="24"/>
          <w:szCs w:val="24"/>
        </w:rPr>
        <w:t>Merrillees</w:t>
      </w:r>
      <w:proofErr w:type="spellEnd"/>
      <w:r w:rsidRPr="000B0590">
        <w:rPr>
          <w:rFonts w:asciiTheme="minorHAnsi" w:hAnsiTheme="minorHAnsi" w:cstheme="minorHAnsi"/>
          <w:sz w:val="24"/>
          <w:szCs w:val="24"/>
        </w:rPr>
        <w:t xml:space="preserve"> ever visited Petra </w:t>
      </w:r>
      <w:proofErr w:type="spellStart"/>
      <w:r w:rsidRPr="000B0590">
        <w:rPr>
          <w:rFonts w:asciiTheme="minorHAnsi" w:hAnsiTheme="minorHAnsi" w:cstheme="minorHAnsi"/>
          <w:sz w:val="24"/>
          <w:szCs w:val="24"/>
        </w:rPr>
        <w:t>tou</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Romiou</w:t>
      </w:r>
      <w:proofErr w:type="spellEnd"/>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115"/>
      </w:r>
      <w:r w:rsidRPr="000B0590">
        <w:rPr>
          <w:rFonts w:asciiTheme="minorHAnsi" w:hAnsiTheme="minorHAnsi" w:cstheme="minorHAnsi"/>
          <w:sz w:val="24"/>
          <w:szCs w:val="24"/>
        </w:rPr>
        <w:t xml:space="preserve"> those who do so, including this writer, some swimming around the rocks the prescribed thrice,</w:t>
      </w:r>
      <w:r w:rsidRPr="000B0590">
        <w:rPr>
          <w:rStyle w:val="FootnoteReference"/>
          <w:rFonts w:asciiTheme="minorHAnsi" w:hAnsiTheme="minorHAnsi" w:cstheme="minorHAnsi"/>
          <w:sz w:val="24"/>
          <w:szCs w:val="24"/>
        </w:rPr>
        <w:footnoteReference w:id="116"/>
      </w:r>
      <w:r w:rsidRPr="000B0590">
        <w:rPr>
          <w:rFonts w:asciiTheme="minorHAnsi" w:hAnsiTheme="minorHAnsi" w:cstheme="minorHAnsi"/>
          <w:sz w:val="24"/>
          <w:szCs w:val="24"/>
        </w:rPr>
        <w:t xml:space="preserve"> are generally more inspired. For example, </w:t>
      </w:r>
      <w:proofErr w:type="spellStart"/>
      <w:r w:rsidRPr="000B0590">
        <w:rPr>
          <w:rFonts w:asciiTheme="minorHAnsi" w:hAnsiTheme="minorHAnsi" w:cstheme="minorHAnsi"/>
          <w:sz w:val="24"/>
          <w:szCs w:val="24"/>
        </w:rPr>
        <w:t>Sfinga</w:t>
      </w:r>
      <w:proofErr w:type="spellEnd"/>
      <w:r w:rsidRPr="000B0590">
        <w:rPr>
          <w:rFonts w:asciiTheme="minorHAnsi" w:hAnsiTheme="minorHAnsi" w:cstheme="minorHAnsi"/>
          <w:sz w:val="24"/>
          <w:szCs w:val="24"/>
        </w:rPr>
        <w:t xml:space="preserve"> describes her trance experience and encounter with a female spiritual being.</w:t>
      </w:r>
      <w:r w:rsidRPr="000B0590">
        <w:rPr>
          <w:rStyle w:val="FootnoteReference"/>
          <w:rFonts w:asciiTheme="minorHAnsi" w:hAnsiTheme="minorHAnsi" w:cstheme="minorHAnsi"/>
          <w:sz w:val="24"/>
          <w:szCs w:val="24"/>
        </w:rPr>
        <w:footnoteReference w:id="117"/>
      </w:r>
      <w:r w:rsidRPr="000B0590">
        <w:rPr>
          <w:rFonts w:asciiTheme="minorHAnsi" w:hAnsiTheme="minorHAnsi" w:cstheme="minorHAnsi"/>
          <w:sz w:val="24"/>
          <w:szCs w:val="24"/>
        </w:rPr>
        <w:t xml:space="preserve"> </w:t>
      </w:r>
      <w:r w:rsidR="008264A4">
        <w:rPr>
          <w:rFonts w:asciiTheme="minorHAnsi" w:hAnsiTheme="minorHAnsi" w:cstheme="minorHAnsi"/>
          <w:sz w:val="24"/>
          <w:szCs w:val="24"/>
        </w:rPr>
        <w:t>Similarly, t</w:t>
      </w:r>
      <w:r w:rsidR="008264A4" w:rsidRPr="000B0590">
        <w:rPr>
          <w:rFonts w:asciiTheme="minorHAnsi" w:hAnsiTheme="minorHAnsi" w:cstheme="minorHAnsi"/>
          <w:sz w:val="24"/>
          <w:szCs w:val="24"/>
        </w:rPr>
        <w:t xml:space="preserve">he French poet Pierre Louÿs wrote of “a thousand little lips of </w:t>
      </w:r>
      <w:r w:rsidR="008264A4" w:rsidRPr="000B0590">
        <w:rPr>
          <w:rFonts w:asciiTheme="minorHAnsi" w:hAnsiTheme="minorHAnsi" w:cstheme="minorHAnsi"/>
          <w:sz w:val="24"/>
          <w:szCs w:val="24"/>
        </w:rPr>
        <w:lastRenderedPageBreak/>
        <w:t>light seen trembling upon the water”.</w:t>
      </w:r>
      <w:r w:rsidR="008264A4" w:rsidRPr="000B0590">
        <w:rPr>
          <w:rStyle w:val="FootnoteReference"/>
          <w:rFonts w:asciiTheme="minorHAnsi" w:hAnsiTheme="minorHAnsi" w:cstheme="minorHAnsi"/>
          <w:sz w:val="24"/>
          <w:szCs w:val="24"/>
        </w:rPr>
        <w:footnoteReference w:id="118"/>
      </w:r>
      <w:r w:rsidR="008264A4" w:rsidRPr="000B0590">
        <w:rPr>
          <w:rFonts w:asciiTheme="minorHAnsi" w:hAnsiTheme="minorHAnsi" w:cstheme="minorHAnsi"/>
          <w:sz w:val="24"/>
          <w:szCs w:val="24"/>
        </w:rPr>
        <w:t xml:space="preserve"> </w:t>
      </w:r>
      <w:r w:rsidRPr="000B0590">
        <w:rPr>
          <w:rFonts w:asciiTheme="minorHAnsi" w:hAnsiTheme="minorHAnsi" w:cstheme="minorHAnsi"/>
          <w:sz w:val="24"/>
          <w:szCs w:val="24"/>
        </w:rPr>
        <w:t>Hussein notes the beach as decorated with hearts crafted out of stones.</w:t>
      </w:r>
      <w:r w:rsidRPr="000B0590">
        <w:rPr>
          <w:rStyle w:val="FootnoteReference"/>
          <w:rFonts w:asciiTheme="minorHAnsi" w:hAnsiTheme="minorHAnsi" w:cstheme="minorHAnsi"/>
          <w:sz w:val="24"/>
          <w:szCs w:val="24"/>
        </w:rPr>
        <w:footnoteReference w:id="119"/>
      </w:r>
      <w:r w:rsidRPr="000B0590">
        <w:rPr>
          <w:rFonts w:asciiTheme="minorHAnsi" w:hAnsiTheme="minorHAnsi" w:cstheme="minorHAnsi"/>
          <w:sz w:val="24"/>
          <w:szCs w:val="24"/>
        </w:rPr>
        <w:t xml:space="preserve"> Whether or not Petra </w:t>
      </w:r>
      <w:proofErr w:type="spellStart"/>
      <w:r w:rsidRPr="000B0590">
        <w:rPr>
          <w:rFonts w:asciiTheme="minorHAnsi" w:hAnsiTheme="minorHAnsi" w:cstheme="minorHAnsi"/>
          <w:sz w:val="24"/>
          <w:szCs w:val="24"/>
        </w:rPr>
        <w:t>tou</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Romiou</w:t>
      </w:r>
      <w:proofErr w:type="spellEnd"/>
      <w:r w:rsidRPr="000B0590">
        <w:rPr>
          <w:rFonts w:asciiTheme="minorHAnsi" w:hAnsiTheme="minorHAnsi" w:cstheme="minorHAnsi"/>
          <w:sz w:val="24"/>
          <w:szCs w:val="24"/>
        </w:rPr>
        <w:t xml:space="preserve"> was a sacred place within the landscape of </w:t>
      </w:r>
      <w:proofErr w:type="spellStart"/>
      <w:r w:rsidRPr="000B0590">
        <w:rPr>
          <w:rFonts w:asciiTheme="minorHAnsi" w:hAnsiTheme="minorHAnsi" w:cstheme="minorHAnsi"/>
          <w:sz w:val="24"/>
          <w:szCs w:val="24"/>
        </w:rPr>
        <w:t>Temen</w:t>
      </w:r>
      <w:r w:rsidR="00737D79">
        <w:rPr>
          <w:rFonts w:asciiTheme="minorHAnsi" w:hAnsiTheme="minorHAnsi" w:cstheme="minorHAnsi"/>
          <w:sz w:val="24"/>
          <w:szCs w:val="24"/>
        </w:rPr>
        <w:t>ē</w:t>
      </w:r>
      <w:r w:rsidRPr="000B0590">
        <w:rPr>
          <w:rFonts w:asciiTheme="minorHAnsi" w:hAnsiTheme="minorHAnsi" w:cstheme="minorHAnsi"/>
          <w:sz w:val="24"/>
          <w:szCs w:val="24"/>
        </w:rPr>
        <w:t>s</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Aphrodit</w:t>
      </w:r>
      <w:r w:rsidR="00737D79">
        <w:rPr>
          <w:rFonts w:asciiTheme="minorHAnsi" w:hAnsiTheme="minorHAnsi" w:cstheme="minorHAnsi"/>
          <w:sz w:val="24"/>
          <w:szCs w:val="24"/>
        </w:rPr>
        <w:t>ē</w:t>
      </w:r>
      <w:r w:rsidRPr="000B0590">
        <w:rPr>
          <w:rFonts w:asciiTheme="minorHAnsi" w:hAnsiTheme="minorHAnsi" w:cstheme="minorHAnsi"/>
          <w:sz w:val="24"/>
          <w:szCs w:val="24"/>
        </w:rPr>
        <w:t>s</w:t>
      </w:r>
      <w:proofErr w:type="spellEnd"/>
      <w:r w:rsidRPr="000B0590">
        <w:rPr>
          <w:rFonts w:asciiTheme="minorHAnsi" w:hAnsiTheme="minorHAnsi" w:cstheme="minorHAnsi"/>
          <w:sz w:val="24"/>
          <w:szCs w:val="24"/>
        </w:rPr>
        <w:t>, it certainly has become one now.</w:t>
      </w:r>
    </w:p>
    <w:p w14:paraId="6B4ADC33" w14:textId="77777777" w:rsidR="00F22994" w:rsidRPr="000B0590" w:rsidRDefault="00B92DAB" w:rsidP="00F22994">
      <w:pPr>
        <w:pStyle w:val="FootnoteText"/>
        <w:spacing w:after="120"/>
        <w:rPr>
          <w:rFonts w:asciiTheme="minorHAnsi" w:hAnsiTheme="minorHAnsi" w:cstheme="minorHAnsi"/>
          <w:i/>
          <w:iCs/>
          <w:sz w:val="24"/>
          <w:szCs w:val="24"/>
        </w:rPr>
      </w:pPr>
      <w:r w:rsidRPr="000B0590">
        <w:rPr>
          <w:rFonts w:asciiTheme="minorHAnsi" w:hAnsiTheme="minorHAnsi" w:cstheme="minorHAnsi"/>
          <w:i/>
          <w:iCs/>
          <w:noProof/>
          <w:sz w:val="24"/>
          <w:szCs w:val="24"/>
        </w:rPr>
        <w:drawing>
          <wp:anchor distT="0" distB="0" distL="114300" distR="114300" simplePos="0" relativeHeight="251662336" behindDoc="0" locked="0" layoutInCell="1" allowOverlap="1" wp14:anchorId="5ABD98C2" wp14:editId="0BE2BEB8">
            <wp:simplePos x="0" y="0"/>
            <wp:positionH relativeFrom="margin">
              <wp:align>left</wp:align>
            </wp:positionH>
            <wp:positionV relativeFrom="paragraph">
              <wp:posOffset>5080</wp:posOffset>
            </wp:positionV>
            <wp:extent cx="3923665" cy="3923665"/>
            <wp:effectExtent l="0" t="0" r="635" b="635"/>
            <wp:wrapSquare wrapText="bothSides"/>
            <wp:docPr id="2100572164" name="Picture 1" descr="A beach with rocks and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572164" name="Picture 1" descr="A beach with rocks and wa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9026" cy="392902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B0590">
        <w:rPr>
          <w:rFonts w:asciiTheme="minorHAnsi" w:hAnsiTheme="minorHAnsi" w:cstheme="minorHAnsi"/>
          <w:i/>
          <w:iCs/>
          <w:sz w:val="24"/>
          <w:szCs w:val="24"/>
        </w:rPr>
        <w:t>Aphrodite’s Rock, illuminated by the sun.</w:t>
      </w:r>
      <w:r w:rsidRPr="000B0590">
        <w:rPr>
          <w:rStyle w:val="FootnoteReference"/>
          <w:rFonts w:asciiTheme="minorHAnsi" w:hAnsiTheme="minorHAnsi" w:cstheme="minorHAnsi"/>
          <w:i/>
          <w:iCs/>
          <w:sz w:val="24"/>
          <w:szCs w:val="24"/>
        </w:rPr>
        <w:footnoteReference w:id="120"/>
      </w:r>
      <w:r w:rsidR="00F22994" w:rsidRPr="000B0590">
        <w:rPr>
          <w:rFonts w:asciiTheme="minorHAnsi" w:hAnsiTheme="minorHAnsi" w:cstheme="minorHAnsi"/>
          <w:i/>
          <w:iCs/>
          <w:sz w:val="24"/>
          <w:szCs w:val="24"/>
        </w:rPr>
        <w:t xml:space="preserve"> Even such a straightforward light phenomenon has potential to trigger a spiritual response. </w:t>
      </w:r>
    </w:p>
    <w:p w14:paraId="7184A5B6" w14:textId="77777777" w:rsidR="00B92DAB" w:rsidRPr="000B0590" w:rsidRDefault="00B92DAB" w:rsidP="00F22994">
      <w:pPr>
        <w:pStyle w:val="FootnoteText"/>
        <w:spacing w:after="120"/>
        <w:rPr>
          <w:rFonts w:asciiTheme="minorHAnsi" w:hAnsiTheme="minorHAnsi" w:cstheme="minorHAnsi"/>
          <w:i/>
          <w:iCs/>
          <w:sz w:val="24"/>
          <w:szCs w:val="24"/>
        </w:rPr>
      </w:pPr>
    </w:p>
    <w:p w14:paraId="08D63CDE" w14:textId="6E55804B" w:rsidR="00B92DAB" w:rsidRPr="000B0590" w:rsidRDefault="00B92DAB" w:rsidP="00F22994">
      <w:pPr>
        <w:pStyle w:val="FootnoteText"/>
        <w:spacing w:after="120"/>
        <w:rPr>
          <w:rFonts w:asciiTheme="minorHAnsi" w:hAnsiTheme="minorHAnsi" w:cstheme="minorHAnsi"/>
          <w:i/>
          <w:iCs/>
          <w:sz w:val="24"/>
          <w:szCs w:val="24"/>
        </w:rPr>
      </w:pPr>
      <w:r w:rsidRPr="000B0590">
        <w:rPr>
          <w:rFonts w:asciiTheme="minorHAnsi" w:hAnsiTheme="minorHAnsi" w:cstheme="minorHAnsi"/>
          <w:i/>
          <w:iCs/>
          <w:sz w:val="24"/>
          <w:szCs w:val="24"/>
        </w:rPr>
        <w:t>In Apuleius’ invocation of Isis (identifying her with Venus) he speaks of the ”wave-lapped shrine of Paphos”.</w:t>
      </w:r>
      <w:r w:rsidRPr="000B0590">
        <w:rPr>
          <w:rStyle w:val="FootnoteReference"/>
          <w:rFonts w:asciiTheme="minorHAnsi" w:hAnsiTheme="minorHAnsi" w:cstheme="minorHAnsi"/>
          <w:i/>
          <w:iCs/>
          <w:sz w:val="24"/>
          <w:szCs w:val="24"/>
        </w:rPr>
        <w:footnoteReference w:id="121"/>
      </w:r>
      <w:r w:rsidRPr="000B0590">
        <w:rPr>
          <w:rFonts w:asciiTheme="minorHAnsi" w:hAnsiTheme="minorHAnsi" w:cstheme="minorHAnsi"/>
          <w:i/>
          <w:iCs/>
          <w:sz w:val="24"/>
          <w:szCs w:val="24"/>
        </w:rPr>
        <w:t xml:space="preserve"> </w:t>
      </w:r>
    </w:p>
    <w:p w14:paraId="307FF919" w14:textId="77777777" w:rsidR="00B92DAB" w:rsidRPr="000B0590" w:rsidRDefault="00B92DAB" w:rsidP="00F22994">
      <w:pPr>
        <w:pStyle w:val="FootnoteText"/>
        <w:spacing w:after="120"/>
        <w:rPr>
          <w:rFonts w:asciiTheme="minorHAnsi" w:hAnsiTheme="minorHAnsi" w:cstheme="minorHAnsi"/>
          <w:i/>
          <w:iCs/>
          <w:sz w:val="24"/>
          <w:szCs w:val="24"/>
        </w:rPr>
      </w:pPr>
    </w:p>
    <w:p w14:paraId="38840827" w14:textId="77777777" w:rsidR="00B92DAB" w:rsidRPr="000B0590" w:rsidRDefault="00B92DAB" w:rsidP="00F22994">
      <w:pPr>
        <w:pStyle w:val="FootnoteText"/>
        <w:spacing w:after="120"/>
        <w:rPr>
          <w:rFonts w:asciiTheme="minorHAnsi" w:hAnsiTheme="minorHAnsi" w:cstheme="minorHAnsi"/>
          <w:i/>
          <w:iCs/>
          <w:sz w:val="24"/>
          <w:szCs w:val="24"/>
        </w:rPr>
      </w:pPr>
      <w:r w:rsidRPr="000B0590">
        <w:rPr>
          <w:rFonts w:asciiTheme="minorHAnsi" w:hAnsiTheme="minorHAnsi" w:cstheme="minorHAnsi"/>
          <w:i/>
          <w:iCs/>
          <w:sz w:val="24"/>
          <w:szCs w:val="24"/>
        </w:rPr>
        <w:t>For Stylianou-Lambert, a photograph like this would be a ‘hermeneutic circle’.</w:t>
      </w:r>
      <w:r w:rsidRPr="000B0590">
        <w:rPr>
          <w:rStyle w:val="FootnoteReference"/>
          <w:rFonts w:asciiTheme="minorHAnsi" w:hAnsiTheme="minorHAnsi" w:cstheme="minorHAnsi"/>
          <w:i/>
          <w:iCs/>
          <w:sz w:val="24"/>
          <w:szCs w:val="24"/>
        </w:rPr>
        <w:footnoteReference w:id="122"/>
      </w:r>
    </w:p>
    <w:p w14:paraId="3C39925D"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11B7FEFB" w14:textId="25CD25C9" w:rsidR="00B92DAB"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A rather different perspective of the site of Aphrodite’s Emergence is given by Myres, </w:t>
      </w:r>
      <w:r w:rsidR="000021B8">
        <w:rPr>
          <w:rFonts w:asciiTheme="minorHAnsi" w:hAnsiTheme="minorHAnsi" w:cstheme="minorHAnsi"/>
          <w:sz w:val="24"/>
          <w:szCs w:val="24"/>
        </w:rPr>
        <w:t xml:space="preserve">at a location </w:t>
      </w:r>
      <w:r w:rsidRPr="000B0590">
        <w:rPr>
          <w:rFonts w:asciiTheme="minorHAnsi" w:hAnsiTheme="minorHAnsi" w:cstheme="minorHAnsi"/>
          <w:sz w:val="24"/>
          <w:szCs w:val="24"/>
        </w:rPr>
        <w:t>closer to the Temenos. He describes an unusual wave phenomenon, observed repeatedly in 1913,</w:t>
      </w:r>
      <w:r w:rsidR="00737D79">
        <w:rPr>
          <w:rFonts w:asciiTheme="minorHAnsi" w:hAnsiTheme="minorHAnsi" w:cstheme="minorHAnsi"/>
          <w:sz w:val="24"/>
          <w:szCs w:val="24"/>
        </w:rPr>
        <w:t xml:space="preserve"> at the time he was excavating </w:t>
      </w:r>
      <w:r w:rsidR="00A137E1">
        <w:rPr>
          <w:rFonts w:asciiTheme="minorHAnsi" w:hAnsiTheme="minorHAnsi" w:cstheme="minorHAnsi"/>
          <w:sz w:val="24"/>
          <w:szCs w:val="24"/>
        </w:rPr>
        <w:t xml:space="preserve">sites near </w:t>
      </w:r>
      <w:r w:rsidR="00737D79">
        <w:rPr>
          <w:rFonts w:asciiTheme="minorHAnsi" w:hAnsiTheme="minorHAnsi" w:cstheme="minorHAnsi"/>
          <w:sz w:val="24"/>
          <w:szCs w:val="24"/>
        </w:rPr>
        <w:t>TA,</w:t>
      </w:r>
      <w:r w:rsidRPr="000B0590">
        <w:rPr>
          <w:rFonts w:asciiTheme="minorHAnsi" w:hAnsiTheme="minorHAnsi" w:cstheme="minorHAnsi"/>
          <w:sz w:val="24"/>
          <w:szCs w:val="24"/>
        </w:rPr>
        <w:t xml:space="preserve"> in which “the reflected wave …[is caused] to break into foam…a column like a waterspout, 10-15 feet high…</w:t>
      </w:r>
      <w:r w:rsidRPr="000B0590">
        <w:rPr>
          <w:sz w:val="24"/>
          <w:szCs w:val="24"/>
        </w:rPr>
        <w:t xml:space="preserve"> </w:t>
      </w:r>
      <w:r w:rsidRPr="000B0590">
        <w:rPr>
          <w:rFonts w:asciiTheme="minorHAnsi" w:hAnsiTheme="minorHAnsi" w:cstheme="minorHAnsi"/>
          <w:sz w:val="24"/>
          <w:szCs w:val="24"/>
        </w:rPr>
        <w:t>It looks exactly like a human figure literally 'rising from the sea,' and spreading long ,' and spreading long hair and dripping arms”.</w:t>
      </w:r>
      <w:r w:rsidRPr="000B0590">
        <w:rPr>
          <w:rStyle w:val="FootnoteReference"/>
          <w:rFonts w:asciiTheme="minorHAnsi" w:hAnsiTheme="minorHAnsi" w:cstheme="minorHAnsi"/>
          <w:sz w:val="24"/>
          <w:szCs w:val="24"/>
        </w:rPr>
        <w:footnoteReference w:id="123"/>
      </w:r>
      <w:r w:rsidRPr="000B0590">
        <w:rPr>
          <w:rFonts w:asciiTheme="minorHAnsi" w:hAnsiTheme="minorHAnsi" w:cstheme="minorHAnsi"/>
          <w:sz w:val="24"/>
          <w:szCs w:val="24"/>
        </w:rPr>
        <w:t xml:space="preserve"> J. Karageorghis relates Myres’ encounter in rather ‘</w:t>
      </w:r>
      <w:proofErr w:type="spellStart"/>
      <w:r w:rsidRPr="000B0590">
        <w:rPr>
          <w:rFonts w:asciiTheme="minorHAnsi" w:hAnsiTheme="minorHAnsi" w:cstheme="minorHAnsi"/>
          <w:sz w:val="24"/>
          <w:szCs w:val="24"/>
        </w:rPr>
        <w:t>Elpist</w:t>
      </w:r>
      <w:proofErr w:type="spellEnd"/>
      <w:r w:rsidRPr="000B0590">
        <w:rPr>
          <w:rFonts w:asciiTheme="minorHAnsi" w:hAnsiTheme="minorHAnsi" w:cstheme="minorHAnsi"/>
          <w:sz w:val="24"/>
          <w:szCs w:val="24"/>
        </w:rPr>
        <w:t xml:space="preserve">’ </w:t>
      </w:r>
      <w:r w:rsidRPr="000B0590">
        <w:rPr>
          <w:rFonts w:asciiTheme="minorHAnsi" w:hAnsiTheme="minorHAnsi" w:cstheme="minorHAnsi"/>
          <w:sz w:val="24"/>
          <w:szCs w:val="24"/>
        </w:rPr>
        <w:lastRenderedPageBreak/>
        <w:t>mode:</w:t>
      </w:r>
      <w:r w:rsidRPr="000B0590">
        <w:rPr>
          <w:rStyle w:val="FootnoteReference"/>
          <w:rFonts w:asciiTheme="minorHAnsi" w:hAnsiTheme="minorHAnsi" w:cstheme="minorHAnsi"/>
          <w:sz w:val="24"/>
          <w:szCs w:val="24"/>
        </w:rPr>
        <w:footnoteReference w:id="124"/>
      </w:r>
      <w:r w:rsidRPr="000B0590">
        <w:rPr>
          <w:rFonts w:asciiTheme="minorHAnsi" w:hAnsiTheme="minorHAnsi" w:cstheme="minorHAnsi"/>
          <w:sz w:val="24"/>
          <w:szCs w:val="24"/>
        </w:rPr>
        <w:t xml:space="preserve"> this writer</w:t>
      </w:r>
      <w:r w:rsidR="000021B8">
        <w:rPr>
          <w:rFonts w:asciiTheme="minorHAnsi" w:hAnsiTheme="minorHAnsi" w:cstheme="minorHAnsi"/>
          <w:sz w:val="24"/>
          <w:szCs w:val="24"/>
        </w:rPr>
        <w:t xml:space="preserve"> suggests that </w:t>
      </w:r>
      <w:r w:rsidRPr="000B0590">
        <w:rPr>
          <w:rFonts w:asciiTheme="minorHAnsi" w:hAnsiTheme="minorHAnsi" w:cstheme="minorHAnsi"/>
          <w:sz w:val="24"/>
          <w:szCs w:val="24"/>
        </w:rPr>
        <w:t>a</w:t>
      </w:r>
      <w:r w:rsidR="00A137E1">
        <w:rPr>
          <w:rFonts w:asciiTheme="minorHAnsi" w:hAnsiTheme="minorHAnsi" w:cstheme="minorHAnsi"/>
          <w:sz w:val="24"/>
          <w:szCs w:val="24"/>
        </w:rPr>
        <w:t>n ancient</w:t>
      </w:r>
      <w:r w:rsidRPr="000B0590">
        <w:rPr>
          <w:rFonts w:asciiTheme="minorHAnsi" w:hAnsiTheme="minorHAnsi" w:cstheme="minorHAnsi"/>
          <w:sz w:val="24"/>
          <w:szCs w:val="24"/>
        </w:rPr>
        <w:t xml:space="preserve"> spiritual experience linked to the phenomenon would be entirely sufficient for the vision of Aphrodite Anadyomene, </w:t>
      </w:r>
      <w:r w:rsidR="000021B8">
        <w:rPr>
          <w:rFonts w:asciiTheme="minorHAnsi" w:hAnsiTheme="minorHAnsi" w:cstheme="minorHAnsi"/>
          <w:sz w:val="24"/>
          <w:szCs w:val="24"/>
        </w:rPr>
        <w:t xml:space="preserve">and </w:t>
      </w:r>
      <w:r w:rsidRPr="000B0590">
        <w:rPr>
          <w:rFonts w:asciiTheme="minorHAnsi" w:hAnsiTheme="minorHAnsi" w:cstheme="minorHAnsi"/>
          <w:sz w:val="24"/>
          <w:szCs w:val="24"/>
        </w:rPr>
        <w:t xml:space="preserve">would </w:t>
      </w:r>
      <w:r w:rsidR="000021B8">
        <w:rPr>
          <w:rFonts w:asciiTheme="minorHAnsi" w:hAnsiTheme="minorHAnsi" w:cstheme="minorHAnsi"/>
          <w:sz w:val="24"/>
          <w:szCs w:val="24"/>
        </w:rPr>
        <w:t xml:space="preserve">also </w:t>
      </w:r>
      <w:r w:rsidRPr="000B0590">
        <w:rPr>
          <w:rFonts w:asciiTheme="minorHAnsi" w:hAnsiTheme="minorHAnsi" w:cstheme="minorHAnsi"/>
          <w:sz w:val="24"/>
          <w:szCs w:val="24"/>
        </w:rPr>
        <w:t xml:space="preserve">provide for Hesiod’s academically-contested etymology from </w:t>
      </w:r>
      <w:proofErr w:type="spellStart"/>
      <w:r w:rsidRPr="000B0590">
        <w:rPr>
          <w:rFonts w:asciiTheme="minorHAnsi" w:hAnsiTheme="minorHAnsi" w:cstheme="minorHAnsi"/>
          <w:sz w:val="24"/>
          <w:szCs w:val="24"/>
        </w:rPr>
        <w:t>aphrós</w:t>
      </w:r>
      <w:proofErr w:type="spellEnd"/>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ἀφρός</w:t>
      </w:r>
      <w:proofErr w:type="spellEnd"/>
      <w:r w:rsidRPr="000B0590">
        <w:rPr>
          <w:rFonts w:asciiTheme="minorHAnsi" w:hAnsiTheme="minorHAnsi" w:cstheme="minorHAnsi"/>
          <w:sz w:val="24"/>
          <w:szCs w:val="24"/>
        </w:rPr>
        <w:t>) "sea-foam".</w:t>
      </w:r>
      <w:r w:rsidR="00AE4E01">
        <w:rPr>
          <w:rStyle w:val="FootnoteReference"/>
          <w:rFonts w:asciiTheme="minorHAnsi" w:hAnsiTheme="minorHAnsi" w:cstheme="minorHAnsi"/>
          <w:sz w:val="24"/>
          <w:szCs w:val="24"/>
        </w:rPr>
        <w:footnoteReference w:id="125"/>
      </w:r>
      <w:r w:rsidRPr="000B0590">
        <w:rPr>
          <w:rFonts w:asciiTheme="minorHAnsi" w:hAnsiTheme="minorHAnsi" w:cstheme="minorHAnsi"/>
          <w:sz w:val="24"/>
          <w:szCs w:val="24"/>
        </w:rPr>
        <w:t xml:space="preserve"> With sufficient charisma in its propagation, a vision</w:t>
      </w:r>
      <w:r w:rsidR="008264A4">
        <w:rPr>
          <w:rFonts w:asciiTheme="minorHAnsi" w:hAnsiTheme="minorHAnsi" w:cstheme="minorHAnsi"/>
          <w:sz w:val="24"/>
          <w:szCs w:val="24"/>
        </w:rPr>
        <w:t xml:space="preserve"> of this character, so much a part of the sacred landscape, </w:t>
      </w:r>
      <w:r w:rsidRPr="000B0590">
        <w:rPr>
          <w:rFonts w:asciiTheme="minorHAnsi" w:hAnsiTheme="minorHAnsi" w:cstheme="minorHAnsi"/>
          <w:sz w:val="24"/>
          <w:szCs w:val="24"/>
        </w:rPr>
        <w:t>is plausible as establishing a shift in Paphian religion.</w:t>
      </w:r>
      <w:r w:rsidR="0007206C" w:rsidRPr="000B0590">
        <w:rPr>
          <w:rStyle w:val="FootnoteReference"/>
          <w:rFonts w:asciiTheme="minorHAnsi" w:hAnsiTheme="minorHAnsi" w:cstheme="minorHAnsi"/>
          <w:sz w:val="24"/>
          <w:szCs w:val="24"/>
        </w:rPr>
        <w:footnoteReference w:id="126"/>
      </w:r>
      <w:r w:rsidRPr="000B0590">
        <w:rPr>
          <w:rFonts w:asciiTheme="minorHAnsi" w:hAnsiTheme="minorHAnsi" w:cstheme="minorHAnsi"/>
          <w:sz w:val="24"/>
          <w:szCs w:val="24"/>
        </w:rPr>
        <w:t xml:space="preserve"> </w:t>
      </w:r>
    </w:p>
    <w:p w14:paraId="4926720B" w14:textId="7D69B18F" w:rsidR="00B92DAB" w:rsidRPr="000B0590" w:rsidRDefault="002D1368"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i/>
          <w:iCs/>
          <w:noProof/>
          <w:sz w:val="24"/>
          <w:szCs w:val="24"/>
        </w:rPr>
        <w:drawing>
          <wp:anchor distT="0" distB="0" distL="114300" distR="114300" simplePos="0" relativeHeight="251666432" behindDoc="0" locked="0" layoutInCell="1" allowOverlap="1" wp14:anchorId="30BCAFA6" wp14:editId="11F226BD">
            <wp:simplePos x="0" y="0"/>
            <wp:positionH relativeFrom="margin">
              <wp:align>left</wp:align>
            </wp:positionH>
            <wp:positionV relativeFrom="paragraph">
              <wp:posOffset>-21484</wp:posOffset>
            </wp:positionV>
            <wp:extent cx="4172755" cy="2781837"/>
            <wp:effectExtent l="0" t="0" r="0" b="0"/>
            <wp:wrapSquare wrapText="bothSides"/>
            <wp:docPr id="4745055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72755" cy="27818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27E461" w14:textId="7BFC5EB9" w:rsidR="002D1368" w:rsidRPr="000B0590" w:rsidRDefault="002D1368" w:rsidP="002D1368">
      <w:pPr>
        <w:pStyle w:val="FootnoteText"/>
        <w:spacing w:after="120"/>
        <w:rPr>
          <w:rFonts w:asciiTheme="minorHAnsi" w:hAnsiTheme="minorHAnsi" w:cstheme="minorHAnsi"/>
          <w:sz w:val="24"/>
          <w:szCs w:val="24"/>
        </w:rPr>
      </w:pPr>
      <w:r w:rsidRPr="000B0590">
        <w:rPr>
          <w:rFonts w:asciiTheme="minorHAnsi" w:hAnsiTheme="minorHAnsi" w:cstheme="minorHAnsi"/>
          <w:i/>
          <w:iCs/>
          <w:sz w:val="24"/>
          <w:szCs w:val="24"/>
        </w:rPr>
        <w:t>A view over the Palaepaphos sanctuary</w:t>
      </w:r>
      <w:r w:rsidR="00737D79">
        <w:rPr>
          <w:rFonts w:asciiTheme="minorHAnsi" w:hAnsiTheme="minorHAnsi" w:cstheme="minorHAnsi"/>
          <w:i/>
          <w:iCs/>
          <w:sz w:val="24"/>
          <w:szCs w:val="24"/>
        </w:rPr>
        <w:t xml:space="preserve"> as it currently appears</w:t>
      </w:r>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127"/>
      </w:r>
    </w:p>
    <w:p w14:paraId="589C0D78" w14:textId="77777777" w:rsidR="002D1368" w:rsidRDefault="002D1368" w:rsidP="00F22994">
      <w:pPr>
        <w:pStyle w:val="FootnoteText"/>
        <w:spacing w:after="120" w:line="360" w:lineRule="auto"/>
        <w:rPr>
          <w:rFonts w:asciiTheme="minorHAnsi" w:hAnsiTheme="minorHAnsi" w:cstheme="minorHAnsi"/>
          <w:sz w:val="24"/>
          <w:szCs w:val="24"/>
        </w:rPr>
      </w:pPr>
    </w:p>
    <w:p w14:paraId="07E51DC5" w14:textId="77777777" w:rsidR="002D1368" w:rsidRDefault="002D1368" w:rsidP="00F22994">
      <w:pPr>
        <w:pStyle w:val="FootnoteText"/>
        <w:spacing w:after="120" w:line="360" w:lineRule="auto"/>
        <w:rPr>
          <w:rFonts w:asciiTheme="minorHAnsi" w:hAnsiTheme="minorHAnsi" w:cstheme="minorHAnsi"/>
          <w:sz w:val="24"/>
          <w:szCs w:val="24"/>
        </w:rPr>
      </w:pPr>
    </w:p>
    <w:p w14:paraId="3B97E11D" w14:textId="77777777" w:rsidR="002D1368" w:rsidRDefault="002D1368" w:rsidP="00F22994">
      <w:pPr>
        <w:pStyle w:val="FootnoteText"/>
        <w:spacing w:after="120" w:line="360" w:lineRule="auto"/>
        <w:rPr>
          <w:rFonts w:asciiTheme="minorHAnsi" w:hAnsiTheme="minorHAnsi" w:cstheme="minorHAnsi"/>
          <w:sz w:val="24"/>
          <w:szCs w:val="24"/>
        </w:rPr>
      </w:pPr>
    </w:p>
    <w:p w14:paraId="49877783" w14:textId="77777777" w:rsidR="002D1368" w:rsidRDefault="002D1368" w:rsidP="00F22994">
      <w:pPr>
        <w:pStyle w:val="FootnoteText"/>
        <w:spacing w:after="120" w:line="360" w:lineRule="auto"/>
        <w:rPr>
          <w:rFonts w:asciiTheme="minorHAnsi" w:hAnsiTheme="minorHAnsi" w:cstheme="minorHAnsi"/>
          <w:sz w:val="24"/>
          <w:szCs w:val="24"/>
        </w:rPr>
      </w:pPr>
    </w:p>
    <w:p w14:paraId="17FFA702" w14:textId="77777777" w:rsidR="00B96BEE" w:rsidRDefault="00B96BEE" w:rsidP="00F22994">
      <w:pPr>
        <w:pStyle w:val="FootnoteText"/>
        <w:spacing w:after="120" w:line="360" w:lineRule="auto"/>
        <w:rPr>
          <w:rFonts w:asciiTheme="minorHAnsi" w:hAnsiTheme="minorHAnsi" w:cstheme="minorHAnsi"/>
          <w:sz w:val="24"/>
          <w:szCs w:val="24"/>
        </w:rPr>
      </w:pPr>
    </w:p>
    <w:p w14:paraId="64B7F2E5" w14:textId="7A8A8E6C" w:rsidR="00B92DAB" w:rsidRPr="000B0590" w:rsidRDefault="00B92DAB"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In the present day it is difficult It is difficult for a visitor without </w:t>
      </w:r>
      <w:r w:rsidR="002D1368">
        <w:rPr>
          <w:rFonts w:asciiTheme="minorHAnsi" w:hAnsiTheme="minorHAnsi" w:cstheme="minorHAnsi"/>
          <w:sz w:val="24"/>
          <w:szCs w:val="24"/>
        </w:rPr>
        <w:t xml:space="preserve">a </w:t>
      </w:r>
      <w:r w:rsidRPr="000B0590">
        <w:rPr>
          <w:rFonts w:asciiTheme="minorHAnsi" w:hAnsiTheme="minorHAnsi" w:cstheme="minorHAnsi"/>
          <w:sz w:val="24"/>
          <w:szCs w:val="24"/>
        </w:rPr>
        <w:t xml:space="preserve">detailed </w:t>
      </w:r>
      <w:r w:rsidR="002D1368">
        <w:rPr>
          <w:rFonts w:asciiTheme="minorHAnsi" w:hAnsiTheme="minorHAnsi" w:cstheme="minorHAnsi"/>
          <w:sz w:val="24"/>
          <w:szCs w:val="24"/>
        </w:rPr>
        <w:t xml:space="preserve">archaeological </w:t>
      </w:r>
      <w:r w:rsidRPr="000B0590">
        <w:rPr>
          <w:rFonts w:asciiTheme="minorHAnsi" w:hAnsiTheme="minorHAnsi" w:cstheme="minorHAnsi"/>
          <w:sz w:val="24"/>
          <w:szCs w:val="24"/>
        </w:rPr>
        <w:t xml:space="preserve">guidebook to make sense of </w:t>
      </w:r>
      <w:r w:rsidR="002D1368">
        <w:rPr>
          <w:rFonts w:asciiTheme="minorHAnsi" w:hAnsiTheme="minorHAnsi" w:cstheme="minorHAnsi"/>
          <w:sz w:val="24"/>
          <w:szCs w:val="24"/>
        </w:rPr>
        <w:t>what seems ‘</w:t>
      </w:r>
      <w:r w:rsidRPr="000B0590">
        <w:rPr>
          <w:rFonts w:asciiTheme="minorHAnsi" w:hAnsiTheme="minorHAnsi" w:cstheme="minorHAnsi"/>
          <w:sz w:val="24"/>
          <w:szCs w:val="24"/>
        </w:rPr>
        <w:t>yet another incomprehensible ruin</w:t>
      </w:r>
      <w:r w:rsidR="002D1368">
        <w:rPr>
          <w:rFonts w:asciiTheme="minorHAnsi" w:hAnsiTheme="minorHAnsi" w:cstheme="minorHAnsi"/>
          <w:sz w:val="24"/>
          <w:szCs w:val="24"/>
        </w:rPr>
        <w:t>’</w:t>
      </w:r>
      <w:r w:rsidRPr="000B0590">
        <w:rPr>
          <w:rFonts w:asciiTheme="minorHAnsi" w:hAnsiTheme="minorHAnsi" w:cstheme="minorHAnsi"/>
          <w:sz w:val="24"/>
          <w:szCs w:val="24"/>
        </w:rPr>
        <w:t xml:space="preserve">. </w:t>
      </w:r>
      <w:r w:rsidR="002D1368">
        <w:rPr>
          <w:rFonts w:asciiTheme="minorHAnsi" w:hAnsiTheme="minorHAnsi" w:cstheme="minorHAnsi"/>
          <w:sz w:val="24"/>
          <w:szCs w:val="24"/>
        </w:rPr>
        <w:t>N</w:t>
      </w:r>
      <w:r w:rsidRPr="000B0590">
        <w:rPr>
          <w:rFonts w:asciiTheme="minorHAnsi" w:hAnsiTheme="minorHAnsi" w:cstheme="minorHAnsi"/>
          <w:sz w:val="24"/>
          <w:szCs w:val="24"/>
        </w:rPr>
        <w:t xml:space="preserve">either the Bronze Age remnants nor the broken columns of the Roman sanctuary rise up into former magnificence: the stones </w:t>
      </w:r>
      <w:r w:rsidR="00737D79">
        <w:rPr>
          <w:rFonts w:asciiTheme="minorHAnsi" w:hAnsiTheme="minorHAnsi" w:cstheme="minorHAnsi"/>
          <w:sz w:val="24"/>
          <w:szCs w:val="24"/>
        </w:rPr>
        <w:t xml:space="preserve">smashed and </w:t>
      </w:r>
      <w:r w:rsidRPr="000B0590">
        <w:rPr>
          <w:rFonts w:asciiTheme="minorHAnsi" w:hAnsiTheme="minorHAnsi" w:cstheme="minorHAnsi"/>
          <w:sz w:val="24"/>
          <w:szCs w:val="24"/>
        </w:rPr>
        <w:t xml:space="preserve">appropriated for houses, sugar-factory and church </w:t>
      </w:r>
      <w:r w:rsidRPr="000B0590">
        <w:rPr>
          <w:rFonts w:asciiTheme="minorHAnsi" w:hAnsiTheme="minorHAnsi" w:cstheme="minorHAnsi"/>
          <w:sz w:val="24"/>
          <w:szCs w:val="24"/>
        </w:rPr>
        <w:lastRenderedPageBreak/>
        <w:t>do not reassemble themselves. Nonetheless, much of the site still has a ‘sacred feel’: a frequent academic visitor writes of the site:</w:t>
      </w:r>
    </w:p>
    <w:p w14:paraId="7FEE2CEE" w14:textId="381E5889" w:rsidR="00B92DAB" w:rsidRPr="000B0590" w:rsidRDefault="00B92DAB" w:rsidP="000021B8">
      <w:pPr>
        <w:pStyle w:val="FootnoteText"/>
        <w:spacing w:after="120"/>
        <w:ind w:left="720"/>
        <w:rPr>
          <w:rFonts w:asciiTheme="minorHAnsi" w:hAnsiTheme="minorHAnsi" w:cstheme="minorHAnsi"/>
          <w:sz w:val="24"/>
          <w:szCs w:val="24"/>
        </w:rPr>
      </w:pPr>
      <w:r w:rsidRPr="000B0590">
        <w:rPr>
          <w:rFonts w:asciiTheme="minorHAnsi" w:hAnsiTheme="minorHAnsi" w:cstheme="minorHAnsi"/>
          <w:sz w:val="24"/>
          <w:szCs w:val="24"/>
        </w:rPr>
        <w:t>It never ceases to amaze me how I have observed the quiet respectful behaviour of other visitors. The almost empty space still manages to evoke an atmosphere of great antiquity and inspires and commands particular behaviour from those who visit.</w:t>
      </w:r>
      <w:r w:rsidRPr="000B0590">
        <w:rPr>
          <w:rStyle w:val="FootnoteReference"/>
          <w:rFonts w:asciiTheme="minorHAnsi" w:hAnsiTheme="minorHAnsi" w:cstheme="minorHAnsi"/>
          <w:sz w:val="24"/>
          <w:szCs w:val="24"/>
        </w:rPr>
        <w:footnoteReference w:id="128"/>
      </w:r>
    </w:p>
    <w:p w14:paraId="48C000BB" w14:textId="77777777" w:rsidR="002B7545" w:rsidRDefault="002B7545" w:rsidP="00F22994">
      <w:pPr>
        <w:pStyle w:val="FootnoteText"/>
        <w:spacing w:after="120" w:line="360" w:lineRule="auto"/>
        <w:rPr>
          <w:rFonts w:asciiTheme="minorHAnsi" w:hAnsiTheme="minorHAnsi" w:cstheme="minorHAnsi"/>
          <w:sz w:val="24"/>
          <w:szCs w:val="24"/>
        </w:rPr>
      </w:pPr>
    </w:p>
    <w:p w14:paraId="4B0CB60A" w14:textId="11C4DF87" w:rsidR="00B92DAB" w:rsidRDefault="00B92DAB" w:rsidP="00F22994">
      <w:pPr>
        <w:pStyle w:val="FootnoteText"/>
        <w:spacing w:after="120" w:line="360" w:lineRule="auto"/>
        <w:rPr>
          <w:sz w:val="24"/>
          <w:szCs w:val="24"/>
        </w:rPr>
      </w:pPr>
      <w:r w:rsidRPr="000B0590">
        <w:rPr>
          <w:rFonts w:asciiTheme="minorHAnsi" w:hAnsiTheme="minorHAnsi" w:cstheme="minorHAnsi"/>
          <w:sz w:val="24"/>
          <w:szCs w:val="24"/>
        </w:rPr>
        <w:t xml:space="preserve">Leaving behind the sad stones of the </w:t>
      </w:r>
      <w:r w:rsidR="000D4BFB" w:rsidRPr="000B0590">
        <w:rPr>
          <w:rFonts w:asciiTheme="minorHAnsi" w:hAnsiTheme="minorHAnsi" w:cstheme="minorHAnsi"/>
          <w:sz w:val="24"/>
          <w:szCs w:val="24"/>
        </w:rPr>
        <w:t xml:space="preserve">present-day </w:t>
      </w:r>
      <w:r w:rsidRPr="000B0590">
        <w:rPr>
          <w:rFonts w:asciiTheme="minorHAnsi" w:hAnsiTheme="minorHAnsi" w:cstheme="minorHAnsi"/>
          <w:sz w:val="24"/>
          <w:szCs w:val="24"/>
        </w:rPr>
        <w:t>the visitor proceeds to the museum situated in the Royal Manor House, a fine building of the 13</w:t>
      </w:r>
      <w:r w:rsidRPr="000B0590">
        <w:rPr>
          <w:rFonts w:asciiTheme="minorHAnsi" w:hAnsiTheme="minorHAnsi" w:cstheme="minorHAnsi"/>
          <w:sz w:val="24"/>
          <w:szCs w:val="24"/>
          <w:vertAlign w:val="superscript"/>
        </w:rPr>
        <w:t>th</w:t>
      </w:r>
      <w:r w:rsidRPr="000B0590">
        <w:rPr>
          <w:rFonts w:asciiTheme="minorHAnsi" w:hAnsiTheme="minorHAnsi" w:cstheme="minorHAnsi"/>
          <w:sz w:val="24"/>
          <w:szCs w:val="24"/>
        </w:rPr>
        <w:t xml:space="preserve"> century CE Lusignan period (though itself also of plundered stone). Here is the treasure of the site - the </w:t>
      </w:r>
      <w:r w:rsidR="008B2C5B" w:rsidRPr="000B0590">
        <w:rPr>
          <w:rFonts w:asciiTheme="minorHAnsi" w:hAnsiTheme="minorHAnsi" w:cstheme="minorHAnsi"/>
          <w:sz w:val="24"/>
          <w:szCs w:val="24"/>
        </w:rPr>
        <w:t xml:space="preserve">altar </w:t>
      </w:r>
      <w:r w:rsidRPr="000B0590">
        <w:rPr>
          <w:rFonts w:asciiTheme="minorHAnsi" w:hAnsiTheme="minorHAnsi" w:cstheme="minorHAnsi"/>
          <w:sz w:val="24"/>
          <w:szCs w:val="24"/>
        </w:rPr>
        <w:t>stone of Aphrodite honoured over two thousand years ago</w:t>
      </w:r>
      <w:r w:rsidR="000D4BFB" w:rsidRPr="000B0590">
        <w:rPr>
          <w:rFonts w:asciiTheme="minorHAnsi" w:hAnsiTheme="minorHAnsi" w:cstheme="minorHAnsi"/>
          <w:sz w:val="24"/>
          <w:szCs w:val="24"/>
        </w:rPr>
        <w:t>, unearthed from a pit in 1913.</w:t>
      </w:r>
      <w:r w:rsidR="000D4BFB" w:rsidRPr="000B0590">
        <w:rPr>
          <w:rStyle w:val="FootnoteReference"/>
          <w:rFonts w:asciiTheme="minorHAnsi" w:hAnsiTheme="minorHAnsi" w:cstheme="minorHAnsi"/>
          <w:sz w:val="24"/>
          <w:szCs w:val="24"/>
        </w:rPr>
        <w:footnoteReference w:id="129"/>
      </w:r>
      <w:r w:rsidRPr="000B0590">
        <w:rPr>
          <w:rFonts w:asciiTheme="minorHAnsi" w:hAnsiTheme="minorHAnsi" w:cstheme="minorHAnsi"/>
          <w:sz w:val="24"/>
          <w:szCs w:val="24"/>
        </w:rPr>
        <w:t>. It is reasonable to presume that the priesthood of the temple buried the stone after the Theodosian proscription in order that it did not suffer the destruction and disfigurement afforded to most Pagan statues.</w:t>
      </w:r>
      <w:r w:rsidRPr="000B0590">
        <w:rPr>
          <w:rStyle w:val="FootnoteReference"/>
          <w:rFonts w:asciiTheme="minorHAnsi" w:hAnsiTheme="minorHAnsi" w:cstheme="minorHAnsi"/>
          <w:sz w:val="24"/>
          <w:szCs w:val="24"/>
        </w:rPr>
        <w:footnoteReference w:id="130"/>
      </w:r>
      <w:r w:rsidRPr="000B0590">
        <w:rPr>
          <w:rFonts w:asciiTheme="minorHAnsi" w:hAnsiTheme="minorHAnsi" w:cstheme="minorHAnsi"/>
          <w:sz w:val="24"/>
          <w:szCs w:val="24"/>
        </w:rPr>
        <w:t xml:space="preserve"> </w:t>
      </w:r>
      <w:r w:rsidR="000D4BFB" w:rsidRPr="000B0590">
        <w:rPr>
          <w:rFonts w:asciiTheme="minorHAnsi" w:hAnsiTheme="minorHAnsi" w:cstheme="minorHAnsi"/>
          <w:sz w:val="24"/>
          <w:szCs w:val="24"/>
        </w:rPr>
        <w:t xml:space="preserve">When the museum guard steps out for air or smoke, a visitor can even touch it, </w:t>
      </w:r>
      <w:r w:rsidR="00184B64" w:rsidRPr="000B0590">
        <w:rPr>
          <w:rFonts w:asciiTheme="minorHAnsi" w:hAnsiTheme="minorHAnsi" w:cstheme="minorHAnsi"/>
          <w:sz w:val="24"/>
          <w:szCs w:val="24"/>
        </w:rPr>
        <w:t xml:space="preserve">though perhaps not anoint it with oil as </w:t>
      </w:r>
      <w:r w:rsidR="00E67528" w:rsidRPr="000B0590">
        <w:rPr>
          <w:rFonts w:asciiTheme="minorHAnsi" w:hAnsiTheme="minorHAnsi" w:cstheme="minorHAnsi"/>
          <w:sz w:val="24"/>
          <w:szCs w:val="24"/>
        </w:rPr>
        <w:t>claimed for ancient practice.</w:t>
      </w:r>
      <w:r w:rsidR="00AB0D38" w:rsidRPr="000B0590">
        <w:rPr>
          <w:rStyle w:val="FootnoteReference"/>
          <w:rFonts w:asciiTheme="minorHAnsi" w:hAnsiTheme="minorHAnsi" w:cstheme="minorHAnsi"/>
          <w:sz w:val="24"/>
          <w:szCs w:val="24"/>
        </w:rPr>
        <w:footnoteReference w:id="131"/>
      </w:r>
      <w:r w:rsidR="00E67528" w:rsidRPr="000B0590">
        <w:rPr>
          <w:sz w:val="24"/>
          <w:szCs w:val="24"/>
        </w:rPr>
        <w:t xml:space="preserve"> </w:t>
      </w:r>
    </w:p>
    <w:p w14:paraId="5283239E" w14:textId="77777777" w:rsidR="008264A4" w:rsidRDefault="008264A4" w:rsidP="00F22994">
      <w:pPr>
        <w:pStyle w:val="FootnoteText"/>
        <w:spacing w:after="120" w:line="360" w:lineRule="auto"/>
        <w:rPr>
          <w:sz w:val="24"/>
          <w:szCs w:val="24"/>
        </w:rPr>
      </w:pPr>
    </w:p>
    <w:p w14:paraId="5C8E9F1E" w14:textId="77777777" w:rsidR="008264A4" w:rsidRDefault="008264A4" w:rsidP="008264A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 xml:space="preserve">It is clear that the Syrian Goddess Astarte was closely linked to the veneration of the baetyl, </w:t>
      </w:r>
      <w:r>
        <w:rPr>
          <w:rFonts w:asciiTheme="minorHAnsi" w:hAnsiTheme="minorHAnsi" w:cstheme="minorHAnsi"/>
          <w:sz w:val="24"/>
          <w:szCs w:val="24"/>
        </w:rPr>
        <w:t xml:space="preserve">such </w:t>
      </w:r>
      <w:r w:rsidRPr="000B0590">
        <w:rPr>
          <w:rFonts w:asciiTheme="minorHAnsi" w:hAnsiTheme="minorHAnsi" w:cstheme="minorHAnsi"/>
          <w:sz w:val="24"/>
          <w:szCs w:val="24"/>
        </w:rPr>
        <w:t xml:space="preserve">stones often considered to have fallen from the sky - that is, they were meteorites, a view endorsed </w:t>
      </w:r>
      <w:r>
        <w:rPr>
          <w:rFonts w:asciiTheme="minorHAnsi" w:hAnsiTheme="minorHAnsi" w:cstheme="minorHAnsi"/>
          <w:sz w:val="24"/>
          <w:szCs w:val="24"/>
        </w:rPr>
        <w:t xml:space="preserve">explicitly </w:t>
      </w:r>
      <w:r w:rsidRPr="000B0590">
        <w:rPr>
          <w:rFonts w:asciiTheme="minorHAnsi" w:hAnsiTheme="minorHAnsi" w:cstheme="minorHAnsi"/>
          <w:sz w:val="24"/>
          <w:szCs w:val="24"/>
        </w:rPr>
        <w:t>by Antoniadi.</w:t>
      </w:r>
      <w:r w:rsidRPr="000B0590">
        <w:rPr>
          <w:rStyle w:val="FootnoteReference"/>
          <w:rFonts w:asciiTheme="minorHAnsi" w:hAnsiTheme="minorHAnsi" w:cstheme="minorHAnsi"/>
          <w:sz w:val="24"/>
          <w:szCs w:val="24"/>
        </w:rPr>
        <w:footnoteReference w:id="132"/>
      </w:r>
      <w:r w:rsidRPr="000B0590">
        <w:rPr>
          <w:rFonts w:asciiTheme="minorHAnsi" w:hAnsiTheme="minorHAnsi" w:cstheme="minorHAnsi"/>
          <w:sz w:val="24"/>
          <w:szCs w:val="24"/>
        </w:rPr>
        <w:t xml:space="preserve"> </w:t>
      </w:r>
      <w:proofErr w:type="spellStart"/>
      <w:r w:rsidRPr="000B0590">
        <w:rPr>
          <w:rFonts w:asciiTheme="minorHAnsi" w:hAnsiTheme="minorHAnsi" w:cstheme="minorHAnsi"/>
          <w:sz w:val="24"/>
          <w:szCs w:val="24"/>
        </w:rPr>
        <w:t>Flourentzos</w:t>
      </w:r>
      <w:proofErr w:type="spellEnd"/>
      <w:r w:rsidRPr="000B0590">
        <w:rPr>
          <w:rFonts w:asciiTheme="minorHAnsi" w:hAnsiTheme="minorHAnsi" w:cstheme="minorHAnsi"/>
          <w:sz w:val="24"/>
          <w:szCs w:val="24"/>
        </w:rPr>
        <w:t xml:space="preserve"> cites the myth of Astarte - daughter of </w:t>
      </w:r>
      <w:r w:rsidRPr="000B0590">
        <w:rPr>
          <w:rFonts w:asciiTheme="minorHAnsi" w:hAnsiTheme="minorHAnsi" w:cstheme="minorHAnsi"/>
          <w:sz w:val="24"/>
          <w:szCs w:val="24"/>
        </w:rPr>
        <w:lastRenderedPageBreak/>
        <w:t>Sky and Earth - finding a fallen star, and consecrating it at Tyre.</w:t>
      </w:r>
      <w:r w:rsidRPr="000B0590">
        <w:rPr>
          <w:rStyle w:val="FootnoteReference"/>
          <w:rFonts w:asciiTheme="minorHAnsi" w:hAnsiTheme="minorHAnsi" w:cstheme="minorHAnsi"/>
          <w:sz w:val="24"/>
          <w:szCs w:val="24"/>
        </w:rPr>
        <w:footnoteReference w:id="133"/>
      </w:r>
      <w:r w:rsidRPr="000B0590">
        <w:rPr>
          <w:rFonts w:asciiTheme="minorHAnsi" w:hAnsiTheme="minorHAnsi" w:cstheme="minorHAnsi"/>
          <w:sz w:val="24"/>
          <w:szCs w:val="24"/>
        </w:rPr>
        <w:t xml:space="preserve"> More recently, it has been questioned whether the </w:t>
      </w:r>
      <w:r>
        <w:rPr>
          <w:rFonts w:asciiTheme="minorHAnsi" w:hAnsiTheme="minorHAnsi" w:cstheme="minorHAnsi"/>
          <w:sz w:val="24"/>
          <w:szCs w:val="24"/>
        </w:rPr>
        <w:t xml:space="preserve">Paphos </w:t>
      </w:r>
      <w:r w:rsidRPr="000B0590">
        <w:rPr>
          <w:rFonts w:asciiTheme="minorHAnsi" w:hAnsiTheme="minorHAnsi" w:cstheme="minorHAnsi"/>
          <w:sz w:val="24"/>
          <w:szCs w:val="24"/>
        </w:rPr>
        <w:t xml:space="preserve">stone is actually a meteorite: </w:t>
      </w:r>
      <w:proofErr w:type="spellStart"/>
      <w:r w:rsidRPr="000B0590">
        <w:rPr>
          <w:rFonts w:asciiTheme="minorHAnsi" w:hAnsiTheme="minorHAnsi" w:cstheme="minorHAnsi"/>
          <w:sz w:val="24"/>
          <w:szCs w:val="24"/>
        </w:rPr>
        <w:t>Kassanidou</w:t>
      </w:r>
      <w:proofErr w:type="spellEnd"/>
      <w:r w:rsidRPr="000B0590">
        <w:rPr>
          <w:rFonts w:asciiTheme="minorHAnsi" w:hAnsiTheme="minorHAnsi" w:cstheme="minorHAnsi"/>
          <w:sz w:val="24"/>
          <w:szCs w:val="24"/>
        </w:rPr>
        <w:t xml:space="preserve"> argues that it is diabase, brought down from Troodos by the river, but there has been no scientific examination.</w:t>
      </w:r>
      <w:r w:rsidRPr="000B0590">
        <w:rPr>
          <w:rStyle w:val="FootnoteReference"/>
          <w:rFonts w:asciiTheme="minorHAnsi" w:hAnsiTheme="minorHAnsi" w:cstheme="minorHAnsi"/>
          <w:sz w:val="24"/>
          <w:szCs w:val="24"/>
        </w:rPr>
        <w:footnoteReference w:id="134"/>
      </w:r>
      <w:r>
        <w:rPr>
          <w:rFonts w:asciiTheme="minorHAnsi" w:hAnsiTheme="minorHAnsi" w:cstheme="minorHAnsi"/>
          <w:sz w:val="24"/>
          <w:szCs w:val="24"/>
        </w:rPr>
        <w:t xml:space="preserve"> Nonetheless, a</w:t>
      </w:r>
      <w:r w:rsidRPr="000B0590">
        <w:rPr>
          <w:rFonts w:asciiTheme="minorHAnsi" w:hAnsiTheme="minorHAnsi" w:cstheme="minorHAnsi"/>
          <w:sz w:val="24"/>
          <w:szCs w:val="24"/>
        </w:rPr>
        <w:t xml:space="preserve"> gift from the Mountain Mother </w:t>
      </w:r>
      <w:r>
        <w:rPr>
          <w:rFonts w:asciiTheme="minorHAnsi" w:hAnsiTheme="minorHAnsi" w:cstheme="minorHAnsi"/>
          <w:sz w:val="24"/>
          <w:szCs w:val="24"/>
        </w:rPr>
        <w:t xml:space="preserve">may be seen as no </w:t>
      </w:r>
      <w:r w:rsidRPr="000B0590">
        <w:rPr>
          <w:rFonts w:asciiTheme="minorHAnsi" w:hAnsiTheme="minorHAnsi" w:cstheme="minorHAnsi"/>
          <w:sz w:val="24"/>
          <w:szCs w:val="24"/>
        </w:rPr>
        <w:t>less sacred than one from the Sky Goddess.</w:t>
      </w:r>
    </w:p>
    <w:p w14:paraId="007A7CBD" w14:textId="77777777" w:rsidR="002B7545" w:rsidRDefault="002B7545" w:rsidP="008264A4">
      <w:pPr>
        <w:pStyle w:val="FootnoteText"/>
        <w:spacing w:after="120" w:line="360" w:lineRule="auto"/>
        <w:rPr>
          <w:rFonts w:asciiTheme="minorHAnsi" w:hAnsiTheme="minorHAnsi" w:cstheme="minorHAnsi"/>
          <w:sz w:val="24"/>
          <w:szCs w:val="24"/>
        </w:rPr>
      </w:pPr>
    </w:p>
    <w:p w14:paraId="42E94EC9" w14:textId="77777777" w:rsidR="002B7545" w:rsidRPr="000B0590" w:rsidRDefault="002B7545" w:rsidP="00B96BEE">
      <w:pPr>
        <w:pStyle w:val="FootnoteText"/>
        <w:spacing w:line="360" w:lineRule="auto"/>
        <w:rPr>
          <w:rFonts w:asciiTheme="minorHAnsi" w:hAnsiTheme="minorHAnsi" w:cstheme="minorHAnsi"/>
          <w:sz w:val="24"/>
          <w:szCs w:val="24"/>
        </w:rPr>
      </w:pPr>
      <w:r w:rsidRPr="000B0590">
        <w:rPr>
          <w:rFonts w:asciiTheme="minorHAnsi" w:hAnsiTheme="minorHAnsi" w:cstheme="minorHAnsi"/>
          <w:sz w:val="24"/>
          <w:szCs w:val="24"/>
        </w:rPr>
        <w:t xml:space="preserve">Tacitus provides the best-known description of the Paphos stone: </w:t>
      </w:r>
    </w:p>
    <w:p w14:paraId="0B804F3D" w14:textId="77777777" w:rsidR="002B7545" w:rsidRPr="000B0590" w:rsidRDefault="002B7545" w:rsidP="002B7545">
      <w:pPr>
        <w:pStyle w:val="FootnoteText"/>
        <w:spacing w:after="120"/>
        <w:ind w:left="720"/>
        <w:rPr>
          <w:rFonts w:asciiTheme="minorHAnsi" w:hAnsiTheme="minorHAnsi" w:cstheme="minorHAnsi"/>
          <w:sz w:val="24"/>
          <w:szCs w:val="24"/>
        </w:rPr>
      </w:pPr>
      <w:r w:rsidRPr="000B0590">
        <w:rPr>
          <w:rFonts w:asciiTheme="minorHAnsi" w:hAnsiTheme="minorHAnsi" w:cstheme="minorHAnsi"/>
          <w:sz w:val="24"/>
          <w:szCs w:val="24"/>
        </w:rPr>
        <w:t>It is forbidden to pour blood on the altar; the place of sacrifice is served only with prayers and pure flame, and though it stands in the open air, it is never wet with rain. The image of the goddess does not bear the human shape; it is a rounded mass rising like a cone from a broad base to a small circumference. The meaning of this is doubtful.</w:t>
      </w:r>
      <w:r w:rsidRPr="000B0590">
        <w:rPr>
          <w:rStyle w:val="FootnoteReference"/>
          <w:rFonts w:asciiTheme="minorHAnsi" w:hAnsiTheme="minorHAnsi" w:cstheme="minorHAnsi"/>
          <w:sz w:val="24"/>
          <w:szCs w:val="24"/>
        </w:rPr>
        <w:footnoteReference w:id="135"/>
      </w:r>
    </w:p>
    <w:p w14:paraId="546C7EF2" w14:textId="684411EA" w:rsidR="002B7545" w:rsidRPr="000B0590" w:rsidRDefault="002B7545" w:rsidP="002B7545">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The appearance of the altar during later Roman times is known from sundry coin</w:t>
      </w:r>
      <w:r>
        <w:rPr>
          <w:rFonts w:asciiTheme="minorHAnsi" w:hAnsiTheme="minorHAnsi" w:cstheme="minorHAnsi"/>
          <w:sz w:val="24"/>
          <w:szCs w:val="24"/>
        </w:rPr>
        <w:t>s</w:t>
      </w:r>
      <w:r w:rsidRPr="000B0590">
        <w:rPr>
          <w:rFonts w:asciiTheme="minorHAnsi" w:hAnsiTheme="minorHAnsi" w:cstheme="minorHAnsi"/>
          <w:sz w:val="24"/>
          <w:szCs w:val="24"/>
        </w:rPr>
        <w:t xml:space="preserve">, housed in a tripartite shrine perhaps with some sort of canopy above, providing its celebrated </w:t>
      </w:r>
      <w:proofErr w:type="spellStart"/>
      <w:r w:rsidRPr="000B0590">
        <w:rPr>
          <w:rFonts w:asciiTheme="minorHAnsi" w:hAnsiTheme="minorHAnsi" w:cstheme="minorHAnsi"/>
          <w:sz w:val="24"/>
          <w:szCs w:val="24"/>
        </w:rPr>
        <w:t>unwettability</w:t>
      </w:r>
      <w:proofErr w:type="spellEnd"/>
      <w:r w:rsidRPr="000B0590">
        <w:rPr>
          <w:rFonts w:asciiTheme="minorHAnsi" w:hAnsiTheme="minorHAnsi" w:cstheme="minorHAnsi"/>
          <w:sz w:val="24"/>
          <w:szCs w:val="24"/>
        </w:rPr>
        <w:t>.</w:t>
      </w:r>
      <w:r w:rsidRPr="000B0590">
        <w:rPr>
          <w:rStyle w:val="FootnoteReference"/>
          <w:rFonts w:asciiTheme="minorHAnsi" w:hAnsiTheme="minorHAnsi" w:cstheme="minorHAnsi"/>
          <w:sz w:val="24"/>
          <w:szCs w:val="24"/>
        </w:rPr>
        <w:footnoteReference w:id="136"/>
      </w:r>
      <w:r w:rsidRPr="000B0590">
        <w:rPr>
          <w:rFonts w:asciiTheme="minorHAnsi" w:hAnsiTheme="minorHAnsi" w:cstheme="minorHAnsi"/>
          <w:sz w:val="24"/>
          <w:szCs w:val="24"/>
        </w:rPr>
        <w:t xml:space="preserve"> Recent excavations elsewhere in Cyprus have brought to light several clay </w:t>
      </w:r>
      <w:proofErr w:type="spellStart"/>
      <w:r w:rsidRPr="000B0590">
        <w:rPr>
          <w:rFonts w:asciiTheme="minorHAnsi" w:hAnsiTheme="minorHAnsi" w:cstheme="minorHAnsi"/>
          <w:i/>
          <w:iCs/>
          <w:sz w:val="24"/>
          <w:szCs w:val="24"/>
        </w:rPr>
        <w:t>naiskoi</w:t>
      </w:r>
      <w:proofErr w:type="spellEnd"/>
      <w:r w:rsidRPr="000B0590">
        <w:rPr>
          <w:rFonts w:asciiTheme="minorHAnsi" w:hAnsiTheme="minorHAnsi" w:cstheme="minorHAnsi"/>
          <w:sz w:val="24"/>
          <w:szCs w:val="24"/>
        </w:rPr>
        <w:t xml:space="preserve"> (portable shrines) with similar aniconic central images.</w:t>
      </w:r>
      <w:r w:rsidRPr="000B0590">
        <w:rPr>
          <w:rStyle w:val="FootnoteReference"/>
          <w:rFonts w:asciiTheme="minorHAnsi" w:hAnsiTheme="minorHAnsi" w:cstheme="minorHAnsi"/>
          <w:sz w:val="24"/>
          <w:szCs w:val="24"/>
        </w:rPr>
        <w:footnoteReference w:id="137"/>
      </w:r>
    </w:p>
    <w:p w14:paraId="5E502005" w14:textId="0C35D210" w:rsidR="002B7545" w:rsidRDefault="002B7545" w:rsidP="008264A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noProof/>
          <w:sz w:val="24"/>
          <w:szCs w:val="24"/>
        </w:rPr>
        <w:lastRenderedPageBreak/>
        <w:drawing>
          <wp:anchor distT="0" distB="0" distL="114300" distR="114300" simplePos="0" relativeHeight="251664384" behindDoc="0" locked="0" layoutInCell="1" allowOverlap="1" wp14:anchorId="346D8E19" wp14:editId="741B4F61">
            <wp:simplePos x="0" y="0"/>
            <wp:positionH relativeFrom="margin">
              <wp:align>left</wp:align>
            </wp:positionH>
            <wp:positionV relativeFrom="paragraph">
              <wp:posOffset>97808</wp:posOffset>
            </wp:positionV>
            <wp:extent cx="3909695" cy="3520440"/>
            <wp:effectExtent l="0" t="0" r="0" b="3810"/>
            <wp:wrapSquare wrapText="bothSides"/>
            <wp:docPr id="926110885" name="Picture 2" descr="A rock on a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10885" name="Picture 2" descr="A rock on a stand&#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b="9947"/>
                    <a:stretch>
                      <a:fillRect/>
                    </a:stretch>
                  </pic:blipFill>
                  <pic:spPr bwMode="auto">
                    <a:xfrm>
                      <a:off x="0" y="0"/>
                      <a:ext cx="3909695" cy="35204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DC1434" w14:textId="4A146A10" w:rsidR="008264A4" w:rsidRPr="000B0590" w:rsidRDefault="008264A4" w:rsidP="00F22994">
      <w:pPr>
        <w:pStyle w:val="FootnoteText"/>
        <w:spacing w:after="120" w:line="360" w:lineRule="auto"/>
        <w:rPr>
          <w:rFonts w:asciiTheme="minorHAnsi" w:hAnsiTheme="minorHAnsi" w:cstheme="minorHAnsi"/>
          <w:sz w:val="24"/>
          <w:szCs w:val="24"/>
        </w:rPr>
      </w:pPr>
    </w:p>
    <w:p w14:paraId="41B068C9" w14:textId="485CDB81" w:rsidR="00B92DAB" w:rsidRPr="000B0590" w:rsidRDefault="00B92DAB" w:rsidP="00F22994">
      <w:pPr>
        <w:pStyle w:val="FootnoteText"/>
        <w:spacing w:after="120" w:line="360" w:lineRule="auto"/>
        <w:rPr>
          <w:rFonts w:asciiTheme="minorHAnsi" w:hAnsiTheme="minorHAnsi" w:cstheme="minorHAnsi"/>
          <w:sz w:val="24"/>
          <w:szCs w:val="24"/>
        </w:rPr>
      </w:pPr>
    </w:p>
    <w:p w14:paraId="27B0C7FB"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43F49D4F" w14:textId="77777777" w:rsidR="00B92DAB" w:rsidRPr="000B0590" w:rsidRDefault="00B92DAB" w:rsidP="002D1368">
      <w:pPr>
        <w:pStyle w:val="FootnoteText"/>
        <w:spacing w:after="120"/>
        <w:rPr>
          <w:rFonts w:asciiTheme="minorHAnsi" w:hAnsiTheme="minorHAnsi" w:cstheme="minorHAnsi"/>
          <w:sz w:val="24"/>
          <w:szCs w:val="24"/>
        </w:rPr>
      </w:pPr>
      <w:r w:rsidRPr="000B0590">
        <w:rPr>
          <w:rFonts w:asciiTheme="minorHAnsi" w:hAnsiTheme="minorHAnsi" w:cstheme="minorHAnsi"/>
          <w:i/>
          <w:iCs/>
          <w:sz w:val="24"/>
          <w:szCs w:val="24"/>
        </w:rPr>
        <w:t xml:space="preserve">The aniconic altar stone of Aphrodite, now in the </w:t>
      </w:r>
      <w:proofErr w:type="spellStart"/>
      <w:r w:rsidRPr="000B0590">
        <w:rPr>
          <w:rFonts w:asciiTheme="minorHAnsi" w:hAnsiTheme="minorHAnsi" w:cstheme="minorHAnsi"/>
          <w:i/>
          <w:iCs/>
          <w:sz w:val="24"/>
          <w:szCs w:val="24"/>
        </w:rPr>
        <w:t>Kouklia</w:t>
      </w:r>
      <w:proofErr w:type="spellEnd"/>
      <w:r w:rsidRPr="000B0590">
        <w:rPr>
          <w:rFonts w:asciiTheme="minorHAnsi" w:hAnsiTheme="minorHAnsi" w:cstheme="minorHAnsi"/>
          <w:i/>
          <w:iCs/>
          <w:sz w:val="24"/>
          <w:szCs w:val="24"/>
        </w:rPr>
        <w:t xml:space="preserve"> Museum</w:t>
      </w:r>
      <w:r w:rsidRPr="000B0590">
        <w:rPr>
          <w:rStyle w:val="FootnoteReference"/>
          <w:rFonts w:asciiTheme="minorHAnsi" w:hAnsiTheme="minorHAnsi" w:cstheme="minorHAnsi"/>
          <w:sz w:val="24"/>
          <w:szCs w:val="24"/>
        </w:rPr>
        <w:footnoteReference w:id="138"/>
      </w:r>
      <w:r w:rsidRPr="000B0590">
        <w:rPr>
          <w:rFonts w:asciiTheme="minorHAnsi" w:hAnsiTheme="minorHAnsi" w:cstheme="minorHAnsi"/>
          <w:sz w:val="24"/>
          <w:szCs w:val="24"/>
        </w:rPr>
        <w:t xml:space="preserve"> </w:t>
      </w:r>
    </w:p>
    <w:p w14:paraId="1A43B139"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31F2A329"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446A325D"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391AE4CA" w14:textId="77777777" w:rsidR="00B92DAB" w:rsidRDefault="00B92DAB" w:rsidP="00F22994">
      <w:pPr>
        <w:pStyle w:val="FootnoteText"/>
        <w:spacing w:after="120" w:line="360" w:lineRule="auto"/>
        <w:rPr>
          <w:rFonts w:asciiTheme="minorHAnsi" w:hAnsiTheme="minorHAnsi" w:cstheme="minorHAnsi"/>
          <w:sz w:val="24"/>
          <w:szCs w:val="24"/>
        </w:rPr>
      </w:pPr>
    </w:p>
    <w:p w14:paraId="59ADC8ED" w14:textId="77777777" w:rsidR="002D1368" w:rsidRDefault="002D1368" w:rsidP="00F22994">
      <w:pPr>
        <w:pStyle w:val="FootnoteText"/>
        <w:spacing w:after="120" w:line="360" w:lineRule="auto"/>
        <w:rPr>
          <w:rFonts w:asciiTheme="minorHAnsi" w:hAnsiTheme="minorHAnsi" w:cstheme="minorHAnsi"/>
          <w:sz w:val="24"/>
          <w:szCs w:val="24"/>
        </w:rPr>
      </w:pPr>
    </w:p>
    <w:p w14:paraId="4FD87B3E" w14:textId="77777777" w:rsidR="002B7545" w:rsidRDefault="002B7545" w:rsidP="002B7545">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Tacitus’ bafflement remains. There is no evidence that the stone has been in place since the earliest sanctuary,</w:t>
      </w:r>
      <w:r w:rsidRPr="000B0590">
        <w:rPr>
          <w:rStyle w:val="FootnoteReference"/>
          <w:rFonts w:asciiTheme="minorHAnsi" w:hAnsiTheme="minorHAnsi" w:cstheme="minorHAnsi"/>
          <w:sz w:val="24"/>
          <w:szCs w:val="24"/>
        </w:rPr>
        <w:footnoteReference w:id="139"/>
      </w:r>
      <w:r w:rsidRPr="000B0590">
        <w:rPr>
          <w:rFonts w:asciiTheme="minorHAnsi" w:hAnsiTheme="minorHAnsi" w:cstheme="minorHAnsi"/>
          <w:sz w:val="24"/>
          <w:szCs w:val="24"/>
        </w:rPr>
        <w:t xml:space="preserve"> but nor is there anything to indicate significant religious shift away from anthropomorphic imagery over the period through the Iron Age and into Roman occupation. On the one hand </w:t>
      </w:r>
      <w:proofErr w:type="spellStart"/>
      <w:r w:rsidRPr="000B0590">
        <w:rPr>
          <w:rFonts w:asciiTheme="minorHAnsi" w:hAnsiTheme="minorHAnsi" w:cstheme="minorHAnsi"/>
          <w:sz w:val="24"/>
          <w:szCs w:val="24"/>
        </w:rPr>
        <w:t>aniconicity</w:t>
      </w:r>
      <w:proofErr w:type="spellEnd"/>
      <w:r w:rsidRPr="000B0590">
        <w:rPr>
          <w:rFonts w:asciiTheme="minorHAnsi" w:hAnsiTheme="minorHAnsi" w:cstheme="minorHAnsi"/>
          <w:sz w:val="24"/>
          <w:szCs w:val="24"/>
        </w:rPr>
        <w:t xml:space="preserve"> is considered a Levantine concept, thoroughly un-Greek, corresponding to the Biblical prohibition of ‘graven images’,</w:t>
      </w:r>
      <w:r w:rsidRPr="000B0590">
        <w:rPr>
          <w:rStyle w:val="FootnoteReference"/>
          <w:rFonts w:asciiTheme="minorHAnsi" w:hAnsiTheme="minorHAnsi" w:cstheme="minorHAnsi"/>
          <w:sz w:val="24"/>
          <w:szCs w:val="24"/>
        </w:rPr>
        <w:footnoteReference w:id="140"/>
      </w:r>
      <w:r w:rsidRPr="000B0590">
        <w:rPr>
          <w:rFonts w:asciiTheme="minorHAnsi" w:hAnsiTheme="minorHAnsi" w:cstheme="minorHAnsi"/>
          <w:sz w:val="24"/>
          <w:szCs w:val="24"/>
        </w:rPr>
        <w:t xml:space="preserve"> and hence ‘morally approved’; on the other hand, with Hellenic art considered foundational to ‘western culture’, </w:t>
      </w:r>
      <w:proofErr w:type="spellStart"/>
      <w:r w:rsidRPr="000B0590">
        <w:rPr>
          <w:rFonts w:asciiTheme="minorHAnsi" w:hAnsiTheme="minorHAnsi" w:cstheme="minorHAnsi"/>
          <w:sz w:val="24"/>
          <w:szCs w:val="24"/>
        </w:rPr>
        <w:t>aniconicity</w:t>
      </w:r>
      <w:proofErr w:type="spellEnd"/>
      <w:r w:rsidRPr="000B0590">
        <w:rPr>
          <w:rFonts w:asciiTheme="minorHAnsi" w:hAnsiTheme="minorHAnsi" w:cstheme="minorHAnsi"/>
          <w:sz w:val="24"/>
          <w:szCs w:val="24"/>
        </w:rPr>
        <w:t xml:space="preserve"> is readily deemed ‘primitive’.</w:t>
      </w:r>
      <w:r>
        <w:rPr>
          <w:rStyle w:val="FootnoteReference"/>
          <w:rFonts w:asciiTheme="minorHAnsi" w:hAnsiTheme="minorHAnsi" w:cstheme="minorHAnsi"/>
          <w:sz w:val="24"/>
          <w:szCs w:val="24"/>
        </w:rPr>
        <w:footnoteReference w:id="141"/>
      </w:r>
      <w:r w:rsidRPr="000B0590">
        <w:rPr>
          <w:rFonts w:asciiTheme="minorHAnsi" w:hAnsiTheme="minorHAnsi" w:cstheme="minorHAnsi"/>
          <w:sz w:val="24"/>
          <w:szCs w:val="24"/>
        </w:rPr>
        <w:t xml:space="preserve"> </w:t>
      </w:r>
    </w:p>
    <w:p w14:paraId="0F3507A5" w14:textId="74B5B2D0" w:rsidR="002D1368" w:rsidRDefault="002D1368" w:rsidP="00755A83">
      <w:pPr>
        <w:pStyle w:val="FootnoteText"/>
        <w:spacing w:after="120"/>
        <w:rPr>
          <w:rFonts w:asciiTheme="minorHAnsi" w:hAnsiTheme="minorHAnsi" w:cstheme="minorHAnsi"/>
          <w:i/>
          <w:iCs/>
          <w:sz w:val="24"/>
          <w:szCs w:val="24"/>
        </w:rPr>
      </w:pPr>
      <w:r w:rsidRPr="000B0590">
        <w:rPr>
          <w:rFonts w:asciiTheme="minorHAnsi" w:hAnsiTheme="minorHAnsi" w:cstheme="minorHAnsi"/>
          <w:noProof/>
          <w:sz w:val="24"/>
          <w:szCs w:val="24"/>
        </w:rPr>
        <w:lastRenderedPageBreak/>
        <w:drawing>
          <wp:anchor distT="0" distB="0" distL="114300" distR="114300" simplePos="0" relativeHeight="251665408" behindDoc="0" locked="0" layoutInCell="1" allowOverlap="1" wp14:anchorId="60C511E5" wp14:editId="7999C07B">
            <wp:simplePos x="0" y="0"/>
            <wp:positionH relativeFrom="margin">
              <wp:align>left</wp:align>
            </wp:positionH>
            <wp:positionV relativeFrom="paragraph">
              <wp:posOffset>5648</wp:posOffset>
            </wp:positionV>
            <wp:extent cx="3072130" cy="3062605"/>
            <wp:effectExtent l="0" t="0" r="0" b="4445"/>
            <wp:wrapSquare wrapText="bothSides"/>
            <wp:docPr id="210430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72130" cy="30626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534014" w14:textId="1A7A36AE" w:rsidR="00B92DAB" w:rsidRPr="000B0590" w:rsidRDefault="00B92DAB" w:rsidP="00755A83">
      <w:pPr>
        <w:pStyle w:val="FootnoteText"/>
        <w:spacing w:after="120"/>
        <w:rPr>
          <w:rFonts w:asciiTheme="minorHAnsi" w:hAnsiTheme="minorHAnsi" w:cstheme="minorHAnsi"/>
          <w:i/>
          <w:iCs/>
          <w:sz w:val="24"/>
          <w:szCs w:val="24"/>
        </w:rPr>
      </w:pPr>
      <w:r w:rsidRPr="000B0590">
        <w:rPr>
          <w:rFonts w:asciiTheme="minorHAnsi" w:hAnsiTheme="minorHAnsi" w:cstheme="minorHAnsi"/>
          <w:i/>
          <w:iCs/>
          <w:sz w:val="24"/>
          <w:szCs w:val="24"/>
        </w:rPr>
        <w:t>Redrawn image of a coin from Palaepa</w:t>
      </w:r>
      <w:r w:rsidR="002D1368">
        <w:rPr>
          <w:rFonts w:asciiTheme="minorHAnsi" w:hAnsiTheme="minorHAnsi" w:cstheme="minorHAnsi"/>
          <w:i/>
          <w:iCs/>
          <w:sz w:val="24"/>
          <w:szCs w:val="24"/>
        </w:rPr>
        <w:t>p</w:t>
      </w:r>
      <w:r w:rsidRPr="000B0590">
        <w:rPr>
          <w:rFonts w:asciiTheme="minorHAnsi" w:hAnsiTheme="minorHAnsi" w:cstheme="minorHAnsi"/>
          <w:i/>
          <w:iCs/>
          <w:sz w:val="24"/>
          <w:szCs w:val="24"/>
        </w:rPr>
        <w:t>hos.</w:t>
      </w:r>
      <w:r w:rsidRPr="000B0590">
        <w:rPr>
          <w:rStyle w:val="FootnoteReference"/>
          <w:rFonts w:asciiTheme="minorHAnsi" w:hAnsiTheme="minorHAnsi" w:cstheme="minorHAnsi"/>
          <w:i/>
          <w:iCs/>
          <w:sz w:val="24"/>
          <w:szCs w:val="24"/>
        </w:rPr>
        <w:footnoteReference w:id="142"/>
      </w:r>
    </w:p>
    <w:p w14:paraId="133B4040" w14:textId="28440365" w:rsidR="00B92DAB" w:rsidRPr="000B0590" w:rsidRDefault="00B92DAB" w:rsidP="00C512C3">
      <w:pPr>
        <w:pStyle w:val="FootnoteText"/>
        <w:widowControl w:val="0"/>
        <w:spacing w:after="120"/>
        <w:rPr>
          <w:rFonts w:asciiTheme="minorHAnsi" w:hAnsiTheme="minorHAnsi" w:cstheme="minorHAnsi"/>
          <w:i/>
          <w:iCs/>
          <w:sz w:val="24"/>
          <w:szCs w:val="24"/>
        </w:rPr>
      </w:pPr>
      <w:r w:rsidRPr="000B0590">
        <w:rPr>
          <w:rFonts w:asciiTheme="minorHAnsi" w:hAnsiTheme="minorHAnsi" w:cstheme="minorHAnsi"/>
          <w:i/>
          <w:iCs/>
          <w:sz w:val="24"/>
          <w:szCs w:val="24"/>
        </w:rPr>
        <w:t xml:space="preserve">This appears most closely to match the Caracalla coin </w:t>
      </w:r>
      <w:r w:rsidR="00C512C3" w:rsidRPr="000B0590">
        <w:rPr>
          <w:rFonts w:asciiTheme="minorHAnsi" w:hAnsiTheme="minorHAnsi" w:cstheme="minorHAnsi"/>
          <w:i/>
          <w:iCs/>
          <w:sz w:val="24"/>
          <w:szCs w:val="24"/>
        </w:rPr>
        <w:t xml:space="preserve">illustrated by </w:t>
      </w:r>
      <w:r w:rsidRPr="000B0590">
        <w:rPr>
          <w:rFonts w:asciiTheme="minorHAnsi" w:hAnsiTheme="minorHAnsi" w:cstheme="minorHAnsi"/>
          <w:i/>
          <w:iCs/>
          <w:sz w:val="24"/>
          <w:szCs w:val="24"/>
        </w:rPr>
        <w:t>Flourentzos.</w:t>
      </w:r>
      <w:r w:rsidRPr="000B0590">
        <w:rPr>
          <w:rStyle w:val="FootnoteReference"/>
          <w:rFonts w:asciiTheme="minorHAnsi" w:hAnsiTheme="minorHAnsi" w:cstheme="minorHAnsi"/>
          <w:i/>
          <w:iCs/>
          <w:sz w:val="24"/>
          <w:szCs w:val="24"/>
        </w:rPr>
        <w:footnoteReference w:id="143"/>
      </w:r>
      <w:r w:rsidRPr="000B0590">
        <w:rPr>
          <w:rFonts w:asciiTheme="minorHAnsi" w:hAnsiTheme="minorHAnsi" w:cstheme="minorHAnsi"/>
          <w:i/>
          <w:iCs/>
          <w:sz w:val="24"/>
          <w:szCs w:val="24"/>
        </w:rPr>
        <w:t xml:space="preserve"> Both Astarte and Aphrodite were associated with doves and a pool of sacred fish. The star and crescent were attributes of the Phoenician Goddess.</w:t>
      </w:r>
      <w:r w:rsidRPr="000B0590">
        <w:rPr>
          <w:rStyle w:val="FootnoteReference"/>
          <w:rFonts w:asciiTheme="minorHAnsi" w:hAnsiTheme="minorHAnsi" w:cstheme="minorHAnsi"/>
          <w:i/>
          <w:iCs/>
          <w:sz w:val="24"/>
          <w:szCs w:val="24"/>
        </w:rPr>
        <w:footnoteReference w:id="144"/>
      </w:r>
      <w:r w:rsidRPr="000B0590">
        <w:rPr>
          <w:rFonts w:asciiTheme="minorHAnsi" w:hAnsiTheme="minorHAnsi" w:cstheme="minorHAnsi"/>
          <w:i/>
          <w:iCs/>
          <w:sz w:val="24"/>
          <w:szCs w:val="24"/>
        </w:rPr>
        <w:t xml:space="preserve"> </w:t>
      </w:r>
    </w:p>
    <w:p w14:paraId="631C84A8" w14:textId="77777777" w:rsidR="00B92DAB" w:rsidRPr="000B0590" w:rsidRDefault="00B92DAB" w:rsidP="00F22994">
      <w:pPr>
        <w:pStyle w:val="FootnoteText"/>
        <w:spacing w:after="120" w:line="360" w:lineRule="auto"/>
        <w:rPr>
          <w:rFonts w:asciiTheme="minorHAnsi" w:hAnsiTheme="minorHAnsi" w:cstheme="minorHAnsi"/>
          <w:sz w:val="24"/>
          <w:szCs w:val="24"/>
        </w:rPr>
      </w:pPr>
    </w:p>
    <w:p w14:paraId="0B5BD89C" w14:textId="77777777" w:rsidR="002D1368" w:rsidRDefault="002D1368" w:rsidP="00F22994">
      <w:pPr>
        <w:pStyle w:val="FootnoteText"/>
        <w:spacing w:after="120" w:line="360" w:lineRule="auto"/>
        <w:rPr>
          <w:rFonts w:asciiTheme="minorHAnsi" w:hAnsiTheme="minorHAnsi" w:cstheme="minorHAnsi"/>
          <w:sz w:val="24"/>
          <w:szCs w:val="24"/>
        </w:rPr>
      </w:pPr>
    </w:p>
    <w:p w14:paraId="3175B99A" w14:textId="77777777" w:rsidR="002D1368" w:rsidRDefault="002D1368" w:rsidP="00F22994">
      <w:pPr>
        <w:pStyle w:val="FootnoteText"/>
        <w:spacing w:after="120" w:line="360" w:lineRule="auto"/>
        <w:rPr>
          <w:rFonts w:asciiTheme="minorHAnsi" w:hAnsiTheme="minorHAnsi" w:cstheme="minorHAnsi"/>
          <w:sz w:val="24"/>
          <w:szCs w:val="24"/>
        </w:rPr>
      </w:pPr>
    </w:p>
    <w:p w14:paraId="5DCC62C5" w14:textId="77777777" w:rsidR="008264A4" w:rsidRPr="000B0590" w:rsidRDefault="008264A4" w:rsidP="00F22994">
      <w:pPr>
        <w:pStyle w:val="FootnoteText"/>
        <w:spacing w:after="120" w:line="360" w:lineRule="auto"/>
        <w:rPr>
          <w:rFonts w:asciiTheme="minorHAnsi" w:hAnsiTheme="minorHAnsi" w:cstheme="minorHAnsi"/>
          <w:sz w:val="24"/>
          <w:szCs w:val="24"/>
        </w:rPr>
      </w:pPr>
    </w:p>
    <w:p w14:paraId="59759ACC" w14:textId="31BBA9A9" w:rsidR="00C11923" w:rsidRPr="000B0590" w:rsidRDefault="004E239E" w:rsidP="00F22994">
      <w:pPr>
        <w:pStyle w:val="FootnoteText"/>
        <w:spacing w:after="120" w:line="360" w:lineRule="auto"/>
        <w:rPr>
          <w:rFonts w:asciiTheme="minorHAnsi" w:hAnsiTheme="minorHAnsi" w:cstheme="minorHAnsi"/>
          <w:sz w:val="24"/>
          <w:szCs w:val="24"/>
        </w:rPr>
      </w:pPr>
      <w:r w:rsidRPr="000B0590">
        <w:rPr>
          <w:rFonts w:asciiTheme="minorHAnsi" w:hAnsiTheme="minorHAnsi" w:cstheme="minorHAnsi"/>
          <w:sz w:val="24"/>
          <w:szCs w:val="24"/>
        </w:rPr>
        <w:t>Palaepaphos, more specifically the ‘</w:t>
      </w:r>
      <w:proofErr w:type="spellStart"/>
      <w:r w:rsidRPr="000B0590">
        <w:rPr>
          <w:rFonts w:asciiTheme="minorHAnsi" w:hAnsiTheme="minorHAnsi" w:cstheme="minorHAnsi"/>
          <w:sz w:val="24"/>
          <w:szCs w:val="24"/>
        </w:rPr>
        <w:t>Kouklia</w:t>
      </w:r>
      <w:proofErr w:type="spellEnd"/>
      <w:r w:rsidRPr="000B0590">
        <w:rPr>
          <w:rFonts w:asciiTheme="minorHAnsi" w:hAnsiTheme="minorHAnsi" w:cstheme="minorHAnsi"/>
          <w:sz w:val="24"/>
          <w:szCs w:val="24"/>
        </w:rPr>
        <w:t xml:space="preserve"> Archaeological Site’ together with the Kato Paphos site was given ‘World Heritage’ listing by </w:t>
      </w:r>
      <w:proofErr w:type="spellStart"/>
      <w:r w:rsidRPr="000B0590">
        <w:rPr>
          <w:rFonts w:asciiTheme="minorHAnsi" w:hAnsiTheme="minorHAnsi" w:cstheme="minorHAnsi"/>
          <w:sz w:val="24"/>
          <w:szCs w:val="24"/>
        </w:rPr>
        <w:t>Unesco</w:t>
      </w:r>
      <w:proofErr w:type="spellEnd"/>
      <w:r w:rsidRPr="000B0590">
        <w:rPr>
          <w:rFonts w:asciiTheme="minorHAnsi" w:hAnsiTheme="minorHAnsi" w:cstheme="minorHAnsi"/>
          <w:sz w:val="24"/>
          <w:szCs w:val="24"/>
        </w:rPr>
        <w:t xml:space="preserve"> in 1980, with ‘enhanced protection’ in 2010.</w:t>
      </w:r>
      <w:r w:rsidRPr="000B0590">
        <w:rPr>
          <w:rStyle w:val="FootnoteReference"/>
          <w:rFonts w:asciiTheme="minorHAnsi" w:hAnsiTheme="minorHAnsi" w:cstheme="minorHAnsi"/>
          <w:sz w:val="24"/>
          <w:szCs w:val="24"/>
        </w:rPr>
        <w:footnoteReference w:id="145"/>
      </w:r>
      <w:r w:rsidRPr="000B0590">
        <w:rPr>
          <w:rFonts w:asciiTheme="minorHAnsi" w:hAnsiTheme="minorHAnsi" w:cstheme="minorHAnsi"/>
          <w:sz w:val="24"/>
          <w:szCs w:val="24"/>
        </w:rPr>
        <w:t xml:space="preserve"> The documentation contains the oxymoron “to preserve the original condition of the ruins”.</w:t>
      </w:r>
      <w:r w:rsidR="0061124D">
        <w:rPr>
          <w:rStyle w:val="FootnoteReference"/>
          <w:rFonts w:asciiTheme="minorHAnsi" w:hAnsiTheme="minorHAnsi" w:cstheme="minorHAnsi"/>
          <w:sz w:val="24"/>
          <w:szCs w:val="24"/>
        </w:rPr>
        <w:footnoteReference w:id="146"/>
      </w:r>
      <w:r w:rsidRPr="000B0590">
        <w:rPr>
          <w:rFonts w:asciiTheme="minorHAnsi" w:hAnsiTheme="minorHAnsi" w:cstheme="minorHAnsi"/>
          <w:sz w:val="24"/>
          <w:szCs w:val="24"/>
        </w:rPr>
        <w:t xml:space="preserve"> </w:t>
      </w:r>
      <w:r w:rsidR="00F46BA4">
        <w:rPr>
          <w:rFonts w:asciiTheme="minorHAnsi" w:hAnsiTheme="minorHAnsi" w:cstheme="minorHAnsi"/>
          <w:sz w:val="24"/>
          <w:szCs w:val="24"/>
        </w:rPr>
        <w:t>F</w:t>
      </w:r>
      <w:r w:rsidRPr="000B0590">
        <w:rPr>
          <w:rFonts w:asciiTheme="minorHAnsi" w:hAnsiTheme="minorHAnsi" w:cstheme="minorHAnsi"/>
          <w:sz w:val="24"/>
          <w:szCs w:val="24"/>
        </w:rPr>
        <w:t xml:space="preserve">or </w:t>
      </w:r>
      <w:proofErr w:type="spellStart"/>
      <w:r w:rsidRPr="000B0590">
        <w:rPr>
          <w:rFonts w:asciiTheme="minorHAnsi" w:hAnsiTheme="minorHAnsi" w:cstheme="minorHAnsi"/>
          <w:sz w:val="24"/>
          <w:szCs w:val="24"/>
        </w:rPr>
        <w:t>Unesco</w:t>
      </w:r>
      <w:proofErr w:type="spellEnd"/>
      <w:r w:rsidRPr="000B0590">
        <w:rPr>
          <w:rFonts w:asciiTheme="minorHAnsi" w:hAnsiTheme="minorHAnsi" w:cstheme="minorHAnsi"/>
          <w:sz w:val="24"/>
          <w:szCs w:val="24"/>
        </w:rPr>
        <w:t xml:space="preserve"> </w:t>
      </w:r>
      <w:r w:rsidR="000150E8" w:rsidRPr="000B0590">
        <w:rPr>
          <w:rFonts w:asciiTheme="minorHAnsi" w:hAnsiTheme="minorHAnsi" w:cstheme="minorHAnsi"/>
          <w:sz w:val="24"/>
          <w:szCs w:val="24"/>
        </w:rPr>
        <w:t xml:space="preserve">and the Cypriot state </w:t>
      </w:r>
      <w:r w:rsidRPr="000B0590">
        <w:rPr>
          <w:rFonts w:asciiTheme="minorHAnsi" w:hAnsiTheme="minorHAnsi" w:cstheme="minorHAnsi"/>
          <w:sz w:val="24"/>
          <w:szCs w:val="24"/>
        </w:rPr>
        <w:t>the</w:t>
      </w:r>
      <w:r w:rsidR="009058E8">
        <w:rPr>
          <w:rFonts w:asciiTheme="minorHAnsi" w:hAnsiTheme="minorHAnsi" w:cstheme="minorHAnsi"/>
          <w:sz w:val="24"/>
          <w:szCs w:val="24"/>
        </w:rPr>
        <w:t>n, the</w:t>
      </w:r>
      <w:r w:rsidRPr="000B0590">
        <w:rPr>
          <w:rFonts w:asciiTheme="minorHAnsi" w:hAnsiTheme="minorHAnsi" w:cstheme="minorHAnsi"/>
          <w:sz w:val="24"/>
          <w:szCs w:val="24"/>
        </w:rPr>
        <w:t xml:space="preserve"> ruins are considered ‘heritage’ rather than the Temenos of Aphrodite</w:t>
      </w:r>
      <w:r w:rsidR="00F46BA4">
        <w:rPr>
          <w:rFonts w:asciiTheme="minorHAnsi" w:hAnsiTheme="minorHAnsi" w:cstheme="minorHAnsi"/>
          <w:sz w:val="24"/>
          <w:szCs w:val="24"/>
        </w:rPr>
        <w:t xml:space="preserve"> having a religious status</w:t>
      </w:r>
      <w:r w:rsidRPr="000B0590">
        <w:rPr>
          <w:rFonts w:asciiTheme="minorHAnsi" w:hAnsiTheme="minorHAnsi" w:cstheme="minorHAnsi"/>
          <w:sz w:val="24"/>
          <w:szCs w:val="24"/>
        </w:rPr>
        <w:t xml:space="preserve">. </w:t>
      </w:r>
      <w:r w:rsidR="00C11923" w:rsidRPr="000B0590">
        <w:rPr>
          <w:rFonts w:asciiTheme="minorHAnsi" w:hAnsiTheme="minorHAnsi" w:cstheme="minorHAnsi"/>
          <w:sz w:val="24"/>
          <w:szCs w:val="24"/>
        </w:rPr>
        <w:t>T</w:t>
      </w:r>
      <w:r w:rsidR="0021108B" w:rsidRPr="000B0590">
        <w:rPr>
          <w:rFonts w:asciiTheme="minorHAnsi" w:hAnsiTheme="minorHAnsi" w:cstheme="minorHAnsi"/>
          <w:sz w:val="24"/>
          <w:szCs w:val="24"/>
        </w:rPr>
        <w:t xml:space="preserve">he Cultural </w:t>
      </w:r>
      <w:r w:rsidR="00C11923" w:rsidRPr="000B0590">
        <w:rPr>
          <w:rFonts w:asciiTheme="minorHAnsi" w:hAnsiTheme="minorHAnsi" w:cstheme="minorHAnsi"/>
          <w:sz w:val="24"/>
          <w:szCs w:val="24"/>
        </w:rPr>
        <w:t>H</w:t>
      </w:r>
      <w:r w:rsidR="0021108B" w:rsidRPr="000B0590">
        <w:rPr>
          <w:rFonts w:asciiTheme="minorHAnsi" w:hAnsiTheme="minorHAnsi" w:cstheme="minorHAnsi"/>
          <w:sz w:val="24"/>
          <w:szCs w:val="24"/>
        </w:rPr>
        <w:t>eritage Convention has been widely criticised, for example as “effecting processes of cultural demarcation, impoverishment and ossification”</w:t>
      </w:r>
      <w:r w:rsidR="00C11923" w:rsidRPr="000B0590">
        <w:rPr>
          <w:rFonts w:asciiTheme="minorHAnsi" w:hAnsiTheme="minorHAnsi" w:cstheme="minorHAnsi"/>
          <w:sz w:val="24"/>
          <w:szCs w:val="24"/>
        </w:rPr>
        <w:t>.</w:t>
      </w:r>
      <w:r w:rsidR="00C11923" w:rsidRPr="000B0590">
        <w:rPr>
          <w:rStyle w:val="FootnoteReference"/>
          <w:rFonts w:asciiTheme="minorHAnsi" w:hAnsiTheme="minorHAnsi" w:cstheme="minorHAnsi"/>
          <w:sz w:val="24"/>
          <w:szCs w:val="24"/>
        </w:rPr>
        <w:footnoteReference w:id="147"/>
      </w:r>
      <w:r w:rsidR="0021108B" w:rsidRPr="000B0590">
        <w:rPr>
          <w:rFonts w:asciiTheme="minorHAnsi" w:hAnsiTheme="minorHAnsi" w:cstheme="minorHAnsi"/>
          <w:sz w:val="24"/>
          <w:szCs w:val="24"/>
        </w:rPr>
        <w:t xml:space="preserve"> </w:t>
      </w:r>
      <w:r w:rsidR="00C11923" w:rsidRPr="000B0590">
        <w:rPr>
          <w:rFonts w:asciiTheme="minorHAnsi" w:hAnsiTheme="minorHAnsi" w:cstheme="minorHAnsi"/>
          <w:sz w:val="24"/>
          <w:szCs w:val="24"/>
        </w:rPr>
        <w:t xml:space="preserve">The religion of Aphrodite </w:t>
      </w:r>
      <w:r w:rsidRPr="000B0590">
        <w:rPr>
          <w:rFonts w:asciiTheme="minorHAnsi" w:hAnsiTheme="minorHAnsi" w:cstheme="minorHAnsi"/>
          <w:sz w:val="24"/>
          <w:szCs w:val="24"/>
        </w:rPr>
        <w:t xml:space="preserve">is considered extinct, </w:t>
      </w:r>
      <w:r w:rsidR="00C512C3" w:rsidRPr="000B0590">
        <w:rPr>
          <w:rFonts w:asciiTheme="minorHAnsi" w:hAnsiTheme="minorHAnsi" w:cstheme="minorHAnsi"/>
          <w:sz w:val="24"/>
          <w:szCs w:val="24"/>
        </w:rPr>
        <w:t>H</w:t>
      </w:r>
      <w:r w:rsidRPr="000B0590">
        <w:rPr>
          <w:rFonts w:asciiTheme="minorHAnsi" w:hAnsiTheme="minorHAnsi" w:cstheme="minorHAnsi"/>
          <w:sz w:val="24"/>
          <w:szCs w:val="24"/>
        </w:rPr>
        <w:t xml:space="preserve">er Temenos only relevant to tourists and archaeologists. </w:t>
      </w:r>
      <w:proofErr w:type="spellStart"/>
      <w:r w:rsidR="00C512C3" w:rsidRPr="000B0590">
        <w:rPr>
          <w:sz w:val="24"/>
          <w:szCs w:val="24"/>
        </w:rPr>
        <w:t>Häussler</w:t>
      </w:r>
      <w:proofErr w:type="spellEnd"/>
      <w:r w:rsidR="00C512C3" w:rsidRPr="000B0590">
        <w:rPr>
          <w:sz w:val="24"/>
          <w:szCs w:val="24"/>
        </w:rPr>
        <w:t xml:space="preserve"> and Chiai claim that “Apart from a site’s (hypothetical) symbolic meaning, there has been a growing interest in understanding the actions, experiences and emotions of worshippers, </w:t>
      </w:r>
      <w:r w:rsidR="00C512C3" w:rsidRPr="000B0590">
        <w:rPr>
          <w:sz w:val="24"/>
          <w:szCs w:val="24"/>
        </w:rPr>
        <w:lastRenderedPageBreak/>
        <w:t>pilgrims and priests”:</w:t>
      </w:r>
      <w:r w:rsidR="00C512C3" w:rsidRPr="000B0590">
        <w:rPr>
          <w:rStyle w:val="FootnoteReference"/>
          <w:sz w:val="24"/>
          <w:szCs w:val="24"/>
        </w:rPr>
        <w:footnoteReference w:id="148"/>
      </w:r>
      <w:r w:rsidR="00C512C3" w:rsidRPr="000B0590">
        <w:rPr>
          <w:sz w:val="24"/>
          <w:szCs w:val="24"/>
        </w:rPr>
        <w:t xml:space="preserve"> </w:t>
      </w:r>
      <w:r w:rsidR="009058E8">
        <w:rPr>
          <w:sz w:val="24"/>
          <w:szCs w:val="24"/>
        </w:rPr>
        <w:t xml:space="preserve">however, </w:t>
      </w:r>
      <w:r w:rsidR="00C512C3" w:rsidRPr="000B0590">
        <w:rPr>
          <w:sz w:val="24"/>
          <w:szCs w:val="24"/>
        </w:rPr>
        <w:t>this writer has had difficulty in finding any such material at academic level</w:t>
      </w:r>
      <w:r w:rsidR="009058E8">
        <w:rPr>
          <w:sz w:val="24"/>
          <w:szCs w:val="24"/>
        </w:rPr>
        <w:t xml:space="preserve"> relating to Palaepa</w:t>
      </w:r>
      <w:r w:rsidR="0028500B">
        <w:rPr>
          <w:sz w:val="24"/>
          <w:szCs w:val="24"/>
        </w:rPr>
        <w:t>p</w:t>
      </w:r>
      <w:r w:rsidR="009058E8">
        <w:rPr>
          <w:sz w:val="24"/>
          <w:szCs w:val="24"/>
        </w:rPr>
        <w:t>hos</w:t>
      </w:r>
      <w:r w:rsidR="00C512C3" w:rsidRPr="000B0590">
        <w:rPr>
          <w:sz w:val="24"/>
          <w:szCs w:val="24"/>
        </w:rPr>
        <w:t xml:space="preserve">. </w:t>
      </w:r>
      <w:r w:rsidRPr="000B0590">
        <w:rPr>
          <w:rFonts w:asciiTheme="minorHAnsi" w:hAnsiTheme="minorHAnsi" w:cstheme="minorHAnsi"/>
          <w:sz w:val="24"/>
          <w:szCs w:val="24"/>
        </w:rPr>
        <w:t xml:space="preserve">Ritual space </w:t>
      </w:r>
      <w:r w:rsidR="000150E8" w:rsidRPr="000B0590">
        <w:rPr>
          <w:rFonts w:asciiTheme="minorHAnsi" w:hAnsiTheme="minorHAnsi" w:cstheme="minorHAnsi"/>
          <w:sz w:val="24"/>
          <w:szCs w:val="24"/>
        </w:rPr>
        <w:t xml:space="preserve">has </w:t>
      </w:r>
      <w:r w:rsidRPr="000B0590">
        <w:rPr>
          <w:rFonts w:asciiTheme="minorHAnsi" w:hAnsiTheme="minorHAnsi" w:cstheme="minorHAnsi"/>
          <w:sz w:val="24"/>
          <w:szCs w:val="24"/>
        </w:rPr>
        <w:t xml:space="preserve">not allowed </w:t>
      </w:r>
      <w:r w:rsidR="000150E8" w:rsidRPr="000B0590">
        <w:rPr>
          <w:rFonts w:asciiTheme="minorHAnsi" w:hAnsiTheme="minorHAnsi" w:cstheme="minorHAnsi"/>
          <w:sz w:val="24"/>
          <w:szCs w:val="24"/>
        </w:rPr>
        <w:t xml:space="preserve">been </w:t>
      </w:r>
      <w:r w:rsidRPr="000B0590">
        <w:rPr>
          <w:rFonts w:asciiTheme="minorHAnsi" w:hAnsiTheme="minorHAnsi" w:cstheme="minorHAnsi"/>
          <w:sz w:val="24"/>
          <w:szCs w:val="24"/>
        </w:rPr>
        <w:t xml:space="preserve">to modern-day Hellenists </w:t>
      </w:r>
      <w:r w:rsidR="000150E8" w:rsidRPr="000B0590">
        <w:rPr>
          <w:rFonts w:asciiTheme="minorHAnsi" w:hAnsiTheme="minorHAnsi" w:cstheme="minorHAnsi"/>
          <w:sz w:val="24"/>
          <w:szCs w:val="24"/>
        </w:rPr>
        <w:t>such as YSEE,</w:t>
      </w:r>
      <w:r w:rsidR="000150E8" w:rsidRPr="000B0590">
        <w:rPr>
          <w:rStyle w:val="FootnoteReference"/>
          <w:rFonts w:asciiTheme="minorHAnsi" w:hAnsiTheme="minorHAnsi" w:cstheme="minorHAnsi"/>
          <w:sz w:val="24"/>
          <w:szCs w:val="24"/>
        </w:rPr>
        <w:footnoteReference w:id="149"/>
      </w:r>
      <w:r w:rsidR="000150E8" w:rsidRPr="000B0590">
        <w:rPr>
          <w:rFonts w:asciiTheme="minorHAnsi" w:hAnsiTheme="minorHAnsi" w:cstheme="minorHAnsi"/>
          <w:sz w:val="24"/>
          <w:szCs w:val="24"/>
        </w:rPr>
        <w:t xml:space="preserve"> who have instead developed their own temple at </w:t>
      </w:r>
      <w:proofErr w:type="spellStart"/>
      <w:r w:rsidR="000150E8" w:rsidRPr="000B0590">
        <w:rPr>
          <w:rFonts w:asciiTheme="minorHAnsi" w:hAnsiTheme="minorHAnsi" w:cstheme="minorHAnsi"/>
          <w:sz w:val="24"/>
          <w:szCs w:val="24"/>
        </w:rPr>
        <w:t>Lympia</w:t>
      </w:r>
      <w:proofErr w:type="spellEnd"/>
      <w:r w:rsidR="000150E8" w:rsidRPr="000B0590">
        <w:rPr>
          <w:rFonts w:asciiTheme="minorHAnsi" w:hAnsiTheme="minorHAnsi" w:cstheme="minorHAnsi"/>
          <w:sz w:val="24"/>
          <w:szCs w:val="24"/>
        </w:rPr>
        <w:t>.</w:t>
      </w:r>
      <w:r w:rsidR="000150E8" w:rsidRPr="000B0590">
        <w:rPr>
          <w:rStyle w:val="FootnoteReference"/>
          <w:rFonts w:asciiTheme="minorHAnsi" w:hAnsiTheme="minorHAnsi" w:cstheme="minorHAnsi"/>
          <w:sz w:val="24"/>
          <w:szCs w:val="24"/>
        </w:rPr>
        <w:footnoteReference w:id="150"/>
      </w:r>
      <w:r w:rsidR="000150E8" w:rsidRPr="000B0590">
        <w:rPr>
          <w:rFonts w:asciiTheme="minorHAnsi" w:hAnsiTheme="minorHAnsi" w:cstheme="minorHAnsi"/>
          <w:sz w:val="24"/>
          <w:szCs w:val="24"/>
        </w:rPr>
        <w:t xml:space="preserve"> </w:t>
      </w:r>
      <w:r w:rsidR="00CC1847" w:rsidRPr="000B0590">
        <w:rPr>
          <w:rFonts w:asciiTheme="minorHAnsi" w:hAnsiTheme="minorHAnsi" w:cstheme="minorHAnsi"/>
          <w:sz w:val="24"/>
          <w:szCs w:val="24"/>
        </w:rPr>
        <w:t xml:space="preserve">It might be argued that tourism and spectacle, together with the pseudo-religion of </w:t>
      </w:r>
      <w:proofErr w:type="spellStart"/>
      <w:r w:rsidR="00CC1847" w:rsidRPr="000B0590">
        <w:rPr>
          <w:rFonts w:asciiTheme="minorHAnsi" w:hAnsiTheme="minorHAnsi" w:cstheme="minorHAnsi"/>
          <w:sz w:val="24"/>
          <w:szCs w:val="24"/>
        </w:rPr>
        <w:t>Tetress</w:t>
      </w:r>
      <w:proofErr w:type="spellEnd"/>
      <w:r w:rsidR="00CC1847" w:rsidRPr="000B0590">
        <w:rPr>
          <w:rFonts w:asciiTheme="minorHAnsi" w:hAnsiTheme="minorHAnsi" w:cstheme="minorHAnsi"/>
          <w:sz w:val="24"/>
          <w:szCs w:val="24"/>
        </w:rPr>
        <w:t>,</w:t>
      </w:r>
      <w:r w:rsidR="00CC1847" w:rsidRPr="000B0590">
        <w:rPr>
          <w:rStyle w:val="FootnoteReference"/>
          <w:rFonts w:asciiTheme="minorHAnsi" w:hAnsiTheme="minorHAnsi" w:cstheme="minorHAnsi"/>
          <w:sz w:val="24"/>
          <w:szCs w:val="24"/>
        </w:rPr>
        <w:footnoteReference w:id="151"/>
      </w:r>
      <w:r w:rsidR="00CC1847" w:rsidRPr="000B0590">
        <w:rPr>
          <w:rFonts w:asciiTheme="minorHAnsi" w:hAnsiTheme="minorHAnsi" w:cstheme="minorHAnsi"/>
          <w:sz w:val="24"/>
          <w:szCs w:val="24"/>
        </w:rPr>
        <w:t xml:space="preserve"> are indeed part of “maintaining ‘social power’”.</w:t>
      </w:r>
      <w:r w:rsidR="00CC1847" w:rsidRPr="000B0590">
        <w:rPr>
          <w:rStyle w:val="FootnoteReference"/>
          <w:rFonts w:asciiTheme="minorHAnsi" w:hAnsiTheme="minorHAnsi" w:cstheme="minorHAnsi"/>
          <w:sz w:val="24"/>
          <w:szCs w:val="24"/>
        </w:rPr>
        <w:footnoteReference w:id="152"/>
      </w:r>
      <w:r w:rsidR="00CC1847" w:rsidRPr="000B0590">
        <w:rPr>
          <w:rFonts w:asciiTheme="minorHAnsi" w:hAnsiTheme="minorHAnsi" w:cstheme="minorHAnsi"/>
          <w:sz w:val="24"/>
          <w:szCs w:val="24"/>
        </w:rPr>
        <w:t xml:space="preserve"> Otherwise t</w:t>
      </w:r>
      <w:r w:rsidR="000150E8" w:rsidRPr="000B0590">
        <w:rPr>
          <w:rFonts w:asciiTheme="minorHAnsi" w:hAnsiTheme="minorHAnsi" w:cstheme="minorHAnsi"/>
          <w:sz w:val="24"/>
          <w:szCs w:val="24"/>
        </w:rPr>
        <w:t xml:space="preserve">he sanctuary </w:t>
      </w:r>
      <w:r w:rsidR="00CC1847" w:rsidRPr="000B0590">
        <w:rPr>
          <w:rFonts w:asciiTheme="minorHAnsi" w:hAnsiTheme="minorHAnsi" w:cstheme="minorHAnsi"/>
          <w:sz w:val="24"/>
          <w:szCs w:val="24"/>
        </w:rPr>
        <w:t>is no</w:t>
      </w:r>
      <w:r w:rsidR="002A3C04">
        <w:rPr>
          <w:rFonts w:asciiTheme="minorHAnsi" w:hAnsiTheme="minorHAnsi" w:cstheme="minorHAnsi"/>
          <w:sz w:val="24"/>
          <w:szCs w:val="24"/>
        </w:rPr>
        <w:t xml:space="preserve"> longer </w:t>
      </w:r>
      <w:r w:rsidR="00CC1847" w:rsidRPr="000B0590">
        <w:rPr>
          <w:rFonts w:asciiTheme="minorHAnsi" w:hAnsiTheme="minorHAnsi" w:cstheme="minorHAnsi"/>
          <w:sz w:val="24"/>
          <w:szCs w:val="24"/>
        </w:rPr>
        <w:t xml:space="preserve">related to political-economic power </w:t>
      </w:r>
      <w:r w:rsidR="000150E8" w:rsidRPr="000B0590">
        <w:rPr>
          <w:rFonts w:asciiTheme="minorHAnsi" w:hAnsiTheme="minorHAnsi" w:cstheme="minorHAnsi"/>
          <w:sz w:val="24"/>
          <w:szCs w:val="24"/>
        </w:rPr>
        <w:t xml:space="preserve">but its sacredness remains - visiting </w:t>
      </w:r>
      <w:r w:rsidR="00D166F6" w:rsidRPr="000B0590">
        <w:rPr>
          <w:rFonts w:asciiTheme="minorHAnsi" w:hAnsiTheme="minorHAnsi" w:cstheme="minorHAnsi"/>
          <w:sz w:val="24"/>
          <w:szCs w:val="24"/>
        </w:rPr>
        <w:t>d</w:t>
      </w:r>
      <w:r w:rsidR="000150E8" w:rsidRPr="000B0590">
        <w:rPr>
          <w:rFonts w:asciiTheme="minorHAnsi" w:hAnsiTheme="minorHAnsi" w:cstheme="minorHAnsi"/>
          <w:sz w:val="24"/>
          <w:szCs w:val="24"/>
        </w:rPr>
        <w:t xml:space="preserve">evotees of the </w:t>
      </w:r>
      <w:r w:rsidR="00D166F6" w:rsidRPr="000B0590">
        <w:rPr>
          <w:rFonts w:asciiTheme="minorHAnsi" w:hAnsiTheme="minorHAnsi" w:cstheme="minorHAnsi"/>
          <w:sz w:val="24"/>
          <w:szCs w:val="24"/>
        </w:rPr>
        <w:t xml:space="preserve">Paphian </w:t>
      </w:r>
      <w:r w:rsidR="000150E8" w:rsidRPr="000B0590">
        <w:rPr>
          <w:rFonts w:asciiTheme="minorHAnsi" w:hAnsiTheme="minorHAnsi" w:cstheme="minorHAnsi"/>
          <w:sz w:val="24"/>
          <w:szCs w:val="24"/>
        </w:rPr>
        <w:t>Goddess can but sigh.</w:t>
      </w:r>
    </w:p>
    <w:p w14:paraId="4289463E" w14:textId="1128AF65" w:rsidR="00F46BA4" w:rsidRDefault="00F46BA4" w:rsidP="009058E8">
      <w:pPr>
        <w:spacing w:after="160" w:line="278" w:lineRule="auto"/>
        <w:rPr>
          <w:rFonts w:asciiTheme="minorHAnsi" w:hAnsiTheme="minorHAnsi" w:cstheme="minorHAnsi"/>
        </w:rPr>
      </w:pPr>
    </w:p>
    <w:p w14:paraId="060FA6BD" w14:textId="77777777" w:rsidR="00CA4D6C" w:rsidRPr="00F46BA4" w:rsidRDefault="00CA4D6C" w:rsidP="00CA4D6C">
      <w:pPr>
        <w:pStyle w:val="FootnoteText"/>
        <w:spacing w:after="120" w:line="360" w:lineRule="auto"/>
        <w:rPr>
          <w:rFonts w:asciiTheme="minorHAnsi" w:hAnsiTheme="minorHAnsi" w:cstheme="minorHAnsi"/>
          <w:sz w:val="24"/>
          <w:szCs w:val="24"/>
          <w:u w:val="single"/>
        </w:rPr>
      </w:pPr>
      <w:r w:rsidRPr="00F46BA4">
        <w:rPr>
          <w:rFonts w:asciiTheme="minorHAnsi" w:hAnsiTheme="minorHAnsi" w:cstheme="minorHAnsi"/>
          <w:sz w:val="24"/>
          <w:szCs w:val="24"/>
          <w:u w:val="single"/>
        </w:rPr>
        <w:t>Works cited</w:t>
      </w:r>
    </w:p>
    <w:p w14:paraId="217C5F74" w14:textId="77777777" w:rsidR="00CA4D6C" w:rsidRPr="003076A1" w:rsidRDefault="00CA4D6C" w:rsidP="00CA4D6C">
      <w:proofErr w:type="spellStart"/>
      <w:r w:rsidRPr="003076A1">
        <w:t>Achilleos</w:t>
      </w:r>
      <w:proofErr w:type="spellEnd"/>
      <w:r w:rsidRPr="003076A1">
        <w:t>-Sarll, C., &amp; Pratt, N. (2025). Sun, sea and sexual violence: the political economy of party tourism.</w:t>
      </w:r>
      <w:r w:rsidRPr="003076A1">
        <w:rPr>
          <w:i/>
          <w:iCs/>
        </w:rPr>
        <w:t> International Affairs, 101</w:t>
      </w:r>
      <w:r w:rsidRPr="003076A1">
        <w:t>(4), 1403–1419. 10.1093/</w:t>
      </w:r>
      <w:proofErr w:type="spellStart"/>
      <w:r w:rsidRPr="003076A1">
        <w:t>ia</w:t>
      </w:r>
      <w:proofErr w:type="spellEnd"/>
      <w:r w:rsidRPr="003076A1">
        <w:t>/iiaf074</w:t>
      </w:r>
    </w:p>
    <w:p w14:paraId="3B66A0DC" w14:textId="77777777" w:rsidR="00CA4D6C" w:rsidRPr="003076A1" w:rsidRDefault="00CA4D6C" w:rsidP="00CA4D6C">
      <w:r w:rsidRPr="003076A1">
        <w:t>Antoniadi, E. M. (1939). On Ancient Meteorites, and the Origin of the Crescent and Star Emblem.</w:t>
      </w:r>
      <w:r w:rsidRPr="003076A1">
        <w:rPr>
          <w:i/>
          <w:iCs/>
        </w:rPr>
        <w:t> Journal of the Royal Astronomical Society of Canada, 33</w:t>
      </w:r>
      <w:r w:rsidRPr="003076A1">
        <w:t>(5), 177–184.</w:t>
      </w:r>
    </w:p>
    <w:p w14:paraId="6B35E8D8" w14:textId="77777777" w:rsidR="00CA4D6C" w:rsidRPr="003076A1" w:rsidRDefault="00CA4D6C" w:rsidP="00CA4D6C">
      <w:r w:rsidRPr="003076A1">
        <w:t>Barber, E. J. W., &amp; Barber, P. (2004). </w:t>
      </w:r>
      <w:r w:rsidRPr="003076A1">
        <w:rPr>
          <w:i/>
          <w:iCs/>
        </w:rPr>
        <w:t>When they severed earth from sky : how the human mind shapes myth</w:t>
      </w:r>
      <w:r w:rsidRPr="003076A1">
        <w:t>. Princeton: Princeton University Press.10.1515/9781400842865</w:t>
      </w:r>
    </w:p>
    <w:p w14:paraId="0E3286E8" w14:textId="40C3D767" w:rsidR="00CA4D6C" w:rsidRPr="003076A1" w:rsidRDefault="00CA4D6C" w:rsidP="00CA4D6C">
      <w:r w:rsidRPr="003076A1">
        <w:t>Bernal, M. (2006). </w:t>
      </w:r>
      <w:r w:rsidRPr="003076A1">
        <w:rPr>
          <w:i/>
          <w:iCs/>
        </w:rPr>
        <w:t>Black Athena. The Afroasiatic Roots of Classical Civilization. Volume III: the Linguistic Evidence.</w:t>
      </w:r>
      <w:r w:rsidRPr="003076A1">
        <w:t> New Brunswick, NJ: Rutgers University Press.</w:t>
      </w:r>
    </w:p>
    <w:p w14:paraId="436E1D11" w14:textId="77777777" w:rsidR="00CA4D6C" w:rsidRDefault="00CA4D6C" w:rsidP="00CA4D6C">
      <w:r w:rsidRPr="00A87A21">
        <w:t>Bradley, R. (2000). </w:t>
      </w:r>
      <w:r w:rsidRPr="00A87A21">
        <w:rPr>
          <w:i/>
          <w:iCs/>
        </w:rPr>
        <w:t>An Archaeology of Natural Places .</w:t>
      </w:r>
      <w:r w:rsidRPr="00A87A21">
        <w:t> London: Routledge.</w:t>
      </w:r>
    </w:p>
    <w:p w14:paraId="725DE426" w14:textId="77777777" w:rsidR="00CA4D6C" w:rsidRPr="003076A1" w:rsidRDefault="00CA4D6C" w:rsidP="00CA4D6C">
      <w:r w:rsidRPr="003076A1">
        <w:t xml:space="preserve">Bragin, N., Bragina, L., </w:t>
      </w:r>
      <w:proofErr w:type="spellStart"/>
      <w:r w:rsidRPr="003076A1">
        <w:t>Tsiolakis</w:t>
      </w:r>
      <w:proofErr w:type="spellEnd"/>
      <w:r w:rsidRPr="003076A1">
        <w:t xml:space="preserve">, E., &amp; </w:t>
      </w:r>
      <w:proofErr w:type="spellStart"/>
      <w:r w:rsidRPr="003076A1">
        <w:t>Symeou</w:t>
      </w:r>
      <w:proofErr w:type="spellEnd"/>
      <w:r w:rsidRPr="003076A1">
        <w:t xml:space="preserve">, V. (2021). The Upper Cretaceous </w:t>
      </w:r>
      <w:proofErr w:type="spellStart"/>
      <w:r w:rsidRPr="003076A1">
        <w:t>Mamonia</w:t>
      </w:r>
      <w:proofErr w:type="spellEnd"/>
      <w:r w:rsidRPr="003076A1">
        <w:t xml:space="preserve"> Mélange (Petra </w:t>
      </w:r>
      <w:proofErr w:type="spellStart"/>
      <w:r w:rsidRPr="003076A1">
        <w:t>tou</w:t>
      </w:r>
      <w:proofErr w:type="spellEnd"/>
      <w:r w:rsidRPr="003076A1">
        <w:t xml:space="preserve"> </w:t>
      </w:r>
      <w:proofErr w:type="spellStart"/>
      <w:r w:rsidRPr="003076A1">
        <w:t>Romiou</w:t>
      </w:r>
      <w:proofErr w:type="spellEnd"/>
      <w:r w:rsidRPr="003076A1">
        <w:t>, southwestern Cyprus): composition and age.</w:t>
      </w:r>
      <w:r w:rsidRPr="003076A1">
        <w:rPr>
          <w:i/>
          <w:iCs/>
        </w:rPr>
        <w:t> Cretaceous Research, 125</w:t>
      </w:r>
      <w:r w:rsidRPr="003076A1">
        <w:t>, 104850. 10.1016/j.cretres.2021.104850</w:t>
      </w:r>
    </w:p>
    <w:p w14:paraId="170670E1" w14:textId="77777777" w:rsidR="00CA4D6C" w:rsidRPr="003076A1" w:rsidRDefault="00CA4D6C" w:rsidP="00CA4D6C">
      <w:r w:rsidRPr="003076A1">
        <w:t>Bryce, T. (2005). </w:t>
      </w:r>
      <w:r w:rsidRPr="003076A1">
        <w:rPr>
          <w:i/>
          <w:iCs/>
        </w:rPr>
        <w:t>The Kingdom of the Hittites</w:t>
      </w:r>
      <w:r w:rsidRPr="003076A1">
        <w:t>. Oxford: Oxford University Press.10.1093/</w:t>
      </w:r>
      <w:proofErr w:type="spellStart"/>
      <w:r w:rsidRPr="003076A1">
        <w:t>acprof:oso</w:t>
      </w:r>
      <w:proofErr w:type="spellEnd"/>
      <w:r w:rsidRPr="003076A1">
        <w:t>/9780199281329.001.0001</w:t>
      </w:r>
    </w:p>
    <w:p w14:paraId="6D2530F1" w14:textId="77777777" w:rsidR="00CA4D6C" w:rsidRPr="003076A1" w:rsidRDefault="00CA4D6C" w:rsidP="00CA4D6C">
      <w:r w:rsidRPr="003076A1">
        <w:t>Budin, S. (2008). </w:t>
      </w:r>
      <w:r w:rsidRPr="003076A1">
        <w:rPr>
          <w:i/>
          <w:iCs/>
        </w:rPr>
        <w:t>The Myth of Sacred Prostitution in Antiquity</w:t>
      </w:r>
      <w:r w:rsidRPr="003076A1">
        <w:t>. Cambridge: Cambridge University Press.</w:t>
      </w:r>
    </w:p>
    <w:p w14:paraId="46D37926" w14:textId="77777777" w:rsidR="00CA4D6C" w:rsidRPr="003076A1" w:rsidRDefault="00CA4D6C" w:rsidP="00CA4D6C">
      <w:r w:rsidRPr="003076A1">
        <w:t>Burkert, W. (1985). </w:t>
      </w:r>
      <w:r w:rsidRPr="003076A1">
        <w:rPr>
          <w:i/>
          <w:iCs/>
        </w:rPr>
        <w:t>Greek religion</w:t>
      </w:r>
      <w:r w:rsidRPr="003076A1">
        <w:t>. Cambridge, Mass: Harvard University Press.</w:t>
      </w:r>
    </w:p>
    <w:p w14:paraId="39DB7A5A" w14:textId="77777777" w:rsidR="00CA4D6C" w:rsidRPr="003076A1" w:rsidRDefault="00CA4D6C" w:rsidP="00CA4D6C">
      <w:r w:rsidRPr="003076A1">
        <w:t xml:space="preserve">Casson, S. (1920). Hera of </w:t>
      </w:r>
      <w:proofErr w:type="spellStart"/>
      <w:r w:rsidRPr="003076A1">
        <w:t>Kanathos</w:t>
      </w:r>
      <w:proofErr w:type="spellEnd"/>
      <w:r w:rsidRPr="003076A1">
        <w:t xml:space="preserve"> and the </w:t>
      </w:r>
      <w:proofErr w:type="spellStart"/>
      <w:r w:rsidRPr="003076A1">
        <w:t>Ludovisi</w:t>
      </w:r>
      <w:proofErr w:type="spellEnd"/>
      <w:r w:rsidRPr="003076A1">
        <w:t xml:space="preserve"> Throne.</w:t>
      </w:r>
      <w:r w:rsidRPr="003076A1">
        <w:rPr>
          <w:i/>
          <w:iCs/>
        </w:rPr>
        <w:t> The Journal of Hellenic Studies, 40</w:t>
      </w:r>
      <w:r w:rsidRPr="003076A1">
        <w:t>, 137–142. 10.2307/625120</w:t>
      </w:r>
    </w:p>
    <w:p w14:paraId="33F1967A" w14:textId="77777777" w:rsidR="00CA4D6C" w:rsidRPr="003076A1" w:rsidRDefault="00CA4D6C" w:rsidP="00CA4D6C">
      <w:r w:rsidRPr="003076A1">
        <w:lastRenderedPageBreak/>
        <w:t>Cline, E. H. (2014). </w:t>
      </w:r>
      <w:r w:rsidRPr="003076A1">
        <w:rPr>
          <w:i/>
          <w:iCs/>
        </w:rPr>
        <w:t xml:space="preserve">1177 </w:t>
      </w:r>
      <w:proofErr w:type="spellStart"/>
      <w:r w:rsidRPr="003076A1">
        <w:rPr>
          <w:i/>
          <w:iCs/>
        </w:rPr>
        <w:t>b.c</w:t>
      </w:r>
      <w:proofErr w:type="spellEnd"/>
      <w:r w:rsidRPr="003076A1">
        <w:rPr>
          <w:i/>
          <w:iCs/>
        </w:rPr>
        <w:t xml:space="preserve"> . The Year Civilization Collapsed</w:t>
      </w:r>
      <w:r w:rsidRPr="003076A1">
        <w:t>. Princeton and Oxford: Princeton University Press.</w:t>
      </w:r>
    </w:p>
    <w:p w14:paraId="5626A09C" w14:textId="77777777" w:rsidR="00CA4D6C" w:rsidRPr="003076A1" w:rsidRDefault="00CA4D6C" w:rsidP="00CA4D6C">
      <w:r w:rsidRPr="003076A1">
        <w:t>Collard, D. (2011). </w:t>
      </w:r>
      <w:r w:rsidRPr="003076A1">
        <w:rPr>
          <w:i/>
          <w:iCs/>
        </w:rPr>
        <w:t>Altered states of consciousness and ritual in late Bronze Age Cyprus</w:t>
      </w:r>
    </w:p>
    <w:p w14:paraId="22EC55CB" w14:textId="77777777" w:rsidR="00CA4D6C" w:rsidRPr="003076A1" w:rsidRDefault="00CA4D6C" w:rsidP="00CA4D6C">
      <w:r w:rsidRPr="003076A1">
        <w:t xml:space="preserve">Collard, D. (2018). When Ancestors became Gods: Transformation of Ritual and Religion in Late Bronze Age Cyprus. In V. G. &amp;. </w:t>
      </w:r>
      <w:proofErr w:type="spellStart"/>
      <w:r w:rsidRPr="003076A1">
        <w:t>Koutrafouri</w:t>
      </w:r>
      <w:proofErr w:type="spellEnd"/>
      <w:r w:rsidRPr="003076A1">
        <w:t>, &amp; J. Sanders (Eds.), </w:t>
      </w:r>
      <w:r w:rsidRPr="003076A1">
        <w:rPr>
          <w:i/>
          <w:iCs/>
        </w:rPr>
        <w:t>Ritual failure : archaeological perspectives</w:t>
      </w:r>
      <w:r w:rsidRPr="003076A1">
        <w:t xml:space="preserve"> (pp. 109–129) </w:t>
      </w:r>
      <w:proofErr w:type="spellStart"/>
      <w:r w:rsidRPr="003076A1">
        <w:t>Sidestone</w:t>
      </w:r>
      <w:proofErr w:type="spellEnd"/>
      <w:r w:rsidRPr="003076A1">
        <w:t xml:space="preserve"> Press.</w:t>
      </w:r>
    </w:p>
    <w:p w14:paraId="5FA40D68" w14:textId="77777777" w:rsidR="00CA4D6C" w:rsidRPr="003076A1" w:rsidRDefault="00CA4D6C" w:rsidP="00CA4D6C">
      <w:r w:rsidRPr="003076A1">
        <w:t>Doak, B. R. (2015). </w:t>
      </w:r>
      <w:r w:rsidRPr="003076A1">
        <w:rPr>
          <w:i/>
          <w:iCs/>
        </w:rPr>
        <w:t>Phoenician aniconism : in its Mediterranean and Ancient near Eastern contexts</w:t>
      </w:r>
      <w:r w:rsidRPr="003076A1">
        <w:t>. Atlanta, Georgia: SBL Press.</w:t>
      </w:r>
    </w:p>
    <w:p w14:paraId="33A3459E" w14:textId="1DD99F60" w:rsidR="00CA4D6C" w:rsidRPr="003076A1" w:rsidRDefault="00CA4D6C" w:rsidP="00CA4D6C">
      <w:r w:rsidRPr="003076A1">
        <w:t>Eliade, M. (1959). </w:t>
      </w:r>
      <w:r w:rsidRPr="003076A1">
        <w:rPr>
          <w:i/>
          <w:iCs/>
        </w:rPr>
        <w:t>The Sacred and the P</w:t>
      </w:r>
      <w:r w:rsidR="00820FA0">
        <w:rPr>
          <w:i/>
          <w:iCs/>
        </w:rPr>
        <w:t>r</w:t>
      </w:r>
      <w:r w:rsidRPr="003076A1">
        <w:rPr>
          <w:i/>
          <w:iCs/>
        </w:rPr>
        <w:t>ofane : the nature of religion</w:t>
      </w:r>
      <w:r w:rsidRPr="003076A1">
        <w:t>. New York: Harcourt , Brace &amp; World Inc.</w:t>
      </w:r>
    </w:p>
    <w:p w14:paraId="19B29B63" w14:textId="77777777" w:rsidR="00CA4D6C" w:rsidRPr="003076A1" w:rsidRDefault="00CA4D6C" w:rsidP="00CA4D6C">
      <w:proofErr w:type="spellStart"/>
      <w:r w:rsidRPr="003076A1">
        <w:t>Häussler</w:t>
      </w:r>
      <w:proofErr w:type="spellEnd"/>
      <w:r w:rsidRPr="003076A1">
        <w:t>, R., &amp; Chiai, G. F. (2019). </w:t>
      </w:r>
      <w:r w:rsidRPr="003076A1">
        <w:rPr>
          <w:i/>
          <w:iCs/>
        </w:rPr>
        <w:t>Sacred landscapes in Antiquity : creation, manipulation, transformation</w:t>
      </w:r>
      <w:r w:rsidRPr="003076A1">
        <w:t>. Oxford: Oxbow Books.</w:t>
      </w:r>
    </w:p>
    <w:p w14:paraId="73FFE866" w14:textId="77777777" w:rsidR="00CA4D6C" w:rsidRDefault="00CA4D6C" w:rsidP="00CA4D6C">
      <w:r w:rsidRPr="009E436D">
        <w:t xml:space="preserve">Henriksson, G. </w:t>
      </w:r>
      <w:r>
        <w:t xml:space="preserve">&amp; </w:t>
      </w:r>
      <w:r w:rsidRPr="009E436D">
        <w:t>B</w:t>
      </w:r>
      <w:r>
        <w:t>lomberg, M.</w:t>
      </w:r>
      <w:r w:rsidRPr="009E436D">
        <w:t xml:space="preserve"> (2009). Solar Orientations of Bronze Age Shrines in </w:t>
      </w:r>
      <w:proofErr w:type="spellStart"/>
      <w:r w:rsidRPr="009E436D">
        <w:t>Gournia</w:t>
      </w:r>
      <w:proofErr w:type="spellEnd"/>
      <w:r w:rsidRPr="009E436D">
        <w:t xml:space="preserve">, Crete. In J. A. </w:t>
      </w:r>
      <w:proofErr w:type="spellStart"/>
      <w:r w:rsidRPr="009E436D">
        <w:t>Rubiño-Martín</w:t>
      </w:r>
      <w:proofErr w:type="spellEnd"/>
      <w:r w:rsidRPr="009E436D">
        <w:t xml:space="preserve"> (Ed.), </w:t>
      </w:r>
      <w:r w:rsidRPr="009E436D">
        <w:rPr>
          <w:i/>
          <w:iCs/>
        </w:rPr>
        <w:t xml:space="preserve">Cosmology across cultures : proceedings of a workshop held at Parque de las </w:t>
      </w:r>
      <w:proofErr w:type="spellStart"/>
      <w:r w:rsidRPr="009E436D">
        <w:rPr>
          <w:i/>
          <w:iCs/>
        </w:rPr>
        <w:t>Ciencias</w:t>
      </w:r>
      <w:proofErr w:type="spellEnd"/>
      <w:r w:rsidRPr="009E436D">
        <w:rPr>
          <w:i/>
          <w:iCs/>
        </w:rPr>
        <w:t>, Granada, Spain, 8-12 September 2008</w:t>
      </w:r>
      <w:r w:rsidRPr="009E436D">
        <w:t> (1st ed., pp. 430–435). San Francisco, Calif: Astronomical Society of the Pacific.</w:t>
      </w:r>
    </w:p>
    <w:p w14:paraId="3B837D2D" w14:textId="77777777" w:rsidR="00CA4D6C" w:rsidRPr="003076A1" w:rsidRDefault="00CA4D6C" w:rsidP="00CA4D6C">
      <w:r w:rsidRPr="003076A1">
        <w:t>Hussein, E. (2015). Conversation with Dr. Michael Scott.</w:t>
      </w:r>
      <w:r w:rsidRPr="003076A1">
        <w:rPr>
          <w:i/>
          <w:iCs/>
        </w:rPr>
        <w:t> Exchanges: The Warwick Research Journal, 2</w:t>
      </w:r>
      <w:r w:rsidRPr="003076A1">
        <w:t>(2), 206–223. Retrieved from </w:t>
      </w:r>
      <w:hyperlink r:id="rId17" w:tgtFrame="_blank" w:history="1">
        <w:r w:rsidRPr="003076A1">
          <w:rPr>
            <w:rStyle w:val="Hyperlink"/>
          </w:rPr>
          <w:t>http://exchanges.warwick.ac.uk/index.php/exchanges/article/view/67</w:t>
        </w:r>
      </w:hyperlink>
    </w:p>
    <w:p w14:paraId="3E660562" w14:textId="77777777" w:rsidR="00CA4D6C" w:rsidRDefault="00CA4D6C" w:rsidP="00CA4D6C">
      <w:r w:rsidRPr="003076A1">
        <w:t>Hussein, E. &amp;. R., Massimo. (2016). A Musical Note from Roman Cyprus.</w:t>
      </w:r>
      <w:r w:rsidRPr="003076A1">
        <w:rPr>
          <w:i/>
          <w:iCs/>
        </w:rPr>
        <w:t> Trends in Classics, 8</w:t>
      </w:r>
      <w:r w:rsidRPr="003076A1">
        <w:t>(1) Retrieved from </w:t>
      </w:r>
      <w:hyperlink r:id="rId18" w:tgtFrame="_blank" w:history="1">
        <w:r w:rsidRPr="003076A1">
          <w:rPr>
            <w:rStyle w:val="Hyperlink"/>
          </w:rPr>
          <w:t>https://cronfa.swan.ac.uk/Record/cronfa39055</w:t>
        </w:r>
      </w:hyperlink>
    </w:p>
    <w:p w14:paraId="6AE958DD" w14:textId="77777777" w:rsidR="00CA4D6C" w:rsidRPr="00375609" w:rsidRDefault="00CA4D6C" w:rsidP="00CA4D6C">
      <w:pPr>
        <w:pStyle w:val="FootnoteText"/>
        <w:spacing w:after="120"/>
        <w:rPr>
          <w:sz w:val="24"/>
          <w:szCs w:val="24"/>
        </w:rPr>
      </w:pPr>
      <w:r w:rsidRPr="001455FB">
        <w:rPr>
          <w:sz w:val="24"/>
          <w:szCs w:val="24"/>
        </w:rPr>
        <w:t>Iacovou, M. (2013). Cyprus During the Iron Age I Period (Late Cypriot IIC–IIIA): Settlement Pattern Crisis (LC IIC–IIIA) to the Restructuring (LC IIIB) of Its Settlement Pattern. In M. &amp;. Steiner, &amp; A. E. Killebrew (Eds.), </w:t>
      </w:r>
      <w:r w:rsidRPr="001455FB">
        <w:rPr>
          <w:i/>
          <w:iCs/>
          <w:sz w:val="24"/>
          <w:szCs w:val="24"/>
        </w:rPr>
        <w:t>The Oxford Handbook of the Archaeology of the Levant</w:t>
      </w:r>
      <w:r w:rsidRPr="001455FB">
        <w:rPr>
          <w:sz w:val="24"/>
          <w:szCs w:val="24"/>
        </w:rPr>
        <w:t> (pp. 660–674). Oxford: Oxford University Press.10.1093/</w:t>
      </w:r>
      <w:proofErr w:type="spellStart"/>
      <w:r w:rsidRPr="001455FB">
        <w:rPr>
          <w:sz w:val="24"/>
          <w:szCs w:val="24"/>
        </w:rPr>
        <w:t>oxfordhb</w:t>
      </w:r>
      <w:proofErr w:type="spellEnd"/>
      <w:r w:rsidRPr="001455FB">
        <w:rPr>
          <w:sz w:val="24"/>
          <w:szCs w:val="24"/>
        </w:rPr>
        <w:t>/9780199212972.013.043</w:t>
      </w:r>
    </w:p>
    <w:p w14:paraId="15031571" w14:textId="77777777" w:rsidR="00CA4D6C" w:rsidRPr="003076A1" w:rsidRDefault="00CA4D6C" w:rsidP="00CA4D6C">
      <w:r w:rsidRPr="003076A1">
        <w:t>Iacovou, M. (2019). Palaepaphos: Unlocking the Landscape Context of the Sanctuary of the Cypriot Goddess.</w:t>
      </w:r>
      <w:r w:rsidRPr="003076A1">
        <w:rPr>
          <w:i/>
          <w:iCs/>
        </w:rPr>
        <w:t> Open Archaeology (Berlin, Germany), 5</w:t>
      </w:r>
      <w:r w:rsidRPr="003076A1">
        <w:t>(1), 204–234. 10.1515/opar-2019-0015</w:t>
      </w:r>
    </w:p>
    <w:p w14:paraId="325A4CF8" w14:textId="77777777" w:rsidR="00CA4D6C" w:rsidRPr="003076A1" w:rsidRDefault="00CA4D6C" w:rsidP="00CA4D6C">
      <w:r w:rsidRPr="003076A1">
        <w:t>Iacovou, M. (2026). The Palaepaphos Urban Landscape Project (PULP) : The project. Retrieved from </w:t>
      </w:r>
      <w:hyperlink r:id="rId19" w:tgtFrame="_blank" w:history="1">
        <w:r w:rsidRPr="003076A1">
          <w:rPr>
            <w:rStyle w:val="Hyperlink"/>
          </w:rPr>
          <w:t>https://www.ucy.ac.cy/pulp/the-project/</w:t>
        </w:r>
      </w:hyperlink>
    </w:p>
    <w:p w14:paraId="4D47936B" w14:textId="77777777" w:rsidR="00CA4D6C" w:rsidRPr="003076A1" w:rsidRDefault="00CA4D6C" w:rsidP="00CA4D6C">
      <w:r w:rsidRPr="003076A1">
        <w:t>Karageorghis, J. (2005). </w:t>
      </w:r>
      <w:r w:rsidRPr="003076A1">
        <w:rPr>
          <w:i/>
          <w:iCs/>
        </w:rPr>
        <w:t>Kypris : the Aphrodite of Cyprus : ancient sources and archaeological evidence</w:t>
      </w:r>
      <w:r w:rsidRPr="003076A1">
        <w:t>. Nicosia: A.G. Leventis Foundation.</w:t>
      </w:r>
    </w:p>
    <w:p w14:paraId="4DEF5B18" w14:textId="77777777" w:rsidR="00CA4D6C" w:rsidRPr="003076A1" w:rsidRDefault="00CA4D6C" w:rsidP="00CA4D6C">
      <w:r w:rsidRPr="003076A1">
        <w:t>Karageorghis, V. (2002). </w:t>
      </w:r>
      <w:r w:rsidRPr="003076A1">
        <w:rPr>
          <w:i/>
          <w:iCs/>
        </w:rPr>
        <w:t>Early Cyprus : crossroads of the Mediterranean</w:t>
      </w:r>
      <w:r w:rsidRPr="003076A1">
        <w:t>. Los Angeles: J. Paul Getty Museum.</w:t>
      </w:r>
    </w:p>
    <w:p w14:paraId="72867EC8" w14:textId="77777777" w:rsidR="00CA4D6C" w:rsidRDefault="00CA4D6C" w:rsidP="00CA4D6C">
      <w:r w:rsidRPr="003076A1">
        <w:t xml:space="preserve">Koutra, C., &amp; </w:t>
      </w:r>
      <w:proofErr w:type="spellStart"/>
      <w:r w:rsidRPr="003076A1">
        <w:t>Karyopouli</w:t>
      </w:r>
      <w:proofErr w:type="spellEnd"/>
      <w:r w:rsidRPr="003076A1">
        <w:t>, S. (2013). Cyprus' image—a sun and sea destination—as a detrimental factor to seasonal fluctuations. Exploration into motivational factors for holidaying in Cyprus.</w:t>
      </w:r>
      <w:r w:rsidRPr="003076A1">
        <w:rPr>
          <w:i/>
          <w:iCs/>
        </w:rPr>
        <w:t> Journal of Travel &amp; Tourism Marketing, 30</w:t>
      </w:r>
      <w:r w:rsidRPr="003076A1">
        <w:t>, 700–714. 10.1080/10548408.2013.827548</w:t>
      </w:r>
    </w:p>
    <w:p w14:paraId="2CBAC168" w14:textId="77777777" w:rsidR="00CA4D6C" w:rsidRDefault="00CA4D6C" w:rsidP="00CA4D6C">
      <w:pPr>
        <w:pStyle w:val="FootnoteText"/>
        <w:spacing w:after="120"/>
        <w:rPr>
          <w:sz w:val="24"/>
          <w:szCs w:val="24"/>
        </w:rPr>
      </w:pPr>
      <w:r w:rsidRPr="001455FB">
        <w:rPr>
          <w:sz w:val="24"/>
          <w:szCs w:val="24"/>
        </w:rPr>
        <w:t>Larson, J. (2001). </w:t>
      </w:r>
      <w:r w:rsidRPr="001455FB">
        <w:rPr>
          <w:i/>
          <w:iCs/>
          <w:sz w:val="24"/>
          <w:szCs w:val="24"/>
        </w:rPr>
        <w:t>Greek nymphs : myth, cult, lore</w:t>
      </w:r>
      <w:r w:rsidRPr="001455FB">
        <w:rPr>
          <w:sz w:val="24"/>
          <w:szCs w:val="24"/>
        </w:rPr>
        <w:t>. Oxford: Oxford University Press.</w:t>
      </w:r>
    </w:p>
    <w:p w14:paraId="139A8B46" w14:textId="77777777" w:rsidR="00CA4D6C" w:rsidRPr="000F5C4B" w:rsidRDefault="00CA4D6C" w:rsidP="00CA4D6C">
      <w:pPr>
        <w:pStyle w:val="FootnoteText"/>
        <w:spacing w:after="120"/>
        <w:rPr>
          <w:sz w:val="24"/>
          <w:szCs w:val="24"/>
        </w:rPr>
      </w:pPr>
      <w:r w:rsidRPr="000F5C4B">
        <w:rPr>
          <w:sz w:val="24"/>
          <w:szCs w:val="24"/>
        </w:rPr>
        <w:t>Lewis-Williams, J. (2010). </w:t>
      </w:r>
      <w:r w:rsidRPr="000F5C4B">
        <w:rPr>
          <w:i/>
          <w:iCs/>
          <w:sz w:val="24"/>
          <w:szCs w:val="24"/>
        </w:rPr>
        <w:t>Conceiving God : the cognitive origin and evolution of religion</w:t>
      </w:r>
      <w:r w:rsidRPr="000F5C4B">
        <w:rPr>
          <w:sz w:val="24"/>
          <w:szCs w:val="24"/>
        </w:rPr>
        <w:t>. London: Thames &amp; Hudson.</w:t>
      </w:r>
    </w:p>
    <w:p w14:paraId="2ADDC3C3" w14:textId="77777777" w:rsidR="00CA4D6C" w:rsidRPr="003076A1" w:rsidRDefault="00CA4D6C" w:rsidP="00CA4D6C">
      <w:pPr>
        <w:rPr>
          <w:lang w:val="fr-FR"/>
        </w:rPr>
      </w:pPr>
      <w:r w:rsidRPr="003076A1">
        <w:lastRenderedPageBreak/>
        <w:t xml:space="preserve">Maier, F. G. (1992). A tomb of Paphian Kings : the « </w:t>
      </w:r>
      <w:proofErr w:type="spellStart"/>
      <w:r w:rsidRPr="003076A1">
        <w:t>Spilaion</w:t>
      </w:r>
      <w:proofErr w:type="spellEnd"/>
      <w:r w:rsidRPr="003076A1">
        <w:t xml:space="preserve"> tis </w:t>
      </w:r>
      <w:proofErr w:type="spellStart"/>
      <w:r w:rsidRPr="003076A1">
        <w:t>Regainas</w:t>
      </w:r>
      <w:proofErr w:type="spellEnd"/>
      <w:r w:rsidRPr="003076A1">
        <w:t xml:space="preserve"> » at </w:t>
      </w:r>
      <w:proofErr w:type="spellStart"/>
      <w:r w:rsidRPr="003076A1">
        <w:t>Kouklia-Arkalon</w:t>
      </w:r>
      <w:proofErr w:type="spellEnd"/>
      <w:r w:rsidRPr="003076A1">
        <w:t>.</w:t>
      </w:r>
      <w:r w:rsidRPr="003076A1">
        <w:rPr>
          <w:i/>
          <w:iCs/>
        </w:rPr>
        <w:t> </w:t>
      </w:r>
      <w:r w:rsidRPr="003076A1">
        <w:rPr>
          <w:i/>
          <w:iCs/>
          <w:lang w:val="fr-FR"/>
        </w:rPr>
        <w:t>Cahiers Du Centre d’Études Chypriotes, 18</w:t>
      </w:r>
      <w:r w:rsidRPr="003076A1">
        <w:rPr>
          <w:lang w:val="fr-FR"/>
        </w:rPr>
        <w:t>, 9–14.</w:t>
      </w:r>
    </w:p>
    <w:p w14:paraId="18ABE6AF" w14:textId="77777777" w:rsidR="00CA4D6C" w:rsidRPr="003076A1" w:rsidRDefault="00CA4D6C" w:rsidP="00CA4D6C">
      <w:r w:rsidRPr="003076A1">
        <w:rPr>
          <w:lang w:val="fr-FR"/>
        </w:rPr>
        <w:t>Maier, F. G. a., &amp; Karageorghis, V. (1984). </w:t>
      </w:r>
      <w:r w:rsidRPr="003076A1">
        <w:rPr>
          <w:i/>
          <w:iCs/>
        </w:rPr>
        <w:t>Paphos : history and archaeology</w:t>
      </w:r>
      <w:r w:rsidRPr="003076A1">
        <w:t>. Nicosia: A.G. Leventis Foundation.</w:t>
      </w:r>
    </w:p>
    <w:p w14:paraId="15BD8F0F" w14:textId="77777777" w:rsidR="00CA4D6C" w:rsidRPr="003076A1" w:rsidRDefault="00CA4D6C" w:rsidP="00CA4D6C">
      <w:proofErr w:type="spellStart"/>
      <w:r w:rsidRPr="003076A1">
        <w:t>Marinatos</w:t>
      </w:r>
      <w:proofErr w:type="spellEnd"/>
      <w:r w:rsidRPr="003076A1">
        <w:t>, N. (1993). </w:t>
      </w:r>
      <w:r w:rsidRPr="003076A1">
        <w:rPr>
          <w:i/>
          <w:iCs/>
        </w:rPr>
        <w:t>Minoan Religion: Ritual, Image and Symbol</w:t>
      </w:r>
      <w:r w:rsidRPr="003076A1">
        <w:t>. Columbia, SC: University of South Carolina.</w:t>
      </w:r>
    </w:p>
    <w:p w14:paraId="2425F0DE" w14:textId="77777777" w:rsidR="00CA4D6C" w:rsidRPr="003076A1" w:rsidRDefault="00CA4D6C" w:rsidP="00CA4D6C">
      <w:pPr>
        <w:rPr>
          <w:lang w:val="fr-FR"/>
        </w:rPr>
      </w:pPr>
      <w:proofErr w:type="spellStart"/>
      <w:r w:rsidRPr="003076A1">
        <w:t>Merrillees</w:t>
      </w:r>
      <w:proofErr w:type="spellEnd"/>
      <w:r w:rsidRPr="003076A1">
        <w:t xml:space="preserve">, R. S. (2015). The Mythology Around a Myth: Aphrodite and Petra </w:t>
      </w:r>
      <w:proofErr w:type="spellStart"/>
      <w:r w:rsidRPr="003076A1">
        <w:t>tou</w:t>
      </w:r>
      <w:proofErr w:type="spellEnd"/>
      <w:r w:rsidRPr="003076A1">
        <w:t xml:space="preserve"> </w:t>
      </w:r>
      <w:proofErr w:type="spellStart"/>
      <w:r w:rsidRPr="003076A1">
        <w:t>Romiou</w:t>
      </w:r>
      <w:proofErr w:type="spellEnd"/>
      <w:r w:rsidRPr="003076A1">
        <w:t>.</w:t>
      </w:r>
      <w:r w:rsidRPr="003076A1">
        <w:rPr>
          <w:i/>
          <w:iCs/>
        </w:rPr>
        <w:t> </w:t>
      </w:r>
      <w:r w:rsidRPr="003076A1">
        <w:rPr>
          <w:i/>
          <w:iCs/>
          <w:lang w:val="fr-FR"/>
        </w:rPr>
        <w:t>Cahiers Du Centre d’Études Chypriotes, 45</w:t>
      </w:r>
      <w:r w:rsidRPr="003076A1">
        <w:rPr>
          <w:lang w:val="fr-FR"/>
        </w:rPr>
        <w:t>(1), 29–43. 10.3406/cchyp.2015.1620</w:t>
      </w:r>
    </w:p>
    <w:p w14:paraId="5E9633E3" w14:textId="77777777" w:rsidR="00CA4D6C" w:rsidRPr="003076A1" w:rsidRDefault="00CA4D6C" w:rsidP="00CA4D6C">
      <w:r w:rsidRPr="003076A1">
        <w:rPr>
          <w:lang w:val="fr-FR"/>
        </w:rPr>
        <w:t xml:space="preserve">Morris, C. E., Papantoniou, G., &amp; </w:t>
      </w:r>
      <w:proofErr w:type="spellStart"/>
      <w:r w:rsidRPr="003076A1">
        <w:rPr>
          <w:lang w:val="fr-FR"/>
        </w:rPr>
        <w:t>Vionis</w:t>
      </w:r>
      <w:proofErr w:type="spellEnd"/>
      <w:r w:rsidRPr="003076A1">
        <w:rPr>
          <w:lang w:val="fr-FR"/>
        </w:rPr>
        <w:t>, A. K. (2022). </w:t>
      </w:r>
      <w:r w:rsidRPr="003076A1">
        <w:rPr>
          <w:i/>
          <w:iCs/>
        </w:rPr>
        <w:t>Unlocking Sacred Landscapes: Religious and Insular Identities in Context</w:t>
      </w:r>
      <w:r w:rsidRPr="003076A1">
        <w:t>. Basel: MDPI - Multidisciplinary Digital Publishing Institute.10.3390/books978-3-0365-5648-2</w:t>
      </w:r>
    </w:p>
    <w:p w14:paraId="435170FE" w14:textId="77777777" w:rsidR="00CA4D6C" w:rsidRPr="003076A1" w:rsidRDefault="00CA4D6C" w:rsidP="00CA4D6C">
      <w:r w:rsidRPr="003076A1">
        <w:t>Mozel, P., &amp; and Morden, M. (2006). The Cult Statue of Aphrodite at Palaepaphos: A Meteorite?</w:t>
      </w:r>
      <w:r w:rsidRPr="003076A1">
        <w:rPr>
          <w:i/>
          <w:iCs/>
        </w:rPr>
        <w:t> Journal of the Royal Astronomical Society of Canada, 100</w:t>
      </w:r>
      <w:r w:rsidRPr="003076A1">
        <w:t>(4), 149–155.</w:t>
      </w:r>
    </w:p>
    <w:p w14:paraId="26689ED6" w14:textId="77777777" w:rsidR="00CA4D6C" w:rsidRPr="003076A1" w:rsidRDefault="00CA4D6C" w:rsidP="00CA4D6C">
      <w:r w:rsidRPr="003076A1">
        <w:t>Myres, J. L. (1945). Excavations in Cyprus, 1913.</w:t>
      </w:r>
      <w:r w:rsidRPr="003076A1">
        <w:rPr>
          <w:i/>
          <w:iCs/>
        </w:rPr>
        <w:t> The Annual of the British School at Athens, 41</w:t>
      </w:r>
      <w:r w:rsidRPr="003076A1">
        <w:t>, 53–104.</w:t>
      </w:r>
    </w:p>
    <w:p w14:paraId="16A23410" w14:textId="77777777" w:rsidR="00CA4D6C" w:rsidRPr="003076A1" w:rsidRDefault="00CA4D6C" w:rsidP="00CA4D6C">
      <w:r w:rsidRPr="003076A1">
        <w:t>Neyrinck, &amp;., &amp; Jorijn. (2017). Intangible Cultural Heritage in Times of ‘Superdiversity’: Exploring Ways of Transformation.</w:t>
      </w:r>
      <w:r w:rsidRPr="003076A1">
        <w:rPr>
          <w:i/>
          <w:iCs/>
        </w:rPr>
        <w:t> International Journal of Intangible Heritage, 12</w:t>
      </w:r>
      <w:r w:rsidRPr="003076A1">
        <w:t>, 157–174.</w:t>
      </w:r>
    </w:p>
    <w:p w14:paraId="67B405C1" w14:textId="77777777" w:rsidR="00CA4D6C" w:rsidRPr="003076A1" w:rsidRDefault="00CA4D6C" w:rsidP="00CA4D6C">
      <w:r w:rsidRPr="003076A1">
        <w:t>Nixey, C. (2018). </w:t>
      </w:r>
      <w:r w:rsidRPr="003076A1">
        <w:rPr>
          <w:i/>
          <w:iCs/>
        </w:rPr>
        <w:t>The Darkening Age: The Christian Destruction of the Classical World by  (review)</w:t>
      </w:r>
      <w:r w:rsidRPr="003076A1">
        <w:t>. London: Macmillan.</w:t>
      </w:r>
    </w:p>
    <w:p w14:paraId="004DA2F2" w14:textId="77777777" w:rsidR="00CA4D6C" w:rsidRPr="003076A1" w:rsidRDefault="00CA4D6C" w:rsidP="00CA4D6C">
      <w:r w:rsidRPr="003076A1">
        <w:t xml:space="preserve">Papantoniou, G., &amp; </w:t>
      </w:r>
      <w:proofErr w:type="spellStart"/>
      <w:r w:rsidRPr="003076A1">
        <w:t>Vionis</w:t>
      </w:r>
      <w:proofErr w:type="spellEnd"/>
      <w:r w:rsidRPr="003076A1">
        <w:t>, A. (2017). Landscape Archaeology and Sacred Space in the Eastern Mediterranean: A Glimpse from Cyprus.</w:t>
      </w:r>
      <w:r w:rsidRPr="003076A1">
        <w:rPr>
          <w:i/>
          <w:iCs/>
        </w:rPr>
        <w:t> Land (Basel), 6</w:t>
      </w:r>
      <w:r w:rsidRPr="003076A1">
        <w:t>(2), 18. 10.3390/land6020040</w:t>
      </w:r>
    </w:p>
    <w:p w14:paraId="3D70CB9F" w14:textId="77777777" w:rsidR="00CA4D6C" w:rsidRPr="003076A1" w:rsidRDefault="00CA4D6C" w:rsidP="00CA4D6C">
      <w:r w:rsidRPr="003076A1">
        <w:t>Peltenburg, E. J. E. (1989). The beginnings of religion in Cyprus. In E. J. E. Peltenburg (Ed.), </w:t>
      </w:r>
      <w:r w:rsidRPr="003076A1">
        <w:rPr>
          <w:i/>
          <w:iCs/>
        </w:rPr>
        <w:t>Early society in Cyprus</w:t>
      </w:r>
      <w:r w:rsidRPr="003076A1">
        <w:t> (pp. 108–126). Edinburgh: Edinburgh University Press in association with the National Museums of Scotland and the A. G. Leventis Foundation.</w:t>
      </w:r>
    </w:p>
    <w:p w14:paraId="2B4064F6" w14:textId="77777777" w:rsidR="00CA4D6C" w:rsidRPr="003076A1" w:rsidRDefault="00CA4D6C" w:rsidP="00CA4D6C">
      <w:r w:rsidRPr="003076A1">
        <w:t xml:space="preserve">Republic of Cyprus: Deputy Ministry of Tourism. (2016). Petra </w:t>
      </w:r>
      <w:proofErr w:type="spellStart"/>
      <w:r w:rsidRPr="003076A1">
        <w:t>tou</w:t>
      </w:r>
      <w:proofErr w:type="spellEnd"/>
      <w:r w:rsidRPr="003076A1">
        <w:t xml:space="preserve"> </w:t>
      </w:r>
      <w:proofErr w:type="spellStart"/>
      <w:r w:rsidRPr="003076A1">
        <w:t>Romiou</w:t>
      </w:r>
      <w:proofErr w:type="spellEnd"/>
      <w:r w:rsidRPr="003076A1">
        <w:t xml:space="preserve"> (The Rock of the Greek). Retrieved from </w:t>
      </w:r>
      <w:hyperlink r:id="rId20" w:tgtFrame="_blank" w:history="1">
        <w:r w:rsidRPr="003076A1">
          <w:rPr>
            <w:rStyle w:val="Hyperlink"/>
          </w:rPr>
          <w:t>https://www.visitcyprus.com/wp-content/uploads/2016/05/Petra_tou_Romiou_afigisi_en.pdf</w:t>
        </w:r>
      </w:hyperlink>
    </w:p>
    <w:p w14:paraId="606DFD31" w14:textId="233CA517" w:rsidR="00CA4D6C" w:rsidRPr="003076A1" w:rsidRDefault="00CA4D6C" w:rsidP="00CA4D6C">
      <w:r w:rsidRPr="003076A1">
        <w:t xml:space="preserve">Sarris, A., G. Stamatis, N. Papadopoulos, E. Kokkinou, S. Topouzi, E. Kokkinaki, E. Moissi, M. Iacovou, V. </w:t>
      </w:r>
      <w:proofErr w:type="spellStart"/>
      <w:r w:rsidRPr="003076A1">
        <w:t>Kassianidou</w:t>
      </w:r>
      <w:proofErr w:type="spellEnd"/>
      <w:r w:rsidRPr="003076A1">
        <w:t xml:space="preserve">, G. </w:t>
      </w:r>
      <w:proofErr w:type="spellStart"/>
      <w:r w:rsidRPr="003076A1">
        <w:t>Papassavas</w:t>
      </w:r>
      <w:proofErr w:type="spellEnd"/>
      <w:r w:rsidRPr="003076A1">
        <w:t xml:space="preserve">, G. Papantoniou, M. </w:t>
      </w:r>
      <w:proofErr w:type="spellStart"/>
      <w:r w:rsidRPr="003076A1">
        <w:t>Dikomitou</w:t>
      </w:r>
      <w:proofErr w:type="spellEnd"/>
      <w:r w:rsidRPr="003076A1">
        <w:t xml:space="preserve"> and E. </w:t>
      </w:r>
      <w:proofErr w:type="spellStart"/>
      <w:r w:rsidRPr="003076A1">
        <w:t>Stylianidis</w:t>
      </w:r>
      <w:proofErr w:type="spellEnd"/>
      <w:r w:rsidRPr="003076A1">
        <w:t>. (2007). Palaepaphos, Cyprus: The contribution of Geographical Information Systems and Geophysical Prospection in the Study of the Archaeological Topography and Settlement Patterns, In Figueiredo, A. and G. Leite Velho (eds. ) (Ed.), </w:t>
      </w:r>
      <w:r w:rsidRPr="003076A1">
        <w:rPr>
          <w:i/>
          <w:iCs/>
        </w:rPr>
        <w:t>The world is in your eyes. CAA2005. Computer Applications and Quantitative Methods in Archaeology. Proceedings of the 33rd Conference, Tomar, March 2005.</w:t>
      </w:r>
      <w:r w:rsidRPr="003076A1">
        <w:t> (pp. 199–204.). Portugal, Tomar</w:t>
      </w:r>
      <w:r w:rsidR="00820FA0">
        <w:t>:</w:t>
      </w:r>
      <w:r w:rsidRPr="003076A1">
        <w:t xml:space="preserve"> CAA.</w:t>
      </w:r>
    </w:p>
    <w:p w14:paraId="76973A1B" w14:textId="77777777" w:rsidR="00CA4D6C" w:rsidRPr="003076A1" w:rsidRDefault="00CA4D6C" w:rsidP="00CA4D6C">
      <w:proofErr w:type="spellStart"/>
      <w:r w:rsidRPr="003076A1">
        <w:t>Serwint</w:t>
      </w:r>
      <w:proofErr w:type="spellEnd"/>
      <w:r w:rsidRPr="003076A1">
        <w:t xml:space="preserve">, N. J. (2002). Aphrodite and Her Near Eastern Sisters: Spheres of Influence. In D. R. &amp;. Bolger, &amp; N. J. </w:t>
      </w:r>
      <w:proofErr w:type="spellStart"/>
      <w:r w:rsidRPr="003076A1">
        <w:t>Serwint</w:t>
      </w:r>
      <w:proofErr w:type="spellEnd"/>
      <w:r w:rsidRPr="003076A1">
        <w:t xml:space="preserve"> (Eds.), </w:t>
      </w:r>
      <w:r w:rsidRPr="003076A1">
        <w:rPr>
          <w:i/>
          <w:iCs/>
        </w:rPr>
        <w:t>Engendering Aphrodite : women and society in ancient Cyprus</w:t>
      </w:r>
      <w:r w:rsidRPr="003076A1">
        <w:t> (pp. 325–350). Boston, Mass: American Schools of Oriental Research.</w:t>
      </w:r>
    </w:p>
    <w:p w14:paraId="229D20EF" w14:textId="77777777" w:rsidR="00CA4D6C" w:rsidRPr="003076A1" w:rsidRDefault="00CA4D6C" w:rsidP="00CA4D6C">
      <w:proofErr w:type="spellStart"/>
      <w:r w:rsidRPr="003076A1">
        <w:t>Sfinga</w:t>
      </w:r>
      <w:proofErr w:type="spellEnd"/>
      <w:r w:rsidRPr="003076A1">
        <w:t>. (2024). Foam-born Aphrodite. Retrieved from </w:t>
      </w:r>
      <w:hyperlink r:id="rId21" w:tgtFrame="_blank" w:history="1">
        <w:r w:rsidRPr="003076A1">
          <w:rPr>
            <w:rStyle w:val="Hyperlink"/>
          </w:rPr>
          <w:t>https://withcunningandcommand.com/2024/05/26/foam-born-aphrodite/</w:t>
        </w:r>
      </w:hyperlink>
    </w:p>
    <w:p w14:paraId="010545DF" w14:textId="77777777" w:rsidR="00CA4D6C" w:rsidRPr="003076A1" w:rsidRDefault="00CA4D6C" w:rsidP="00CA4D6C">
      <w:r w:rsidRPr="003076A1">
        <w:lastRenderedPageBreak/>
        <w:t>Steel, L. (2004). </w:t>
      </w:r>
      <w:r w:rsidRPr="003076A1">
        <w:rPr>
          <w:i/>
          <w:iCs/>
        </w:rPr>
        <w:t>Cyprus before history : from the earliest settlers to the end of the Bronze Age</w:t>
      </w:r>
      <w:r w:rsidRPr="003076A1">
        <w:t>. London: Duckworth.</w:t>
      </w:r>
    </w:p>
    <w:p w14:paraId="425635B5" w14:textId="739E0B14" w:rsidR="00CA4D6C" w:rsidRPr="003076A1" w:rsidRDefault="00CA4D6C" w:rsidP="00CA4D6C">
      <w:r w:rsidRPr="003076A1">
        <w:t xml:space="preserve">Steel, L. (2019). Transforming landscapes: exploring the creation of a sacred landscape in north-east Cyprus at the beginning of the Late Bronze Age. In R. </w:t>
      </w:r>
      <w:proofErr w:type="spellStart"/>
      <w:r w:rsidRPr="003076A1">
        <w:t>Häussler</w:t>
      </w:r>
      <w:proofErr w:type="spellEnd"/>
      <w:r w:rsidRPr="003076A1">
        <w:t>, &amp; G. F. Chiai (</w:t>
      </w:r>
      <w:r w:rsidR="00820FA0">
        <w:t>e</w:t>
      </w:r>
      <w:r w:rsidRPr="003076A1">
        <w:t>ds.), </w:t>
      </w:r>
      <w:r w:rsidRPr="003076A1">
        <w:rPr>
          <w:i/>
          <w:iCs/>
        </w:rPr>
        <w:t>Sacred landscapes in Antiquity : creation, manipulation, transformation</w:t>
      </w:r>
      <w:r w:rsidRPr="003076A1">
        <w:t> (pp. 121–131). Oxford: Oxbow Books.</w:t>
      </w:r>
    </w:p>
    <w:p w14:paraId="0057355A" w14:textId="68961794" w:rsidR="00CA4D6C" w:rsidRPr="003076A1" w:rsidRDefault="00CA4D6C" w:rsidP="00CA4D6C">
      <w:r w:rsidRPr="003076A1">
        <w:t>Stylianou-Lambert, T. (2012). Tourists with cameras: Reproducing or Producing?</w:t>
      </w:r>
      <w:r w:rsidRPr="003076A1">
        <w:rPr>
          <w:i/>
          <w:iCs/>
        </w:rPr>
        <w:t> Annals of Tourism Research, 39</w:t>
      </w:r>
      <w:r w:rsidRPr="003076A1">
        <w:t>(4), 1817–1838. 10.1016/j.annals.2012.05.004</w:t>
      </w:r>
    </w:p>
    <w:p w14:paraId="2CA67F69" w14:textId="75317739" w:rsidR="00CA4D6C" w:rsidRPr="003076A1" w:rsidRDefault="00CA4D6C" w:rsidP="00CA4D6C">
      <w:r w:rsidRPr="003076A1">
        <w:t xml:space="preserve">Theodoropoulou, T. (2013). The sea in the temple? Shells, fish and corals from the sanctuary of the ancient town of Kythnos and other marine stories of cult. In </w:t>
      </w:r>
      <w:proofErr w:type="spellStart"/>
      <w:r w:rsidRPr="003076A1">
        <w:t>G.Ekroth</w:t>
      </w:r>
      <w:proofErr w:type="spellEnd"/>
      <w:r w:rsidRPr="003076A1">
        <w:t xml:space="preserve"> </w:t>
      </w:r>
      <w:r w:rsidR="00820FA0">
        <w:t xml:space="preserve">&amp; </w:t>
      </w:r>
      <w:r w:rsidRPr="003076A1">
        <w:t>J.</w:t>
      </w:r>
      <w:r w:rsidR="00820FA0">
        <w:t xml:space="preserve"> </w:t>
      </w:r>
      <w:proofErr w:type="spellStart"/>
      <w:r w:rsidR="00820FA0">
        <w:t>Wallensten</w:t>
      </w:r>
      <w:proofErr w:type="spellEnd"/>
      <w:r w:rsidR="00820FA0">
        <w:t xml:space="preserve">, </w:t>
      </w:r>
      <w:r w:rsidRPr="003076A1">
        <w:t>(</w:t>
      </w:r>
      <w:r w:rsidR="00820FA0">
        <w:t>e</w:t>
      </w:r>
      <w:r w:rsidRPr="003076A1">
        <w:t>d</w:t>
      </w:r>
      <w:r w:rsidR="00820FA0">
        <w:t>s</w:t>
      </w:r>
      <w:r w:rsidRPr="003076A1">
        <w:t>.), </w:t>
      </w:r>
      <w:r w:rsidRPr="003076A1">
        <w:rPr>
          <w:i/>
          <w:iCs/>
        </w:rPr>
        <w:t>Bones, behaviour and belief. The zooarchaeological evidence as a source for ritual practice in ancient Greece and beyond</w:t>
      </w:r>
      <w:r w:rsidRPr="003076A1">
        <w:t> (pp. 197–222). Stockholm: Swedish Institute at Athens and Rome.10.30549/actaath-4-55-15</w:t>
      </w:r>
    </w:p>
    <w:p w14:paraId="0A729E17" w14:textId="77777777" w:rsidR="00CA4D6C" w:rsidRPr="003076A1" w:rsidRDefault="00CA4D6C" w:rsidP="00CA4D6C">
      <w:r w:rsidRPr="003076A1">
        <w:t xml:space="preserve">Young, P. H. (2005). The Cypriot Aphrodite Cult: Paphos, </w:t>
      </w:r>
      <w:proofErr w:type="spellStart"/>
      <w:r w:rsidRPr="003076A1">
        <w:t>Rantidi</w:t>
      </w:r>
      <w:proofErr w:type="spellEnd"/>
      <w:r w:rsidRPr="003076A1">
        <w:t>, and Saint Barnabas.</w:t>
      </w:r>
      <w:r w:rsidRPr="003076A1">
        <w:rPr>
          <w:i/>
          <w:iCs/>
        </w:rPr>
        <w:t> Journal of Near Eastern Studies, 64</w:t>
      </w:r>
      <w:r w:rsidRPr="003076A1">
        <w:t>(1), 23–44. 10.1086/429165</w:t>
      </w:r>
    </w:p>
    <w:p w14:paraId="6A278A08" w14:textId="77777777" w:rsidR="00CA4D6C" w:rsidRDefault="00CA4D6C" w:rsidP="00CA4D6C"/>
    <w:p w14:paraId="09E73F28" w14:textId="77777777" w:rsidR="00CA4D6C" w:rsidRPr="001455FB" w:rsidRDefault="00CA4D6C" w:rsidP="00CA4D6C">
      <w:pPr>
        <w:pStyle w:val="FootnoteText"/>
      </w:pPr>
    </w:p>
    <w:p w14:paraId="5F6D7ADF" w14:textId="77777777" w:rsidR="00CA4D6C" w:rsidRPr="00CA4D6C" w:rsidRDefault="00CA4D6C" w:rsidP="00CA4D6C">
      <w:pPr>
        <w:pStyle w:val="FootnoteText"/>
      </w:pPr>
    </w:p>
    <w:sectPr w:rsidR="00CA4D6C" w:rsidRPr="00CA4D6C" w:rsidSect="00F97B0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170882" w14:textId="77777777" w:rsidR="00E957AC" w:rsidRDefault="00E957AC" w:rsidP="00B92DAB">
      <w:pPr>
        <w:spacing w:after="0"/>
      </w:pPr>
      <w:r>
        <w:separator/>
      </w:r>
    </w:p>
  </w:endnote>
  <w:endnote w:type="continuationSeparator" w:id="0">
    <w:p w14:paraId="69DA7B5A" w14:textId="77777777" w:rsidR="00E957AC" w:rsidRDefault="00E957AC" w:rsidP="00B92DA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4107618"/>
      <w:docPartObj>
        <w:docPartGallery w:val="Page Numbers (Bottom of Page)"/>
        <w:docPartUnique/>
      </w:docPartObj>
    </w:sdtPr>
    <w:sdtContent>
      <w:sdt>
        <w:sdtPr>
          <w:id w:val="-1705238520"/>
          <w:docPartObj>
            <w:docPartGallery w:val="Page Numbers (Top of Page)"/>
            <w:docPartUnique/>
          </w:docPartObj>
        </w:sdtPr>
        <w:sdtContent>
          <w:p w14:paraId="17C32D2A" w14:textId="7C931EC3" w:rsidR="00117B4A" w:rsidRDefault="00117B4A">
            <w:pPr>
              <w:pStyle w:val="Footer"/>
            </w:pPr>
            <w:r>
              <w:t>HPAH7014 - 3 - Site Analysis</w:t>
            </w:r>
            <w:r>
              <w:tab/>
              <w:t>2310535</w:t>
            </w:r>
            <w:r>
              <w:tab/>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CD63A3C" w14:textId="77777777" w:rsidR="00117B4A" w:rsidRDefault="00117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B2FEA" w14:textId="77777777" w:rsidR="00E957AC" w:rsidRDefault="00E957AC" w:rsidP="00B92DAB">
      <w:pPr>
        <w:spacing w:after="0"/>
      </w:pPr>
      <w:r>
        <w:separator/>
      </w:r>
    </w:p>
  </w:footnote>
  <w:footnote w:type="continuationSeparator" w:id="0">
    <w:p w14:paraId="638E9897" w14:textId="77777777" w:rsidR="00E957AC" w:rsidRDefault="00E957AC" w:rsidP="00B92DAB">
      <w:pPr>
        <w:spacing w:after="0"/>
      </w:pPr>
      <w:r>
        <w:continuationSeparator/>
      </w:r>
    </w:p>
  </w:footnote>
  <w:footnote w:id="1">
    <w:p w14:paraId="7DE4C891" w14:textId="6585DB89" w:rsidR="00117B4A" w:rsidRPr="00117B4A" w:rsidRDefault="00117B4A" w:rsidP="00117B4A">
      <w:pPr>
        <w:pStyle w:val="FootnoteText"/>
        <w:spacing w:after="120"/>
        <w:rPr>
          <w:sz w:val="22"/>
          <w:szCs w:val="22"/>
        </w:rPr>
      </w:pPr>
      <w:r>
        <w:rPr>
          <w:rStyle w:val="FootnoteReference"/>
        </w:rPr>
        <w:footnoteRef/>
      </w:r>
      <w:r>
        <w:t xml:space="preserve"> </w:t>
      </w:r>
      <w:r w:rsidRPr="00117B4A">
        <w:rPr>
          <w:sz w:val="22"/>
          <w:szCs w:val="22"/>
        </w:rPr>
        <w:t xml:space="preserve">By the renowned poetess, </w:t>
      </w:r>
      <w:proofErr w:type="spellStart"/>
      <w:r w:rsidRPr="00117B4A">
        <w:rPr>
          <w:sz w:val="22"/>
          <w:szCs w:val="22"/>
        </w:rPr>
        <w:t>Anyte</w:t>
      </w:r>
      <w:proofErr w:type="spellEnd"/>
      <w:r w:rsidRPr="00117B4A">
        <w:rPr>
          <w:sz w:val="22"/>
          <w:szCs w:val="22"/>
        </w:rPr>
        <w:t xml:space="preserve"> of Tegea, quoted </w:t>
      </w:r>
      <w:r w:rsidR="00240C74">
        <w:rPr>
          <w:sz w:val="22"/>
          <w:szCs w:val="22"/>
        </w:rPr>
        <w:t>M</w:t>
      </w:r>
      <w:r w:rsidRPr="00117B4A">
        <w:rPr>
          <w:sz w:val="22"/>
          <w:szCs w:val="22"/>
        </w:rPr>
        <w:t>aier &amp; Karageorghis, 1984, pp. 277-278.</w:t>
      </w:r>
      <w:r w:rsidR="00755A83">
        <w:rPr>
          <w:sz w:val="22"/>
          <w:szCs w:val="22"/>
        </w:rPr>
        <w:t xml:space="preserve"> (‘</w:t>
      </w:r>
      <w:proofErr w:type="spellStart"/>
      <w:r w:rsidR="00755A83">
        <w:rPr>
          <w:sz w:val="22"/>
          <w:szCs w:val="22"/>
        </w:rPr>
        <w:t>Euploia</w:t>
      </w:r>
      <w:proofErr w:type="spellEnd"/>
      <w:r w:rsidR="00755A83">
        <w:rPr>
          <w:sz w:val="22"/>
          <w:szCs w:val="22"/>
        </w:rPr>
        <w:t>’ meaning ‘good sailing’, as also later of Hellenized Isis.)</w:t>
      </w:r>
    </w:p>
  </w:footnote>
  <w:footnote w:id="2">
    <w:p w14:paraId="06BFDE03" w14:textId="6183FFB4"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Maier &amp; Karageorghis, 1984, p. 7</w:t>
      </w:r>
      <w:r w:rsidR="0040205E">
        <w:rPr>
          <w:sz w:val="22"/>
          <w:szCs w:val="22"/>
        </w:rPr>
        <w:t>,</w:t>
      </w:r>
      <w:r w:rsidRPr="00117B4A">
        <w:rPr>
          <w:sz w:val="22"/>
          <w:szCs w:val="22"/>
        </w:rPr>
        <w:t xml:space="preserve"> note the original urban centre, now known as Palaepaphos, was simply ‘Paphos’ until the end of the Classical period</w:t>
      </w:r>
      <w:r w:rsidR="00091758" w:rsidRPr="00117B4A">
        <w:rPr>
          <w:sz w:val="22"/>
          <w:szCs w:val="22"/>
        </w:rPr>
        <w:t xml:space="preserve"> when the town of </w:t>
      </w:r>
      <w:proofErr w:type="spellStart"/>
      <w:r w:rsidR="00091758" w:rsidRPr="00117B4A">
        <w:rPr>
          <w:sz w:val="22"/>
          <w:szCs w:val="22"/>
        </w:rPr>
        <w:t>Neapaphos</w:t>
      </w:r>
      <w:proofErr w:type="spellEnd"/>
      <w:r w:rsidR="00091758" w:rsidRPr="00117B4A">
        <w:rPr>
          <w:sz w:val="22"/>
          <w:szCs w:val="22"/>
        </w:rPr>
        <w:t xml:space="preserve">, including a new harbour, was created by </w:t>
      </w:r>
      <w:proofErr w:type="spellStart"/>
      <w:r w:rsidR="00091758" w:rsidRPr="00117B4A">
        <w:rPr>
          <w:sz w:val="22"/>
          <w:szCs w:val="22"/>
        </w:rPr>
        <w:t>Nicocles</w:t>
      </w:r>
      <w:proofErr w:type="spellEnd"/>
      <w:r w:rsidR="00091758" w:rsidRPr="00117B4A">
        <w:rPr>
          <w:sz w:val="22"/>
          <w:szCs w:val="22"/>
        </w:rPr>
        <w:t>, the last native king</w:t>
      </w:r>
      <w:r w:rsidR="00D166F6" w:rsidRPr="00117B4A">
        <w:rPr>
          <w:sz w:val="22"/>
          <w:szCs w:val="22"/>
        </w:rPr>
        <w:t xml:space="preserve">, and political authority moved there. </w:t>
      </w:r>
      <w:r w:rsidR="00D166F6" w:rsidRPr="00117B4A">
        <w:rPr>
          <w:rFonts w:asciiTheme="minorHAnsi" w:hAnsiTheme="minorHAnsi" w:cstheme="minorHAnsi"/>
          <w:sz w:val="22"/>
          <w:szCs w:val="22"/>
        </w:rPr>
        <w:t xml:space="preserve">Once the sanctuary of Aphrodite was proscribed, Palaepaphos seems even have lost its own name, even now generally referenced instead by the adjacent village of </w:t>
      </w:r>
      <w:proofErr w:type="spellStart"/>
      <w:r w:rsidR="00D166F6" w:rsidRPr="00117B4A">
        <w:rPr>
          <w:rFonts w:asciiTheme="minorHAnsi" w:hAnsiTheme="minorHAnsi" w:cstheme="minorHAnsi"/>
          <w:sz w:val="22"/>
          <w:szCs w:val="22"/>
        </w:rPr>
        <w:t>Kouklia</w:t>
      </w:r>
      <w:proofErr w:type="spellEnd"/>
      <w:r w:rsidR="00D166F6" w:rsidRPr="00117B4A">
        <w:rPr>
          <w:rFonts w:asciiTheme="minorHAnsi" w:hAnsiTheme="minorHAnsi" w:cstheme="minorHAnsi"/>
          <w:sz w:val="22"/>
          <w:szCs w:val="22"/>
        </w:rPr>
        <w:t>. This name is perhaps derived from ‘</w:t>
      </w:r>
      <w:proofErr w:type="spellStart"/>
      <w:r w:rsidR="00D166F6" w:rsidRPr="00117B4A">
        <w:rPr>
          <w:rFonts w:asciiTheme="minorHAnsi" w:hAnsiTheme="minorHAnsi" w:cstheme="minorHAnsi"/>
          <w:sz w:val="22"/>
          <w:szCs w:val="22"/>
        </w:rPr>
        <w:t>Couvoucle</w:t>
      </w:r>
      <w:proofErr w:type="spellEnd"/>
      <w:r w:rsidR="00D166F6" w:rsidRPr="00117B4A">
        <w:rPr>
          <w:rFonts w:asciiTheme="minorHAnsi" w:hAnsiTheme="minorHAnsi" w:cstheme="minorHAnsi"/>
          <w:sz w:val="22"/>
          <w:szCs w:val="22"/>
        </w:rPr>
        <w:t>’ (Maier, 1984, p. 320) . However, ‘</w:t>
      </w:r>
      <w:proofErr w:type="spellStart"/>
      <w:r w:rsidR="00D166F6" w:rsidRPr="00117B4A">
        <w:rPr>
          <w:rFonts w:asciiTheme="minorHAnsi" w:hAnsiTheme="minorHAnsi" w:cstheme="minorHAnsi"/>
          <w:sz w:val="22"/>
          <w:szCs w:val="22"/>
        </w:rPr>
        <w:t>Kouklia</w:t>
      </w:r>
      <w:proofErr w:type="spellEnd"/>
      <w:r w:rsidR="00D166F6" w:rsidRPr="00117B4A">
        <w:rPr>
          <w:rFonts w:asciiTheme="minorHAnsi" w:hAnsiTheme="minorHAnsi" w:cstheme="minorHAnsi"/>
          <w:sz w:val="22"/>
          <w:szCs w:val="22"/>
        </w:rPr>
        <w:t xml:space="preserve">’ has the more immediate meanings of ‘dolls’, perhaps appropriate from the many ancient figurines found </w:t>
      </w:r>
      <w:r w:rsidR="00053F42" w:rsidRPr="00117B4A">
        <w:rPr>
          <w:rFonts w:asciiTheme="minorHAnsi" w:hAnsiTheme="minorHAnsi" w:cstheme="minorHAnsi"/>
          <w:sz w:val="22"/>
          <w:szCs w:val="22"/>
        </w:rPr>
        <w:t>in</w:t>
      </w:r>
      <w:r w:rsidR="00D166F6" w:rsidRPr="00117B4A">
        <w:rPr>
          <w:rFonts w:asciiTheme="minorHAnsi" w:hAnsiTheme="minorHAnsi" w:cstheme="minorHAnsi"/>
          <w:sz w:val="22"/>
          <w:szCs w:val="22"/>
        </w:rPr>
        <w:t xml:space="preserve"> the area (Myres, 1945, p. 97). </w:t>
      </w:r>
    </w:p>
  </w:footnote>
  <w:footnote w:id="3">
    <w:p w14:paraId="6877C0CA" w14:textId="34562F15" w:rsidR="00F135D8" w:rsidRPr="00117B4A" w:rsidRDefault="00F135D8" w:rsidP="00117B4A">
      <w:pPr>
        <w:pStyle w:val="FootnoteText"/>
        <w:spacing w:after="120"/>
        <w:rPr>
          <w:sz w:val="22"/>
          <w:szCs w:val="22"/>
        </w:rPr>
      </w:pPr>
      <w:r w:rsidRPr="00117B4A">
        <w:rPr>
          <w:rStyle w:val="FootnoteReference"/>
          <w:sz w:val="22"/>
          <w:szCs w:val="22"/>
        </w:rPr>
        <w:footnoteRef/>
      </w:r>
      <w:r w:rsidRPr="00117B4A">
        <w:rPr>
          <w:sz w:val="22"/>
          <w:szCs w:val="22"/>
        </w:rPr>
        <w:t xml:space="preserve"> Haussler and Chiai, 2020, p. 1.</w:t>
      </w:r>
    </w:p>
  </w:footnote>
  <w:footnote w:id="4">
    <w:p w14:paraId="3A83A16D" w14:textId="2016F856" w:rsidR="003D4FF7" w:rsidRPr="00117B4A" w:rsidRDefault="003D4FF7"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053F42" w:rsidRPr="00117B4A">
        <w:rPr>
          <w:sz w:val="22"/>
          <w:szCs w:val="22"/>
        </w:rPr>
        <w:t>T</w:t>
      </w:r>
      <w:r w:rsidRPr="00117B4A">
        <w:rPr>
          <w:sz w:val="22"/>
          <w:szCs w:val="22"/>
        </w:rPr>
        <w:t>his term may be unfamiliar</w:t>
      </w:r>
      <w:r w:rsidR="00053F42" w:rsidRPr="00117B4A">
        <w:rPr>
          <w:sz w:val="22"/>
          <w:szCs w:val="22"/>
        </w:rPr>
        <w:t>:</w:t>
      </w:r>
      <w:r w:rsidRPr="00117B4A">
        <w:rPr>
          <w:sz w:val="22"/>
          <w:szCs w:val="22"/>
        </w:rPr>
        <w:t xml:space="preserve"> it was discussed </w:t>
      </w:r>
      <w:r w:rsidR="00053F42" w:rsidRPr="00117B4A">
        <w:rPr>
          <w:sz w:val="22"/>
          <w:szCs w:val="22"/>
        </w:rPr>
        <w:t xml:space="preserve">at </w:t>
      </w:r>
      <w:r w:rsidR="00C47BD5">
        <w:rPr>
          <w:sz w:val="22"/>
          <w:szCs w:val="22"/>
        </w:rPr>
        <w:t>modest</w:t>
      </w:r>
      <w:r w:rsidR="00053F42" w:rsidRPr="00117B4A">
        <w:rPr>
          <w:sz w:val="22"/>
          <w:szCs w:val="22"/>
        </w:rPr>
        <w:t xml:space="preserve"> length </w:t>
      </w:r>
      <w:r w:rsidRPr="00117B4A">
        <w:rPr>
          <w:sz w:val="22"/>
          <w:szCs w:val="22"/>
        </w:rPr>
        <w:t xml:space="preserve">in my previous essay #3 </w:t>
      </w:r>
      <w:r w:rsidR="0040205E">
        <w:rPr>
          <w:sz w:val="22"/>
          <w:szCs w:val="22"/>
        </w:rPr>
        <w:t xml:space="preserve">(methodology etc) </w:t>
      </w:r>
      <w:r w:rsidRPr="00117B4A">
        <w:rPr>
          <w:sz w:val="22"/>
          <w:szCs w:val="22"/>
        </w:rPr>
        <w:t>for the HPAH7011 module</w:t>
      </w:r>
      <w:r w:rsidR="00C47BD5">
        <w:rPr>
          <w:sz w:val="22"/>
          <w:szCs w:val="22"/>
        </w:rPr>
        <w:t xml:space="preserve"> (file HPAH7011-2310535-methodology.docx)</w:t>
      </w:r>
      <w:r w:rsidRPr="00117B4A">
        <w:rPr>
          <w:sz w:val="22"/>
          <w:szCs w:val="22"/>
        </w:rPr>
        <w:t>.</w:t>
      </w:r>
      <w:r w:rsidR="008726AE">
        <w:rPr>
          <w:sz w:val="22"/>
          <w:szCs w:val="22"/>
        </w:rPr>
        <w:t xml:space="preserve">  It remains unclear to this writer whether </w:t>
      </w:r>
      <w:proofErr w:type="spellStart"/>
      <w:r w:rsidR="00737E6B">
        <w:rPr>
          <w:sz w:val="22"/>
          <w:szCs w:val="22"/>
        </w:rPr>
        <w:t>P</w:t>
      </w:r>
      <w:r w:rsidR="008726AE">
        <w:rPr>
          <w:sz w:val="22"/>
          <w:szCs w:val="22"/>
        </w:rPr>
        <w:t>olytheology</w:t>
      </w:r>
      <w:proofErr w:type="spellEnd"/>
      <w:r w:rsidR="008726AE">
        <w:rPr>
          <w:sz w:val="22"/>
          <w:szCs w:val="22"/>
        </w:rPr>
        <w:t xml:space="preserve"> is compatible with ‘New Materialism’ or fundamentally in opposition to it.</w:t>
      </w:r>
    </w:p>
  </w:footnote>
  <w:footnote w:id="5">
    <w:p w14:paraId="09B4D137"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Source: </w:t>
      </w:r>
      <w:proofErr w:type="spellStart"/>
      <w:r w:rsidRPr="00117B4A">
        <w:rPr>
          <w:sz w:val="22"/>
          <w:szCs w:val="22"/>
        </w:rPr>
        <w:t>Encyclopedia</w:t>
      </w:r>
      <w:proofErr w:type="spellEnd"/>
      <w:r w:rsidRPr="00117B4A">
        <w:rPr>
          <w:sz w:val="22"/>
          <w:szCs w:val="22"/>
        </w:rPr>
        <w:t xml:space="preserve"> Britannica: https://www.britannica.com/place/Cyprus</w:t>
      </w:r>
    </w:p>
  </w:footnote>
  <w:footnote w:id="6">
    <w:p w14:paraId="78CAE054"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Generationally speaking, this would make Her ‘older’ than Zeus, rather than being his ‘daughter’, as implied in some other tales.</w:t>
      </w:r>
    </w:p>
  </w:footnote>
  <w:footnote w:id="7">
    <w:p w14:paraId="1A0CDCF2"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A town in northern Cyprus, now under Turkish control, has the tantalisingly similar name </w:t>
      </w:r>
      <w:proofErr w:type="spellStart"/>
      <w:r w:rsidRPr="00117B4A">
        <w:rPr>
          <w:sz w:val="22"/>
          <w:szCs w:val="22"/>
        </w:rPr>
        <w:t>Kythrea</w:t>
      </w:r>
      <w:proofErr w:type="spellEnd"/>
      <w:r w:rsidRPr="00117B4A">
        <w:rPr>
          <w:sz w:val="22"/>
          <w:szCs w:val="22"/>
        </w:rPr>
        <w:t xml:space="preserve">: however it does not seem to have any meaningful links to the island, nor to Aphrodite. The similarity is considered coincidental: Kythira ‘pre-Greek’ but </w:t>
      </w:r>
      <w:proofErr w:type="spellStart"/>
      <w:r w:rsidRPr="00117B4A">
        <w:rPr>
          <w:sz w:val="22"/>
          <w:szCs w:val="22"/>
        </w:rPr>
        <w:t>Kythrea</w:t>
      </w:r>
      <w:proofErr w:type="spellEnd"/>
      <w:r w:rsidRPr="00117B4A">
        <w:rPr>
          <w:sz w:val="22"/>
          <w:szCs w:val="22"/>
        </w:rPr>
        <w:t xml:space="preserve"> from </w:t>
      </w:r>
      <w:proofErr w:type="spellStart"/>
      <w:r w:rsidRPr="00117B4A">
        <w:rPr>
          <w:sz w:val="22"/>
          <w:szCs w:val="22"/>
        </w:rPr>
        <w:t>Chytroi</w:t>
      </w:r>
      <w:proofErr w:type="spellEnd"/>
      <w:r w:rsidRPr="00117B4A">
        <w:rPr>
          <w:sz w:val="22"/>
          <w:szCs w:val="22"/>
        </w:rPr>
        <w:t xml:space="preserve"> / </w:t>
      </w:r>
      <w:proofErr w:type="spellStart"/>
      <w:r w:rsidRPr="00117B4A">
        <w:rPr>
          <w:sz w:val="22"/>
          <w:szCs w:val="22"/>
        </w:rPr>
        <w:t>χύτρος</w:t>
      </w:r>
      <w:proofErr w:type="spellEnd"/>
      <w:r w:rsidRPr="00117B4A">
        <w:rPr>
          <w:sz w:val="22"/>
          <w:szCs w:val="22"/>
        </w:rPr>
        <w:t xml:space="preserve"> = “pot”.</w:t>
      </w:r>
    </w:p>
  </w:footnote>
  <w:footnote w:id="8">
    <w:p w14:paraId="7A84EF13" w14:textId="5550C3F9"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Hesiod. Theogony, 176-206 relates the story. The translations at www.perseus.edu have been used throughout. Her ‘birth’ </w:t>
      </w:r>
      <w:proofErr w:type="gramStart"/>
      <w:r w:rsidRPr="00117B4A">
        <w:rPr>
          <w:sz w:val="22"/>
          <w:szCs w:val="22"/>
        </w:rPr>
        <w:t>at</w:t>
      </w:r>
      <w:proofErr w:type="gramEnd"/>
      <w:r w:rsidRPr="00117B4A">
        <w:rPr>
          <w:sz w:val="22"/>
          <w:szCs w:val="22"/>
        </w:rPr>
        <w:t xml:space="preserve"> Cyprus is therefore deemed the emergence from the primal waters.</w:t>
      </w:r>
    </w:p>
  </w:footnote>
  <w:footnote w:id="9">
    <w:p w14:paraId="58D4B0D3"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Homer, Odyssey, 8: 362-363.</w:t>
      </w:r>
    </w:p>
  </w:footnote>
  <w:footnote w:id="10">
    <w:p w14:paraId="53F3BBDD" w14:textId="3EDA8A92" w:rsidR="00737E6B" w:rsidRDefault="00737E6B" w:rsidP="00737E6B">
      <w:pPr>
        <w:pStyle w:val="FootnoteText"/>
        <w:spacing w:after="120"/>
      </w:pPr>
      <w:r>
        <w:rPr>
          <w:rStyle w:val="FootnoteReference"/>
        </w:rPr>
        <w:footnoteRef/>
      </w:r>
      <w:r>
        <w:t xml:space="preserve"> </w:t>
      </w:r>
      <w:r w:rsidRPr="00737E6B">
        <w:rPr>
          <w:rFonts w:asciiTheme="minorHAnsi" w:hAnsiTheme="minorHAnsi" w:cstheme="minorHAnsi"/>
          <w:sz w:val="22"/>
          <w:szCs w:val="22"/>
        </w:rPr>
        <w:t>It remains a mystery how Aphrodite’s name - not known in Mycenaean / Linear-B - and Her Cypriot sanctuary became so renowned in Greece during the ‘Dark Age’ period that followed the collapse of Mycenaean states.</w:t>
      </w:r>
      <w:r w:rsidRPr="000B0590">
        <w:rPr>
          <w:rFonts w:asciiTheme="minorHAnsi" w:hAnsiTheme="minorHAnsi" w:cstheme="minorHAnsi"/>
          <w:sz w:val="24"/>
          <w:szCs w:val="24"/>
        </w:rPr>
        <w:t xml:space="preserve"> </w:t>
      </w:r>
    </w:p>
  </w:footnote>
  <w:footnote w:id="11">
    <w:p w14:paraId="035F40D6" w14:textId="5A788572"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5C184E">
        <w:rPr>
          <w:sz w:val="22"/>
          <w:szCs w:val="22"/>
        </w:rPr>
        <w:t xml:space="preserve">J. </w:t>
      </w:r>
      <w:r w:rsidRPr="00117B4A">
        <w:rPr>
          <w:sz w:val="22"/>
          <w:szCs w:val="22"/>
        </w:rPr>
        <w:t>Karageorghis, 2005, p. 25.</w:t>
      </w:r>
    </w:p>
  </w:footnote>
  <w:footnote w:id="12">
    <w:p w14:paraId="074DB439" w14:textId="5CEAD030" w:rsidR="00AF137F" w:rsidRPr="00117B4A" w:rsidRDefault="00AF137F" w:rsidP="00117B4A">
      <w:pPr>
        <w:pStyle w:val="FootnoteText"/>
        <w:spacing w:after="120"/>
        <w:rPr>
          <w:sz w:val="22"/>
          <w:szCs w:val="22"/>
        </w:rPr>
      </w:pPr>
      <w:r w:rsidRPr="00117B4A">
        <w:rPr>
          <w:rStyle w:val="FootnoteReference"/>
          <w:sz w:val="22"/>
          <w:szCs w:val="22"/>
        </w:rPr>
        <w:footnoteRef/>
      </w:r>
      <w:r w:rsidRPr="00117B4A">
        <w:rPr>
          <w:sz w:val="22"/>
          <w:szCs w:val="22"/>
        </w:rPr>
        <w:t xml:space="preserve"> Iacovou, 2026 (not paginated). It is noted that her earlier paper (2019, p. 215) gives a date of 1700 BCE. (perhaps a typo - no explanation is apparent.)</w:t>
      </w:r>
    </w:p>
  </w:footnote>
  <w:footnote w:id="13">
    <w:p w14:paraId="654E7FF0" w14:textId="3F617309" w:rsidR="003D4FF7" w:rsidRPr="00117B4A" w:rsidRDefault="003D4FF7" w:rsidP="00117B4A">
      <w:pPr>
        <w:pStyle w:val="FootnoteText"/>
        <w:spacing w:after="120"/>
        <w:rPr>
          <w:sz w:val="22"/>
          <w:szCs w:val="22"/>
        </w:rPr>
      </w:pPr>
      <w:r w:rsidRPr="00117B4A">
        <w:rPr>
          <w:rStyle w:val="FootnoteReference"/>
          <w:sz w:val="22"/>
          <w:szCs w:val="22"/>
        </w:rPr>
        <w:footnoteRef/>
      </w:r>
      <w:r w:rsidRPr="00117B4A">
        <w:rPr>
          <w:sz w:val="22"/>
          <w:szCs w:val="22"/>
        </w:rPr>
        <w:t xml:space="preserve"> Source: Maier, 1992, p. 15 (fig</w:t>
      </w:r>
      <w:r w:rsidR="00053F42" w:rsidRPr="00117B4A">
        <w:rPr>
          <w:sz w:val="22"/>
          <w:szCs w:val="22"/>
        </w:rPr>
        <w:t xml:space="preserve">. </w:t>
      </w:r>
      <w:r w:rsidRPr="00117B4A">
        <w:rPr>
          <w:sz w:val="22"/>
          <w:szCs w:val="22"/>
        </w:rPr>
        <w:t>1).</w:t>
      </w:r>
    </w:p>
  </w:footnote>
  <w:footnote w:id="14">
    <w:p w14:paraId="0A705467" w14:textId="0AE893DE" w:rsidR="00FE0FB9" w:rsidRPr="00117B4A" w:rsidRDefault="00FE0FB9" w:rsidP="00117B4A">
      <w:pPr>
        <w:pStyle w:val="FootnoteText"/>
        <w:spacing w:after="120"/>
        <w:rPr>
          <w:sz w:val="22"/>
          <w:szCs w:val="22"/>
        </w:rPr>
      </w:pPr>
      <w:r w:rsidRPr="00117B4A">
        <w:rPr>
          <w:rStyle w:val="FootnoteReference"/>
          <w:sz w:val="22"/>
          <w:szCs w:val="22"/>
        </w:rPr>
        <w:footnoteRef/>
      </w:r>
      <w:r w:rsidRPr="00117B4A">
        <w:rPr>
          <w:sz w:val="22"/>
          <w:szCs w:val="22"/>
        </w:rPr>
        <w:t xml:space="preserve"> Iacovou</w:t>
      </w:r>
      <w:r w:rsidR="00A37224" w:rsidRPr="00117B4A">
        <w:rPr>
          <w:sz w:val="22"/>
          <w:szCs w:val="22"/>
        </w:rPr>
        <w:t>, 2026. ‘The Foundation Horizon’</w:t>
      </w:r>
      <w:r w:rsidR="00797208" w:rsidRPr="00117B4A">
        <w:rPr>
          <w:sz w:val="22"/>
          <w:szCs w:val="22"/>
        </w:rPr>
        <w:t>.</w:t>
      </w:r>
      <w:r w:rsidR="00D01D9C" w:rsidRPr="00117B4A">
        <w:rPr>
          <w:sz w:val="22"/>
          <w:szCs w:val="22"/>
        </w:rPr>
        <w:t xml:space="preserve"> This work by PULP must supersede the comment by Maier &amp; Karageorghis, 1984, p. 40, that “Palaepaphos never had a proper harbour”.</w:t>
      </w:r>
    </w:p>
  </w:footnote>
  <w:footnote w:id="15">
    <w:p w14:paraId="140E643C" w14:textId="135FF58D" w:rsidR="00737E6B" w:rsidRPr="00737E6B" w:rsidRDefault="00737E6B" w:rsidP="00737E6B">
      <w:pPr>
        <w:pStyle w:val="FootnoteText"/>
        <w:spacing w:after="120"/>
        <w:rPr>
          <w:sz w:val="22"/>
          <w:szCs w:val="22"/>
        </w:rPr>
      </w:pPr>
      <w:r w:rsidRPr="00737E6B">
        <w:rPr>
          <w:rStyle w:val="FootnoteReference"/>
          <w:sz w:val="22"/>
          <w:szCs w:val="22"/>
        </w:rPr>
        <w:footnoteRef/>
      </w:r>
      <w:r w:rsidRPr="00737E6B">
        <w:rPr>
          <w:sz w:val="22"/>
          <w:szCs w:val="22"/>
        </w:rPr>
        <w:t xml:space="preserve"> Source: Iacovou, 2019, p. 218.</w:t>
      </w:r>
    </w:p>
  </w:footnote>
  <w:footnote w:id="16">
    <w:p w14:paraId="1E7A31D1" w14:textId="26555CD1" w:rsidR="007C010C" w:rsidRPr="00117B4A" w:rsidRDefault="007C010C" w:rsidP="00117B4A">
      <w:pPr>
        <w:pStyle w:val="FootnoteText"/>
        <w:spacing w:after="120"/>
        <w:rPr>
          <w:sz w:val="22"/>
          <w:szCs w:val="22"/>
        </w:rPr>
      </w:pPr>
      <w:r w:rsidRPr="00117B4A">
        <w:rPr>
          <w:rStyle w:val="FootnoteReference"/>
          <w:sz w:val="22"/>
          <w:szCs w:val="22"/>
        </w:rPr>
        <w:footnoteRef/>
      </w:r>
      <w:r w:rsidRPr="00117B4A">
        <w:rPr>
          <w:sz w:val="22"/>
          <w:szCs w:val="22"/>
        </w:rPr>
        <w:t xml:space="preserve"> Collard</w:t>
      </w:r>
      <w:r w:rsidR="00797208" w:rsidRPr="00117B4A">
        <w:rPr>
          <w:sz w:val="22"/>
          <w:szCs w:val="22"/>
        </w:rPr>
        <w:t xml:space="preserve">, 2018, p. 115, </w:t>
      </w:r>
      <w:r w:rsidRPr="00117B4A">
        <w:rPr>
          <w:sz w:val="22"/>
          <w:szCs w:val="22"/>
        </w:rPr>
        <w:t xml:space="preserve">describes the preceding </w:t>
      </w:r>
      <w:r w:rsidR="00EC189A" w:rsidRPr="00117B4A">
        <w:rPr>
          <w:sz w:val="22"/>
          <w:szCs w:val="22"/>
        </w:rPr>
        <w:t>c</w:t>
      </w:r>
      <w:r w:rsidRPr="00117B4A">
        <w:rPr>
          <w:sz w:val="22"/>
          <w:szCs w:val="22"/>
        </w:rPr>
        <w:t>ulture as “relatively unstratified, kin-based, agricultural communities”</w:t>
      </w:r>
      <w:r w:rsidR="00AF11D7" w:rsidRPr="00117B4A">
        <w:rPr>
          <w:sz w:val="22"/>
          <w:szCs w:val="22"/>
        </w:rPr>
        <w:t>.</w:t>
      </w:r>
      <w:r w:rsidR="00491649" w:rsidRPr="00117B4A">
        <w:rPr>
          <w:sz w:val="22"/>
          <w:szCs w:val="22"/>
        </w:rPr>
        <w:t xml:space="preserve"> Events seem to have been seriously violent: </w:t>
      </w:r>
      <w:r w:rsidR="00797208" w:rsidRPr="00117B4A">
        <w:rPr>
          <w:sz w:val="22"/>
          <w:szCs w:val="22"/>
        </w:rPr>
        <w:t>Steel, 2019, p. 121 notes the “</w:t>
      </w:r>
      <w:r w:rsidR="00A6010B">
        <w:rPr>
          <w:sz w:val="22"/>
          <w:szCs w:val="22"/>
        </w:rPr>
        <w:t xml:space="preserve">sudden and </w:t>
      </w:r>
      <w:r w:rsidR="00797208" w:rsidRPr="00117B4A">
        <w:rPr>
          <w:sz w:val="22"/>
          <w:szCs w:val="22"/>
        </w:rPr>
        <w:t xml:space="preserve">unprecedented appearance of mass </w:t>
      </w:r>
      <w:r w:rsidR="00A6010B">
        <w:rPr>
          <w:sz w:val="22"/>
          <w:szCs w:val="22"/>
        </w:rPr>
        <w:t>burials</w:t>
      </w:r>
      <w:r w:rsidR="00797208" w:rsidRPr="00117B4A">
        <w:rPr>
          <w:sz w:val="22"/>
          <w:szCs w:val="22"/>
        </w:rPr>
        <w:t>”.</w:t>
      </w:r>
      <w:r w:rsidR="00FC71A3" w:rsidRPr="00117B4A">
        <w:rPr>
          <w:sz w:val="22"/>
          <w:szCs w:val="22"/>
        </w:rPr>
        <w:t xml:space="preserve"> V. Karageorghis, 2002, pp. 19-21 of fortresses built, destroyed and rebuilt. </w:t>
      </w:r>
    </w:p>
  </w:footnote>
  <w:footnote w:id="17">
    <w:p w14:paraId="4AE907CD" w14:textId="447E0189" w:rsidR="00795481" w:rsidRPr="00117B4A" w:rsidRDefault="00795481" w:rsidP="00117B4A">
      <w:pPr>
        <w:pStyle w:val="FootnoteText"/>
        <w:spacing w:after="120"/>
        <w:rPr>
          <w:sz w:val="22"/>
          <w:szCs w:val="22"/>
        </w:rPr>
      </w:pPr>
      <w:r w:rsidRPr="00117B4A">
        <w:rPr>
          <w:rStyle w:val="FootnoteReference"/>
          <w:sz w:val="22"/>
          <w:szCs w:val="22"/>
        </w:rPr>
        <w:footnoteRef/>
      </w:r>
      <w:r w:rsidR="00A71437" w:rsidRPr="00117B4A">
        <w:rPr>
          <w:sz w:val="22"/>
          <w:szCs w:val="22"/>
        </w:rPr>
        <w:t xml:space="preserve">Consider, for example, Collard, </w:t>
      </w:r>
      <w:r w:rsidR="00294C5F" w:rsidRPr="00117B4A">
        <w:rPr>
          <w:sz w:val="22"/>
          <w:szCs w:val="22"/>
        </w:rPr>
        <w:t>2018, p. 114</w:t>
      </w:r>
      <w:r w:rsidR="00A71437" w:rsidRPr="00117B4A">
        <w:rPr>
          <w:sz w:val="22"/>
          <w:szCs w:val="22"/>
        </w:rPr>
        <w:t xml:space="preserve"> </w:t>
      </w:r>
      <w:r w:rsidR="00294C5F" w:rsidRPr="00117B4A">
        <w:rPr>
          <w:sz w:val="22"/>
          <w:szCs w:val="22"/>
        </w:rPr>
        <w:t xml:space="preserve">(my emphasis) </w:t>
      </w:r>
      <w:r w:rsidR="00A71437" w:rsidRPr="00117B4A">
        <w:rPr>
          <w:sz w:val="22"/>
          <w:szCs w:val="22"/>
        </w:rPr>
        <w:t xml:space="preserve">“those moving from their ancestral villages into these new localities </w:t>
      </w:r>
      <w:r w:rsidR="00A71437" w:rsidRPr="00117B4A">
        <w:rPr>
          <w:i/>
          <w:iCs/>
          <w:sz w:val="22"/>
          <w:szCs w:val="22"/>
        </w:rPr>
        <w:t>chose</w:t>
      </w:r>
      <w:r w:rsidRPr="00117B4A">
        <w:rPr>
          <w:sz w:val="22"/>
          <w:szCs w:val="22"/>
        </w:rPr>
        <w:t xml:space="preserve"> </w:t>
      </w:r>
      <w:r w:rsidR="00A71437" w:rsidRPr="00117B4A">
        <w:rPr>
          <w:sz w:val="22"/>
          <w:szCs w:val="22"/>
        </w:rPr>
        <w:t xml:space="preserve">to bury their dead in a new setting”. Clearly, people forcibly relocated do not have ‘choice’. </w:t>
      </w:r>
      <w:r w:rsidR="00B97BDA" w:rsidRPr="00117B4A">
        <w:rPr>
          <w:sz w:val="22"/>
          <w:szCs w:val="22"/>
        </w:rPr>
        <w:t xml:space="preserve">Webb, 2014, p. 625. writes of “negotiation of authority and compliance” but not that this </w:t>
      </w:r>
      <w:r w:rsidR="00A6010B">
        <w:rPr>
          <w:sz w:val="22"/>
          <w:szCs w:val="22"/>
        </w:rPr>
        <w:t>"negotiation" took place in a wholly coercive mode.</w:t>
      </w:r>
      <w:r w:rsidR="00B97BDA" w:rsidRPr="00117B4A">
        <w:rPr>
          <w:sz w:val="22"/>
          <w:szCs w:val="22"/>
        </w:rPr>
        <w:t xml:space="preserve"> </w:t>
      </w:r>
      <w:r w:rsidR="00A71437" w:rsidRPr="00117B4A">
        <w:rPr>
          <w:sz w:val="22"/>
          <w:szCs w:val="22"/>
        </w:rPr>
        <w:t xml:space="preserve">This essay does not have scope for </w:t>
      </w:r>
      <w:r w:rsidR="00DE7ADE">
        <w:rPr>
          <w:sz w:val="22"/>
          <w:szCs w:val="22"/>
        </w:rPr>
        <w:t xml:space="preserve">lengthier </w:t>
      </w:r>
      <w:r w:rsidR="00A71437" w:rsidRPr="00117B4A">
        <w:rPr>
          <w:sz w:val="22"/>
          <w:szCs w:val="22"/>
        </w:rPr>
        <w:t>review of th</w:t>
      </w:r>
      <w:r w:rsidR="00DE7ADE">
        <w:rPr>
          <w:sz w:val="22"/>
          <w:szCs w:val="22"/>
        </w:rPr>
        <w:t>ese issues.</w:t>
      </w:r>
      <w:r w:rsidR="00B97BDA" w:rsidRPr="00117B4A">
        <w:rPr>
          <w:sz w:val="22"/>
          <w:szCs w:val="22"/>
        </w:rPr>
        <w:t xml:space="preserve"> </w:t>
      </w:r>
    </w:p>
  </w:footnote>
  <w:footnote w:id="18">
    <w:p w14:paraId="17076728" w14:textId="05A41CFE" w:rsidR="00C47BD5" w:rsidRDefault="00C47BD5" w:rsidP="00DE7ADE">
      <w:pPr>
        <w:pStyle w:val="FootnoteText"/>
        <w:spacing w:after="120"/>
      </w:pPr>
      <w:r>
        <w:rPr>
          <w:rStyle w:val="FootnoteReference"/>
        </w:rPr>
        <w:footnoteRef/>
      </w:r>
      <w:r>
        <w:t xml:space="preserve"> </w:t>
      </w:r>
      <w:r w:rsidRPr="00D16C71">
        <w:rPr>
          <w:rFonts w:asciiTheme="minorHAnsi" w:hAnsiTheme="minorHAnsi" w:cstheme="minorHAnsi"/>
          <w:sz w:val="22"/>
          <w:szCs w:val="22"/>
        </w:rPr>
        <w:t>Those remaining in agriculture would have been forced to work harder in order to feed this new ‘working class’. It is entirely unclear whether the perpetrators were indigenous, Hyksos, Hittite or something else - t</w:t>
      </w:r>
      <w:r w:rsidRPr="00D16C71">
        <w:rPr>
          <w:sz w:val="22"/>
          <w:szCs w:val="22"/>
        </w:rPr>
        <w:t xml:space="preserve">he Hittite king </w:t>
      </w:r>
      <w:proofErr w:type="spellStart"/>
      <w:r w:rsidRPr="00D16C71">
        <w:rPr>
          <w:sz w:val="22"/>
          <w:szCs w:val="22"/>
        </w:rPr>
        <w:t>Tudhaliya</w:t>
      </w:r>
      <w:proofErr w:type="spellEnd"/>
      <w:r w:rsidRPr="00D16C71">
        <w:rPr>
          <w:sz w:val="22"/>
          <w:szCs w:val="22"/>
        </w:rPr>
        <w:t xml:space="preserve"> IV claimed to have conquered ‘</w:t>
      </w:r>
      <w:proofErr w:type="spellStart"/>
      <w:r w:rsidRPr="00D16C71">
        <w:rPr>
          <w:sz w:val="22"/>
          <w:szCs w:val="22"/>
        </w:rPr>
        <w:t>Alasiya</w:t>
      </w:r>
      <w:proofErr w:type="spellEnd"/>
      <w:r w:rsidRPr="00D16C71">
        <w:rPr>
          <w:sz w:val="22"/>
          <w:szCs w:val="22"/>
        </w:rPr>
        <w:t>’.  Subsequently</w:t>
      </w:r>
      <w:r w:rsidRPr="00117B4A">
        <w:rPr>
          <w:sz w:val="22"/>
          <w:szCs w:val="22"/>
        </w:rPr>
        <w:t xml:space="preserve">, </w:t>
      </w:r>
      <w:proofErr w:type="spellStart"/>
      <w:r w:rsidRPr="00117B4A">
        <w:rPr>
          <w:sz w:val="22"/>
          <w:szCs w:val="22"/>
        </w:rPr>
        <w:t>Suppiluliuma</w:t>
      </w:r>
      <w:proofErr w:type="spellEnd"/>
      <w:r w:rsidRPr="00117B4A">
        <w:rPr>
          <w:sz w:val="22"/>
          <w:szCs w:val="22"/>
        </w:rPr>
        <w:t xml:space="preserve"> engaged in sea battles off the coast. (Bryce, 2005, online access not paginated)</w:t>
      </w:r>
    </w:p>
  </w:footnote>
  <w:footnote w:id="19">
    <w:p w14:paraId="54E49DC8" w14:textId="44E66F62" w:rsidR="00B97BDA" w:rsidRPr="00117B4A" w:rsidRDefault="00B97BDA"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93766F" w:rsidRPr="00117B4A">
        <w:rPr>
          <w:sz w:val="22"/>
          <w:szCs w:val="22"/>
        </w:rPr>
        <w:t>Collard, 2018, p. 110.</w:t>
      </w:r>
    </w:p>
  </w:footnote>
  <w:footnote w:id="20">
    <w:p w14:paraId="3EC3830E" w14:textId="4672B758" w:rsidR="00AC0F01" w:rsidRPr="00117B4A" w:rsidRDefault="00AC0F01"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F86252" w:rsidRPr="00117B4A">
        <w:rPr>
          <w:sz w:val="22"/>
          <w:szCs w:val="22"/>
        </w:rPr>
        <w:t>Steel, 2019.</w:t>
      </w:r>
    </w:p>
  </w:footnote>
  <w:footnote w:id="21">
    <w:p w14:paraId="6828A290" w14:textId="77777777" w:rsidR="00C47BD5" w:rsidRPr="00117B4A" w:rsidRDefault="00C47BD5" w:rsidP="00C47BD5">
      <w:pPr>
        <w:pStyle w:val="FootnoteText"/>
        <w:spacing w:after="120"/>
        <w:rPr>
          <w:sz w:val="22"/>
          <w:szCs w:val="22"/>
        </w:rPr>
      </w:pPr>
      <w:r w:rsidRPr="00117B4A">
        <w:rPr>
          <w:rStyle w:val="FootnoteReference"/>
          <w:sz w:val="22"/>
          <w:szCs w:val="22"/>
        </w:rPr>
        <w:footnoteRef/>
      </w:r>
      <w:r w:rsidRPr="00117B4A">
        <w:rPr>
          <w:sz w:val="22"/>
          <w:szCs w:val="22"/>
        </w:rPr>
        <w:t xml:space="preserve"> Steel, 2019, p. 123, quoting Chapman.</w:t>
      </w:r>
    </w:p>
  </w:footnote>
  <w:footnote w:id="22">
    <w:p w14:paraId="6A03E246" w14:textId="3955B0F8" w:rsidR="00CD259E" w:rsidRPr="00117B4A" w:rsidRDefault="00CD259E" w:rsidP="00117B4A">
      <w:pPr>
        <w:pStyle w:val="FootnoteText"/>
        <w:spacing w:after="120"/>
        <w:rPr>
          <w:sz w:val="22"/>
          <w:szCs w:val="22"/>
        </w:rPr>
      </w:pPr>
      <w:r w:rsidRPr="00117B4A">
        <w:rPr>
          <w:rStyle w:val="FootnoteReference"/>
          <w:sz w:val="22"/>
          <w:szCs w:val="22"/>
        </w:rPr>
        <w:footnoteRef/>
      </w:r>
      <w:r w:rsidRPr="00117B4A">
        <w:rPr>
          <w:sz w:val="22"/>
          <w:szCs w:val="22"/>
        </w:rPr>
        <w:t xml:space="preserve"> Knapp writes of monumental construction as creating ‘group identity’ (</w:t>
      </w:r>
      <w:proofErr w:type="spellStart"/>
      <w:r w:rsidRPr="00117B4A">
        <w:rPr>
          <w:sz w:val="22"/>
          <w:szCs w:val="22"/>
        </w:rPr>
        <w:t>eg.</w:t>
      </w:r>
      <w:proofErr w:type="spellEnd"/>
      <w:r w:rsidRPr="00117B4A">
        <w:rPr>
          <w:sz w:val="22"/>
          <w:szCs w:val="22"/>
        </w:rPr>
        <w:t xml:space="preserve"> 2008, p</w:t>
      </w:r>
      <w:r w:rsidR="00400407" w:rsidRPr="00117B4A">
        <w:rPr>
          <w:sz w:val="22"/>
          <w:szCs w:val="22"/>
        </w:rPr>
        <w:t>p</w:t>
      </w:r>
      <w:r w:rsidRPr="00117B4A">
        <w:rPr>
          <w:sz w:val="22"/>
          <w:szCs w:val="22"/>
        </w:rPr>
        <w:t>. 47</w:t>
      </w:r>
      <w:r w:rsidR="00400407" w:rsidRPr="00117B4A">
        <w:rPr>
          <w:sz w:val="22"/>
          <w:szCs w:val="22"/>
        </w:rPr>
        <w:t>, 49</w:t>
      </w:r>
      <w:r w:rsidRPr="00117B4A">
        <w:rPr>
          <w:sz w:val="22"/>
          <w:szCs w:val="22"/>
        </w:rPr>
        <w:t xml:space="preserve">, but fails </w:t>
      </w:r>
      <w:r w:rsidR="00400407" w:rsidRPr="00117B4A">
        <w:rPr>
          <w:sz w:val="22"/>
          <w:szCs w:val="22"/>
        </w:rPr>
        <w:t>to consider the difference in ‘identity’ between the commissioning ‘elite’ and the forced labourers doing the actual work.</w:t>
      </w:r>
    </w:p>
  </w:footnote>
  <w:footnote w:id="23">
    <w:p w14:paraId="1972A85A" w14:textId="071733D4" w:rsidR="00682D38" w:rsidRPr="00117B4A" w:rsidRDefault="00682D38" w:rsidP="00117B4A">
      <w:pPr>
        <w:pStyle w:val="FootnoteText"/>
        <w:spacing w:after="120"/>
        <w:rPr>
          <w:sz w:val="22"/>
          <w:szCs w:val="22"/>
        </w:rPr>
      </w:pPr>
      <w:r w:rsidRPr="00117B4A">
        <w:rPr>
          <w:rStyle w:val="FootnoteReference"/>
          <w:sz w:val="22"/>
          <w:szCs w:val="22"/>
        </w:rPr>
        <w:footnoteRef/>
      </w:r>
      <w:r w:rsidRPr="00117B4A">
        <w:rPr>
          <w:sz w:val="22"/>
          <w:szCs w:val="22"/>
        </w:rPr>
        <w:t xml:space="preserve"> Webb, 2014, p. 619; similarly, Collard, </w:t>
      </w:r>
      <w:r w:rsidR="00F86252" w:rsidRPr="00117B4A">
        <w:rPr>
          <w:sz w:val="22"/>
          <w:szCs w:val="22"/>
        </w:rPr>
        <w:t xml:space="preserve">2011, p. 34, </w:t>
      </w:r>
      <w:r w:rsidRPr="00117B4A">
        <w:rPr>
          <w:sz w:val="22"/>
          <w:szCs w:val="22"/>
        </w:rPr>
        <w:t>“socially coercive sanctions”</w:t>
      </w:r>
      <w:r w:rsidR="00F86252" w:rsidRPr="00117B4A">
        <w:rPr>
          <w:sz w:val="22"/>
          <w:szCs w:val="22"/>
        </w:rPr>
        <w:t>.</w:t>
      </w:r>
    </w:p>
  </w:footnote>
  <w:footnote w:id="24">
    <w:p w14:paraId="598E3F6A" w14:textId="3AB38B6F" w:rsidR="00F4257A" w:rsidRPr="00117B4A" w:rsidRDefault="00F4257A"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F86252" w:rsidRPr="00117B4A">
        <w:rPr>
          <w:sz w:val="22"/>
          <w:szCs w:val="22"/>
        </w:rPr>
        <w:t>Collard, 2011, in toto.</w:t>
      </w:r>
      <w:r w:rsidR="00A71437" w:rsidRPr="00117B4A">
        <w:rPr>
          <w:sz w:val="22"/>
          <w:szCs w:val="22"/>
        </w:rPr>
        <w:t xml:space="preserve"> Other possibilities include the development of a significantly different, clandestine religion such as </w:t>
      </w:r>
      <w:proofErr w:type="spellStart"/>
      <w:r w:rsidR="00A71437" w:rsidRPr="00117B4A">
        <w:rPr>
          <w:sz w:val="22"/>
          <w:szCs w:val="22"/>
        </w:rPr>
        <w:t>Voudoun</w:t>
      </w:r>
      <w:proofErr w:type="spellEnd"/>
      <w:r w:rsidR="00A71437" w:rsidRPr="00117B4A">
        <w:rPr>
          <w:sz w:val="22"/>
          <w:szCs w:val="22"/>
        </w:rPr>
        <w:t xml:space="preserve"> etc., by slaves of the African diaspora. </w:t>
      </w:r>
    </w:p>
  </w:footnote>
  <w:footnote w:id="25">
    <w:p w14:paraId="2451824A" w14:textId="551A16B0" w:rsidR="00F615BA" w:rsidRPr="00117B4A" w:rsidRDefault="00F615BA" w:rsidP="00117B4A">
      <w:pPr>
        <w:pStyle w:val="FootnoteText"/>
        <w:spacing w:after="120"/>
        <w:rPr>
          <w:sz w:val="22"/>
          <w:szCs w:val="22"/>
        </w:rPr>
      </w:pPr>
      <w:r w:rsidRPr="00117B4A">
        <w:rPr>
          <w:rStyle w:val="FootnoteReference"/>
          <w:sz w:val="22"/>
          <w:szCs w:val="22"/>
        </w:rPr>
        <w:footnoteRef/>
      </w:r>
      <w:r w:rsidRPr="00117B4A">
        <w:rPr>
          <w:sz w:val="22"/>
          <w:szCs w:val="22"/>
        </w:rPr>
        <w:t xml:space="preserve"> Throughout history, only an ocean separating slaves or forced labourers from ‘home’ is effective: even then, a ‘hinterland’ remains attractive.</w:t>
      </w:r>
    </w:p>
  </w:footnote>
  <w:footnote w:id="26">
    <w:p w14:paraId="07651B7E" w14:textId="39FC95BC"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Iacovou</w:t>
      </w:r>
      <w:r w:rsidR="00E933E6" w:rsidRPr="00117B4A">
        <w:rPr>
          <w:sz w:val="22"/>
          <w:szCs w:val="22"/>
        </w:rPr>
        <w:t>, 2026. “The Late Bronze Age”.</w:t>
      </w:r>
      <w:r w:rsidRPr="00117B4A">
        <w:rPr>
          <w:sz w:val="22"/>
          <w:szCs w:val="22"/>
        </w:rPr>
        <w:t xml:space="preserve"> </w:t>
      </w:r>
      <w:r w:rsidR="006C34F3" w:rsidRPr="00117B4A">
        <w:rPr>
          <w:sz w:val="22"/>
          <w:szCs w:val="22"/>
        </w:rPr>
        <w:t xml:space="preserve">The name actually used at the time remains unknown. </w:t>
      </w:r>
      <w:r w:rsidR="006C34F3" w:rsidRPr="00117B4A">
        <w:rPr>
          <w:rFonts w:asciiTheme="minorHAnsi" w:hAnsiTheme="minorHAnsi" w:cstheme="minorHAnsi"/>
          <w:sz w:val="22"/>
          <w:szCs w:val="22"/>
        </w:rPr>
        <w:t>Peltenburg, 1989, p. 108, considers debate about early Cypriot religion actually “about the level of sophistication of religious beliefs”: this writer sees no reason to consider these beliefs, including the degree of ‘definition’ of ‘Kypris’ as less ‘sophisticated’ than</w:t>
      </w:r>
      <w:r w:rsidR="006C34F3" w:rsidRPr="00117B4A">
        <w:rPr>
          <w:sz w:val="22"/>
          <w:szCs w:val="22"/>
        </w:rPr>
        <w:t xml:space="preserve">, say, Hathor or </w:t>
      </w:r>
      <w:proofErr w:type="spellStart"/>
      <w:r w:rsidR="006C34F3" w:rsidRPr="00117B4A">
        <w:rPr>
          <w:sz w:val="22"/>
          <w:szCs w:val="22"/>
        </w:rPr>
        <w:t>Baalat</w:t>
      </w:r>
      <w:proofErr w:type="spellEnd"/>
      <w:r w:rsidR="006C34F3" w:rsidRPr="00117B4A">
        <w:rPr>
          <w:sz w:val="22"/>
          <w:szCs w:val="22"/>
        </w:rPr>
        <w:t xml:space="preserve"> Gebal of nearby Egypt and Byblos.</w:t>
      </w:r>
    </w:p>
  </w:footnote>
  <w:footnote w:id="27">
    <w:p w14:paraId="350EF6F6" w14:textId="4CFF864C" w:rsidR="003677E1" w:rsidRPr="00117B4A" w:rsidRDefault="003677E1"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D01D9C" w:rsidRPr="00117B4A">
        <w:rPr>
          <w:sz w:val="22"/>
          <w:szCs w:val="22"/>
        </w:rPr>
        <w:t xml:space="preserve">Maier &amp; Karageorghis argued (1984, p. 76) for two phases of Achaean settlers. </w:t>
      </w:r>
      <w:r w:rsidRPr="00117B4A">
        <w:rPr>
          <w:sz w:val="22"/>
          <w:szCs w:val="22"/>
        </w:rPr>
        <w:t xml:space="preserve">The hypothesis seems to have been based primarily on increased findings of Mycenaean III pottery: it is now argued that much of this was produced locally. </w:t>
      </w:r>
      <w:r w:rsidR="00AF137F" w:rsidRPr="00117B4A">
        <w:rPr>
          <w:sz w:val="22"/>
          <w:szCs w:val="22"/>
        </w:rPr>
        <w:t>(Steel, 2004, pp. 190-194</w:t>
      </w:r>
      <w:r w:rsidRPr="00117B4A">
        <w:rPr>
          <w:sz w:val="22"/>
          <w:szCs w:val="22"/>
        </w:rPr>
        <w:t xml:space="preserve">) </w:t>
      </w:r>
      <w:r w:rsidR="00D01D9C" w:rsidRPr="00117B4A">
        <w:rPr>
          <w:sz w:val="22"/>
          <w:szCs w:val="22"/>
        </w:rPr>
        <w:t>.</w:t>
      </w:r>
    </w:p>
  </w:footnote>
  <w:footnote w:id="28">
    <w:p w14:paraId="350A6037" w14:textId="1BED911F" w:rsidR="00D01D9C" w:rsidRPr="00117B4A" w:rsidRDefault="00D01D9C"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A40A97" w:rsidRPr="00117B4A">
        <w:rPr>
          <w:sz w:val="22"/>
          <w:szCs w:val="22"/>
        </w:rPr>
        <w:t xml:space="preserve">Steel, 2004, p. 188, argues Paphos and nearby </w:t>
      </w:r>
      <w:proofErr w:type="spellStart"/>
      <w:r w:rsidR="00A40A97" w:rsidRPr="00117B4A">
        <w:rPr>
          <w:sz w:val="22"/>
          <w:szCs w:val="22"/>
        </w:rPr>
        <w:t>Kourion</w:t>
      </w:r>
      <w:proofErr w:type="spellEnd"/>
      <w:r w:rsidR="00A40A97" w:rsidRPr="00117B4A">
        <w:rPr>
          <w:sz w:val="22"/>
          <w:szCs w:val="22"/>
        </w:rPr>
        <w:t xml:space="preserve"> </w:t>
      </w:r>
      <w:r w:rsidR="0084318D">
        <w:rPr>
          <w:sz w:val="22"/>
          <w:szCs w:val="22"/>
        </w:rPr>
        <w:t xml:space="preserve">as </w:t>
      </w:r>
      <w:r w:rsidR="00A40A97" w:rsidRPr="00117B4A">
        <w:rPr>
          <w:sz w:val="22"/>
          <w:szCs w:val="22"/>
        </w:rPr>
        <w:t xml:space="preserve">two of </w:t>
      </w:r>
      <w:r w:rsidR="0084318D">
        <w:rPr>
          <w:sz w:val="22"/>
          <w:szCs w:val="22"/>
        </w:rPr>
        <w:t xml:space="preserve">only four </w:t>
      </w:r>
      <w:r w:rsidR="00A40A97" w:rsidRPr="00117B4A">
        <w:rPr>
          <w:sz w:val="22"/>
          <w:szCs w:val="22"/>
        </w:rPr>
        <w:t>“urban centres with clear evidence for continued occupation throughout the twelfth century”. The nearby fortress at Maa-</w:t>
      </w:r>
      <w:proofErr w:type="spellStart"/>
      <w:r w:rsidR="00A40A97" w:rsidRPr="00117B4A">
        <w:rPr>
          <w:sz w:val="22"/>
          <w:szCs w:val="22"/>
        </w:rPr>
        <w:t>Palaekastro</w:t>
      </w:r>
      <w:proofErr w:type="spellEnd"/>
      <w:r w:rsidR="00A40A97" w:rsidRPr="00117B4A">
        <w:rPr>
          <w:sz w:val="22"/>
          <w:szCs w:val="22"/>
        </w:rPr>
        <w:t xml:space="preserve"> came to a violent end, but it is not known who built it nor who attacked it. (Maier &amp; Karageorghis, 1984, pp. 110-113). A down</w:t>
      </w:r>
      <w:r w:rsidRPr="00117B4A">
        <w:rPr>
          <w:sz w:val="22"/>
          <w:szCs w:val="22"/>
        </w:rPr>
        <w:t>turn in copper trade</w:t>
      </w:r>
      <w:r w:rsidR="00A40A97" w:rsidRPr="00117B4A">
        <w:rPr>
          <w:sz w:val="22"/>
          <w:szCs w:val="22"/>
        </w:rPr>
        <w:t xml:space="preserve"> after the wider ‘collapse’ is widely noted</w:t>
      </w:r>
      <w:r w:rsidR="0084318D">
        <w:rPr>
          <w:sz w:val="22"/>
          <w:szCs w:val="22"/>
        </w:rPr>
        <w:t xml:space="preserve"> (Iacovou, 2013, p. 661, citing Knapp)</w:t>
      </w:r>
      <w:r w:rsidR="00A40A97" w:rsidRPr="00117B4A">
        <w:rPr>
          <w:sz w:val="22"/>
          <w:szCs w:val="22"/>
        </w:rPr>
        <w:t xml:space="preserve">. </w:t>
      </w:r>
    </w:p>
  </w:footnote>
  <w:footnote w:id="29">
    <w:p w14:paraId="5C2A4FFC" w14:textId="75183505" w:rsidR="0084318D" w:rsidRPr="0084318D" w:rsidRDefault="0084318D" w:rsidP="0084318D">
      <w:pPr>
        <w:pStyle w:val="FootnoteText"/>
        <w:spacing w:after="120"/>
        <w:rPr>
          <w:sz w:val="22"/>
          <w:szCs w:val="22"/>
        </w:rPr>
      </w:pPr>
      <w:r w:rsidRPr="0084318D">
        <w:rPr>
          <w:rStyle w:val="FootnoteReference"/>
          <w:sz w:val="22"/>
          <w:szCs w:val="22"/>
        </w:rPr>
        <w:footnoteRef/>
      </w:r>
      <w:r w:rsidRPr="0084318D">
        <w:rPr>
          <w:sz w:val="22"/>
          <w:szCs w:val="22"/>
        </w:rPr>
        <w:t xml:space="preserve"> Iacovou, 2013, p. 665.</w:t>
      </w:r>
    </w:p>
  </w:footnote>
  <w:footnote w:id="30">
    <w:p w14:paraId="3640965A" w14:textId="7F25E978" w:rsidR="002D647A" w:rsidRPr="00117B4A" w:rsidRDefault="002D647A" w:rsidP="00117B4A">
      <w:pPr>
        <w:pStyle w:val="FootnoteText"/>
        <w:spacing w:after="120"/>
        <w:rPr>
          <w:sz w:val="22"/>
          <w:szCs w:val="22"/>
        </w:rPr>
      </w:pPr>
      <w:r w:rsidRPr="00117B4A">
        <w:rPr>
          <w:rStyle w:val="FootnoteReference"/>
          <w:sz w:val="22"/>
          <w:szCs w:val="22"/>
        </w:rPr>
        <w:footnoteRef/>
      </w:r>
      <w:r w:rsidRPr="00117B4A">
        <w:rPr>
          <w:sz w:val="22"/>
          <w:szCs w:val="22"/>
        </w:rPr>
        <w:t xml:space="preserve"> Iacovou, 2026</w:t>
      </w:r>
      <w:r w:rsidR="00E933E6" w:rsidRPr="00117B4A">
        <w:rPr>
          <w:sz w:val="22"/>
          <w:szCs w:val="22"/>
        </w:rPr>
        <w:t>, “The Late Bronze Age”.</w:t>
      </w:r>
      <w:r w:rsidRPr="00117B4A">
        <w:rPr>
          <w:sz w:val="22"/>
          <w:szCs w:val="22"/>
        </w:rPr>
        <w:t xml:space="preserve"> </w:t>
      </w:r>
      <w:r w:rsidRPr="00117B4A">
        <w:rPr>
          <w:rFonts w:asciiTheme="minorHAnsi" w:hAnsiTheme="minorHAnsi" w:cstheme="minorHAnsi"/>
          <w:sz w:val="22"/>
          <w:szCs w:val="22"/>
        </w:rPr>
        <w:t xml:space="preserve">It is inconceivable to this writer that such a city did not have a ‘cult centre’ but nothing is known, and it need not have been at the later TA site. In any case, the closeness of bedrock to the surface obliged removal of old structures </w:t>
      </w:r>
      <w:r w:rsidR="002F2364" w:rsidRPr="00117B4A">
        <w:rPr>
          <w:rFonts w:asciiTheme="minorHAnsi" w:hAnsiTheme="minorHAnsi" w:cstheme="minorHAnsi"/>
          <w:sz w:val="22"/>
          <w:szCs w:val="22"/>
        </w:rPr>
        <w:t>(Maier &amp; Karageorghis, 1984, p. 86).</w:t>
      </w:r>
    </w:p>
  </w:footnote>
  <w:footnote w:id="31">
    <w:p w14:paraId="576B6B39" w14:textId="1DD1C991" w:rsidR="002D647A" w:rsidRPr="00117B4A" w:rsidRDefault="002D647A" w:rsidP="00117B4A">
      <w:pPr>
        <w:pStyle w:val="FootnoteText"/>
        <w:spacing w:after="120"/>
        <w:rPr>
          <w:sz w:val="22"/>
          <w:szCs w:val="22"/>
        </w:rPr>
      </w:pPr>
      <w:r w:rsidRPr="00117B4A">
        <w:rPr>
          <w:rStyle w:val="FootnoteReference"/>
          <w:sz w:val="22"/>
          <w:szCs w:val="22"/>
        </w:rPr>
        <w:footnoteRef/>
      </w:r>
      <w:r w:rsidRPr="00117B4A">
        <w:rPr>
          <w:sz w:val="22"/>
          <w:szCs w:val="22"/>
        </w:rPr>
        <w:t xml:space="preserve"> Peltenburg, </w:t>
      </w:r>
      <w:r w:rsidRPr="00117B4A">
        <w:rPr>
          <w:rFonts w:asciiTheme="minorHAnsi" w:hAnsiTheme="minorHAnsi" w:cstheme="minorHAnsi"/>
          <w:sz w:val="22"/>
          <w:szCs w:val="22"/>
        </w:rPr>
        <w:t>1989, pp. 123-124. J. Karageorghis, 2005, p. 12 endorses this view. Peltenburg, 1989, p. 108, considers debate about early Cypriot religion actually “about the level of sophistication of religious beliefs”: this writer sees no reason to consider these beliefs as less ‘sophisticated’ than those of neighbours such as Byblos and Egypt.</w:t>
      </w:r>
    </w:p>
  </w:footnote>
  <w:footnote w:id="32">
    <w:p w14:paraId="1115D2AE" w14:textId="629412BA" w:rsidR="002D647A" w:rsidRPr="00117B4A" w:rsidRDefault="002D647A" w:rsidP="00117B4A">
      <w:pPr>
        <w:pStyle w:val="FootnoteText"/>
        <w:spacing w:after="120"/>
        <w:rPr>
          <w:sz w:val="22"/>
          <w:szCs w:val="22"/>
        </w:rPr>
      </w:pPr>
      <w:r w:rsidRPr="00117B4A">
        <w:rPr>
          <w:rStyle w:val="FootnoteReference"/>
          <w:sz w:val="22"/>
          <w:szCs w:val="22"/>
        </w:rPr>
        <w:footnoteRef/>
      </w:r>
      <w:r w:rsidRPr="00117B4A">
        <w:rPr>
          <w:sz w:val="22"/>
          <w:szCs w:val="22"/>
        </w:rPr>
        <w:t xml:space="preserve"> Sundry use is made of ‘may have been’ etc. For an informal critique of the probabilist fallacy, see http://www.pandorasjar.org/probably-rubbish. </w:t>
      </w:r>
    </w:p>
  </w:footnote>
  <w:footnote w:id="33">
    <w:p w14:paraId="4EF9459E" w14:textId="1769171F" w:rsidR="004D0FDF" w:rsidRPr="00117B4A" w:rsidRDefault="004D0FDF" w:rsidP="00117B4A">
      <w:pPr>
        <w:pStyle w:val="FootnoteText"/>
        <w:spacing w:after="120"/>
        <w:rPr>
          <w:sz w:val="22"/>
          <w:szCs w:val="22"/>
        </w:rPr>
      </w:pPr>
      <w:r w:rsidRPr="00117B4A">
        <w:rPr>
          <w:rStyle w:val="FootnoteReference"/>
          <w:sz w:val="22"/>
          <w:szCs w:val="22"/>
        </w:rPr>
        <w:footnoteRef/>
      </w:r>
      <w:r w:rsidRPr="00117B4A">
        <w:rPr>
          <w:sz w:val="22"/>
          <w:szCs w:val="22"/>
        </w:rPr>
        <w:t xml:space="preserve"> The term is used variously, Iacovou, 2019, pp. 208, 215, 220, though accepted as valid in Roman times.</w:t>
      </w:r>
    </w:p>
  </w:footnote>
  <w:footnote w:id="34">
    <w:p w14:paraId="240BBB57" w14:textId="062C3CD9" w:rsidR="00755A83" w:rsidRPr="00755A83" w:rsidRDefault="00755A83" w:rsidP="00755A83">
      <w:pPr>
        <w:pStyle w:val="FootnoteText"/>
        <w:spacing w:after="120"/>
        <w:rPr>
          <w:sz w:val="22"/>
          <w:szCs w:val="22"/>
        </w:rPr>
      </w:pPr>
      <w:r w:rsidRPr="00755A83">
        <w:rPr>
          <w:rStyle w:val="FootnoteReference"/>
          <w:sz w:val="22"/>
          <w:szCs w:val="22"/>
        </w:rPr>
        <w:footnoteRef/>
      </w:r>
      <w:r w:rsidRPr="00755A83">
        <w:rPr>
          <w:sz w:val="22"/>
          <w:szCs w:val="22"/>
        </w:rPr>
        <w:t xml:space="preserve"> Herodotus, History, I:105. He considers Aphrodite’s sanctuary on Kythera founded similarly - describing the founders as “Phoenicians”.</w:t>
      </w:r>
    </w:p>
  </w:footnote>
  <w:footnote w:id="35">
    <w:p w14:paraId="73B4A05D" w14:textId="6965E706" w:rsidR="00491D81" w:rsidRDefault="00491D81" w:rsidP="00491D81">
      <w:pPr>
        <w:pStyle w:val="FootnoteText"/>
        <w:spacing w:after="120"/>
      </w:pPr>
      <w:r>
        <w:rPr>
          <w:rStyle w:val="FootnoteReference"/>
        </w:rPr>
        <w:footnoteRef/>
      </w:r>
      <w:r>
        <w:t xml:space="preserve"> </w:t>
      </w:r>
      <w:r w:rsidRPr="00491D81">
        <w:rPr>
          <w:sz w:val="22"/>
          <w:szCs w:val="22"/>
        </w:rPr>
        <w:t>Herodotus also includes Aphrodite's temple at Kythera as founded by Phoenicians.</w:t>
      </w:r>
    </w:p>
  </w:footnote>
  <w:footnote w:id="36">
    <w:p w14:paraId="3EFD73A6" w14:textId="2D5D3708" w:rsidR="00A10154" w:rsidRPr="00117B4A" w:rsidRDefault="00A10154" w:rsidP="00117B4A">
      <w:pPr>
        <w:pStyle w:val="FootnoteText"/>
        <w:spacing w:after="120"/>
        <w:rPr>
          <w:sz w:val="22"/>
          <w:szCs w:val="22"/>
        </w:rPr>
      </w:pPr>
      <w:r w:rsidRPr="00117B4A">
        <w:rPr>
          <w:rStyle w:val="FootnoteReference"/>
          <w:sz w:val="22"/>
          <w:szCs w:val="22"/>
        </w:rPr>
        <w:footnoteRef/>
      </w:r>
      <w:r w:rsidRPr="00117B4A">
        <w:rPr>
          <w:sz w:val="22"/>
          <w:szCs w:val="22"/>
        </w:rPr>
        <w:t xml:space="preserve"> Iacovou, 2019, p. 219.</w:t>
      </w:r>
      <w:r w:rsidR="00117B4A" w:rsidRPr="00117B4A">
        <w:rPr>
          <w:sz w:val="22"/>
          <w:szCs w:val="22"/>
        </w:rPr>
        <w:t xml:space="preserve"> </w:t>
      </w:r>
      <w:r w:rsidR="00117B4A">
        <w:rPr>
          <w:sz w:val="22"/>
          <w:szCs w:val="22"/>
        </w:rPr>
        <w:t xml:space="preserve">Clearly worthy of poetry, as </w:t>
      </w:r>
      <w:r w:rsidR="00117B4A" w:rsidRPr="00117B4A">
        <w:rPr>
          <w:sz w:val="22"/>
          <w:szCs w:val="22"/>
        </w:rPr>
        <w:t>the e</w:t>
      </w:r>
      <w:r w:rsidR="00117B4A">
        <w:rPr>
          <w:sz w:val="22"/>
          <w:szCs w:val="22"/>
        </w:rPr>
        <w:t>pigraph.</w:t>
      </w:r>
    </w:p>
  </w:footnote>
  <w:footnote w:id="37">
    <w:p w14:paraId="2BDC15F2" w14:textId="226EE0DA" w:rsidR="009A78E5" w:rsidRPr="00117B4A" w:rsidRDefault="009A78E5" w:rsidP="00117B4A">
      <w:pPr>
        <w:pStyle w:val="FootnoteText"/>
        <w:spacing w:after="120"/>
        <w:rPr>
          <w:sz w:val="22"/>
          <w:szCs w:val="22"/>
        </w:rPr>
      </w:pPr>
      <w:r w:rsidRPr="00117B4A">
        <w:rPr>
          <w:rStyle w:val="FootnoteReference"/>
          <w:sz w:val="22"/>
          <w:szCs w:val="22"/>
        </w:rPr>
        <w:footnoteRef/>
      </w:r>
      <w:r w:rsidRPr="00117B4A">
        <w:rPr>
          <w:sz w:val="22"/>
          <w:szCs w:val="22"/>
        </w:rPr>
        <w:t xml:space="preserve"> Source: Maier &amp; Karageorghis, 1984, p. 97.</w:t>
      </w:r>
    </w:p>
  </w:footnote>
  <w:footnote w:id="38">
    <w:p w14:paraId="59EC0ED1" w14:textId="77777777" w:rsidR="00C1237B" w:rsidRPr="00117B4A" w:rsidRDefault="00C1237B" w:rsidP="00117B4A">
      <w:pPr>
        <w:pStyle w:val="FootnoteText"/>
        <w:spacing w:after="120"/>
        <w:rPr>
          <w:sz w:val="22"/>
          <w:szCs w:val="22"/>
        </w:rPr>
      </w:pPr>
      <w:r w:rsidRPr="00117B4A">
        <w:rPr>
          <w:rStyle w:val="FootnoteReference"/>
          <w:sz w:val="22"/>
          <w:szCs w:val="22"/>
        </w:rPr>
        <w:footnoteRef/>
      </w:r>
      <w:r w:rsidRPr="00117B4A">
        <w:rPr>
          <w:sz w:val="22"/>
          <w:szCs w:val="22"/>
        </w:rPr>
        <w:t xml:space="preserve"> The Greek title βα</w:t>
      </w:r>
      <w:proofErr w:type="spellStart"/>
      <w:r w:rsidRPr="00117B4A">
        <w:rPr>
          <w:sz w:val="22"/>
          <w:szCs w:val="22"/>
        </w:rPr>
        <w:t>σιλεύς</w:t>
      </w:r>
      <w:proofErr w:type="spellEnd"/>
      <w:r w:rsidRPr="00117B4A">
        <w:rPr>
          <w:sz w:val="22"/>
          <w:szCs w:val="22"/>
        </w:rPr>
        <w:t xml:space="preserve"> (</w:t>
      </w:r>
      <w:proofErr w:type="spellStart"/>
      <w:r w:rsidRPr="00117B4A">
        <w:rPr>
          <w:i/>
          <w:iCs/>
          <w:sz w:val="22"/>
          <w:szCs w:val="22"/>
        </w:rPr>
        <w:t>basileús</w:t>
      </w:r>
      <w:proofErr w:type="spellEnd"/>
      <w:r w:rsidRPr="00117B4A">
        <w:rPr>
          <w:sz w:val="22"/>
          <w:szCs w:val="22"/>
        </w:rPr>
        <w:t>) is generally used, with overtones of dual secular and priestly roles.</w:t>
      </w:r>
    </w:p>
  </w:footnote>
  <w:footnote w:id="39">
    <w:p w14:paraId="50015ACA" w14:textId="77777777" w:rsidR="00C1237B" w:rsidRPr="00117B4A" w:rsidRDefault="00C1237B" w:rsidP="00117B4A">
      <w:pPr>
        <w:pStyle w:val="FootnoteText"/>
        <w:spacing w:after="120"/>
        <w:rPr>
          <w:sz w:val="22"/>
          <w:szCs w:val="22"/>
        </w:rPr>
      </w:pPr>
      <w:r w:rsidRPr="00117B4A">
        <w:rPr>
          <w:rStyle w:val="FootnoteReference"/>
          <w:sz w:val="22"/>
          <w:szCs w:val="22"/>
        </w:rPr>
        <w:footnoteRef/>
      </w:r>
      <w:r w:rsidRPr="00117B4A">
        <w:rPr>
          <w:sz w:val="22"/>
          <w:szCs w:val="22"/>
        </w:rPr>
        <w:t xml:space="preserve"> Descent was claimed from one </w:t>
      </w:r>
      <w:proofErr w:type="spellStart"/>
      <w:r w:rsidRPr="00117B4A">
        <w:rPr>
          <w:sz w:val="22"/>
          <w:szCs w:val="22"/>
        </w:rPr>
        <w:t>Kinyras</w:t>
      </w:r>
      <w:proofErr w:type="spellEnd"/>
      <w:r w:rsidRPr="00117B4A">
        <w:rPr>
          <w:sz w:val="22"/>
          <w:szCs w:val="22"/>
        </w:rPr>
        <w:t xml:space="preserve">, first mentioned in Iliad, XI, and later priests were known as </w:t>
      </w:r>
      <w:proofErr w:type="spellStart"/>
      <w:r w:rsidRPr="00117B4A">
        <w:rPr>
          <w:sz w:val="22"/>
          <w:szCs w:val="22"/>
        </w:rPr>
        <w:t>Kinyrades</w:t>
      </w:r>
      <w:proofErr w:type="spellEnd"/>
      <w:r w:rsidRPr="00117B4A">
        <w:rPr>
          <w:sz w:val="22"/>
          <w:szCs w:val="22"/>
        </w:rPr>
        <w:t>. (J. Karageorghis, 2005, p. 17).</w:t>
      </w:r>
    </w:p>
  </w:footnote>
  <w:footnote w:id="40">
    <w:p w14:paraId="7AC99D00" w14:textId="77777777" w:rsidR="009E1209" w:rsidRPr="00117B4A" w:rsidRDefault="009E1209" w:rsidP="00117B4A">
      <w:pPr>
        <w:pStyle w:val="FootnoteText"/>
        <w:spacing w:after="120"/>
        <w:rPr>
          <w:sz w:val="22"/>
          <w:szCs w:val="22"/>
        </w:rPr>
      </w:pPr>
      <w:r w:rsidRPr="00117B4A">
        <w:rPr>
          <w:rStyle w:val="FootnoteReference"/>
          <w:sz w:val="22"/>
          <w:szCs w:val="22"/>
        </w:rPr>
        <w:footnoteRef/>
      </w:r>
      <w:r w:rsidRPr="00117B4A">
        <w:rPr>
          <w:sz w:val="22"/>
          <w:szCs w:val="22"/>
        </w:rPr>
        <w:t xml:space="preserve"> Illustrated, </w:t>
      </w:r>
      <w:proofErr w:type="spellStart"/>
      <w:r w:rsidRPr="00117B4A">
        <w:rPr>
          <w:sz w:val="22"/>
          <w:szCs w:val="22"/>
        </w:rPr>
        <w:t>eg</w:t>
      </w:r>
      <w:proofErr w:type="spellEnd"/>
      <w:r w:rsidRPr="00117B4A">
        <w:rPr>
          <w:sz w:val="22"/>
          <w:szCs w:val="22"/>
        </w:rPr>
        <w:t>, J. Karageorghis, 2005, p. 34, fig. 29. In posture of worship, clearly representing a mortal woman / priestess, but plausibly in a rite of identification with the deity. She argues this imagery as typically Minoan, suggesting a Cretan influx around 1100 BCE(p. 35).</w:t>
      </w:r>
    </w:p>
  </w:footnote>
  <w:footnote w:id="41">
    <w:p w14:paraId="2398F439" w14:textId="77777777" w:rsidR="009E1209" w:rsidRPr="00117B4A" w:rsidRDefault="009E1209" w:rsidP="00117B4A">
      <w:pPr>
        <w:pStyle w:val="FootnoteText"/>
        <w:spacing w:after="120"/>
        <w:rPr>
          <w:sz w:val="22"/>
          <w:szCs w:val="22"/>
        </w:rPr>
      </w:pPr>
      <w:r w:rsidRPr="00117B4A">
        <w:rPr>
          <w:rStyle w:val="FootnoteReference"/>
          <w:sz w:val="22"/>
          <w:szCs w:val="22"/>
        </w:rPr>
        <w:footnoteRef/>
      </w:r>
      <w:r w:rsidRPr="00117B4A">
        <w:rPr>
          <w:sz w:val="22"/>
          <w:szCs w:val="22"/>
        </w:rPr>
        <w:t xml:space="preserve"> Maier &amp; Karageorghis, 1984, p. 156.</w:t>
      </w:r>
    </w:p>
  </w:footnote>
  <w:footnote w:id="42">
    <w:p w14:paraId="1C6499A2" w14:textId="666351B9" w:rsidR="00C1237B" w:rsidRPr="00117B4A" w:rsidRDefault="00C1237B"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7B4CEA" w:rsidRPr="00117B4A">
        <w:rPr>
          <w:sz w:val="22"/>
          <w:szCs w:val="22"/>
        </w:rPr>
        <w:t xml:space="preserve">Maier and Karageorghis note statues and votive monuments used as landfill in the ramp. (1984, p. 186) but otherwise </w:t>
      </w:r>
      <w:r w:rsidR="00A77EA0" w:rsidRPr="00117B4A">
        <w:rPr>
          <w:sz w:val="22"/>
          <w:szCs w:val="22"/>
        </w:rPr>
        <w:t xml:space="preserve">that </w:t>
      </w:r>
      <w:r w:rsidR="007B4CEA" w:rsidRPr="00117B4A">
        <w:rPr>
          <w:sz w:val="22"/>
          <w:szCs w:val="22"/>
        </w:rPr>
        <w:t xml:space="preserve">no major archaeological remains dated between 1200 BCE and 100 CE have been discovered </w:t>
      </w:r>
      <w:r w:rsidR="002B50A7" w:rsidRPr="00117B4A">
        <w:rPr>
          <w:sz w:val="22"/>
          <w:szCs w:val="22"/>
        </w:rPr>
        <w:t xml:space="preserve">from the TA site itself </w:t>
      </w:r>
      <w:r w:rsidR="007B4CEA" w:rsidRPr="00117B4A">
        <w:rPr>
          <w:sz w:val="22"/>
          <w:szCs w:val="22"/>
        </w:rPr>
        <w:t xml:space="preserve">(p. </w:t>
      </w:r>
      <w:r w:rsidR="002B50A7" w:rsidRPr="00117B4A">
        <w:rPr>
          <w:sz w:val="22"/>
          <w:szCs w:val="22"/>
        </w:rPr>
        <w:t>182)</w:t>
      </w:r>
      <w:r w:rsidR="007B4CEA" w:rsidRPr="00117B4A">
        <w:rPr>
          <w:sz w:val="22"/>
          <w:szCs w:val="22"/>
        </w:rPr>
        <w:t>.</w:t>
      </w:r>
    </w:p>
  </w:footnote>
  <w:footnote w:id="43">
    <w:p w14:paraId="6812A6EE" w14:textId="77777777" w:rsidR="009A78E5" w:rsidRPr="00117B4A" w:rsidRDefault="009A78E5" w:rsidP="00117B4A">
      <w:pPr>
        <w:pStyle w:val="FootnoteText"/>
        <w:spacing w:after="120"/>
        <w:rPr>
          <w:sz w:val="22"/>
          <w:szCs w:val="22"/>
        </w:rPr>
      </w:pPr>
      <w:r w:rsidRPr="00117B4A">
        <w:rPr>
          <w:rStyle w:val="FootnoteReference"/>
          <w:sz w:val="22"/>
          <w:szCs w:val="22"/>
        </w:rPr>
        <w:footnoteRef/>
      </w:r>
      <w:r w:rsidRPr="00117B4A">
        <w:rPr>
          <w:sz w:val="22"/>
          <w:szCs w:val="22"/>
        </w:rPr>
        <w:t xml:space="preserve"> Source: Iacovou, 2014, p. 206, fig. 2: attributed to V. </w:t>
      </w:r>
      <w:proofErr w:type="spellStart"/>
      <w:r w:rsidRPr="00117B4A">
        <w:rPr>
          <w:sz w:val="22"/>
          <w:szCs w:val="22"/>
        </w:rPr>
        <w:t>Tringas</w:t>
      </w:r>
      <w:proofErr w:type="spellEnd"/>
      <w:r w:rsidRPr="00117B4A">
        <w:rPr>
          <w:sz w:val="22"/>
          <w:szCs w:val="22"/>
        </w:rPr>
        <w:t xml:space="preserve"> (PULP).</w:t>
      </w:r>
    </w:p>
  </w:footnote>
  <w:footnote w:id="44">
    <w:p w14:paraId="2992F526" w14:textId="07F0276A" w:rsidR="00A77EA0" w:rsidRPr="00117B4A" w:rsidRDefault="00A77EA0"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542AFB" w:rsidRPr="00117B4A">
        <w:rPr>
          <w:sz w:val="22"/>
          <w:szCs w:val="22"/>
        </w:rPr>
        <w:t>Homeric Hymn to Aphrodite 5.196–199, Iliad 5.311–317, Aeneid variously including genealogy to Iulus, Aeneid 6.789–791</w:t>
      </w:r>
    </w:p>
  </w:footnote>
  <w:footnote w:id="45">
    <w:p w14:paraId="05D3812F" w14:textId="4D4AB8EE" w:rsidR="00A77EA0" w:rsidRPr="00117B4A" w:rsidRDefault="00A77EA0" w:rsidP="00117B4A">
      <w:pPr>
        <w:pStyle w:val="FootnoteText"/>
        <w:spacing w:after="120"/>
        <w:rPr>
          <w:sz w:val="22"/>
          <w:szCs w:val="22"/>
        </w:rPr>
      </w:pPr>
      <w:r w:rsidRPr="00117B4A">
        <w:rPr>
          <w:rStyle w:val="FootnoteReference"/>
          <w:sz w:val="22"/>
          <w:szCs w:val="22"/>
        </w:rPr>
        <w:footnoteRef/>
      </w:r>
      <w:r w:rsidRPr="00117B4A">
        <w:rPr>
          <w:sz w:val="22"/>
          <w:szCs w:val="22"/>
        </w:rPr>
        <w:t xml:space="preserve"> J. Karageorghis, 2005, Kypris p31</w:t>
      </w:r>
    </w:p>
  </w:footnote>
  <w:footnote w:id="46">
    <w:p w14:paraId="0896AA9B" w14:textId="77777777" w:rsidR="001768BB" w:rsidRPr="00117B4A" w:rsidRDefault="001768BB" w:rsidP="001768BB">
      <w:pPr>
        <w:pStyle w:val="FootnoteText"/>
        <w:spacing w:after="120"/>
        <w:rPr>
          <w:sz w:val="22"/>
          <w:szCs w:val="22"/>
        </w:rPr>
      </w:pPr>
      <w:r w:rsidRPr="00117B4A">
        <w:rPr>
          <w:rStyle w:val="FootnoteReference"/>
          <w:sz w:val="22"/>
          <w:szCs w:val="22"/>
        </w:rPr>
        <w:footnoteRef/>
      </w:r>
      <w:r w:rsidRPr="00117B4A">
        <w:rPr>
          <w:sz w:val="22"/>
          <w:szCs w:val="22"/>
        </w:rPr>
        <w:t xml:space="preserve"> Maier &amp; Karageorghis, 1984, p. 272.</w:t>
      </w:r>
    </w:p>
  </w:footnote>
  <w:footnote w:id="47">
    <w:p w14:paraId="171BC37E" w14:textId="77777777" w:rsidR="001768BB" w:rsidRPr="00117B4A" w:rsidRDefault="001768BB" w:rsidP="001768BB">
      <w:pPr>
        <w:pStyle w:val="FootnoteText"/>
        <w:spacing w:after="120"/>
        <w:rPr>
          <w:sz w:val="22"/>
          <w:szCs w:val="22"/>
        </w:rPr>
      </w:pPr>
      <w:r w:rsidRPr="00117B4A">
        <w:rPr>
          <w:rStyle w:val="FootnoteReference"/>
          <w:sz w:val="22"/>
          <w:szCs w:val="22"/>
        </w:rPr>
        <w:footnoteRef/>
      </w:r>
      <w:r w:rsidRPr="00117B4A">
        <w:rPr>
          <w:sz w:val="22"/>
          <w:szCs w:val="22"/>
        </w:rPr>
        <w:t xml:space="preserve"> Karageorghis  p. 31-32</w:t>
      </w:r>
    </w:p>
  </w:footnote>
  <w:footnote w:id="48">
    <w:p w14:paraId="1F2781AE" w14:textId="77777777" w:rsidR="001768BB" w:rsidRPr="00117B4A" w:rsidRDefault="001768BB" w:rsidP="001768BB">
      <w:pPr>
        <w:pStyle w:val="FootnoteText"/>
        <w:spacing w:after="120"/>
        <w:rPr>
          <w:sz w:val="22"/>
          <w:szCs w:val="22"/>
        </w:rPr>
      </w:pPr>
      <w:r w:rsidRPr="00117B4A">
        <w:rPr>
          <w:rStyle w:val="FootnoteReference"/>
          <w:sz w:val="22"/>
          <w:szCs w:val="22"/>
        </w:rPr>
        <w:footnoteRef/>
      </w:r>
      <w:r w:rsidRPr="00117B4A">
        <w:rPr>
          <w:sz w:val="22"/>
          <w:szCs w:val="22"/>
        </w:rPr>
        <w:t xml:space="preserve"> Maier &amp; Karageorghis, 1984, p. 276. </w:t>
      </w:r>
    </w:p>
  </w:footnote>
  <w:footnote w:id="49">
    <w:p w14:paraId="49A6BFEF" w14:textId="77777777" w:rsidR="001768BB" w:rsidRPr="00117B4A" w:rsidRDefault="001768BB" w:rsidP="001768BB">
      <w:pPr>
        <w:pStyle w:val="FootnoteText"/>
        <w:spacing w:after="120"/>
        <w:rPr>
          <w:sz w:val="22"/>
          <w:szCs w:val="22"/>
        </w:rPr>
      </w:pPr>
      <w:r w:rsidRPr="00117B4A">
        <w:rPr>
          <w:rStyle w:val="FootnoteReference"/>
          <w:sz w:val="22"/>
          <w:szCs w:val="22"/>
        </w:rPr>
        <w:footnoteRef/>
      </w:r>
      <w:r w:rsidRPr="00117B4A">
        <w:rPr>
          <w:sz w:val="22"/>
          <w:szCs w:val="22"/>
        </w:rPr>
        <w:t xml:space="preserve"> J. Karageorghis, 2005, p. 33,  noting a report by the Christian </w:t>
      </w:r>
      <w:proofErr w:type="spellStart"/>
      <w:r w:rsidRPr="00117B4A">
        <w:rPr>
          <w:sz w:val="22"/>
          <w:szCs w:val="22"/>
        </w:rPr>
        <w:t>Firmicus</w:t>
      </w:r>
      <w:proofErr w:type="spellEnd"/>
      <w:r w:rsidRPr="00117B4A">
        <w:rPr>
          <w:sz w:val="22"/>
          <w:szCs w:val="22"/>
        </w:rPr>
        <w:t xml:space="preserve"> Maternus of “horrible pagan practices” at the site. </w:t>
      </w:r>
    </w:p>
  </w:footnote>
  <w:footnote w:id="50">
    <w:p w14:paraId="699DB604" w14:textId="77777777" w:rsidR="009E436D" w:rsidRPr="00117B4A" w:rsidRDefault="009E436D" w:rsidP="009E436D">
      <w:pPr>
        <w:pStyle w:val="FootnoteText"/>
        <w:spacing w:after="120"/>
        <w:rPr>
          <w:rFonts w:asciiTheme="minorHAnsi" w:hAnsiTheme="minorHAnsi" w:cstheme="minorHAnsi"/>
          <w:sz w:val="22"/>
          <w:szCs w:val="22"/>
        </w:rPr>
      </w:pPr>
      <w:r w:rsidRPr="00117B4A">
        <w:rPr>
          <w:rStyle w:val="FootnoteReference"/>
          <w:sz w:val="22"/>
          <w:szCs w:val="22"/>
        </w:rPr>
        <w:footnoteRef/>
      </w:r>
      <w:r w:rsidRPr="00117B4A">
        <w:rPr>
          <w:rFonts w:asciiTheme="minorHAnsi" w:hAnsiTheme="minorHAnsi" w:cstheme="minorHAnsi"/>
          <w:sz w:val="22"/>
          <w:szCs w:val="22"/>
        </w:rPr>
        <w:t>https://digitalguides.com.cy/en/antiquities/qr-55/</w:t>
      </w:r>
    </w:p>
  </w:footnote>
  <w:footnote w:id="51">
    <w:p w14:paraId="2AF98668" w14:textId="2E0CE592" w:rsidR="007C369A" w:rsidRPr="007C369A" w:rsidRDefault="007C369A" w:rsidP="007C369A">
      <w:pPr>
        <w:pStyle w:val="FootnoteText"/>
        <w:spacing w:after="120"/>
        <w:rPr>
          <w:sz w:val="22"/>
          <w:szCs w:val="22"/>
        </w:rPr>
      </w:pPr>
      <w:r>
        <w:rPr>
          <w:rStyle w:val="FootnoteReference"/>
        </w:rPr>
        <w:footnoteRef/>
      </w:r>
      <w:r>
        <w:t xml:space="preserve"> </w:t>
      </w:r>
      <w:r w:rsidRPr="007C369A">
        <w:rPr>
          <w:sz w:val="22"/>
          <w:szCs w:val="22"/>
        </w:rPr>
        <w:t xml:space="preserve">Maier &amp; Karageorghis 1984, pp. 15-21, give a history of archaeological work in the area. They quote (p. 16) the earliest modern, di </w:t>
      </w:r>
      <w:proofErr w:type="spellStart"/>
      <w:r w:rsidRPr="007C369A">
        <w:rPr>
          <w:sz w:val="22"/>
          <w:szCs w:val="22"/>
        </w:rPr>
        <w:t>Cesnola</w:t>
      </w:r>
      <w:proofErr w:type="spellEnd"/>
      <w:r w:rsidRPr="007C369A">
        <w:rPr>
          <w:sz w:val="22"/>
          <w:szCs w:val="22"/>
        </w:rPr>
        <w:t xml:space="preserve">, that after months he failed to discover “anything of importance”. </w:t>
      </w:r>
      <w:r w:rsidR="00AE4E01">
        <w:rPr>
          <w:sz w:val="22"/>
          <w:szCs w:val="22"/>
        </w:rPr>
        <w:t>Except as mentioned below, Myres' archaeological report does not reference Palaepaphos.</w:t>
      </w:r>
    </w:p>
  </w:footnote>
  <w:footnote w:id="52">
    <w:p w14:paraId="398D1E52" w14:textId="77777777" w:rsidR="00D80F7C" w:rsidRPr="00117B4A" w:rsidRDefault="00D80F7C" w:rsidP="00D80F7C">
      <w:pPr>
        <w:pStyle w:val="FootnoteText"/>
        <w:spacing w:after="120"/>
        <w:rPr>
          <w:sz w:val="22"/>
          <w:szCs w:val="22"/>
        </w:rPr>
      </w:pPr>
      <w:r w:rsidRPr="00117B4A">
        <w:rPr>
          <w:rStyle w:val="FootnoteReference"/>
          <w:sz w:val="22"/>
          <w:szCs w:val="22"/>
        </w:rPr>
        <w:footnoteRef/>
      </w:r>
      <w:r w:rsidRPr="00117B4A">
        <w:rPr>
          <w:sz w:val="22"/>
          <w:szCs w:val="22"/>
        </w:rPr>
        <w:t xml:space="preserve"> Iacovou, 2014, p. 209, uses this term. The site is on a plateau separate from TA, a little higher.</w:t>
      </w:r>
    </w:p>
  </w:footnote>
  <w:footnote w:id="53">
    <w:p w14:paraId="75D0F65E" w14:textId="0410268A" w:rsidR="00D80F7C" w:rsidRPr="00117B4A" w:rsidRDefault="00D80F7C" w:rsidP="00D80F7C">
      <w:pPr>
        <w:pStyle w:val="FootnoteText"/>
        <w:spacing w:after="120"/>
        <w:rPr>
          <w:sz w:val="22"/>
          <w:szCs w:val="22"/>
        </w:rPr>
      </w:pPr>
      <w:r w:rsidRPr="00117B4A">
        <w:rPr>
          <w:rStyle w:val="FootnoteReference"/>
          <w:sz w:val="22"/>
          <w:szCs w:val="22"/>
        </w:rPr>
        <w:footnoteRef/>
      </w:r>
      <w:r w:rsidRPr="00117B4A">
        <w:rPr>
          <w:sz w:val="22"/>
          <w:szCs w:val="22"/>
          <w:lang w:val="fr-FR"/>
        </w:rPr>
        <w:t xml:space="preserve"> Maier, 1992, p. 11. Sarris </w:t>
      </w:r>
      <w:r w:rsidR="00D80FFE" w:rsidRPr="00117B4A">
        <w:rPr>
          <w:sz w:val="22"/>
          <w:szCs w:val="22"/>
          <w:lang w:val="fr-FR"/>
        </w:rPr>
        <w:t>et.al,</w:t>
      </w:r>
      <w:r w:rsidRPr="00117B4A">
        <w:rPr>
          <w:sz w:val="22"/>
          <w:szCs w:val="22"/>
          <w:lang w:val="fr-FR"/>
        </w:rPr>
        <w:t xml:space="preserve"> </w:t>
      </w:r>
      <w:r w:rsidRPr="00A137E1">
        <w:rPr>
          <w:sz w:val="22"/>
          <w:szCs w:val="22"/>
          <w:lang w:val="fr-FR"/>
        </w:rPr>
        <w:t xml:space="preserve">2007, p. 201. </w:t>
      </w:r>
      <w:r w:rsidRPr="00117B4A">
        <w:rPr>
          <w:sz w:val="22"/>
          <w:szCs w:val="22"/>
        </w:rPr>
        <w:t>The tomb is believed to be ‘Classical’, early 5</w:t>
      </w:r>
      <w:r w:rsidRPr="00117B4A">
        <w:rPr>
          <w:sz w:val="22"/>
          <w:szCs w:val="22"/>
          <w:vertAlign w:val="superscript"/>
        </w:rPr>
        <w:t>th</w:t>
      </w:r>
      <w:r w:rsidRPr="00117B4A">
        <w:rPr>
          <w:sz w:val="22"/>
          <w:szCs w:val="22"/>
        </w:rPr>
        <w:t xml:space="preserve"> century BCE, </w:t>
      </w:r>
      <w:r w:rsidRPr="00117B4A">
        <w:rPr>
          <w:rFonts w:asciiTheme="minorHAnsi" w:hAnsiTheme="minorHAnsi" w:cstheme="minorHAnsi"/>
          <w:sz w:val="22"/>
          <w:szCs w:val="22"/>
        </w:rPr>
        <w:t>popularly denoted a ‘cave’</w:t>
      </w:r>
      <w:r w:rsidRPr="00117B4A">
        <w:rPr>
          <w:sz w:val="22"/>
          <w:szCs w:val="22"/>
        </w:rPr>
        <w:t>. It contained an illustration based on the Odyssey story of Odysseus and Polyphemus.</w:t>
      </w:r>
    </w:p>
  </w:footnote>
  <w:footnote w:id="54">
    <w:p w14:paraId="39E601BF" w14:textId="77777777" w:rsidR="00D80F7C" w:rsidRPr="00117B4A" w:rsidRDefault="00D80F7C" w:rsidP="00D80F7C">
      <w:pPr>
        <w:pStyle w:val="FootnoteText"/>
        <w:spacing w:after="120"/>
        <w:rPr>
          <w:sz w:val="22"/>
          <w:szCs w:val="22"/>
        </w:rPr>
      </w:pPr>
      <w:r w:rsidRPr="00117B4A">
        <w:rPr>
          <w:rStyle w:val="FootnoteReference"/>
          <w:sz w:val="22"/>
          <w:szCs w:val="22"/>
        </w:rPr>
        <w:footnoteRef/>
      </w:r>
      <w:r w:rsidRPr="00117B4A">
        <w:rPr>
          <w:sz w:val="22"/>
          <w:szCs w:val="22"/>
        </w:rPr>
        <w:t xml:space="preserve"> Maier, 1992, pp. 11-12. His assumption (on the basis of previous excavations) is that “post-late Bronze Age burials were never made inside the settlement area). </w:t>
      </w:r>
    </w:p>
  </w:footnote>
  <w:footnote w:id="55">
    <w:p w14:paraId="20889698" w14:textId="47A777DE" w:rsidR="007C369A" w:rsidRPr="00117B4A" w:rsidRDefault="007C369A" w:rsidP="007C369A">
      <w:pPr>
        <w:pStyle w:val="FootnoteText"/>
        <w:spacing w:after="120"/>
        <w:rPr>
          <w:sz w:val="22"/>
          <w:szCs w:val="22"/>
        </w:rPr>
      </w:pPr>
      <w:r w:rsidRPr="00117B4A">
        <w:rPr>
          <w:rStyle w:val="FootnoteReference"/>
          <w:sz w:val="22"/>
          <w:szCs w:val="22"/>
        </w:rPr>
        <w:footnoteRef/>
      </w:r>
      <w:r w:rsidRPr="00117B4A">
        <w:rPr>
          <w:sz w:val="22"/>
          <w:szCs w:val="22"/>
        </w:rPr>
        <w:t xml:space="preserve"> Iacovou, 2014, p. 210. She notes that they “do </w:t>
      </w:r>
      <w:r w:rsidRPr="00117B4A">
        <w:rPr>
          <w:rFonts w:asciiTheme="minorHAnsi" w:hAnsiTheme="minorHAnsi" w:cstheme="minorHAnsi"/>
          <w:sz w:val="22"/>
          <w:szCs w:val="22"/>
        </w:rPr>
        <w:t xml:space="preserve">not necessarily </w:t>
      </w:r>
      <w:r w:rsidR="00D80FFE">
        <w:rPr>
          <w:rFonts w:asciiTheme="minorHAnsi" w:hAnsiTheme="minorHAnsi" w:cstheme="minorHAnsi"/>
          <w:sz w:val="22"/>
          <w:szCs w:val="22"/>
        </w:rPr>
        <w:t xml:space="preserve">belong to </w:t>
      </w:r>
      <w:r w:rsidRPr="00117B4A">
        <w:rPr>
          <w:rFonts w:asciiTheme="minorHAnsi" w:hAnsiTheme="minorHAnsi" w:cstheme="minorHAnsi"/>
          <w:sz w:val="22"/>
          <w:szCs w:val="22"/>
        </w:rPr>
        <w:t>the same cultural horizon”</w:t>
      </w:r>
      <w:r w:rsidR="00491D81">
        <w:rPr>
          <w:rFonts w:asciiTheme="minorHAnsi" w:hAnsiTheme="minorHAnsi" w:cstheme="minorHAnsi"/>
          <w:sz w:val="22"/>
          <w:szCs w:val="22"/>
        </w:rPr>
        <w:t>.</w:t>
      </w:r>
    </w:p>
  </w:footnote>
  <w:footnote w:id="56">
    <w:p w14:paraId="5EA07DDD" w14:textId="77777777" w:rsidR="007C369A" w:rsidRPr="00117B4A" w:rsidRDefault="007C369A" w:rsidP="007C369A">
      <w:pPr>
        <w:pStyle w:val="FootnoteText"/>
        <w:spacing w:after="120"/>
        <w:rPr>
          <w:sz w:val="22"/>
          <w:szCs w:val="22"/>
        </w:rPr>
      </w:pPr>
      <w:r w:rsidRPr="00117B4A">
        <w:rPr>
          <w:rStyle w:val="FootnoteReference"/>
          <w:sz w:val="22"/>
          <w:szCs w:val="22"/>
        </w:rPr>
        <w:footnoteRef/>
      </w:r>
      <w:r w:rsidRPr="00117B4A">
        <w:rPr>
          <w:sz w:val="22"/>
          <w:szCs w:val="22"/>
        </w:rPr>
        <w:t xml:space="preserve"> Confusingly, the entire site as shown on the Maier map above suggests </w:t>
      </w:r>
      <w:r w:rsidRPr="00117B4A">
        <w:rPr>
          <w:rFonts w:asciiTheme="minorHAnsi" w:hAnsiTheme="minorHAnsi" w:cstheme="minorHAnsi"/>
          <w:sz w:val="22"/>
          <w:szCs w:val="22"/>
        </w:rPr>
        <w:t>longer axis to the southwest.</w:t>
      </w:r>
    </w:p>
  </w:footnote>
  <w:footnote w:id="57">
    <w:p w14:paraId="58A37D03" w14:textId="02F71A75" w:rsidR="007C369A" w:rsidRPr="00117B4A" w:rsidRDefault="007C369A" w:rsidP="007C369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Pr>
          <w:sz w:val="22"/>
          <w:szCs w:val="22"/>
        </w:rPr>
        <w:t>Marinatos</w:t>
      </w:r>
      <w:proofErr w:type="spellEnd"/>
      <w:r>
        <w:rPr>
          <w:sz w:val="22"/>
          <w:szCs w:val="22"/>
        </w:rPr>
        <w:t xml:space="preserve">, 1993, </w:t>
      </w:r>
      <w:r w:rsidR="009E436D">
        <w:rPr>
          <w:sz w:val="22"/>
          <w:szCs w:val="22"/>
        </w:rPr>
        <w:t>pp. 42-43. “sacred buildings are carefully designed in relation to the stars as they claim to reflect a cosmological image”.</w:t>
      </w:r>
      <w:r>
        <w:rPr>
          <w:sz w:val="22"/>
          <w:szCs w:val="22"/>
        </w:rPr>
        <w:t xml:space="preserve"> </w:t>
      </w:r>
      <w:r w:rsidRPr="00117B4A">
        <w:rPr>
          <w:sz w:val="22"/>
          <w:szCs w:val="22"/>
        </w:rPr>
        <w:t xml:space="preserve">Alignment to extreme points is not the only possibility. </w:t>
      </w:r>
      <w:r w:rsidR="009E436D">
        <w:rPr>
          <w:sz w:val="22"/>
          <w:szCs w:val="22"/>
        </w:rPr>
        <w:t>Henriksson &amp; Blomberg, 2009, pp. 431-432</w:t>
      </w:r>
      <w:r w:rsidR="00AE4E01">
        <w:rPr>
          <w:sz w:val="22"/>
          <w:szCs w:val="22"/>
        </w:rPr>
        <w:t>,</w:t>
      </w:r>
      <w:r w:rsidR="009E436D">
        <w:rPr>
          <w:sz w:val="22"/>
          <w:szCs w:val="22"/>
        </w:rPr>
        <w:t xml:space="preserve"> note alignments in Crete a lunar month from the equinoxes. In a similar </w:t>
      </w:r>
      <w:r w:rsidRPr="00117B4A">
        <w:rPr>
          <w:sz w:val="22"/>
          <w:szCs w:val="22"/>
        </w:rPr>
        <w:t>example, at Abu Simbel in Egypt, the temple was aligned for the inner sanctum to be illuminated by sunrise on October 22</w:t>
      </w:r>
      <w:r w:rsidRPr="00117B4A">
        <w:rPr>
          <w:sz w:val="22"/>
          <w:szCs w:val="22"/>
          <w:vertAlign w:val="superscript"/>
        </w:rPr>
        <w:t>nd</w:t>
      </w:r>
      <w:r w:rsidRPr="00117B4A">
        <w:rPr>
          <w:sz w:val="22"/>
          <w:szCs w:val="22"/>
        </w:rPr>
        <w:t xml:space="preserve"> (Ramesses II birthday) and also on February 22</w:t>
      </w:r>
      <w:r w:rsidRPr="00117B4A">
        <w:rPr>
          <w:sz w:val="22"/>
          <w:szCs w:val="22"/>
          <w:vertAlign w:val="superscript"/>
        </w:rPr>
        <w:t>nd</w:t>
      </w:r>
      <w:r w:rsidRPr="00117B4A">
        <w:rPr>
          <w:sz w:val="22"/>
          <w:szCs w:val="22"/>
        </w:rPr>
        <w:t xml:space="preserve"> (his coronation date, presumably specifically arranged on that date for the phenomenon to repeat). It may well be argued that the ruinous state of the Palaepaphos site allows an unmanageable number of possible alignments, since, naturally, any two points establish a straight line.</w:t>
      </w:r>
    </w:p>
  </w:footnote>
  <w:footnote w:id="58">
    <w:p w14:paraId="12FFBF4C" w14:textId="77777777" w:rsidR="007C369A" w:rsidRPr="007C369A" w:rsidRDefault="007C369A" w:rsidP="007C369A">
      <w:pPr>
        <w:pStyle w:val="FootnoteText"/>
        <w:spacing w:after="120"/>
        <w:rPr>
          <w:sz w:val="22"/>
          <w:szCs w:val="22"/>
        </w:rPr>
      </w:pPr>
      <w:r w:rsidRPr="00117B4A">
        <w:rPr>
          <w:rStyle w:val="FootnoteReference"/>
          <w:sz w:val="22"/>
          <w:szCs w:val="22"/>
        </w:rPr>
        <w:footnoteRef/>
      </w:r>
      <w:r w:rsidRPr="007C369A">
        <w:rPr>
          <w:sz w:val="22"/>
          <w:szCs w:val="22"/>
        </w:rPr>
        <w:t xml:space="preserve"> Sarris et.al., 2007, pp. 199-200. </w:t>
      </w:r>
    </w:p>
  </w:footnote>
  <w:footnote w:id="59">
    <w:p w14:paraId="785A8CF7" w14:textId="77777777" w:rsidR="007C369A" w:rsidRPr="00117B4A" w:rsidRDefault="007C369A" w:rsidP="007C369A">
      <w:pPr>
        <w:pStyle w:val="FootnoteText"/>
        <w:spacing w:after="120"/>
        <w:rPr>
          <w:sz w:val="22"/>
          <w:szCs w:val="22"/>
        </w:rPr>
      </w:pPr>
      <w:r w:rsidRPr="00117B4A">
        <w:rPr>
          <w:rStyle w:val="FootnoteReference"/>
          <w:sz w:val="22"/>
          <w:szCs w:val="22"/>
        </w:rPr>
        <w:footnoteRef/>
      </w:r>
      <w:r w:rsidRPr="00117B4A">
        <w:rPr>
          <w:sz w:val="22"/>
          <w:szCs w:val="22"/>
        </w:rPr>
        <w:t xml:space="preserve"> Areas of interest that are measurable include geophysical (gravitational and geomagnetic) variations, electromagnetic variation including radioactivity and sound phenomena.</w:t>
      </w:r>
    </w:p>
  </w:footnote>
  <w:footnote w:id="60">
    <w:p w14:paraId="44DECF13" w14:textId="77777777" w:rsidR="007C369A" w:rsidRPr="00117B4A" w:rsidRDefault="007C369A" w:rsidP="007C369A">
      <w:pPr>
        <w:pStyle w:val="FootnoteText"/>
        <w:spacing w:after="120"/>
        <w:rPr>
          <w:sz w:val="22"/>
          <w:szCs w:val="22"/>
        </w:rPr>
      </w:pPr>
      <w:r w:rsidRPr="00117B4A">
        <w:rPr>
          <w:rStyle w:val="FootnoteReference"/>
          <w:sz w:val="22"/>
          <w:szCs w:val="22"/>
        </w:rPr>
        <w:footnoteRef/>
      </w:r>
      <w:r w:rsidRPr="00117B4A">
        <w:rPr>
          <w:sz w:val="22"/>
          <w:szCs w:val="22"/>
        </w:rPr>
        <w:t xml:space="preserve"> Eliade, 1959, p. 20. Eliade notes also (1959, p.11): “Man [sic] becomes aware of the sacred because it manifests itself…something wholly different from the profane” using the term “</w:t>
      </w:r>
      <w:proofErr w:type="spellStart"/>
      <w:r w:rsidRPr="00117B4A">
        <w:rPr>
          <w:sz w:val="22"/>
          <w:szCs w:val="22"/>
        </w:rPr>
        <w:t>hierophany</w:t>
      </w:r>
      <w:proofErr w:type="spellEnd"/>
      <w:r w:rsidRPr="00117B4A">
        <w:rPr>
          <w:sz w:val="22"/>
          <w:szCs w:val="22"/>
        </w:rPr>
        <w:t>” for the many events of this nature.</w:t>
      </w:r>
      <w:r w:rsidRPr="00117B4A">
        <w:rPr>
          <w:rStyle w:val="FootnoteReference"/>
          <w:sz w:val="22"/>
          <w:szCs w:val="22"/>
        </w:rPr>
        <w:footnoteRef/>
      </w:r>
      <w:r w:rsidRPr="00117B4A">
        <w:rPr>
          <w:sz w:val="22"/>
          <w:szCs w:val="22"/>
        </w:rPr>
        <w:t xml:space="preserve"> </w:t>
      </w:r>
    </w:p>
  </w:footnote>
  <w:footnote w:id="61">
    <w:p w14:paraId="753EC870" w14:textId="77777777" w:rsidR="00D80F7C" w:rsidRPr="00117B4A" w:rsidRDefault="00D80F7C" w:rsidP="00D80F7C">
      <w:pPr>
        <w:pStyle w:val="FootnoteText"/>
        <w:spacing w:after="120"/>
        <w:rPr>
          <w:sz w:val="22"/>
          <w:szCs w:val="22"/>
        </w:rPr>
      </w:pPr>
      <w:r w:rsidRPr="00117B4A">
        <w:rPr>
          <w:rStyle w:val="FootnoteReference"/>
          <w:sz w:val="22"/>
          <w:szCs w:val="22"/>
        </w:rPr>
        <w:footnoteRef/>
      </w:r>
      <w:r w:rsidRPr="00117B4A">
        <w:rPr>
          <w:sz w:val="22"/>
          <w:szCs w:val="22"/>
        </w:rPr>
        <w:t xml:space="preserve"> Young, 2005, pp. 29-34.</w:t>
      </w:r>
    </w:p>
  </w:footnote>
  <w:footnote w:id="62">
    <w:p w14:paraId="0CEF42A5" w14:textId="77777777" w:rsidR="005B3983" w:rsidRPr="00117B4A" w:rsidRDefault="005B3983" w:rsidP="005B3983">
      <w:pPr>
        <w:pStyle w:val="FootnoteText"/>
        <w:spacing w:after="120"/>
        <w:rPr>
          <w:sz w:val="22"/>
          <w:szCs w:val="22"/>
        </w:rPr>
      </w:pPr>
      <w:r w:rsidRPr="00117B4A">
        <w:rPr>
          <w:rStyle w:val="FootnoteReference"/>
          <w:sz w:val="22"/>
          <w:szCs w:val="22"/>
        </w:rPr>
        <w:footnoteRef/>
      </w:r>
      <w:r w:rsidRPr="00117B4A">
        <w:rPr>
          <w:sz w:val="22"/>
          <w:szCs w:val="22"/>
        </w:rPr>
        <w:t xml:space="preserve"> Young, 2005, p. 40, fig. 10.</w:t>
      </w:r>
    </w:p>
  </w:footnote>
  <w:footnote w:id="63">
    <w:p w14:paraId="5FBA60FC" w14:textId="77777777" w:rsidR="005B3983" w:rsidRPr="00117B4A" w:rsidRDefault="005B3983" w:rsidP="005B3983">
      <w:pPr>
        <w:pStyle w:val="FootnoteText"/>
        <w:spacing w:after="120"/>
        <w:rPr>
          <w:sz w:val="22"/>
          <w:szCs w:val="22"/>
        </w:rPr>
      </w:pPr>
      <w:r w:rsidRPr="00117B4A">
        <w:rPr>
          <w:rStyle w:val="FootnoteReference"/>
          <w:sz w:val="22"/>
          <w:szCs w:val="22"/>
        </w:rPr>
        <w:footnoteRef/>
      </w:r>
      <w:r w:rsidRPr="00117B4A">
        <w:rPr>
          <w:sz w:val="22"/>
          <w:szCs w:val="22"/>
        </w:rPr>
        <w:t xml:space="preserve"> Young, 2005, pp. 32-33.</w:t>
      </w:r>
    </w:p>
  </w:footnote>
  <w:footnote w:id="64">
    <w:p w14:paraId="0C277A3F" w14:textId="77777777" w:rsidR="005B3983" w:rsidRPr="00117B4A" w:rsidRDefault="005B3983" w:rsidP="005B3983">
      <w:pPr>
        <w:pStyle w:val="FootnoteText"/>
        <w:spacing w:after="120"/>
        <w:rPr>
          <w:sz w:val="22"/>
          <w:szCs w:val="22"/>
        </w:rPr>
      </w:pPr>
      <w:r w:rsidRPr="00117B4A">
        <w:rPr>
          <w:rStyle w:val="FootnoteReference"/>
          <w:sz w:val="22"/>
          <w:szCs w:val="22"/>
        </w:rPr>
        <w:footnoteRef/>
      </w:r>
      <w:r w:rsidRPr="00117B4A">
        <w:rPr>
          <w:sz w:val="22"/>
          <w:szCs w:val="22"/>
        </w:rPr>
        <w:t xml:space="preserve"> Young, . His argument is buttressed by the non-canonical ‘Acts of Barnabas’ which inevitably considered the ritual practice at the site to be ‘lewd’ and ‘idolatrous’. It may be noted from his map that to visit both sites would significantly extend the journey from </w:t>
      </w:r>
      <w:proofErr w:type="spellStart"/>
      <w:r w:rsidRPr="00117B4A">
        <w:rPr>
          <w:sz w:val="22"/>
          <w:szCs w:val="22"/>
        </w:rPr>
        <w:t>Neapaphos</w:t>
      </w:r>
      <w:proofErr w:type="spellEnd"/>
      <w:r w:rsidRPr="00117B4A">
        <w:rPr>
          <w:sz w:val="22"/>
          <w:szCs w:val="22"/>
        </w:rPr>
        <w:t xml:space="preserve"> to Palaepaphos.</w:t>
      </w:r>
    </w:p>
  </w:footnote>
  <w:footnote w:id="65">
    <w:p w14:paraId="012DA739" w14:textId="7016672A" w:rsidR="00542AFB" w:rsidRPr="00117B4A" w:rsidRDefault="00542AFB"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020CDC" w:rsidRPr="00117B4A">
        <w:rPr>
          <w:sz w:val="22"/>
          <w:szCs w:val="22"/>
        </w:rPr>
        <w:t xml:space="preserve">Maier &amp; Karageorghis, 1984, pp. 129-150. Artefacts include an </w:t>
      </w:r>
      <w:proofErr w:type="spellStart"/>
      <w:r w:rsidRPr="00117B4A">
        <w:rPr>
          <w:i/>
          <w:iCs/>
          <w:sz w:val="22"/>
          <w:szCs w:val="22"/>
        </w:rPr>
        <w:t>obelos</w:t>
      </w:r>
      <w:proofErr w:type="spellEnd"/>
      <w:r w:rsidRPr="00117B4A">
        <w:rPr>
          <w:sz w:val="22"/>
          <w:szCs w:val="22"/>
        </w:rPr>
        <w:t xml:space="preserve"> (ceremonial roasting spit) with the oldest extant </w:t>
      </w:r>
      <w:r w:rsidRPr="00117B4A">
        <w:rPr>
          <w:rFonts w:asciiTheme="minorHAnsi" w:hAnsiTheme="minorHAnsi" w:cstheme="minorHAnsi"/>
          <w:sz w:val="22"/>
          <w:szCs w:val="22"/>
        </w:rPr>
        <w:t>inscription in Cypro-syllabic script</w:t>
      </w:r>
      <w:r w:rsidR="00020CDC" w:rsidRPr="00117B4A">
        <w:rPr>
          <w:rFonts w:asciiTheme="minorHAnsi" w:hAnsiTheme="minorHAnsi" w:cstheme="minorHAnsi"/>
          <w:sz w:val="22"/>
          <w:szCs w:val="22"/>
        </w:rPr>
        <w:t xml:space="preserve"> (p. 134)</w:t>
      </w:r>
      <w:r w:rsidR="00173F8B" w:rsidRPr="00117B4A">
        <w:rPr>
          <w:rFonts w:asciiTheme="minorHAnsi" w:hAnsiTheme="minorHAnsi" w:cstheme="minorHAnsi"/>
          <w:sz w:val="22"/>
          <w:szCs w:val="22"/>
        </w:rPr>
        <w:t>.</w:t>
      </w:r>
    </w:p>
  </w:footnote>
  <w:footnote w:id="66">
    <w:p w14:paraId="253616E4" w14:textId="3787ABB3" w:rsidR="00173F8B" w:rsidRPr="00117B4A" w:rsidRDefault="00173F8B" w:rsidP="00117B4A">
      <w:pPr>
        <w:pStyle w:val="FootnoteText"/>
        <w:spacing w:after="120"/>
        <w:rPr>
          <w:sz w:val="22"/>
          <w:szCs w:val="22"/>
        </w:rPr>
      </w:pPr>
      <w:r w:rsidRPr="00117B4A">
        <w:rPr>
          <w:rStyle w:val="FootnoteReference"/>
          <w:sz w:val="22"/>
          <w:szCs w:val="22"/>
        </w:rPr>
        <w:footnoteRef/>
      </w:r>
      <w:r w:rsidRPr="00117B4A">
        <w:rPr>
          <w:sz w:val="22"/>
          <w:szCs w:val="22"/>
        </w:rPr>
        <w:t xml:space="preserve"> Newgrange has a dramatic lightshow at winter solstice sunrise - the </w:t>
      </w:r>
      <w:proofErr w:type="spellStart"/>
      <w:r w:rsidRPr="00117B4A">
        <w:rPr>
          <w:sz w:val="22"/>
          <w:szCs w:val="22"/>
        </w:rPr>
        <w:t>Skales</w:t>
      </w:r>
      <w:proofErr w:type="spellEnd"/>
      <w:r w:rsidRPr="00117B4A">
        <w:rPr>
          <w:sz w:val="22"/>
          <w:szCs w:val="22"/>
        </w:rPr>
        <w:t xml:space="preserve"> tombs would be oriented to a winter sunset</w:t>
      </w:r>
      <w:r w:rsidR="00AE4E01">
        <w:rPr>
          <w:sz w:val="22"/>
          <w:szCs w:val="22"/>
        </w:rPr>
        <w:t>, not necessarily the solstice</w:t>
      </w:r>
      <w:r w:rsidRPr="00117B4A">
        <w:rPr>
          <w:sz w:val="22"/>
          <w:szCs w:val="22"/>
        </w:rPr>
        <w:t>.</w:t>
      </w:r>
    </w:p>
  </w:footnote>
  <w:footnote w:id="67">
    <w:p w14:paraId="48C6A191" w14:textId="77777777" w:rsidR="00E45A3B" w:rsidRPr="00117B4A" w:rsidRDefault="00E45A3B" w:rsidP="00117B4A">
      <w:pPr>
        <w:pStyle w:val="FootnoteText"/>
        <w:spacing w:after="120"/>
        <w:rPr>
          <w:sz w:val="22"/>
          <w:szCs w:val="22"/>
        </w:rPr>
      </w:pPr>
      <w:r w:rsidRPr="00117B4A">
        <w:rPr>
          <w:rStyle w:val="FootnoteReference"/>
          <w:sz w:val="22"/>
          <w:szCs w:val="22"/>
        </w:rPr>
        <w:footnoteRef/>
      </w:r>
      <w:r w:rsidRPr="00117B4A">
        <w:rPr>
          <w:sz w:val="22"/>
          <w:szCs w:val="22"/>
        </w:rPr>
        <w:t xml:space="preserve"> Herodotus, Histories, I:199</w:t>
      </w:r>
    </w:p>
  </w:footnote>
  <w:footnote w:id="68">
    <w:p w14:paraId="61830154" w14:textId="2465CD7A" w:rsidR="003D0B63" w:rsidRPr="00117B4A" w:rsidRDefault="003D0B63"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Pr="00117B4A">
        <w:rPr>
          <w:sz w:val="22"/>
          <w:szCs w:val="22"/>
        </w:rPr>
        <w:t>Serwint</w:t>
      </w:r>
      <w:proofErr w:type="spellEnd"/>
      <w:r w:rsidRPr="00117B4A">
        <w:rPr>
          <w:sz w:val="22"/>
          <w:szCs w:val="22"/>
        </w:rPr>
        <w:t xml:space="preserve">, 2002, p. 331- actually noting possible Cypriot references from Kition and </w:t>
      </w:r>
      <w:proofErr w:type="spellStart"/>
      <w:r w:rsidRPr="00117B4A">
        <w:rPr>
          <w:sz w:val="22"/>
          <w:szCs w:val="22"/>
        </w:rPr>
        <w:t>Idalion</w:t>
      </w:r>
      <w:proofErr w:type="spellEnd"/>
      <w:r w:rsidRPr="00117B4A">
        <w:rPr>
          <w:sz w:val="22"/>
          <w:szCs w:val="22"/>
        </w:rPr>
        <w:t>, but not Paphos.</w:t>
      </w:r>
    </w:p>
  </w:footnote>
  <w:footnote w:id="69">
    <w:p w14:paraId="7B281A97" w14:textId="4E6D2917" w:rsidR="00A64DCF" w:rsidRPr="00117B4A" w:rsidRDefault="00A64DCF" w:rsidP="00117B4A">
      <w:pPr>
        <w:pStyle w:val="FootnoteText"/>
        <w:spacing w:after="120"/>
        <w:rPr>
          <w:sz w:val="22"/>
          <w:szCs w:val="22"/>
        </w:rPr>
      </w:pPr>
      <w:r w:rsidRPr="00117B4A">
        <w:rPr>
          <w:rStyle w:val="FootnoteReference"/>
          <w:sz w:val="22"/>
          <w:szCs w:val="22"/>
        </w:rPr>
        <w:footnoteRef/>
      </w:r>
      <w:r w:rsidRPr="00117B4A">
        <w:rPr>
          <w:sz w:val="22"/>
          <w:szCs w:val="22"/>
        </w:rPr>
        <w:t xml:space="preserve"> Budin, 2008, p. 1, p. 137.</w:t>
      </w:r>
      <w:r w:rsidR="00370591" w:rsidRPr="00117B4A">
        <w:rPr>
          <w:sz w:val="22"/>
          <w:szCs w:val="22"/>
        </w:rPr>
        <w:t xml:space="preserve"> She does not object absolutely to a concept of ‘sacred sex’ but rather to the automatic equation of this with prostitution. J. Karageorghis, 2005,p. 48, notes no reference is known to ‘sacred marriage’ in Cyprus.</w:t>
      </w:r>
    </w:p>
  </w:footnote>
  <w:footnote w:id="70">
    <w:p w14:paraId="023A3274" w14:textId="645D7312" w:rsidR="00E45A3B" w:rsidRPr="00117B4A" w:rsidRDefault="00E45A3B" w:rsidP="00117B4A">
      <w:pPr>
        <w:pStyle w:val="FootnoteText"/>
        <w:spacing w:after="120"/>
        <w:rPr>
          <w:sz w:val="22"/>
          <w:szCs w:val="22"/>
        </w:rPr>
      </w:pPr>
      <w:r w:rsidRPr="00117B4A">
        <w:rPr>
          <w:rStyle w:val="FootnoteReference"/>
          <w:sz w:val="22"/>
          <w:szCs w:val="22"/>
        </w:rPr>
        <w:footnoteRef/>
      </w:r>
      <w:r w:rsidRPr="00117B4A">
        <w:rPr>
          <w:sz w:val="22"/>
          <w:szCs w:val="22"/>
        </w:rPr>
        <w:t xml:space="preserve"> Odyssey, 8:364-366</w:t>
      </w:r>
      <w:r w:rsidR="00370591" w:rsidRPr="00117B4A">
        <w:rPr>
          <w:sz w:val="22"/>
          <w:szCs w:val="22"/>
        </w:rPr>
        <w:t xml:space="preserve">. </w:t>
      </w:r>
      <w:r w:rsidR="00370591" w:rsidRPr="00117B4A">
        <w:rPr>
          <w:rFonts w:asciiTheme="minorHAnsi" w:hAnsiTheme="minorHAnsi" w:cstheme="minorHAnsi"/>
          <w:sz w:val="22"/>
          <w:szCs w:val="22"/>
        </w:rPr>
        <w:t xml:space="preserve">Similarly, in the </w:t>
      </w:r>
      <w:r w:rsidR="00370591" w:rsidRPr="00117B4A">
        <w:rPr>
          <w:rFonts w:asciiTheme="minorHAnsi" w:hAnsiTheme="minorHAnsi" w:cstheme="minorHAnsi"/>
          <w:i/>
          <w:iCs/>
          <w:sz w:val="22"/>
          <w:szCs w:val="22"/>
        </w:rPr>
        <w:t>Homeric Hymn 6 to Aphrodite</w:t>
      </w:r>
      <w:r w:rsidR="00370591" w:rsidRPr="00117B4A">
        <w:rPr>
          <w:rFonts w:asciiTheme="minorHAnsi" w:hAnsiTheme="minorHAnsi" w:cstheme="minorHAnsi"/>
          <w:sz w:val="22"/>
          <w:szCs w:val="22"/>
        </w:rPr>
        <w:t xml:space="preserve"> She is crowned with gold and adorned with jewellery.</w:t>
      </w:r>
    </w:p>
  </w:footnote>
  <w:footnote w:id="71">
    <w:p w14:paraId="0DAE4876" w14:textId="33582EEA" w:rsidR="00E45A3B" w:rsidRPr="00117B4A" w:rsidRDefault="00E45A3B" w:rsidP="00117B4A">
      <w:pPr>
        <w:pStyle w:val="FootnoteText"/>
        <w:spacing w:after="120"/>
        <w:rPr>
          <w:sz w:val="22"/>
          <w:szCs w:val="22"/>
        </w:rPr>
      </w:pPr>
      <w:r w:rsidRPr="00117B4A">
        <w:rPr>
          <w:rStyle w:val="FootnoteReference"/>
          <w:sz w:val="22"/>
          <w:szCs w:val="22"/>
        </w:rPr>
        <w:footnoteRef/>
      </w:r>
      <w:r w:rsidRPr="00117B4A">
        <w:rPr>
          <w:sz w:val="22"/>
          <w:szCs w:val="22"/>
        </w:rPr>
        <w:t xml:space="preserve"> Burkert, </w:t>
      </w:r>
      <w:r w:rsidR="00F46BA4">
        <w:rPr>
          <w:sz w:val="22"/>
          <w:szCs w:val="22"/>
        </w:rPr>
        <w:t xml:space="preserve">1985, pp. </w:t>
      </w:r>
      <w:r w:rsidRPr="00117B4A">
        <w:rPr>
          <w:sz w:val="22"/>
          <w:szCs w:val="22"/>
        </w:rPr>
        <w:t>232-233</w:t>
      </w:r>
    </w:p>
  </w:footnote>
  <w:footnote w:id="72">
    <w:p w14:paraId="11BE6586" w14:textId="0F0B3C23" w:rsidR="0007206C" w:rsidRPr="00117B4A" w:rsidRDefault="0007206C" w:rsidP="00117B4A">
      <w:pPr>
        <w:pStyle w:val="FootnoteText"/>
        <w:spacing w:after="120"/>
        <w:rPr>
          <w:sz w:val="22"/>
          <w:szCs w:val="22"/>
        </w:rPr>
      </w:pPr>
      <w:r w:rsidRPr="00117B4A">
        <w:rPr>
          <w:rStyle w:val="FootnoteReference"/>
          <w:sz w:val="22"/>
          <w:szCs w:val="22"/>
        </w:rPr>
        <w:footnoteRef/>
      </w:r>
      <w:r w:rsidRPr="00117B4A">
        <w:rPr>
          <w:sz w:val="22"/>
          <w:szCs w:val="22"/>
        </w:rPr>
        <w:t xml:space="preserve"> Strabo, geography, XIV:6:3.</w:t>
      </w:r>
      <w:r w:rsidR="00D80F7C">
        <w:rPr>
          <w:sz w:val="22"/>
          <w:szCs w:val="22"/>
        </w:rPr>
        <w:t xml:space="preserve"> </w:t>
      </w:r>
      <w:r w:rsidR="00D80F7C" w:rsidRPr="00D80F7C">
        <w:rPr>
          <w:sz w:val="22"/>
          <w:szCs w:val="22"/>
        </w:rPr>
        <w:t>R</w:t>
      </w:r>
      <w:r w:rsidR="00D80F7C" w:rsidRPr="00D80F7C">
        <w:rPr>
          <w:rFonts w:asciiTheme="minorHAnsi" w:hAnsiTheme="minorHAnsi" w:cstheme="minorHAnsi"/>
          <w:sz w:val="22"/>
          <w:szCs w:val="22"/>
        </w:rPr>
        <w:t>ather more event than a single event would be expected</w:t>
      </w:r>
      <w:r w:rsidR="00D80F7C">
        <w:rPr>
          <w:rFonts w:asciiTheme="minorHAnsi" w:hAnsiTheme="minorHAnsi" w:cstheme="minorHAnsi"/>
          <w:sz w:val="22"/>
          <w:szCs w:val="22"/>
        </w:rPr>
        <w:t>.</w:t>
      </w:r>
    </w:p>
  </w:footnote>
  <w:footnote w:id="73">
    <w:p w14:paraId="504972F0" w14:textId="7B3E7C33" w:rsidR="0007206C" w:rsidRPr="00117B4A" w:rsidRDefault="0007206C" w:rsidP="00117B4A">
      <w:pPr>
        <w:pStyle w:val="FootnoteText"/>
        <w:spacing w:after="120"/>
        <w:rPr>
          <w:sz w:val="22"/>
          <w:szCs w:val="22"/>
        </w:rPr>
      </w:pPr>
      <w:r w:rsidRPr="00117B4A">
        <w:rPr>
          <w:rStyle w:val="FootnoteReference"/>
          <w:sz w:val="22"/>
          <w:szCs w:val="22"/>
        </w:rPr>
        <w:footnoteRef/>
      </w:r>
      <w:r w:rsidRPr="00117B4A">
        <w:rPr>
          <w:sz w:val="22"/>
          <w:szCs w:val="22"/>
        </w:rPr>
        <w:t xml:space="preserve"> Strabo’s sense of direction is a little strange, since he describes </w:t>
      </w:r>
      <w:proofErr w:type="spellStart"/>
      <w:r w:rsidRPr="00117B4A">
        <w:rPr>
          <w:sz w:val="22"/>
          <w:szCs w:val="22"/>
        </w:rPr>
        <w:t>Akamas</w:t>
      </w:r>
      <w:proofErr w:type="spellEnd"/>
      <w:r w:rsidRPr="00117B4A">
        <w:rPr>
          <w:sz w:val="22"/>
          <w:szCs w:val="22"/>
        </w:rPr>
        <w:t xml:space="preserve"> as east of and ‘after’ Palaepa</w:t>
      </w:r>
      <w:r w:rsidR="00F46BA4">
        <w:rPr>
          <w:sz w:val="22"/>
          <w:szCs w:val="22"/>
        </w:rPr>
        <w:t>p</w:t>
      </w:r>
      <w:r w:rsidRPr="00117B4A">
        <w:rPr>
          <w:sz w:val="22"/>
          <w:szCs w:val="22"/>
        </w:rPr>
        <w:t>hos</w:t>
      </w:r>
      <w:r w:rsidR="00F22994" w:rsidRPr="00117B4A">
        <w:rPr>
          <w:sz w:val="22"/>
          <w:szCs w:val="22"/>
        </w:rPr>
        <w:t>.</w:t>
      </w:r>
    </w:p>
  </w:footnote>
  <w:footnote w:id="74">
    <w:p w14:paraId="5F4F2B9B" w14:textId="50384FF7" w:rsidR="00835651" w:rsidRPr="00117B4A" w:rsidRDefault="00835651" w:rsidP="00117B4A">
      <w:pPr>
        <w:pStyle w:val="FootnoteText"/>
        <w:spacing w:after="120"/>
        <w:rPr>
          <w:sz w:val="22"/>
          <w:szCs w:val="22"/>
        </w:rPr>
      </w:pPr>
      <w:r w:rsidRPr="00117B4A">
        <w:rPr>
          <w:rStyle w:val="FootnoteReference"/>
          <w:sz w:val="22"/>
          <w:szCs w:val="22"/>
        </w:rPr>
        <w:footnoteRef/>
      </w:r>
      <w:r w:rsidRPr="00117B4A">
        <w:rPr>
          <w:sz w:val="22"/>
          <w:szCs w:val="22"/>
        </w:rPr>
        <w:t xml:space="preserve"> Maier &amp; Karageorghis, 1984, p. 271.</w:t>
      </w:r>
      <w:r w:rsidR="00D80F7C">
        <w:rPr>
          <w:sz w:val="22"/>
          <w:szCs w:val="22"/>
        </w:rPr>
        <w:t xml:space="preserve"> </w:t>
      </w:r>
      <w:r w:rsidR="00D80F7C" w:rsidRPr="00117B4A">
        <w:rPr>
          <w:sz w:val="22"/>
          <w:szCs w:val="22"/>
        </w:rPr>
        <w:t xml:space="preserve">The procession might of course be explained as necessity after the move of the port to </w:t>
      </w:r>
      <w:proofErr w:type="spellStart"/>
      <w:r w:rsidR="00D80F7C" w:rsidRPr="00117B4A">
        <w:rPr>
          <w:sz w:val="22"/>
          <w:szCs w:val="22"/>
        </w:rPr>
        <w:t>Neapaphos</w:t>
      </w:r>
      <w:proofErr w:type="spellEnd"/>
      <w:r w:rsidR="00D80F7C" w:rsidRPr="00117B4A">
        <w:rPr>
          <w:sz w:val="22"/>
          <w:szCs w:val="22"/>
        </w:rPr>
        <w:t>. Nonetheless it is reminiscent of the Eleus</w:t>
      </w:r>
      <w:r w:rsidR="00EB7FC7">
        <w:rPr>
          <w:sz w:val="22"/>
          <w:szCs w:val="22"/>
        </w:rPr>
        <w:t>in</w:t>
      </w:r>
      <w:r w:rsidR="00D80F7C" w:rsidRPr="00117B4A">
        <w:rPr>
          <w:sz w:val="22"/>
          <w:szCs w:val="22"/>
        </w:rPr>
        <w:t xml:space="preserve">ian </w:t>
      </w:r>
      <w:proofErr w:type="spellStart"/>
      <w:r w:rsidR="00D80F7C" w:rsidRPr="00117B4A">
        <w:rPr>
          <w:sz w:val="22"/>
          <w:szCs w:val="22"/>
        </w:rPr>
        <w:t>mystes</w:t>
      </w:r>
      <w:proofErr w:type="spellEnd"/>
      <w:r w:rsidR="00D80FFE">
        <w:rPr>
          <w:sz w:val="22"/>
          <w:szCs w:val="22"/>
        </w:rPr>
        <w:t>'</w:t>
      </w:r>
      <w:r w:rsidR="00D80F7C" w:rsidRPr="00117B4A">
        <w:rPr>
          <w:sz w:val="22"/>
          <w:szCs w:val="22"/>
        </w:rPr>
        <w:t xml:space="preserve"> procession from Athens.</w:t>
      </w:r>
    </w:p>
  </w:footnote>
  <w:footnote w:id="75">
    <w:p w14:paraId="09FAE05C" w14:textId="7BF2851B" w:rsidR="0007206C" w:rsidRPr="00117B4A" w:rsidRDefault="0007206C"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F135D8" w:rsidRPr="00117B4A">
        <w:rPr>
          <w:sz w:val="22"/>
          <w:szCs w:val="22"/>
        </w:rPr>
        <w:t xml:space="preserve">A more precise location of the gardens is unknown so there has been no examination for evidence such as an excess of pollen from the plants traditionally sacred to Aphrodite (or to Adonis). </w:t>
      </w:r>
      <w:r w:rsidRPr="00117B4A">
        <w:rPr>
          <w:sz w:val="22"/>
          <w:szCs w:val="22"/>
        </w:rPr>
        <w:t xml:space="preserve">The </w:t>
      </w:r>
      <w:proofErr w:type="spellStart"/>
      <w:r w:rsidRPr="00117B4A">
        <w:rPr>
          <w:sz w:val="22"/>
          <w:szCs w:val="22"/>
        </w:rPr>
        <w:t>Yeroskipou</w:t>
      </w:r>
      <w:proofErr w:type="spellEnd"/>
      <w:r w:rsidRPr="00117B4A">
        <w:rPr>
          <w:sz w:val="22"/>
          <w:szCs w:val="22"/>
        </w:rPr>
        <w:t xml:space="preserve"> area contains multiple further sacred locations: Maier &amp; Karageorghis, 1984, p</w:t>
      </w:r>
      <w:r w:rsidR="00D80F7C">
        <w:rPr>
          <w:sz w:val="22"/>
          <w:szCs w:val="22"/>
        </w:rPr>
        <w:t xml:space="preserve">. </w:t>
      </w:r>
      <w:r w:rsidRPr="00117B4A">
        <w:rPr>
          <w:sz w:val="22"/>
          <w:szCs w:val="22"/>
        </w:rPr>
        <w:t xml:space="preserve">21, note three chamber tombs and five others; </w:t>
      </w:r>
      <w:r w:rsidRPr="00117B4A">
        <w:rPr>
          <w:rFonts w:asciiTheme="minorHAnsi" w:hAnsiTheme="minorHAnsi" w:cstheme="minorHAnsi"/>
          <w:sz w:val="22"/>
          <w:szCs w:val="22"/>
        </w:rPr>
        <w:t xml:space="preserve">J. Karageorghis, 2005, p. 60, writes of a “large cave with a flowing spring” called “Baths of Aphrodite” exactly as the </w:t>
      </w:r>
      <w:proofErr w:type="spellStart"/>
      <w:r w:rsidRPr="00117B4A">
        <w:rPr>
          <w:rFonts w:asciiTheme="minorHAnsi" w:hAnsiTheme="minorHAnsi" w:cstheme="minorHAnsi"/>
          <w:sz w:val="22"/>
          <w:szCs w:val="22"/>
        </w:rPr>
        <w:t>Akamas</w:t>
      </w:r>
      <w:proofErr w:type="spellEnd"/>
      <w:r w:rsidRPr="00117B4A">
        <w:rPr>
          <w:rFonts w:asciiTheme="minorHAnsi" w:hAnsiTheme="minorHAnsi" w:cstheme="minorHAnsi"/>
          <w:sz w:val="22"/>
          <w:szCs w:val="22"/>
        </w:rPr>
        <w:t xml:space="preserve"> site</w:t>
      </w:r>
      <w:r w:rsidR="00D80F7C">
        <w:rPr>
          <w:rFonts w:asciiTheme="minorHAnsi" w:hAnsiTheme="minorHAnsi" w:cstheme="minorHAnsi"/>
          <w:sz w:val="22"/>
          <w:szCs w:val="22"/>
        </w:rPr>
        <w:t xml:space="preserve"> described below</w:t>
      </w:r>
      <w:r w:rsidRPr="00117B4A">
        <w:rPr>
          <w:rFonts w:asciiTheme="minorHAnsi" w:hAnsiTheme="minorHAnsi" w:cstheme="minorHAnsi"/>
          <w:sz w:val="22"/>
          <w:szCs w:val="22"/>
        </w:rPr>
        <w:t xml:space="preserve">. </w:t>
      </w:r>
    </w:p>
  </w:footnote>
  <w:footnote w:id="76">
    <w:p w14:paraId="787DD88C" w14:textId="692685F2" w:rsidR="0007206C" w:rsidRPr="00117B4A" w:rsidRDefault="0007206C"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Pr="00117B4A">
        <w:rPr>
          <w:rFonts w:asciiTheme="minorHAnsi" w:hAnsiTheme="minorHAnsi" w:cstheme="minorHAnsi"/>
          <w:sz w:val="22"/>
          <w:szCs w:val="22"/>
        </w:rPr>
        <w:t>J. Karageorghis, 2005, p. 60.</w:t>
      </w:r>
    </w:p>
  </w:footnote>
  <w:footnote w:id="77">
    <w:p w14:paraId="2E62CDCD" w14:textId="27EE9895" w:rsidR="0007206C" w:rsidRPr="00117B4A" w:rsidRDefault="0007206C" w:rsidP="00117B4A">
      <w:pPr>
        <w:pStyle w:val="FootnoteText"/>
        <w:spacing w:after="120"/>
        <w:rPr>
          <w:sz w:val="22"/>
          <w:szCs w:val="22"/>
        </w:rPr>
      </w:pPr>
      <w:r w:rsidRPr="00117B4A">
        <w:rPr>
          <w:rStyle w:val="FootnoteReference"/>
          <w:sz w:val="22"/>
          <w:szCs w:val="22"/>
        </w:rPr>
        <w:footnoteRef/>
      </w:r>
      <w:r w:rsidRPr="00117B4A">
        <w:rPr>
          <w:sz w:val="22"/>
          <w:szCs w:val="22"/>
        </w:rPr>
        <w:t xml:space="preserve"> Strabo mentions also</w:t>
      </w:r>
      <w:r w:rsidRPr="00117B4A">
        <w:rPr>
          <w:rFonts w:asciiTheme="minorHAnsi" w:hAnsiTheme="minorHAnsi" w:cstheme="minorHAnsi"/>
          <w:sz w:val="22"/>
          <w:szCs w:val="22"/>
        </w:rPr>
        <w:t xml:space="preserve"> a temple of </w:t>
      </w:r>
      <w:proofErr w:type="spellStart"/>
      <w:r w:rsidRPr="00117B4A">
        <w:rPr>
          <w:rFonts w:asciiTheme="minorHAnsi" w:hAnsiTheme="minorHAnsi" w:cstheme="minorHAnsi"/>
          <w:sz w:val="22"/>
          <w:szCs w:val="22"/>
        </w:rPr>
        <w:t>Aphroditê</w:t>
      </w:r>
      <w:proofErr w:type="spellEnd"/>
      <w:r w:rsidRPr="00117B4A">
        <w:rPr>
          <w:rFonts w:asciiTheme="minorHAnsi" w:hAnsiTheme="minorHAnsi" w:cstheme="minorHAnsi"/>
          <w:sz w:val="22"/>
          <w:szCs w:val="22"/>
        </w:rPr>
        <w:t xml:space="preserve"> Acraea, on a mountain peak called Olympus, “which cannot be entered or seen by women”.</w:t>
      </w:r>
    </w:p>
  </w:footnote>
  <w:footnote w:id="78">
    <w:p w14:paraId="7F34B14C" w14:textId="642F3216" w:rsidR="00761DBB" w:rsidRPr="00117B4A" w:rsidRDefault="00761DBB" w:rsidP="00117B4A">
      <w:pPr>
        <w:pStyle w:val="FootnoteText"/>
        <w:spacing w:after="120"/>
        <w:rPr>
          <w:sz w:val="22"/>
          <w:szCs w:val="22"/>
        </w:rPr>
      </w:pPr>
      <w:r w:rsidRPr="00117B4A">
        <w:rPr>
          <w:rStyle w:val="FootnoteReference"/>
          <w:sz w:val="22"/>
          <w:szCs w:val="22"/>
        </w:rPr>
        <w:footnoteRef/>
      </w:r>
      <w:r w:rsidRPr="00117B4A">
        <w:rPr>
          <w:sz w:val="22"/>
          <w:szCs w:val="22"/>
        </w:rPr>
        <w:t xml:space="preserve"> Ovid, </w:t>
      </w:r>
      <w:r w:rsidRPr="00117B4A">
        <w:rPr>
          <w:rFonts w:asciiTheme="minorHAnsi" w:hAnsiTheme="minorHAnsi" w:cstheme="minorHAnsi"/>
          <w:sz w:val="22"/>
          <w:szCs w:val="22"/>
        </w:rPr>
        <w:t>Metamorphoses 10. 724 ff,</w:t>
      </w:r>
      <w:r w:rsidRPr="00117B4A">
        <w:rPr>
          <w:sz w:val="22"/>
          <w:szCs w:val="22"/>
        </w:rPr>
        <w:t xml:space="preserve"> makes Adonis grandson </w:t>
      </w:r>
      <w:r w:rsidRPr="00117B4A">
        <w:rPr>
          <w:rFonts w:asciiTheme="minorHAnsi" w:hAnsiTheme="minorHAnsi" w:cstheme="minorHAnsi"/>
          <w:sz w:val="22"/>
          <w:szCs w:val="22"/>
        </w:rPr>
        <w:t xml:space="preserve">of the mythical founder Kinyras, The festival is otherwise best attested in Athens. </w:t>
      </w:r>
    </w:p>
  </w:footnote>
  <w:footnote w:id="79">
    <w:p w14:paraId="513A817A" w14:textId="34592AA6" w:rsidR="00CF2A59" w:rsidRPr="00117B4A" w:rsidRDefault="00CF2A59"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Pr="00117B4A">
        <w:rPr>
          <w:rFonts w:asciiTheme="minorHAnsi" w:hAnsiTheme="minorHAnsi" w:cstheme="minorHAnsi"/>
          <w:sz w:val="22"/>
          <w:szCs w:val="22"/>
        </w:rPr>
        <w:t>Kataklysmos</w:t>
      </w:r>
      <w:proofErr w:type="spellEnd"/>
      <w:r w:rsidRPr="00117B4A">
        <w:rPr>
          <w:rFonts w:asciiTheme="minorHAnsi" w:hAnsiTheme="minorHAnsi" w:cstheme="minorHAnsi"/>
          <w:sz w:val="22"/>
          <w:szCs w:val="22"/>
        </w:rPr>
        <w:t xml:space="preserve"> is officially claimed as a local celebration of the Christian Pentecost. </w:t>
      </w:r>
      <w:proofErr w:type="spellStart"/>
      <w:r w:rsidRPr="00117B4A">
        <w:rPr>
          <w:sz w:val="22"/>
          <w:szCs w:val="22"/>
        </w:rPr>
        <w:t>Merrillees</w:t>
      </w:r>
      <w:proofErr w:type="spellEnd"/>
      <w:r w:rsidRPr="00117B4A">
        <w:rPr>
          <w:sz w:val="22"/>
          <w:szCs w:val="22"/>
        </w:rPr>
        <w:t xml:space="preserve"> - apparently something of a reactionary puritan - writes </w:t>
      </w:r>
      <w:r w:rsidR="0021108B" w:rsidRPr="00117B4A">
        <w:rPr>
          <w:sz w:val="22"/>
          <w:szCs w:val="22"/>
        </w:rPr>
        <w:t xml:space="preserve">(2014, p. 41) </w:t>
      </w:r>
      <w:r w:rsidRPr="00117B4A">
        <w:rPr>
          <w:sz w:val="22"/>
          <w:szCs w:val="22"/>
        </w:rPr>
        <w:t xml:space="preserve">of people “seduced with pagan symbolism” and </w:t>
      </w:r>
      <w:r w:rsidR="0021108B" w:rsidRPr="00117B4A">
        <w:rPr>
          <w:sz w:val="22"/>
          <w:szCs w:val="22"/>
        </w:rPr>
        <w:t xml:space="preserve">returning “to the licentious expectations and practices of two thousand years ago”. </w:t>
      </w:r>
    </w:p>
  </w:footnote>
  <w:footnote w:id="80">
    <w:p w14:paraId="6854699B" w14:textId="5BC5ED28" w:rsidR="00014F76" w:rsidRPr="00117B4A" w:rsidRDefault="00014F76"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923060" w:rsidRPr="00117B4A">
        <w:rPr>
          <w:sz w:val="22"/>
          <w:szCs w:val="22"/>
        </w:rPr>
        <w:t xml:space="preserve">Theodoropoulou, 2013, p. 211: </w:t>
      </w:r>
      <w:r w:rsidRPr="00117B4A">
        <w:rPr>
          <w:sz w:val="22"/>
          <w:szCs w:val="22"/>
        </w:rPr>
        <w:t xml:space="preserve">the word </w:t>
      </w:r>
      <w:proofErr w:type="spellStart"/>
      <w:r w:rsidRPr="003B3A27">
        <w:rPr>
          <w:i/>
          <w:iCs/>
          <w:sz w:val="22"/>
          <w:szCs w:val="22"/>
        </w:rPr>
        <w:t>kteis</w:t>
      </w:r>
      <w:proofErr w:type="spellEnd"/>
      <w:r w:rsidRPr="00117B4A">
        <w:rPr>
          <w:sz w:val="22"/>
          <w:szCs w:val="22"/>
        </w:rPr>
        <w:t xml:space="preserve"> means both seashell and female genitals.</w:t>
      </w:r>
    </w:p>
  </w:footnote>
  <w:footnote w:id="81">
    <w:p w14:paraId="5F6B7B69" w14:textId="239168EA" w:rsidR="008A5E95" w:rsidRPr="00117B4A" w:rsidRDefault="008A5E95"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Pr="00117B4A">
        <w:rPr>
          <w:sz w:val="22"/>
          <w:szCs w:val="22"/>
        </w:rPr>
        <w:t>Serwint</w:t>
      </w:r>
      <w:proofErr w:type="spellEnd"/>
      <w:r w:rsidRPr="00117B4A">
        <w:rPr>
          <w:sz w:val="22"/>
          <w:szCs w:val="22"/>
        </w:rPr>
        <w:t>, p. 328. It is noted however that her reference to Pliny, Natural History, seems not to be correct.</w:t>
      </w:r>
      <w:r w:rsidR="00014F76" w:rsidRPr="00117B4A">
        <w:rPr>
          <w:sz w:val="22"/>
          <w:szCs w:val="22"/>
        </w:rPr>
        <w:t xml:space="preserve"> Her statement that “shellfish were sacred to Aphrodite in Cyprus” has not been found in Loeb, Project Gutenberg or Internet Archive editions. Pliny does mention shells offered at Knidos (in nearby Turkey).</w:t>
      </w:r>
    </w:p>
  </w:footnote>
  <w:footnote w:id="82">
    <w:p w14:paraId="5E76167E" w14:textId="4444B2E0" w:rsidR="00455156" w:rsidRPr="00117B4A" w:rsidRDefault="00455156" w:rsidP="00117B4A">
      <w:pPr>
        <w:pStyle w:val="FootnoteText"/>
        <w:spacing w:after="120"/>
        <w:rPr>
          <w:sz w:val="22"/>
          <w:szCs w:val="22"/>
        </w:rPr>
      </w:pPr>
      <w:r w:rsidRPr="00117B4A">
        <w:rPr>
          <w:rStyle w:val="FootnoteReference"/>
          <w:sz w:val="22"/>
          <w:szCs w:val="22"/>
        </w:rPr>
        <w:footnoteRef/>
      </w:r>
      <w:r w:rsidRPr="00117B4A">
        <w:rPr>
          <w:sz w:val="22"/>
          <w:szCs w:val="22"/>
        </w:rPr>
        <w:t xml:space="preserve"> J. Karageorghis, 2005, p. 56, fig 44, even has a cake mould in the shape of female figure with arms raised in worship. </w:t>
      </w:r>
    </w:p>
  </w:footnote>
  <w:footnote w:id="83">
    <w:p w14:paraId="65C184D8" w14:textId="0899DFE8" w:rsidR="00014FB8" w:rsidRPr="00117B4A" w:rsidRDefault="00014FB8" w:rsidP="00117B4A">
      <w:pPr>
        <w:pStyle w:val="FootnoteText"/>
        <w:spacing w:after="120"/>
        <w:rPr>
          <w:sz w:val="22"/>
          <w:szCs w:val="22"/>
          <w:lang w:val="fr-FR"/>
        </w:rPr>
      </w:pPr>
      <w:r w:rsidRPr="00117B4A">
        <w:rPr>
          <w:rStyle w:val="FootnoteReference"/>
          <w:sz w:val="22"/>
          <w:szCs w:val="22"/>
        </w:rPr>
        <w:footnoteRef/>
      </w:r>
      <w:r w:rsidRPr="00117B4A">
        <w:rPr>
          <w:sz w:val="22"/>
          <w:szCs w:val="22"/>
          <w:lang w:val="fr-FR"/>
        </w:rPr>
        <w:t xml:space="preserve"> </w:t>
      </w:r>
      <w:proofErr w:type="spellStart"/>
      <w:r w:rsidRPr="00117B4A">
        <w:rPr>
          <w:sz w:val="22"/>
          <w:szCs w:val="22"/>
          <w:lang w:val="fr-FR"/>
        </w:rPr>
        <w:t>Porphyry</w:t>
      </w:r>
      <w:proofErr w:type="spellEnd"/>
      <w:r w:rsidRPr="00117B4A">
        <w:rPr>
          <w:sz w:val="22"/>
          <w:szCs w:val="22"/>
          <w:lang w:val="fr-FR"/>
        </w:rPr>
        <w:t>, On Abstinence, II.21, (source : https://www.tertullian.org/fathers/porphyry_abstinence_02_book2.htm)</w:t>
      </w:r>
    </w:p>
  </w:footnote>
  <w:footnote w:id="84">
    <w:p w14:paraId="463B4EF9" w14:textId="2DBFABAC" w:rsidR="00014FB8" w:rsidRPr="00117B4A" w:rsidRDefault="00014FB8"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7F7936" w:rsidRPr="00117B4A">
        <w:rPr>
          <w:sz w:val="22"/>
          <w:szCs w:val="22"/>
        </w:rPr>
        <w:t xml:space="preserve">J. Karageorghis, 2005, p. 57. </w:t>
      </w:r>
      <w:r w:rsidRPr="00117B4A">
        <w:rPr>
          <w:sz w:val="22"/>
          <w:szCs w:val="22"/>
        </w:rPr>
        <w:t xml:space="preserve">The parallel </w:t>
      </w:r>
      <w:proofErr w:type="spellStart"/>
      <w:r w:rsidRPr="00117B4A">
        <w:rPr>
          <w:sz w:val="22"/>
          <w:szCs w:val="22"/>
        </w:rPr>
        <w:t>sapithia</w:t>
      </w:r>
      <w:proofErr w:type="spellEnd"/>
      <w:r w:rsidRPr="00117B4A">
        <w:rPr>
          <w:sz w:val="22"/>
          <w:szCs w:val="22"/>
        </w:rPr>
        <w:t xml:space="preserve"> = sacrifice is due to Hesychius</w:t>
      </w:r>
      <w:r w:rsidR="00737D79">
        <w:rPr>
          <w:sz w:val="22"/>
          <w:szCs w:val="22"/>
        </w:rPr>
        <w:t>’</w:t>
      </w:r>
      <w:r w:rsidRPr="00117B4A">
        <w:rPr>
          <w:sz w:val="22"/>
          <w:szCs w:val="22"/>
        </w:rPr>
        <w:t xml:space="preserve"> Lexicon. The word is considered not to be of Greek origin, more plausibly of Semitic origin</w:t>
      </w:r>
      <w:r w:rsidR="007F7936" w:rsidRPr="00117B4A">
        <w:rPr>
          <w:sz w:val="22"/>
          <w:szCs w:val="22"/>
        </w:rPr>
        <w:t xml:space="preserve">. Alternatively, it would seem a good candidate for derivation from the Egyptian </w:t>
      </w:r>
      <w:r w:rsidR="007F7936" w:rsidRPr="00117B4A">
        <w:rPr>
          <w:i/>
          <w:iCs/>
          <w:sz w:val="22"/>
          <w:szCs w:val="22"/>
        </w:rPr>
        <w:t xml:space="preserve">sb3 </w:t>
      </w:r>
      <w:r w:rsidR="007F7936" w:rsidRPr="00117B4A">
        <w:rPr>
          <w:sz w:val="22"/>
          <w:szCs w:val="22"/>
        </w:rPr>
        <w:t>with which Bernal links many words related to sacredness.(Bernal, 2006,  pp. 262-267).</w:t>
      </w:r>
      <w:r w:rsidRPr="00117B4A">
        <w:rPr>
          <w:sz w:val="22"/>
          <w:szCs w:val="22"/>
        </w:rPr>
        <w:t xml:space="preserve"> </w:t>
      </w:r>
    </w:p>
  </w:footnote>
  <w:footnote w:id="85">
    <w:p w14:paraId="56186B29" w14:textId="1D305EB1" w:rsidR="007F7936" w:rsidRPr="00117B4A" w:rsidRDefault="007F7936" w:rsidP="00117B4A">
      <w:pPr>
        <w:pStyle w:val="FootnoteText"/>
        <w:spacing w:after="120"/>
        <w:rPr>
          <w:sz w:val="22"/>
          <w:szCs w:val="22"/>
        </w:rPr>
      </w:pPr>
      <w:r w:rsidRPr="00117B4A">
        <w:rPr>
          <w:rStyle w:val="FootnoteReference"/>
          <w:sz w:val="22"/>
          <w:szCs w:val="22"/>
        </w:rPr>
        <w:footnoteRef/>
      </w:r>
      <w:r w:rsidRPr="00117B4A">
        <w:rPr>
          <w:sz w:val="22"/>
          <w:szCs w:val="22"/>
        </w:rPr>
        <w:t xml:space="preserve"> J. Karageorghis, 2005, p. 57.</w:t>
      </w:r>
      <w:r w:rsidR="00FA56B9" w:rsidRPr="00117B4A">
        <w:rPr>
          <w:sz w:val="22"/>
          <w:szCs w:val="22"/>
        </w:rPr>
        <w:t xml:space="preserve"> The Hubbard amphora (J. Karageorghis, 2005, p. 58, fig, 45) - not necessarily Paphian - shows presumably female worshippers dancing holding branches. </w:t>
      </w:r>
    </w:p>
  </w:footnote>
  <w:footnote w:id="86">
    <w:p w14:paraId="7DF25919" w14:textId="40C90D7B" w:rsidR="00AF3E2F" w:rsidRPr="00117B4A" w:rsidRDefault="00AF3E2F" w:rsidP="00117B4A">
      <w:pPr>
        <w:pStyle w:val="FootnoteText"/>
        <w:spacing w:after="120"/>
        <w:rPr>
          <w:sz w:val="22"/>
          <w:szCs w:val="22"/>
        </w:rPr>
      </w:pPr>
      <w:r w:rsidRPr="00117B4A">
        <w:rPr>
          <w:rStyle w:val="FootnoteReference"/>
          <w:sz w:val="22"/>
          <w:szCs w:val="22"/>
        </w:rPr>
        <w:footnoteRef/>
      </w:r>
      <w:r w:rsidRPr="00117B4A">
        <w:rPr>
          <w:sz w:val="22"/>
          <w:szCs w:val="22"/>
        </w:rPr>
        <w:t xml:space="preserve"> It is known that the sanctuary of Apollo Hylates, in nearby </w:t>
      </w:r>
      <w:proofErr w:type="spellStart"/>
      <w:r w:rsidRPr="00117B4A">
        <w:rPr>
          <w:sz w:val="22"/>
          <w:szCs w:val="22"/>
        </w:rPr>
        <w:t>Kourion</w:t>
      </w:r>
      <w:proofErr w:type="spellEnd"/>
      <w:r w:rsidRPr="00117B4A">
        <w:rPr>
          <w:sz w:val="22"/>
          <w:szCs w:val="22"/>
        </w:rPr>
        <w:t>, had rock-cut channels (for water flow) and pits for planting. Carroll-Spillecke, 1992, p 90, p. 95, fig. 15.</w:t>
      </w:r>
    </w:p>
  </w:footnote>
  <w:footnote w:id="87">
    <w:p w14:paraId="58149133" w14:textId="0E471D27" w:rsidR="00455156" w:rsidRPr="00117B4A" w:rsidRDefault="00455156"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Pr="00117B4A">
        <w:rPr>
          <w:sz w:val="22"/>
          <w:szCs w:val="22"/>
        </w:rPr>
        <w:t>Cornutas</w:t>
      </w:r>
      <w:proofErr w:type="spellEnd"/>
      <w:r w:rsidRPr="00117B4A">
        <w:rPr>
          <w:sz w:val="22"/>
          <w:szCs w:val="22"/>
        </w:rPr>
        <w:t xml:space="preserve">, </w:t>
      </w:r>
      <w:r w:rsidRPr="00117B4A">
        <w:rPr>
          <w:i/>
          <w:iCs/>
          <w:sz w:val="22"/>
          <w:szCs w:val="22"/>
        </w:rPr>
        <w:t xml:space="preserve">De natura </w:t>
      </w:r>
      <w:proofErr w:type="spellStart"/>
      <w:r w:rsidRPr="00117B4A">
        <w:rPr>
          <w:i/>
          <w:iCs/>
          <w:sz w:val="22"/>
          <w:szCs w:val="22"/>
        </w:rPr>
        <w:t>deorum</w:t>
      </w:r>
      <w:proofErr w:type="spellEnd"/>
      <w:r w:rsidRPr="00117B4A">
        <w:rPr>
          <w:sz w:val="22"/>
          <w:szCs w:val="22"/>
        </w:rPr>
        <w:t xml:space="preserve"> 24 : He notes the bird as “extremely prolific and devoted to sexual union”.</w:t>
      </w:r>
    </w:p>
  </w:footnote>
  <w:footnote w:id="88">
    <w:p w14:paraId="36898CD4" w14:textId="5C05CFA2" w:rsidR="00455156" w:rsidRPr="00117B4A" w:rsidRDefault="00455156"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AF3E2F" w:rsidRPr="00117B4A">
        <w:rPr>
          <w:sz w:val="22"/>
          <w:szCs w:val="22"/>
        </w:rPr>
        <w:t>Sappho (</w:t>
      </w:r>
      <w:proofErr w:type="spellStart"/>
      <w:r w:rsidR="00AF3E2F" w:rsidRPr="00117B4A">
        <w:rPr>
          <w:sz w:val="22"/>
          <w:szCs w:val="22"/>
        </w:rPr>
        <w:t>Psaffa</w:t>
      </w:r>
      <w:proofErr w:type="spellEnd"/>
      <w:r w:rsidR="00AF3E2F" w:rsidRPr="00117B4A">
        <w:rPr>
          <w:sz w:val="22"/>
          <w:szCs w:val="22"/>
        </w:rPr>
        <w:t xml:space="preserve">) Hymn to Aphrodite: translation </w:t>
      </w:r>
      <w:r w:rsidR="00AF3E2F" w:rsidRPr="00117B4A">
        <w:rPr>
          <w:sz w:val="22"/>
          <w:szCs w:val="22"/>
        </w:rPr>
        <w:br/>
        <w:t>https://diotima-doctafemina.org/translations/greek/sapphos-hymn-to-aphrodite/</w:t>
      </w:r>
    </w:p>
  </w:footnote>
  <w:footnote w:id="89">
    <w:p w14:paraId="5F28B41F" w14:textId="01D9D00C" w:rsidR="002A3C04" w:rsidRPr="002A3C04" w:rsidRDefault="002A3C04" w:rsidP="00737D79">
      <w:pPr>
        <w:pStyle w:val="FootnoteText"/>
        <w:spacing w:after="120"/>
      </w:pPr>
      <w:r>
        <w:rPr>
          <w:rStyle w:val="FootnoteReference"/>
        </w:rPr>
        <w:footnoteRef/>
      </w:r>
      <w:r w:rsidRPr="002A3C04">
        <w:t xml:space="preserve"> </w:t>
      </w:r>
      <w:r w:rsidRPr="00737D79">
        <w:rPr>
          <w:sz w:val="22"/>
          <w:szCs w:val="22"/>
        </w:rPr>
        <w:t>Hussein &amp; Raffa, 2016, describe two such, mutually dedicated by a poet and his learned benefactress of “mighty consular stock”.</w:t>
      </w:r>
      <w:r>
        <w:t xml:space="preserve"> </w:t>
      </w:r>
    </w:p>
  </w:footnote>
  <w:footnote w:id="90">
    <w:p w14:paraId="13329A83" w14:textId="250CB029" w:rsidR="00B92DAB" w:rsidRPr="002A3C04" w:rsidRDefault="00B92DAB" w:rsidP="00117B4A">
      <w:pPr>
        <w:pStyle w:val="FootnoteText"/>
        <w:spacing w:after="120"/>
        <w:rPr>
          <w:sz w:val="22"/>
          <w:szCs w:val="22"/>
          <w:lang w:val="fr-FR"/>
        </w:rPr>
      </w:pPr>
      <w:r w:rsidRPr="00117B4A">
        <w:rPr>
          <w:rStyle w:val="FootnoteReference"/>
          <w:sz w:val="22"/>
          <w:szCs w:val="22"/>
        </w:rPr>
        <w:footnoteRef/>
      </w:r>
      <w:r w:rsidRPr="002A3C04">
        <w:rPr>
          <w:sz w:val="22"/>
          <w:szCs w:val="22"/>
          <w:lang w:val="fr-FR"/>
        </w:rPr>
        <w:t xml:space="preserve"> Papantoniou &amp; </w:t>
      </w:r>
      <w:proofErr w:type="spellStart"/>
      <w:r w:rsidR="002D1368">
        <w:rPr>
          <w:sz w:val="22"/>
          <w:szCs w:val="22"/>
          <w:lang w:val="fr-FR"/>
        </w:rPr>
        <w:t>Vionis</w:t>
      </w:r>
      <w:proofErr w:type="spellEnd"/>
      <w:r w:rsidRPr="002A3C04">
        <w:rPr>
          <w:sz w:val="22"/>
          <w:szCs w:val="22"/>
          <w:lang w:val="fr-FR"/>
        </w:rPr>
        <w:t>, 2017, p. 3.</w:t>
      </w:r>
    </w:p>
  </w:footnote>
  <w:footnote w:id="91">
    <w:p w14:paraId="175E3D7A" w14:textId="0228F358" w:rsidR="00B92DAB" w:rsidRPr="00117B4A" w:rsidRDefault="00B92DAB" w:rsidP="00117B4A">
      <w:pPr>
        <w:pStyle w:val="FootnoteText"/>
        <w:spacing w:after="120"/>
        <w:rPr>
          <w:sz w:val="22"/>
          <w:szCs w:val="22"/>
          <w:lang w:val="fr-FR"/>
        </w:rPr>
      </w:pPr>
      <w:r w:rsidRPr="00117B4A">
        <w:rPr>
          <w:rStyle w:val="FootnoteReference"/>
          <w:sz w:val="22"/>
          <w:szCs w:val="22"/>
        </w:rPr>
        <w:footnoteRef/>
      </w:r>
      <w:r w:rsidRPr="00117B4A">
        <w:rPr>
          <w:sz w:val="22"/>
          <w:szCs w:val="22"/>
          <w:lang w:val="fr-FR"/>
        </w:rPr>
        <w:t xml:space="preserve"> Papantoniou &amp; </w:t>
      </w:r>
      <w:proofErr w:type="spellStart"/>
      <w:r w:rsidR="002D1368">
        <w:rPr>
          <w:sz w:val="22"/>
          <w:szCs w:val="22"/>
          <w:lang w:val="fr-FR"/>
        </w:rPr>
        <w:t>Vionis</w:t>
      </w:r>
      <w:proofErr w:type="spellEnd"/>
      <w:r w:rsidRPr="00117B4A">
        <w:rPr>
          <w:sz w:val="22"/>
          <w:szCs w:val="22"/>
          <w:lang w:val="fr-FR"/>
        </w:rPr>
        <w:t>, 2017, p. 2.</w:t>
      </w:r>
    </w:p>
  </w:footnote>
  <w:footnote w:id="92">
    <w:p w14:paraId="15693967" w14:textId="4D5FC996" w:rsidR="00B92DAB" w:rsidRPr="00117B4A" w:rsidRDefault="00B92DAB" w:rsidP="00117B4A">
      <w:pPr>
        <w:pStyle w:val="FootnoteText"/>
        <w:spacing w:after="120"/>
        <w:rPr>
          <w:sz w:val="22"/>
          <w:szCs w:val="22"/>
        </w:rPr>
      </w:pPr>
      <w:r w:rsidRPr="00117B4A">
        <w:rPr>
          <w:rStyle w:val="FootnoteReference"/>
          <w:sz w:val="22"/>
          <w:szCs w:val="22"/>
        </w:rPr>
        <w:footnoteRef/>
      </w:r>
      <w:r w:rsidRPr="007C369A">
        <w:rPr>
          <w:sz w:val="22"/>
          <w:szCs w:val="22"/>
        </w:rPr>
        <w:t xml:space="preserve"> Papantoniou &amp; </w:t>
      </w:r>
      <w:proofErr w:type="spellStart"/>
      <w:r w:rsidR="002D1368" w:rsidRPr="007C369A">
        <w:rPr>
          <w:sz w:val="22"/>
          <w:szCs w:val="22"/>
        </w:rPr>
        <w:t>Vionis</w:t>
      </w:r>
      <w:proofErr w:type="spellEnd"/>
      <w:r w:rsidRPr="007C369A">
        <w:rPr>
          <w:sz w:val="22"/>
          <w:szCs w:val="22"/>
        </w:rPr>
        <w:t xml:space="preserve">, 2017, p. 2. </w:t>
      </w:r>
      <w:r w:rsidR="00B9379D" w:rsidRPr="00117B4A">
        <w:rPr>
          <w:rFonts w:asciiTheme="minorHAnsi" w:hAnsiTheme="minorHAnsi" w:cstheme="minorHAnsi"/>
          <w:sz w:val="22"/>
          <w:szCs w:val="22"/>
        </w:rPr>
        <w:t xml:space="preserve">Perhaps necessarily therefore, their article focuses entirely on the </w:t>
      </w:r>
      <w:r w:rsidR="000021B8" w:rsidRPr="00117B4A">
        <w:rPr>
          <w:rFonts w:asciiTheme="minorHAnsi" w:hAnsiTheme="minorHAnsi" w:cstheme="minorHAnsi"/>
          <w:sz w:val="22"/>
          <w:szCs w:val="22"/>
        </w:rPr>
        <w:t xml:space="preserve">location of </w:t>
      </w:r>
      <w:r w:rsidR="00B9379D" w:rsidRPr="00117B4A">
        <w:rPr>
          <w:rFonts w:asciiTheme="minorHAnsi" w:hAnsiTheme="minorHAnsi" w:cstheme="minorHAnsi"/>
          <w:sz w:val="22"/>
          <w:szCs w:val="22"/>
        </w:rPr>
        <w:t>constructions associated with sacredness - shrines, temples and churches - and is devoid of any hint of phenomenological analysis. After arguing, (p. 4) for example, that “perception cannot be ignored” and that “perception is not beyond archaeological analysis”</w:t>
      </w:r>
      <w:r w:rsidR="00B9379D" w:rsidRPr="00117B4A">
        <w:rPr>
          <w:rStyle w:val="FootnoteReference"/>
          <w:rFonts w:asciiTheme="minorHAnsi" w:hAnsiTheme="minorHAnsi" w:cstheme="minorHAnsi"/>
          <w:sz w:val="22"/>
          <w:szCs w:val="22"/>
        </w:rPr>
        <w:footnoteRef/>
      </w:r>
      <w:r w:rsidR="00B9379D" w:rsidRPr="00117B4A">
        <w:rPr>
          <w:rFonts w:asciiTheme="minorHAnsi" w:hAnsiTheme="minorHAnsi" w:cstheme="minorHAnsi"/>
          <w:sz w:val="22"/>
          <w:szCs w:val="22"/>
        </w:rPr>
        <w:t xml:space="preserve"> they shift to an entirely geographical mode of </w:t>
      </w:r>
      <w:r w:rsidR="00AC2C96">
        <w:rPr>
          <w:rFonts w:asciiTheme="minorHAnsi" w:hAnsiTheme="minorHAnsi" w:cstheme="minorHAnsi"/>
          <w:sz w:val="22"/>
          <w:szCs w:val="22"/>
        </w:rPr>
        <w:t>discourse</w:t>
      </w:r>
      <w:r w:rsidR="00B9379D" w:rsidRPr="00117B4A">
        <w:rPr>
          <w:rFonts w:asciiTheme="minorHAnsi" w:hAnsiTheme="minorHAnsi" w:cstheme="minorHAnsi"/>
          <w:sz w:val="22"/>
          <w:szCs w:val="22"/>
        </w:rPr>
        <w:t xml:space="preserve">. </w:t>
      </w:r>
      <w:r w:rsidR="00AC2C96">
        <w:rPr>
          <w:rFonts w:asciiTheme="minorHAnsi" w:hAnsiTheme="minorHAnsi" w:cstheme="minorHAnsi"/>
          <w:sz w:val="22"/>
          <w:szCs w:val="22"/>
        </w:rPr>
        <w:t xml:space="preserve">The introduction to Morris, Papantoniou &amp; </w:t>
      </w:r>
      <w:proofErr w:type="spellStart"/>
      <w:r w:rsidR="00AC2C96">
        <w:rPr>
          <w:rFonts w:asciiTheme="minorHAnsi" w:hAnsiTheme="minorHAnsi" w:cstheme="minorHAnsi"/>
          <w:sz w:val="22"/>
          <w:szCs w:val="22"/>
        </w:rPr>
        <w:t>Vionis</w:t>
      </w:r>
      <w:proofErr w:type="spellEnd"/>
      <w:r w:rsidR="00AC2C96">
        <w:rPr>
          <w:rFonts w:asciiTheme="minorHAnsi" w:hAnsiTheme="minorHAnsi" w:cstheme="minorHAnsi"/>
          <w:sz w:val="22"/>
          <w:szCs w:val="22"/>
        </w:rPr>
        <w:t xml:space="preserve">, 2022, claims to consider (p. 2) the ‘natural’ but their work fails actually to do so. </w:t>
      </w:r>
      <w:r w:rsidRPr="00117B4A">
        <w:rPr>
          <w:sz w:val="22"/>
          <w:szCs w:val="22"/>
        </w:rPr>
        <w:t>In similar vein, Iacovou, 2014, p. 208, describes the Palaepaphos Urban Landscape Project (PULP) as “focused specifically on landscape transformations and settlement patterning”.</w:t>
      </w:r>
    </w:p>
  </w:footnote>
  <w:footnote w:id="93">
    <w:p w14:paraId="2B64CCFB" w14:textId="13F8AD35"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Meaning ‘gold-bearing’ or ‘rich in gold’. These names with ‘gold’ as component are widespread in western Cyprus, frequently as titles of the female ‘saint’ Panagia (the all-holy One). It seems highly plausible that all this is a reworking of the Cypriot Goddess, the Holy Golden One. </w:t>
      </w:r>
    </w:p>
  </w:footnote>
  <w:footnote w:id="94">
    <w:p w14:paraId="55187B58"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Karageorghis &amp; Michaelides, 2005. </w:t>
      </w:r>
    </w:p>
  </w:footnote>
  <w:footnote w:id="95">
    <w:p w14:paraId="5AE60FA1" w14:textId="3AA5B8EC" w:rsidR="00697415" w:rsidRPr="00117B4A" w:rsidRDefault="00697415" w:rsidP="00117B4A">
      <w:pPr>
        <w:pStyle w:val="FootnoteText"/>
        <w:spacing w:after="120"/>
        <w:rPr>
          <w:sz w:val="22"/>
          <w:szCs w:val="22"/>
        </w:rPr>
      </w:pPr>
      <w:r w:rsidRPr="00117B4A">
        <w:rPr>
          <w:rStyle w:val="FootnoteReference"/>
          <w:sz w:val="22"/>
          <w:szCs w:val="22"/>
        </w:rPr>
        <w:footnoteRef/>
      </w:r>
      <w:r w:rsidRPr="00117B4A">
        <w:rPr>
          <w:sz w:val="22"/>
          <w:szCs w:val="22"/>
        </w:rPr>
        <w:t xml:space="preserve"> J. Karageorghis, 2005, p. 73.</w:t>
      </w:r>
    </w:p>
  </w:footnote>
  <w:footnote w:id="96">
    <w:p w14:paraId="2740D339"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Karageorghis &amp; Michaelides, 2005, p. 59.</w:t>
      </w:r>
    </w:p>
  </w:footnote>
  <w:footnote w:id="97">
    <w:p w14:paraId="7B1DA8BB" w14:textId="58F35932" w:rsidR="007B5883" w:rsidRPr="00117B4A" w:rsidRDefault="007B5883" w:rsidP="00117B4A">
      <w:pPr>
        <w:pStyle w:val="FootnoteText"/>
        <w:spacing w:after="120"/>
        <w:rPr>
          <w:sz w:val="22"/>
          <w:szCs w:val="22"/>
        </w:rPr>
      </w:pPr>
      <w:r w:rsidRPr="00117B4A">
        <w:rPr>
          <w:rStyle w:val="FootnoteReference"/>
          <w:sz w:val="22"/>
          <w:szCs w:val="22"/>
        </w:rPr>
        <w:footnoteRef/>
      </w:r>
      <w:r w:rsidRPr="00117B4A">
        <w:rPr>
          <w:sz w:val="22"/>
          <w:szCs w:val="22"/>
        </w:rPr>
        <w:t xml:space="preserve"> I</w:t>
      </w:r>
      <w:r w:rsidRPr="00117B4A">
        <w:rPr>
          <w:rFonts w:asciiTheme="minorHAnsi" w:hAnsiTheme="minorHAnsi" w:cstheme="minorHAnsi"/>
          <w:sz w:val="22"/>
          <w:szCs w:val="22"/>
        </w:rPr>
        <w:t>ndeed this writer’s visit to the site might have deprived future archaeologists by removing recent litter, and was devotional precisely in doing so.</w:t>
      </w:r>
    </w:p>
  </w:footnote>
  <w:footnote w:id="98">
    <w:p w14:paraId="7CF3F13E" w14:textId="02AB5CF5"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Pr="00117B4A">
        <w:rPr>
          <w:sz w:val="22"/>
          <w:szCs w:val="22"/>
        </w:rPr>
        <w:t>Akamas</w:t>
      </w:r>
      <w:proofErr w:type="spellEnd"/>
      <w:r w:rsidRPr="00117B4A">
        <w:rPr>
          <w:sz w:val="22"/>
          <w:szCs w:val="22"/>
        </w:rPr>
        <w:t xml:space="preserve"> does not seem ever to have had much population. Whether the area has changed ecologically over the past few thousand years does not seem to have had academic attention. Continuity seems entirely plausible.</w:t>
      </w:r>
      <w:r w:rsidR="00DE7ADE">
        <w:rPr>
          <w:sz w:val="22"/>
          <w:szCs w:val="22"/>
        </w:rPr>
        <w:t xml:space="preserve"> </w:t>
      </w:r>
      <w:proofErr w:type="spellStart"/>
      <w:r w:rsidR="00DE7ADE">
        <w:rPr>
          <w:sz w:val="22"/>
          <w:szCs w:val="22"/>
        </w:rPr>
        <w:t>Iacovou’s</w:t>
      </w:r>
      <w:proofErr w:type="spellEnd"/>
      <w:r w:rsidR="00DE7ADE">
        <w:rPr>
          <w:sz w:val="22"/>
          <w:szCs w:val="22"/>
        </w:rPr>
        <w:t xml:space="preserve"> map, 2019, p. 214, fig. 10, shows some cupriferous deposits in the peninsula.</w:t>
      </w:r>
    </w:p>
  </w:footnote>
  <w:footnote w:id="99">
    <w:p w14:paraId="357AD8ED" w14:textId="1C33DBC8" w:rsidR="00B92DAB" w:rsidRPr="004463B2" w:rsidRDefault="00B92DAB" w:rsidP="00117B4A">
      <w:pPr>
        <w:pStyle w:val="FootnoteText"/>
        <w:spacing w:after="120"/>
        <w:rPr>
          <w:sz w:val="22"/>
          <w:szCs w:val="22"/>
          <w:lang w:val="fr-FR"/>
        </w:rPr>
      </w:pPr>
      <w:r w:rsidRPr="00117B4A">
        <w:rPr>
          <w:rStyle w:val="FootnoteReference"/>
          <w:sz w:val="22"/>
          <w:szCs w:val="22"/>
        </w:rPr>
        <w:footnoteRef/>
      </w:r>
      <w:r w:rsidRPr="004463B2">
        <w:rPr>
          <w:sz w:val="22"/>
          <w:szCs w:val="22"/>
          <w:lang w:val="fr-FR"/>
        </w:rPr>
        <w:t xml:space="preserve"> Papantoniou &amp; </w:t>
      </w:r>
      <w:proofErr w:type="spellStart"/>
      <w:r w:rsidRPr="004463B2">
        <w:rPr>
          <w:sz w:val="22"/>
          <w:szCs w:val="22"/>
          <w:lang w:val="fr-FR"/>
        </w:rPr>
        <w:t>V</w:t>
      </w:r>
      <w:r w:rsidR="002D1368" w:rsidRPr="004463B2">
        <w:rPr>
          <w:sz w:val="22"/>
          <w:szCs w:val="22"/>
          <w:lang w:val="fr-FR"/>
        </w:rPr>
        <w:t>i</w:t>
      </w:r>
      <w:r w:rsidRPr="004463B2">
        <w:rPr>
          <w:sz w:val="22"/>
          <w:szCs w:val="22"/>
          <w:lang w:val="fr-FR"/>
        </w:rPr>
        <w:t>onis</w:t>
      </w:r>
      <w:proofErr w:type="spellEnd"/>
      <w:r w:rsidRPr="004463B2">
        <w:rPr>
          <w:sz w:val="22"/>
          <w:szCs w:val="22"/>
          <w:lang w:val="fr-FR"/>
        </w:rPr>
        <w:t>, 2017, p. 4.</w:t>
      </w:r>
    </w:p>
  </w:footnote>
  <w:footnote w:id="100">
    <w:p w14:paraId="6F64436B" w14:textId="7FB7361F" w:rsidR="007B5883" w:rsidRPr="004463B2" w:rsidRDefault="007B5883" w:rsidP="00117B4A">
      <w:pPr>
        <w:pStyle w:val="FootnoteText"/>
        <w:spacing w:after="120"/>
        <w:rPr>
          <w:sz w:val="22"/>
          <w:szCs w:val="22"/>
          <w:lang w:val="fr-FR"/>
        </w:rPr>
      </w:pPr>
      <w:r w:rsidRPr="00117B4A">
        <w:rPr>
          <w:rStyle w:val="FootnoteReference"/>
          <w:sz w:val="22"/>
          <w:szCs w:val="22"/>
        </w:rPr>
        <w:footnoteRef/>
      </w:r>
      <w:r w:rsidRPr="004463B2">
        <w:rPr>
          <w:sz w:val="22"/>
          <w:szCs w:val="22"/>
          <w:lang w:val="fr-FR"/>
        </w:rPr>
        <w:t xml:space="preserve"> </w:t>
      </w:r>
      <w:r w:rsidR="002D1368" w:rsidRPr="004463B2">
        <w:rPr>
          <w:sz w:val="22"/>
          <w:szCs w:val="22"/>
          <w:lang w:val="fr-FR"/>
        </w:rPr>
        <w:t xml:space="preserve">Papantoniou &amp; </w:t>
      </w:r>
      <w:proofErr w:type="spellStart"/>
      <w:r w:rsidR="002D1368" w:rsidRPr="004463B2">
        <w:rPr>
          <w:sz w:val="22"/>
          <w:szCs w:val="22"/>
          <w:lang w:val="fr-FR"/>
        </w:rPr>
        <w:t>Vionis</w:t>
      </w:r>
      <w:proofErr w:type="spellEnd"/>
      <w:r w:rsidR="002D1368" w:rsidRPr="004463B2">
        <w:rPr>
          <w:sz w:val="22"/>
          <w:szCs w:val="22"/>
          <w:lang w:val="fr-FR"/>
        </w:rPr>
        <w:t>, 2017</w:t>
      </w:r>
      <w:r w:rsidR="0080302B" w:rsidRPr="004463B2">
        <w:rPr>
          <w:sz w:val="22"/>
          <w:szCs w:val="22"/>
          <w:lang w:val="fr-FR"/>
        </w:rPr>
        <w:t>,</w:t>
      </w:r>
      <w:r w:rsidR="002D1368" w:rsidRPr="004463B2">
        <w:rPr>
          <w:sz w:val="22"/>
          <w:szCs w:val="22"/>
          <w:lang w:val="fr-FR"/>
        </w:rPr>
        <w:t xml:space="preserve"> </w:t>
      </w:r>
      <w:r w:rsidR="0080302B" w:rsidRPr="004463B2">
        <w:rPr>
          <w:sz w:val="22"/>
          <w:szCs w:val="22"/>
          <w:lang w:val="fr-FR"/>
        </w:rPr>
        <w:t>p</w:t>
      </w:r>
      <w:r w:rsidR="002D1368" w:rsidRPr="004463B2">
        <w:rPr>
          <w:sz w:val="22"/>
          <w:szCs w:val="22"/>
          <w:lang w:val="fr-FR"/>
        </w:rPr>
        <w:t>. 4</w:t>
      </w:r>
      <w:r w:rsidR="0080302B" w:rsidRPr="004463B2">
        <w:rPr>
          <w:sz w:val="22"/>
          <w:szCs w:val="22"/>
          <w:lang w:val="fr-FR"/>
        </w:rPr>
        <w:t>.</w:t>
      </w:r>
    </w:p>
  </w:footnote>
  <w:footnote w:id="101">
    <w:p w14:paraId="44E0CA3F" w14:textId="7443F788"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Bar</w:t>
      </w:r>
      <w:r w:rsidR="006B5EF4" w:rsidRPr="00117B4A">
        <w:rPr>
          <w:sz w:val="22"/>
          <w:szCs w:val="22"/>
        </w:rPr>
        <w:t xml:space="preserve">ber and Barber, </w:t>
      </w:r>
      <w:r w:rsidR="003873CE" w:rsidRPr="00117B4A">
        <w:rPr>
          <w:sz w:val="22"/>
          <w:szCs w:val="22"/>
        </w:rPr>
        <w:t>2004, p. 9, argues that “properly encoded information has passed unscathed through the oral pipelines for one to ten thousand years or more” (though they are primarily referring to geologically traumatic events).</w:t>
      </w:r>
      <w:r w:rsidR="004463B2">
        <w:rPr>
          <w:sz w:val="22"/>
          <w:szCs w:val="22"/>
        </w:rPr>
        <w:t xml:space="preserve"> Those of more spiritual perspective might even consider ‘memory’ to be immanent in ‘sacred places’, making a ‘</w:t>
      </w:r>
      <w:proofErr w:type="spellStart"/>
      <w:r w:rsidR="004463B2">
        <w:rPr>
          <w:sz w:val="22"/>
          <w:szCs w:val="22"/>
        </w:rPr>
        <w:t>mnemoscape</w:t>
      </w:r>
      <w:proofErr w:type="spellEnd"/>
      <w:r w:rsidR="004463B2">
        <w:rPr>
          <w:sz w:val="22"/>
          <w:szCs w:val="22"/>
        </w:rPr>
        <w:t xml:space="preserve">’ independently of human involvement. </w:t>
      </w:r>
    </w:p>
  </w:footnote>
  <w:footnote w:id="102">
    <w:p w14:paraId="5A9AF7A3" w14:textId="5EB2781F" w:rsidR="007B5883" w:rsidRPr="00117B4A" w:rsidRDefault="007B5883" w:rsidP="00117B4A">
      <w:pPr>
        <w:pStyle w:val="FootnoteText"/>
        <w:spacing w:after="120"/>
        <w:rPr>
          <w:sz w:val="22"/>
          <w:szCs w:val="22"/>
        </w:rPr>
      </w:pPr>
      <w:r w:rsidRPr="00117B4A">
        <w:rPr>
          <w:rStyle w:val="FootnoteReference"/>
          <w:sz w:val="22"/>
          <w:szCs w:val="22"/>
        </w:rPr>
        <w:footnoteRef/>
      </w:r>
      <w:r w:rsidRPr="00117B4A">
        <w:rPr>
          <w:sz w:val="22"/>
          <w:szCs w:val="22"/>
        </w:rPr>
        <w:t xml:space="preserve"> I</w:t>
      </w:r>
      <w:r w:rsidRPr="00117B4A">
        <w:rPr>
          <w:rFonts w:asciiTheme="minorHAnsi" w:hAnsiTheme="minorHAnsi" w:cstheme="minorHAnsi"/>
          <w:sz w:val="22"/>
          <w:szCs w:val="22"/>
        </w:rPr>
        <w:t>nevitably, present-day regulations, if enforced, do not permit bathing!</w:t>
      </w:r>
      <w:r w:rsidR="0080302B">
        <w:rPr>
          <w:rFonts w:asciiTheme="minorHAnsi" w:hAnsiTheme="minorHAnsi" w:cstheme="minorHAnsi"/>
          <w:sz w:val="22"/>
          <w:szCs w:val="22"/>
        </w:rPr>
        <w:t xml:space="preserve"> </w:t>
      </w:r>
      <w:r w:rsidR="0080302B" w:rsidRPr="007C369A">
        <w:rPr>
          <w:sz w:val="22"/>
          <w:szCs w:val="22"/>
        </w:rPr>
        <w:t>.</w:t>
      </w:r>
      <w:r w:rsidR="0080302B">
        <w:rPr>
          <w:sz w:val="22"/>
          <w:szCs w:val="22"/>
        </w:rPr>
        <w:t xml:space="preserve"> It is noted however that there appears no record of renewal (statue washing) rites in the orthodox Church in Cyprus.</w:t>
      </w:r>
    </w:p>
  </w:footnote>
  <w:footnote w:id="103">
    <w:p w14:paraId="7EBBBE08"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Pausanias, Description of Greece, II, 38.2</w:t>
      </w:r>
    </w:p>
  </w:footnote>
  <w:footnote w:id="104">
    <w:p w14:paraId="03762F5F" w14:textId="5223950C"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Casson, 1920. He suggests that nakedness</w:t>
      </w:r>
      <w:r w:rsidR="003B3A27">
        <w:rPr>
          <w:sz w:val="22"/>
          <w:szCs w:val="22"/>
        </w:rPr>
        <w:t xml:space="preserve"> in this artwork</w:t>
      </w:r>
      <w:r w:rsidRPr="00117B4A">
        <w:rPr>
          <w:sz w:val="22"/>
          <w:szCs w:val="22"/>
        </w:rPr>
        <w:t xml:space="preserve"> implies a young goddess, πα</w:t>
      </w:r>
      <w:proofErr w:type="spellStart"/>
      <w:r w:rsidRPr="00117B4A">
        <w:rPr>
          <w:sz w:val="22"/>
          <w:szCs w:val="22"/>
        </w:rPr>
        <w:t>ρθένος</w:t>
      </w:r>
      <w:proofErr w:type="spellEnd"/>
      <w:r w:rsidRPr="00117B4A">
        <w:rPr>
          <w:sz w:val="22"/>
          <w:szCs w:val="22"/>
        </w:rPr>
        <w:t xml:space="preserve">, rather than the more mature </w:t>
      </w:r>
      <w:proofErr w:type="spellStart"/>
      <w:r w:rsidRPr="00117B4A">
        <w:rPr>
          <w:sz w:val="22"/>
          <w:szCs w:val="22"/>
        </w:rPr>
        <w:t>τελεί</w:t>
      </w:r>
      <w:proofErr w:type="spellEnd"/>
      <w:r w:rsidRPr="00117B4A">
        <w:rPr>
          <w:sz w:val="22"/>
          <w:szCs w:val="22"/>
        </w:rPr>
        <w:t>α, depicted with body hidden.</w:t>
      </w:r>
    </w:p>
  </w:footnote>
  <w:footnote w:id="105">
    <w:p w14:paraId="5E6C5D6D" w14:textId="5EEFC84C" w:rsidR="00EA1B3C" w:rsidRPr="00FD0648" w:rsidRDefault="00EA1B3C" w:rsidP="00EA1B3C">
      <w:pPr>
        <w:pStyle w:val="FootnoteText"/>
        <w:spacing w:after="120"/>
        <w:rPr>
          <w:sz w:val="22"/>
          <w:szCs w:val="22"/>
        </w:rPr>
      </w:pPr>
      <w:r>
        <w:rPr>
          <w:rStyle w:val="FootnoteReference"/>
        </w:rPr>
        <w:footnoteRef/>
      </w:r>
      <w:r>
        <w:t xml:space="preserve"> </w:t>
      </w:r>
      <w:r w:rsidRPr="00FD0648">
        <w:rPr>
          <w:sz w:val="22"/>
          <w:szCs w:val="22"/>
        </w:rPr>
        <w:t>Bradley, 2000</w:t>
      </w:r>
      <w:r w:rsidR="00FD0648" w:rsidRPr="00FD0648">
        <w:rPr>
          <w:sz w:val="22"/>
          <w:szCs w:val="22"/>
        </w:rPr>
        <w:t xml:space="preserve">, </w:t>
      </w:r>
      <w:r w:rsidR="00FD0648" w:rsidRPr="00FD0648">
        <w:rPr>
          <w:rFonts w:asciiTheme="minorHAnsi" w:hAnsiTheme="minorHAnsi" w:cstheme="minorHAnsi"/>
          <w:sz w:val="22"/>
          <w:szCs w:val="22"/>
        </w:rPr>
        <w:t xml:space="preserve">seems to have </w:t>
      </w:r>
      <w:r w:rsidR="009E436D">
        <w:rPr>
          <w:rFonts w:asciiTheme="minorHAnsi" w:hAnsiTheme="minorHAnsi" w:cstheme="minorHAnsi"/>
          <w:sz w:val="22"/>
          <w:szCs w:val="22"/>
        </w:rPr>
        <w:t xml:space="preserve">stimulated </w:t>
      </w:r>
      <w:r w:rsidR="00FD0648" w:rsidRPr="00FD0648">
        <w:rPr>
          <w:rFonts w:asciiTheme="minorHAnsi" w:hAnsiTheme="minorHAnsi" w:cstheme="minorHAnsi"/>
          <w:sz w:val="22"/>
          <w:szCs w:val="22"/>
        </w:rPr>
        <w:t>modern archaeological interest in ‘natural places’, but has limited engagement with ideas of sacredness</w:t>
      </w:r>
      <w:r w:rsidRPr="00FD0648">
        <w:rPr>
          <w:sz w:val="22"/>
          <w:szCs w:val="22"/>
        </w:rPr>
        <w:t xml:space="preserve">. For example, p. 21, he writes of Pausanias, who was very interested in </w:t>
      </w:r>
      <w:r w:rsidR="00FD0648" w:rsidRPr="00FD0648">
        <w:rPr>
          <w:sz w:val="22"/>
          <w:szCs w:val="22"/>
        </w:rPr>
        <w:t>this topic</w:t>
      </w:r>
      <w:r w:rsidRPr="00FD0648">
        <w:rPr>
          <w:sz w:val="22"/>
          <w:szCs w:val="22"/>
        </w:rPr>
        <w:t>, as having “a rather romantic view of the past”.</w:t>
      </w:r>
      <w:r w:rsidR="00FD0648">
        <w:rPr>
          <w:sz w:val="22"/>
          <w:szCs w:val="22"/>
        </w:rPr>
        <w:t xml:space="preserve"> He does suggest, p. 161, that the power of natural places can still be recovered”.</w:t>
      </w:r>
    </w:p>
  </w:footnote>
  <w:footnote w:id="106">
    <w:p w14:paraId="7DF629F0" w14:textId="07AF6D18"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For example, in Greek tradition, the assembly called by Zeus (Iliad 20:1-23), including distinct nymphs for every grove and spring, or Zeus’ summons to the Titanomachy (Hesiod, Theogony, 390–394). Burkert writes of the Greek gods as “beyond number” (Burkert, 1985, p. 170). Present-day Shinto speaks of ‘eight million kami’.</w:t>
      </w:r>
    </w:p>
  </w:footnote>
  <w:footnote w:id="107">
    <w:p w14:paraId="6CCF6D68" w14:textId="517D89A3" w:rsidR="00401074" w:rsidRPr="00401074" w:rsidRDefault="00401074" w:rsidP="00401074">
      <w:pPr>
        <w:pStyle w:val="FootnoteText"/>
        <w:spacing w:after="120"/>
        <w:rPr>
          <w:sz w:val="22"/>
          <w:szCs w:val="22"/>
        </w:rPr>
      </w:pPr>
      <w:r>
        <w:rPr>
          <w:rStyle w:val="FootnoteReference"/>
        </w:rPr>
        <w:footnoteRef/>
      </w:r>
      <w:r>
        <w:t xml:space="preserve"> </w:t>
      </w:r>
      <w:r w:rsidRPr="00401074">
        <w:rPr>
          <w:sz w:val="22"/>
          <w:szCs w:val="22"/>
        </w:rPr>
        <w:t>Larson, 2001, p</w:t>
      </w:r>
      <w:r w:rsidR="00A137E1">
        <w:rPr>
          <w:sz w:val="22"/>
          <w:szCs w:val="22"/>
        </w:rPr>
        <w:t>p</w:t>
      </w:r>
      <w:r w:rsidRPr="00401074">
        <w:rPr>
          <w:sz w:val="22"/>
          <w:szCs w:val="22"/>
        </w:rPr>
        <w:t>. vii</w:t>
      </w:r>
      <w:r w:rsidR="00A137E1">
        <w:rPr>
          <w:sz w:val="22"/>
          <w:szCs w:val="22"/>
        </w:rPr>
        <w:t>, 62</w:t>
      </w:r>
      <w:r w:rsidRPr="00401074">
        <w:rPr>
          <w:sz w:val="22"/>
          <w:szCs w:val="22"/>
        </w:rPr>
        <w:t>.</w:t>
      </w:r>
      <w:r>
        <w:rPr>
          <w:sz w:val="22"/>
          <w:szCs w:val="22"/>
        </w:rPr>
        <w:t xml:space="preserve"> This seems the only full-length work on the subject. </w:t>
      </w:r>
    </w:p>
  </w:footnote>
  <w:footnote w:id="108">
    <w:p w14:paraId="67B3E8AD" w14:textId="21DF126B"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Visibility from the temenos should be around </w:t>
      </w:r>
      <w:r w:rsidR="00F46BA4">
        <w:rPr>
          <w:sz w:val="22"/>
          <w:szCs w:val="22"/>
        </w:rPr>
        <w:t>40</w:t>
      </w:r>
      <w:r w:rsidRPr="00117B4A">
        <w:rPr>
          <w:sz w:val="22"/>
          <w:szCs w:val="22"/>
        </w:rPr>
        <w:t>km to sea level. (From the map</w:t>
      </w:r>
      <w:r w:rsidR="00EB7FC7">
        <w:rPr>
          <w:sz w:val="22"/>
          <w:szCs w:val="22"/>
        </w:rPr>
        <w:t>s</w:t>
      </w:r>
      <w:r w:rsidRPr="00117B4A">
        <w:rPr>
          <w:sz w:val="22"/>
          <w:szCs w:val="22"/>
        </w:rPr>
        <w:t xml:space="preserve"> above, it is not apparent that any rise in the ground interrupts the view.) The map indicating silting and coastal extension given by Iacovou, 2014, p. 218, fig. 13, </w:t>
      </w:r>
      <w:r w:rsidR="00EB7FC7">
        <w:rPr>
          <w:sz w:val="22"/>
          <w:szCs w:val="22"/>
        </w:rPr>
        <w:t>included above</w:t>
      </w:r>
      <w:r w:rsidR="00EB7FC7">
        <w:rPr>
          <w:sz w:val="22"/>
          <w:szCs w:val="22"/>
        </w:rPr>
        <w:t>,</w:t>
      </w:r>
      <w:r w:rsidR="00EB7FC7">
        <w:rPr>
          <w:sz w:val="22"/>
          <w:szCs w:val="22"/>
        </w:rPr>
        <w:t xml:space="preserve"> </w:t>
      </w:r>
      <w:r w:rsidRPr="00117B4A">
        <w:rPr>
          <w:sz w:val="22"/>
          <w:szCs w:val="22"/>
        </w:rPr>
        <w:t xml:space="preserve">does not extend as far as Petra </w:t>
      </w:r>
      <w:proofErr w:type="spellStart"/>
      <w:r w:rsidRPr="00117B4A">
        <w:rPr>
          <w:sz w:val="22"/>
          <w:szCs w:val="22"/>
        </w:rPr>
        <w:t>tou</w:t>
      </w:r>
      <w:proofErr w:type="spellEnd"/>
      <w:r w:rsidRPr="00117B4A">
        <w:rPr>
          <w:sz w:val="22"/>
          <w:szCs w:val="22"/>
        </w:rPr>
        <w:t xml:space="preserve"> </w:t>
      </w:r>
      <w:proofErr w:type="spellStart"/>
      <w:r w:rsidRPr="00117B4A">
        <w:rPr>
          <w:sz w:val="22"/>
          <w:szCs w:val="22"/>
        </w:rPr>
        <w:t>Romiou</w:t>
      </w:r>
      <w:proofErr w:type="spellEnd"/>
      <w:r w:rsidRPr="00117B4A">
        <w:rPr>
          <w:sz w:val="22"/>
          <w:szCs w:val="22"/>
        </w:rPr>
        <w:t>, so it is unclear whether the rocks were originally much further offshore, though no less visible.</w:t>
      </w:r>
    </w:p>
  </w:footnote>
  <w:footnote w:id="109">
    <w:p w14:paraId="7235D172" w14:textId="4123C177" w:rsidR="00737D79" w:rsidRDefault="00737D79" w:rsidP="00737D79">
      <w:pPr>
        <w:pStyle w:val="FootnoteText"/>
        <w:spacing w:after="120"/>
      </w:pPr>
      <w:r>
        <w:rPr>
          <w:rStyle w:val="FootnoteReference"/>
        </w:rPr>
        <w:footnoteRef/>
      </w:r>
      <w:r>
        <w:t xml:space="preserve"> </w:t>
      </w:r>
      <w:r w:rsidRPr="00117B4A">
        <w:rPr>
          <w:sz w:val="22"/>
          <w:szCs w:val="22"/>
        </w:rPr>
        <w:t>This name seems considered by all scholars as ‘symbolic’ rather than real, meaning “the man of two birth/lineages,” (perhaps a mixed Arab–Byzantine parentage) plus “border guard”.</w:t>
      </w:r>
    </w:p>
  </w:footnote>
  <w:footnote w:id="110">
    <w:p w14:paraId="7BF224DD"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Karageorghis, 2005, p. 9.</w:t>
      </w:r>
    </w:p>
  </w:footnote>
  <w:footnote w:id="111">
    <w:p w14:paraId="137D2155"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Karageorghis, 2005, p. 10…</w:t>
      </w:r>
    </w:p>
  </w:footnote>
  <w:footnote w:id="112">
    <w:p w14:paraId="427474D9" w14:textId="51E86DAF" w:rsidR="00B92DAB" w:rsidRPr="00737D79"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Pr="00117B4A">
        <w:rPr>
          <w:sz w:val="22"/>
          <w:szCs w:val="22"/>
        </w:rPr>
        <w:t>Merrillees</w:t>
      </w:r>
      <w:proofErr w:type="spellEnd"/>
      <w:r w:rsidRPr="00117B4A">
        <w:rPr>
          <w:sz w:val="22"/>
          <w:szCs w:val="22"/>
        </w:rPr>
        <w:t>, 2015. He has little sympathy with Aphrodite, declaring (p. 30), “Aphrodite never existed, except in people’s imagination”. Nor is he interested in myth - he uses the term in the sense of ‘story which is not true’ and patronisingly claims (p. 40) “A modern myth is every bit as good - and valid - as an ancient one”.</w:t>
      </w:r>
      <w:r w:rsidR="00737D79">
        <w:rPr>
          <w:sz w:val="22"/>
          <w:szCs w:val="22"/>
        </w:rPr>
        <w:t xml:space="preserve"> This writer </w:t>
      </w:r>
      <w:r w:rsidR="00737D79" w:rsidRPr="00F46BA4">
        <w:rPr>
          <w:sz w:val="22"/>
          <w:szCs w:val="22"/>
        </w:rPr>
        <w:t>suggest</w:t>
      </w:r>
      <w:r w:rsidR="00F46BA4">
        <w:rPr>
          <w:sz w:val="22"/>
          <w:szCs w:val="22"/>
        </w:rPr>
        <w:t>s</w:t>
      </w:r>
      <w:r w:rsidR="00737D79" w:rsidRPr="00F46BA4">
        <w:rPr>
          <w:sz w:val="22"/>
          <w:szCs w:val="22"/>
        </w:rPr>
        <w:t xml:space="preserve"> that the </w:t>
      </w:r>
      <w:r w:rsidR="00737D79" w:rsidRPr="00F46BA4">
        <w:rPr>
          <w:rFonts w:asciiTheme="minorHAnsi" w:hAnsiTheme="minorHAnsi" w:cstheme="minorHAnsi"/>
          <w:sz w:val="22"/>
          <w:szCs w:val="22"/>
        </w:rPr>
        <w:t>rock-hurtling story derives</w:t>
      </w:r>
      <w:r w:rsidR="00737D79" w:rsidRPr="00737D79">
        <w:rPr>
          <w:rFonts w:asciiTheme="minorHAnsi" w:hAnsiTheme="minorHAnsi" w:cstheme="minorHAnsi"/>
          <w:sz w:val="22"/>
          <w:szCs w:val="22"/>
        </w:rPr>
        <w:t xml:space="preserve"> from ‘folklore’ of an Earth-Shaker deity such as Poseidon.</w:t>
      </w:r>
    </w:p>
  </w:footnote>
  <w:footnote w:id="113">
    <w:p w14:paraId="47B2CAA7" w14:textId="27AD9159"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Discussion of this can be a little confusing: the Cypriot Tourist ministry describes Petra </w:t>
      </w:r>
      <w:proofErr w:type="spellStart"/>
      <w:r w:rsidRPr="00117B4A">
        <w:rPr>
          <w:sz w:val="22"/>
          <w:szCs w:val="22"/>
        </w:rPr>
        <w:t>tou</w:t>
      </w:r>
      <w:proofErr w:type="spellEnd"/>
      <w:r w:rsidRPr="00117B4A">
        <w:rPr>
          <w:sz w:val="22"/>
          <w:szCs w:val="22"/>
        </w:rPr>
        <w:t xml:space="preserve"> </w:t>
      </w:r>
      <w:proofErr w:type="spellStart"/>
      <w:r w:rsidRPr="00117B4A">
        <w:rPr>
          <w:sz w:val="22"/>
          <w:szCs w:val="22"/>
        </w:rPr>
        <w:t>Romiou</w:t>
      </w:r>
      <w:proofErr w:type="spellEnd"/>
      <w:r w:rsidRPr="00117B4A">
        <w:rPr>
          <w:sz w:val="22"/>
          <w:szCs w:val="22"/>
        </w:rPr>
        <w:t xml:space="preserve"> as “white recrystallized reef limestone” detached from their original location. (See https://www.visitcyprus.com/wp-content/uploads/2016/05/Petra_tou_Romiou_afigisi_en.pdf ) The rocks would appear to relate to those of the </w:t>
      </w:r>
      <w:r w:rsidRPr="003B3A27">
        <w:rPr>
          <w:sz w:val="22"/>
          <w:szCs w:val="22"/>
        </w:rPr>
        <w:t xml:space="preserve">inland </w:t>
      </w:r>
      <w:proofErr w:type="spellStart"/>
      <w:r w:rsidRPr="003B3A27">
        <w:rPr>
          <w:sz w:val="22"/>
          <w:szCs w:val="22"/>
        </w:rPr>
        <w:t>Mamonia</w:t>
      </w:r>
      <w:proofErr w:type="spellEnd"/>
      <w:r w:rsidRPr="003B3A27">
        <w:rPr>
          <w:sz w:val="22"/>
          <w:szCs w:val="22"/>
        </w:rPr>
        <w:t xml:space="preserve"> complex,</w:t>
      </w:r>
      <w:r w:rsidR="003B3A27" w:rsidRPr="003B3A27">
        <w:rPr>
          <w:sz w:val="22"/>
          <w:szCs w:val="22"/>
        </w:rPr>
        <w:t xml:space="preserve"> which </w:t>
      </w:r>
      <w:r w:rsidR="003B3A27" w:rsidRPr="003B3A27">
        <w:rPr>
          <w:rFonts w:asciiTheme="minorHAnsi" w:hAnsiTheme="minorHAnsi" w:cstheme="minorHAnsi"/>
          <w:sz w:val="22"/>
          <w:szCs w:val="22"/>
        </w:rPr>
        <w:t>are extremely complex with significant igneous and metamorphic material. The</w:t>
      </w:r>
      <w:r w:rsidRPr="003B3A27">
        <w:rPr>
          <w:sz w:val="22"/>
          <w:szCs w:val="22"/>
        </w:rPr>
        <w:t xml:space="preserve"> shoreline has been overlaid by more recent sediments</w:t>
      </w:r>
      <w:r w:rsidR="00737D79" w:rsidRPr="003B3A27">
        <w:rPr>
          <w:sz w:val="22"/>
          <w:szCs w:val="22"/>
        </w:rPr>
        <w:t>, as noted above by the PULP</w:t>
      </w:r>
      <w:r w:rsidRPr="003B3A27">
        <w:rPr>
          <w:sz w:val="22"/>
          <w:szCs w:val="22"/>
        </w:rPr>
        <w:t>. The rather more</w:t>
      </w:r>
      <w:r w:rsidRPr="00117B4A">
        <w:rPr>
          <w:sz w:val="22"/>
          <w:szCs w:val="22"/>
        </w:rPr>
        <w:t xml:space="preserve"> complex analysis by Bragin et. al. includes a mention of some of the rocks close to Petra </w:t>
      </w:r>
      <w:proofErr w:type="spellStart"/>
      <w:r w:rsidRPr="00117B4A">
        <w:rPr>
          <w:sz w:val="22"/>
          <w:szCs w:val="22"/>
        </w:rPr>
        <w:t>tou</w:t>
      </w:r>
      <w:proofErr w:type="spellEnd"/>
      <w:r w:rsidRPr="00117B4A">
        <w:rPr>
          <w:sz w:val="22"/>
          <w:szCs w:val="22"/>
        </w:rPr>
        <w:t xml:space="preserve"> </w:t>
      </w:r>
      <w:proofErr w:type="spellStart"/>
      <w:r w:rsidRPr="00117B4A">
        <w:rPr>
          <w:sz w:val="22"/>
          <w:szCs w:val="22"/>
        </w:rPr>
        <w:t>Romiou</w:t>
      </w:r>
      <w:proofErr w:type="spellEnd"/>
      <w:r w:rsidRPr="00117B4A">
        <w:rPr>
          <w:sz w:val="22"/>
          <w:szCs w:val="22"/>
        </w:rPr>
        <w:t xml:space="preserve"> as matching the limestone breccia of </w:t>
      </w:r>
      <w:proofErr w:type="spellStart"/>
      <w:r w:rsidRPr="00117B4A">
        <w:rPr>
          <w:sz w:val="22"/>
          <w:szCs w:val="22"/>
        </w:rPr>
        <w:t>Loutra</w:t>
      </w:r>
      <w:proofErr w:type="spellEnd"/>
      <w:r w:rsidRPr="00117B4A">
        <w:rPr>
          <w:sz w:val="22"/>
          <w:szCs w:val="22"/>
        </w:rPr>
        <w:t xml:space="preserve"> </w:t>
      </w:r>
      <w:proofErr w:type="spellStart"/>
      <w:r w:rsidRPr="00117B4A">
        <w:rPr>
          <w:sz w:val="22"/>
          <w:szCs w:val="22"/>
        </w:rPr>
        <w:t>t</w:t>
      </w:r>
      <w:r w:rsidRPr="00117B4A">
        <w:rPr>
          <w:rFonts w:cs="Calibri"/>
          <w:sz w:val="22"/>
          <w:szCs w:val="22"/>
        </w:rPr>
        <w:t>ē</w:t>
      </w:r>
      <w:r w:rsidRPr="00117B4A">
        <w:rPr>
          <w:sz w:val="22"/>
          <w:szCs w:val="22"/>
        </w:rPr>
        <w:t>s</w:t>
      </w:r>
      <w:proofErr w:type="spellEnd"/>
      <w:r w:rsidRPr="00117B4A">
        <w:rPr>
          <w:sz w:val="22"/>
          <w:szCs w:val="22"/>
        </w:rPr>
        <w:t xml:space="preserve"> Aphrodit</w:t>
      </w:r>
      <w:r w:rsidRPr="00117B4A">
        <w:rPr>
          <w:rFonts w:cs="Calibri"/>
          <w:sz w:val="22"/>
          <w:szCs w:val="22"/>
        </w:rPr>
        <w:t>ē</w:t>
      </w:r>
      <w:r w:rsidRPr="00117B4A">
        <w:rPr>
          <w:sz w:val="22"/>
          <w:szCs w:val="22"/>
        </w:rPr>
        <w:t xml:space="preserve">s (Bragin et. al., 2021, p. 5). </w:t>
      </w:r>
    </w:p>
  </w:footnote>
  <w:footnote w:id="114">
    <w:p w14:paraId="560931D0" w14:textId="3174390C" w:rsidR="008264A4" w:rsidRPr="008264A4" w:rsidRDefault="008264A4" w:rsidP="008264A4">
      <w:pPr>
        <w:pStyle w:val="FootnoteText"/>
        <w:spacing w:after="120"/>
        <w:rPr>
          <w:sz w:val="22"/>
          <w:szCs w:val="22"/>
        </w:rPr>
      </w:pPr>
      <w:r>
        <w:rPr>
          <w:rStyle w:val="FootnoteReference"/>
        </w:rPr>
        <w:footnoteRef/>
      </w:r>
      <w:r>
        <w:t xml:space="preserve"> </w:t>
      </w:r>
      <w:r w:rsidRPr="008264A4">
        <w:rPr>
          <w:sz w:val="22"/>
          <w:szCs w:val="22"/>
        </w:rPr>
        <w:t>M</w:t>
      </w:r>
      <w:r w:rsidRPr="008264A4">
        <w:rPr>
          <w:rFonts w:asciiTheme="minorHAnsi" w:hAnsiTheme="minorHAnsi" w:cstheme="minorHAnsi"/>
          <w:sz w:val="22"/>
          <w:szCs w:val="22"/>
        </w:rPr>
        <w:t>ore realistically, for such large rocks to reach Earth from the heavens would undoubtedly have produced a devasting impact and a large crater.</w:t>
      </w:r>
    </w:p>
  </w:footnote>
  <w:footnote w:id="115">
    <w:p w14:paraId="311553E4"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His article appears to be derived entirely from the perusal of guidebooks.</w:t>
      </w:r>
    </w:p>
  </w:footnote>
  <w:footnote w:id="116">
    <w:p w14:paraId="1A4028E6" w14:textId="64725C21"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According to the Tourism page noted above, swimming around the rocks in the nude at midnight conveys immortality and eternal youth (much as at </w:t>
      </w:r>
      <w:proofErr w:type="spellStart"/>
      <w:r w:rsidRPr="00117B4A">
        <w:rPr>
          <w:sz w:val="22"/>
          <w:szCs w:val="22"/>
        </w:rPr>
        <w:t>Loutra</w:t>
      </w:r>
      <w:proofErr w:type="spellEnd"/>
      <w:r w:rsidRPr="00117B4A">
        <w:rPr>
          <w:sz w:val="22"/>
          <w:szCs w:val="22"/>
        </w:rPr>
        <w:t xml:space="preserve"> </w:t>
      </w:r>
      <w:proofErr w:type="spellStart"/>
      <w:r w:rsidRPr="00117B4A">
        <w:rPr>
          <w:sz w:val="22"/>
          <w:szCs w:val="22"/>
        </w:rPr>
        <w:t>t</w:t>
      </w:r>
      <w:r w:rsidRPr="00117B4A">
        <w:rPr>
          <w:rFonts w:cs="Calibri"/>
          <w:sz w:val="22"/>
          <w:szCs w:val="22"/>
        </w:rPr>
        <w:t>ē</w:t>
      </w:r>
      <w:r w:rsidRPr="00117B4A">
        <w:rPr>
          <w:sz w:val="22"/>
          <w:szCs w:val="22"/>
        </w:rPr>
        <w:t>s</w:t>
      </w:r>
      <w:proofErr w:type="spellEnd"/>
      <w:r w:rsidRPr="00117B4A">
        <w:rPr>
          <w:sz w:val="22"/>
          <w:szCs w:val="22"/>
        </w:rPr>
        <w:t xml:space="preserve"> Aphrodit</w:t>
      </w:r>
      <w:r w:rsidRPr="00117B4A">
        <w:rPr>
          <w:rFonts w:cs="Calibri"/>
          <w:sz w:val="22"/>
          <w:szCs w:val="22"/>
        </w:rPr>
        <w:t>ē</w:t>
      </w:r>
      <w:r w:rsidRPr="00117B4A">
        <w:rPr>
          <w:sz w:val="22"/>
          <w:szCs w:val="22"/>
        </w:rPr>
        <w:t>s)</w:t>
      </w:r>
      <w:r w:rsidR="000021B8" w:rsidRPr="00117B4A">
        <w:rPr>
          <w:sz w:val="22"/>
          <w:szCs w:val="22"/>
        </w:rPr>
        <w:t>.</w:t>
      </w:r>
    </w:p>
  </w:footnote>
  <w:footnote w:id="117">
    <w:p w14:paraId="4DDBC72E" w14:textId="77777777" w:rsidR="00B92DAB" w:rsidRPr="00117B4A" w:rsidRDefault="00B92DAB" w:rsidP="00117B4A">
      <w:pPr>
        <w:pStyle w:val="FootnoteText"/>
        <w:spacing w:after="120"/>
        <w:rPr>
          <w:caps/>
          <w:sz w:val="22"/>
          <w:szCs w:val="22"/>
        </w:rPr>
      </w:pPr>
      <w:r w:rsidRPr="00117B4A">
        <w:rPr>
          <w:rStyle w:val="FootnoteReference"/>
          <w:sz w:val="22"/>
          <w:szCs w:val="22"/>
        </w:rPr>
        <w:footnoteRef/>
      </w:r>
      <w:r w:rsidRPr="00117B4A">
        <w:rPr>
          <w:sz w:val="22"/>
          <w:szCs w:val="22"/>
        </w:rPr>
        <w:t xml:space="preserve"> </w:t>
      </w:r>
      <w:proofErr w:type="spellStart"/>
      <w:r w:rsidRPr="00117B4A">
        <w:rPr>
          <w:sz w:val="22"/>
          <w:szCs w:val="22"/>
        </w:rPr>
        <w:t>Sfinga</w:t>
      </w:r>
      <w:proofErr w:type="spellEnd"/>
      <w:r w:rsidRPr="00117B4A">
        <w:rPr>
          <w:sz w:val="22"/>
          <w:szCs w:val="22"/>
        </w:rPr>
        <w:t>, 2024.</w:t>
      </w:r>
    </w:p>
  </w:footnote>
  <w:footnote w:id="118">
    <w:p w14:paraId="67A92126" w14:textId="77777777" w:rsidR="008264A4" w:rsidRPr="00117B4A" w:rsidRDefault="008264A4" w:rsidP="008264A4">
      <w:pPr>
        <w:pStyle w:val="FootnoteText"/>
        <w:spacing w:after="120"/>
        <w:rPr>
          <w:sz w:val="22"/>
          <w:szCs w:val="22"/>
        </w:rPr>
      </w:pPr>
      <w:r w:rsidRPr="00117B4A">
        <w:rPr>
          <w:rStyle w:val="FootnoteReference"/>
          <w:sz w:val="22"/>
          <w:szCs w:val="22"/>
        </w:rPr>
        <w:footnoteRef/>
      </w:r>
      <w:r w:rsidRPr="00117B4A">
        <w:rPr>
          <w:sz w:val="22"/>
          <w:szCs w:val="22"/>
        </w:rPr>
        <w:t xml:space="preserve"> Translated by this writer from “La Mer de Kypris”, a short poem in </w:t>
      </w:r>
      <w:r w:rsidRPr="00117B4A">
        <w:rPr>
          <w:i/>
          <w:iCs/>
          <w:sz w:val="22"/>
          <w:szCs w:val="22"/>
        </w:rPr>
        <w:t>Les Chansons de Bilitis (1894),</w:t>
      </w:r>
    </w:p>
  </w:footnote>
  <w:footnote w:id="119">
    <w:p w14:paraId="03751671"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Hussein, 2015, p. 208.</w:t>
      </w:r>
    </w:p>
  </w:footnote>
  <w:footnote w:id="120">
    <w:p w14:paraId="3DEAA1A7"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Picture source: </w:t>
      </w:r>
      <w:proofErr w:type="spellStart"/>
      <w:r w:rsidRPr="00117B4A">
        <w:rPr>
          <w:sz w:val="22"/>
          <w:szCs w:val="22"/>
        </w:rPr>
        <w:t>Sfinga</w:t>
      </w:r>
      <w:proofErr w:type="spellEnd"/>
      <w:r w:rsidRPr="00117B4A">
        <w:rPr>
          <w:sz w:val="22"/>
          <w:szCs w:val="22"/>
        </w:rPr>
        <w:t>, 2024.</w:t>
      </w:r>
    </w:p>
  </w:footnote>
  <w:footnote w:id="121">
    <w:p w14:paraId="6D484AC6" w14:textId="0B9C73C3"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Apuleius, </w:t>
      </w:r>
      <w:r w:rsidRPr="00117B4A">
        <w:rPr>
          <w:rFonts w:asciiTheme="minorHAnsi" w:hAnsiTheme="minorHAnsi" w:cstheme="minorHAnsi"/>
          <w:sz w:val="22"/>
          <w:szCs w:val="22"/>
        </w:rPr>
        <w:t>The Golden Ass 11:218</w:t>
      </w:r>
      <w:r w:rsidR="002D1368">
        <w:rPr>
          <w:rFonts w:asciiTheme="minorHAnsi" w:hAnsiTheme="minorHAnsi" w:cstheme="minorHAnsi"/>
          <w:sz w:val="22"/>
          <w:szCs w:val="22"/>
        </w:rPr>
        <w:t>, perhaps indicating a closer shoreline than that of the present day, as noted above</w:t>
      </w:r>
      <w:r w:rsidRPr="00117B4A">
        <w:rPr>
          <w:rFonts w:asciiTheme="minorHAnsi" w:hAnsiTheme="minorHAnsi" w:cstheme="minorHAnsi"/>
          <w:sz w:val="22"/>
          <w:szCs w:val="22"/>
        </w:rPr>
        <w:t>.</w:t>
      </w:r>
    </w:p>
  </w:footnote>
  <w:footnote w:id="122">
    <w:p w14:paraId="0969763C"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Stylianou-Lambert, 2012. The term is basic to his analysis of tourist photography in general, with focus on Petra </w:t>
      </w:r>
      <w:proofErr w:type="spellStart"/>
      <w:r w:rsidRPr="00117B4A">
        <w:rPr>
          <w:sz w:val="22"/>
          <w:szCs w:val="22"/>
        </w:rPr>
        <w:t>tou</w:t>
      </w:r>
      <w:proofErr w:type="spellEnd"/>
      <w:r w:rsidRPr="00117B4A">
        <w:rPr>
          <w:sz w:val="22"/>
          <w:szCs w:val="22"/>
        </w:rPr>
        <w:t xml:space="preserve"> </w:t>
      </w:r>
      <w:proofErr w:type="spellStart"/>
      <w:r w:rsidRPr="00117B4A">
        <w:rPr>
          <w:sz w:val="22"/>
          <w:szCs w:val="22"/>
        </w:rPr>
        <w:t>Romiou</w:t>
      </w:r>
      <w:proofErr w:type="spellEnd"/>
      <w:r w:rsidRPr="00117B4A">
        <w:rPr>
          <w:sz w:val="22"/>
          <w:szCs w:val="22"/>
        </w:rPr>
        <w:t>.</w:t>
      </w:r>
    </w:p>
  </w:footnote>
  <w:footnote w:id="123">
    <w:p w14:paraId="2DE98948" w14:textId="32AC2BF5"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Myres, 1945, p, 100 ‘Aphrodite </w:t>
      </w:r>
      <w:proofErr w:type="spellStart"/>
      <w:r w:rsidRPr="00117B4A">
        <w:rPr>
          <w:sz w:val="22"/>
          <w:szCs w:val="22"/>
        </w:rPr>
        <w:t>Anadyomene</w:t>
      </w:r>
      <w:proofErr w:type="spellEnd"/>
      <w:r w:rsidRPr="00117B4A">
        <w:rPr>
          <w:sz w:val="22"/>
          <w:szCs w:val="22"/>
        </w:rPr>
        <w:t>’.</w:t>
      </w:r>
      <w:r w:rsidR="003A298F">
        <w:rPr>
          <w:sz w:val="22"/>
          <w:szCs w:val="22"/>
        </w:rPr>
        <w:t xml:space="preserve"> </w:t>
      </w:r>
    </w:p>
  </w:footnote>
  <w:footnote w:id="124">
    <w:p w14:paraId="73444C72" w14:textId="13DC674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This writer has coined the neologism ‘</w:t>
      </w:r>
      <w:proofErr w:type="spellStart"/>
      <w:r w:rsidRPr="00117B4A">
        <w:rPr>
          <w:sz w:val="22"/>
          <w:szCs w:val="22"/>
        </w:rPr>
        <w:t>Elpism</w:t>
      </w:r>
      <w:proofErr w:type="spellEnd"/>
      <w:r w:rsidRPr="00117B4A">
        <w:rPr>
          <w:sz w:val="22"/>
          <w:szCs w:val="22"/>
        </w:rPr>
        <w:t xml:space="preserve">’ with derivation from the initials of the words “Let’s Pretend”. The term designates the apparent but </w:t>
      </w:r>
      <w:r w:rsidR="00AE4E01">
        <w:rPr>
          <w:sz w:val="22"/>
          <w:szCs w:val="22"/>
        </w:rPr>
        <w:t xml:space="preserve">usually </w:t>
      </w:r>
      <w:r w:rsidRPr="00117B4A">
        <w:rPr>
          <w:sz w:val="22"/>
          <w:szCs w:val="22"/>
        </w:rPr>
        <w:t xml:space="preserve">implicit </w:t>
      </w:r>
      <w:r w:rsidR="00AE4E01">
        <w:rPr>
          <w:sz w:val="22"/>
          <w:szCs w:val="22"/>
        </w:rPr>
        <w:t xml:space="preserve">or unconscious </w:t>
      </w:r>
      <w:r w:rsidRPr="00117B4A">
        <w:rPr>
          <w:sz w:val="22"/>
          <w:szCs w:val="22"/>
        </w:rPr>
        <w:t>academic assumption that ancients (and of course ‘primitives’) derived their concepts of deity in this (infantile) manner rather than from some form of spiritual / altered consciousness experience</w:t>
      </w:r>
      <w:r w:rsidR="00A137E1">
        <w:rPr>
          <w:sz w:val="22"/>
          <w:szCs w:val="22"/>
        </w:rPr>
        <w:t xml:space="preserve">, as argued by Lewis-Williams (2010, pp 139-183). </w:t>
      </w:r>
      <w:proofErr w:type="spellStart"/>
      <w:r w:rsidR="00A137E1">
        <w:rPr>
          <w:sz w:val="22"/>
          <w:szCs w:val="22"/>
        </w:rPr>
        <w:t>Elpist</w:t>
      </w:r>
      <w:proofErr w:type="spellEnd"/>
      <w:r w:rsidR="00A137E1">
        <w:rPr>
          <w:sz w:val="22"/>
          <w:szCs w:val="22"/>
        </w:rPr>
        <w:t xml:space="preserve"> l</w:t>
      </w:r>
      <w:r w:rsidRPr="00117B4A">
        <w:rPr>
          <w:sz w:val="22"/>
          <w:szCs w:val="22"/>
        </w:rPr>
        <w:t xml:space="preserve">anguage seems invariably used in denial of </w:t>
      </w:r>
      <w:r w:rsidR="00264E66">
        <w:rPr>
          <w:sz w:val="22"/>
          <w:szCs w:val="22"/>
        </w:rPr>
        <w:t xml:space="preserve">such </w:t>
      </w:r>
      <w:r w:rsidRPr="00117B4A">
        <w:rPr>
          <w:sz w:val="22"/>
          <w:szCs w:val="22"/>
        </w:rPr>
        <w:t>ancient experience itself.</w:t>
      </w:r>
      <w:r w:rsidR="008264A4">
        <w:rPr>
          <w:sz w:val="22"/>
          <w:szCs w:val="22"/>
        </w:rPr>
        <w:t xml:space="preserve"> </w:t>
      </w:r>
    </w:p>
  </w:footnote>
  <w:footnote w:id="125">
    <w:p w14:paraId="3FB3F145" w14:textId="37A73610" w:rsidR="00AE4E01" w:rsidRPr="00AE4E01" w:rsidRDefault="00AE4E01" w:rsidP="00AE4E01">
      <w:pPr>
        <w:pStyle w:val="FootnoteText"/>
        <w:spacing w:after="120"/>
        <w:rPr>
          <w:sz w:val="22"/>
          <w:szCs w:val="22"/>
        </w:rPr>
      </w:pPr>
      <w:r>
        <w:rPr>
          <w:rStyle w:val="FootnoteReference"/>
        </w:rPr>
        <w:footnoteRef/>
      </w:r>
      <w:r>
        <w:t xml:space="preserve"> </w:t>
      </w:r>
      <w:r>
        <w:rPr>
          <w:sz w:val="22"/>
          <w:szCs w:val="22"/>
        </w:rPr>
        <w:t>Myres' writing</w:t>
      </w:r>
      <w:r w:rsidR="002B7545">
        <w:rPr>
          <w:sz w:val="22"/>
          <w:szCs w:val="22"/>
        </w:rPr>
        <w:t>, the very inclusion of such in his archaeological report,</w:t>
      </w:r>
      <w:r>
        <w:rPr>
          <w:sz w:val="22"/>
          <w:szCs w:val="22"/>
        </w:rPr>
        <w:t xml:space="preserve"> indeed suggests to this writer </w:t>
      </w:r>
      <w:r w:rsidR="002B7545">
        <w:rPr>
          <w:sz w:val="22"/>
          <w:szCs w:val="22"/>
        </w:rPr>
        <w:t xml:space="preserve">that he experienced </w:t>
      </w:r>
      <w:r>
        <w:rPr>
          <w:sz w:val="22"/>
          <w:szCs w:val="22"/>
        </w:rPr>
        <w:t>something of an epiphany, even if he restrained from expressing spiritual experience in his archaeological report.</w:t>
      </w:r>
    </w:p>
  </w:footnote>
  <w:footnote w:id="126">
    <w:p w14:paraId="42456512" w14:textId="41D1AF8B" w:rsidR="0007206C" w:rsidRPr="00117B4A" w:rsidRDefault="0007206C"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8264A4">
        <w:rPr>
          <w:sz w:val="22"/>
          <w:szCs w:val="22"/>
        </w:rPr>
        <w:t xml:space="preserve">On the other hand, </w:t>
      </w:r>
      <w:r w:rsidRPr="00117B4A">
        <w:rPr>
          <w:sz w:val="22"/>
          <w:szCs w:val="22"/>
        </w:rPr>
        <w:t xml:space="preserve">Myres’ work was long before the determination of shoreline change by PULP: it is unclear whether the phenomenon would have been possible thousands of years previous. </w:t>
      </w:r>
    </w:p>
  </w:footnote>
  <w:footnote w:id="127">
    <w:p w14:paraId="6A71411E" w14:textId="77777777" w:rsidR="002D1368" w:rsidRPr="00117B4A" w:rsidRDefault="002D1368" w:rsidP="002D1368">
      <w:pPr>
        <w:pStyle w:val="FootnoteText"/>
        <w:spacing w:after="120"/>
        <w:rPr>
          <w:sz w:val="22"/>
          <w:szCs w:val="22"/>
          <w:lang w:val="fr-FR"/>
        </w:rPr>
      </w:pPr>
      <w:r w:rsidRPr="00117B4A">
        <w:rPr>
          <w:rStyle w:val="FootnoteReference"/>
          <w:sz w:val="22"/>
          <w:szCs w:val="22"/>
        </w:rPr>
        <w:footnoteRef/>
      </w:r>
      <w:r w:rsidRPr="00117B4A">
        <w:rPr>
          <w:sz w:val="22"/>
          <w:szCs w:val="22"/>
          <w:lang w:val="fr-FR"/>
        </w:rPr>
        <w:t xml:space="preserve"> Source: </w:t>
      </w:r>
      <w:r w:rsidRPr="00117B4A">
        <w:rPr>
          <w:rFonts w:asciiTheme="minorHAnsi" w:hAnsiTheme="minorHAnsi" w:cstheme="minorHAnsi"/>
          <w:sz w:val="22"/>
          <w:szCs w:val="22"/>
          <w:lang w:val="fr-FR"/>
        </w:rPr>
        <w:t>https://www.alamy.com/palaipaphos-old-paphos-with-the-sanctuary-of-aphrodite-kouklia-cyprus-image618382908.html</w:t>
      </w:r>
    </w:p>
  </w:footnote>
  <w:footnote w:id="128">
    <w:p w14:paraId="1717E4AE"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Hussein, 2015, p. 208</w:t>
      </w:r>
    </w:p>
  </w:footnote>
  <w:footnote w:id="129">
    <w:p w14:paraId="071C102B" w14:textId="0F90DC8C" w:rsidR="000D4BFB" w:rsidRPr="00117B4A" w:rsidRDefault="000D4BFB" w:rsidP="00117B4A">
      <w:pPr>
        <w:pStyle w:val="FootnoteText"/>
        <w:spacing w:after="120"/>
        <w:rPr>
          <w:sz w:val="22"/>
          <w:szCs w:val="22"/>
        </w:rPr>
      </w:pPr>
      <w:r w:rsidRPr="00117B4A">
        <w:rPr>
          <w:rStyle w:val="FootnoteReference"/>
          <w:sz w:val="22"/>
          <w:szCs w:val="22"/>
        </w:rPr>
        <w:footnoteRef/>
      </w:r>
      <w:r w:rsidR="003A298F">
        <w:rPr>
          <w:sz w:val="22"/>
          <w:szCs w:val="22"/>
        </w:rPr>
        <w:t xml:space="preserve"> Myres, 1945, pp. 97-98 describes the discovery of the stone and that "it must have been placed here deliberately". </w:t>
      </w:r>
      <w:r w:rsidRPr="00117B4A">
        <w:rPr>
          <w:sz w:val="22"/>
          <w:szCs w:val="22"/>
        </w:rPr>
        <w:t xml:space="preserve"> </w:t>
      </w:r>
      <w:r w:rsidR="003A298F">
        <w:rPr>
          <w:sz w:val="22"/>
          <w:szCs w:val="22"/>
        </w:rPr>
        <w:t>On</w:t>
      </w:r>
      <w:r w:rsidRPr="00117B4A">
        <w:rPr>
          <w:sz w:val="22"/>
          <w:szCs w:val="22"/>
        </w:rPr>
        <w:t xml:space="preserve"> p. 98</w:t>
      </w:r>
      <w:r w:rsidR="003A298F">
        <w:rPr>
          <w:sz w:val="22"/>
          <w:szCs w:val="22"/>
        </w:rPr>
        <w:t xml:space="preserve"> he </w:t>
      </w:r>
      <w:r w:rsidRPr="00117B4A">
        <w:rPr>
          <w:sz w:val="22"/>
          <w:szCs w:val="22"/>
        </w:rPr>
        <w:t>is a little equivocal as to the stone’s identity with the ancient baetyl. J. Karageorghis (2005, p. 30) nonetheless claims that he considered it “the genuine cult object”. He reports the stone as “enshrined” in the Lefkosia museum. No information is readily available as to the date of transfer.</w:t>
      </w:r>
    </w:p>
  </w:footnote>
  <w:footnote w:id="130">
    <w:p w14:paraId="1B9479A7" w14:textId="4FF8DC72"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Nixey, 2017, variously. Aphrodite, as anthropomorphic statue, seems to have been a particular target of Christian violence (p. 112).</w:t>
      </w:r>
      <w:r w:rsidR="003D0B63" w:rsidRPr="00117B4A">
        <w:rPr>
          <w:sz w:val="22"/>
          <w:szCs w:val="22"/>
        </w:rPr>
        <w:t xml:space="preserve"> </w:t>
      </w:r>
      <w:proofErr w:type="spellStart"/>
      <w:r w:rsidR="003D0B63" w:rsidRPr="00117B4A">
        <w:rPr>
          <w:sz w:val="22"/>
          <w:szCs w:val="22"/>
        </w:rPr>
        <w:t>Serwint</w:t>
      </w:r>
      <w:proofErr w:type="spellEnd"/>
      <w:r w:rsidR="003D0B63" w:rsidRPr="00117B4A">
        <w:rPr>
          <w:sz w:val="22"/>
          <w:szCs w:val="22"/>
        </w:rPr>
        <w:t xml:space="preserve">, 2002, p. 342, figs. 14 &amp; 15, are photographs of decapitated and dismembered statues of Aphrodite, found in </w:t>
      </w:r>
      <w:proofErr w:type="spellStart"/>
      <w:r w:rsidR="003D0B63" w:rsidRPr="00117B4A">
        <w:rPr>
          <w:sz w:val="22"/>
          <w:szCs w:val="22"/>
        </w:rPr>
        <w:t>Neapaphos</w:t>
      </w:r>
      <w:proofErr w:type="spellEnd"/>
      <w:r w:rsidR="003D0B63" w:rsidRPr="00117B4A">
        <w:rPr>
          <w:sz w:val="22"/>
          <w:szCs w:val="22"/>
        </w:rPr>
        <w:t>.</w:t>
      </w:r>
      <w:r w:rsidRPr="00117B4A">
        <w:rPr>
          <w:sz w:val="22"/>
          <w:szCs w:val="22"/>
        </w:rPr>
        <w:t xml:space="preserve"> </w:t>
      </w:r>
    </w:p>
  </w:footnote>
  <w:footnote w:id="131">
    <w:p w14:paraId="5A76B640" w14:textId="4A90C2EE" w:rsidR="00AB0D38" w:rsidRPr="00117B4A" w:rsidRDefault="00AB0D38" w:rsidP="00117B4A">
      <w:pPr>
        <w:pStyle w:val="FootnoteText"/>
        <w:spacing w:after="120"/>
        <w:rPr>
          <w:sz w:val="22"/>
          <w:szCs w:val="22"/>
        </w:rPr>
      </w:pPr>
      <w:r w:rsidRPr="00117B4A">
        <w:rPr>
          <w:rStyle w:val="FootnoteReference"/>
          <w:sz w:val="22"/>
          <w:szCs w:val="22"/>
        </w:rPr>
        <w:footnoteRef/>
      </w:r>
      <w:r w:rsidRPr="00117B4A">
        <w:rPr>
          <w:sz w:val="22"/>
          <w:szCs w:val="22"/>
        </w:rPr>
        <w:t xml:space="preserve"> Claimed plausibly enough by the Cyprus Department of Antiquities; </w:t>
      </w:r>
      <w:hyperlink r:id="rId1" w:history="1">
        <w:r w:rsidRPr="00117B4A">
          <w:rPr>
            <w:rStyle w:val="Hyperlink"/>
            <w:rFonts w:asciiTheme="minorHAnsi" w:hAnsiTheme="minorHAnsi" w:cstheme="minorHAnsi"/>
            <w:sz w:val="22"/>
            <w:szCs w:val="22"/>
          </w:rPr>
          <w:t>https://digitalguides.com.cy/en/antiquities/qr-55/</w:t>
        </w:r>
      </w:hyperlink>
      <w:r w:rsidRPr="00117B4A">
        <w:rPr>
          <w:rFonts w:asciiTheme="minorHAnsi" w:hAnsiTheme="minorHAnsi" w:cstheme="minorHAnsi"/>
          <w:sz w:val="22"/>
          <w:szCs w:val="22"/>
        </w:rPr>
        <w:t xml:space="preserve"> “During ceremonies the worshippers anointed the stone with oil” </w:t>
      </w:r>
    </w:p>
  </w:footnote>
  <w:footnote w:id="132">
    <w:p w14:paraId="7D8D96C0" w14:textId="77777777" w:rsidR="008264A4" w:rsidRPr="00117B4A" w:rsidRDefault="008264A4" w:rsidP="008264A4">
      <w:pPr>
        <w:pStyle w:val="FootnoteText"/>
        <w:spacing w:after="120"/>
        <w:rPr>
          <w:sz w:val="22"/>
          <w:szCs w:val="22"/>
        </w:rPr>
      </w:pPr>
      <w:r w:rsidRPr="00117B4A">
        <w:rPr>
          <w:rStyle w:val="FootnoteReference"/>
          <w:sz w:val="22"/>
          <w:szCs w:val="22"/>
        </w:rPr>
        <w:footnoteRef/>
      </w:r>
      <w:r w:rsidRPr="00117B4A">
        <w:rPr>
          <w:sz w:val="22"/>
          <w:szCs w:val="22"/>
        </w:rPr>
        <w:t xml:space="preserve"> Antoniadi, 1939. He has “no doubt” (p. 178) that the Paphos stone is such. Although most meteorites ablate or explode at high altitudes, if they are relatively slow-moving and make atmospheric entry at a very flat angle, they may reach the Earth’s surface substantially intact, without catastrophic impact. Many thousands are known and catalogued at https://data.nhm.ac.uk/dataset/metcat. The stone at Paphos seems the only survivor of those classically described.</w:t>
      </w:r>
    </w:p>
  </w:footnote>
  <w:footnote w:id="133">
    <w:p w14:paraId="3BDD4C45" w14:textId="77777777" w:rsidR="008264A4" w:rsidRPr="00117B4A" w:rsidRDefault="008264A4" w:rsidP="008264A4">
      <w:pPr>
        <w:pStyle w:val="FootnoteText"/>
        <w:spacing w:after="120"/>
        <w:rPr>
          <w:sz w:val="22"/>
          <w:szCs w:val="22"/>
        </w:rPr>
      </w:pPr>
      <w:r w:rsidRPr="00117B4A">
        <w:rPr>
          <w:rStyle w:val="FootnoteReference"/>
          <w:sz w:val="22"/>
          <w:szCs w:val="22"/>
        </w:rPr>
        <w:footnoteRef/>
      </w:r>
      <w:r w:rsidRPr="00117B4A">
        <w:rPr>
          <w:sz w:val="22"/>
          <w:szCs w:val="22"/>
        </w:rPr>
        <w:t xml:space="preserve"> Documented by Philo of Byblos, claiming to translate the much earlier Phoenician historian </w:t>
      </w:r>
      <w:proofErr w:type="spellStart"/>
      <w:r w:rsidRPr="00117B4A">
        <w:rPr>
          <w:sz w:val="22"/>
          <w:szCs w:val="22"/>
        </w:rPr>
        <w:t>Sanchuniathon</w:t>
      </w:r>
      <w:proofErr w:type="spellEnd"/>
      <w:r w:rsidRPr="00117B4A">
        <w:rPr>
          <w:sz w:val="22"/>
          <w:szCs w:val="22"/>
        </w:rPr>
        <w:t xml:space="preserve">, his own text via Eusebius, </w:t>
      </w:r>
      <w:proofErr w:type="spellStart"/>
      <w:r w:rsidRPr="00117B4A">
        <w:rPr>
          <w:i/>
          <w:iCs/>
          <w:sz w:val="22"/>
          <w:szCs w:val="22"/>
        </w:rPr>
        <w:t>Praeparatio</w:t>
      </w:r>
      <w:proofErr w:type="spellEnd"/>
      <w:r w:rsidRPr="00117B4A">
        <w:rPr>
          <w:i/>
          <w:iCs/>
          <w:sz w:val="22"/>
          <w:szCs w:val="22"/>
        </w:rPr>
        <w:t xml:space="preserve"> Evangelica</w:t>
      </w:r>
      <w:r w:rsidRPr="00117B4A">
        <w:rPr>
          <w:sz w:val="22"/>
          <w:szCs w:val="22"/>
        </w:rPr>
        <w:t xml:space="preserve"> 1.10. Writing of the crescent and star emblem, Antoniadi argues(pp. 183-184) the star certainly Venus, and suggests the emblem adopted after a Moon-Venus conjunction at 339 BCE, a failed siege of Byzantium by Alexander. </w:t>
      </w:r>
    </w:p>
  </w:footnote>
  <w:footnote w:id="134">
    <w:p w14:paraId="33C3CB1C" w14:textId="00E6F4EA" w:rsidR="008264A4" w:rsidRPr="00117B4A" w:rsidRDefault="008264A4" w:rsidP="008264A4">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Pr="00117B4A">
        <w:rPr>
          <w:sz w:val="22"/>
          <w:szCs w:val="22"/>
        </w:rPr>
        <w:t>Kassanidou</w:t>
      </w:r>
      <w:proofErr w:type="spellEnd"/>
      <w:r w:rsidRPr="00117B4A">
        <w:rPr>
          <w:sz w:val="22"/>
          <w:szCs w:val="22"/>
        </w:rPr>
        <w:t xml:space="preserve"> is cited by Mozel and Morden, p. 153. He does not appear to have published to this effect. Diabase is also known as dolerite, the material of the Stonehenge Bluestones, so clearly linked to sacredness. Mozel and Morden also argue that the stone is insufficiently magnetic to be a meteorite. (Many, but not all, meteorites are substantially of an iron-nickel mixture, hence strongly magnetic.) </w:t>
      </w:r>
    </w:p>
  </w:footnote>
  <w:footnote w:id="135">
    <w:p w14:paraId="614EF50F" w14:textId="77777777" w:rsidR="002B7545" w:rsidRPr="00117B4A" w:rsidRDefault="002B7545" w:rsidP="002B7545">
      <w:pPr>
        <w:pStyle w:val="FootnoteText"/>
        <w:spacing w:after="120"/>
        <w:rPr>
          <w:sz w:val="22"/>
          <w:szCs w:val="22"/>
        </w:rPr>
      </w:pPr>
      <w:r w:rsidRPr="00117B4A">
        <w:rPr>
          <w:rStyle w:val="FootnoteReference"/>
          <w:sz w:val="22"/>
          <w:szCs w:val="22"/>
        </w:rPr>
        <w:footnoteRef/>
      </w:r>
      <w:r w:rsidRPr="00117B4A">
        <w:rPr>
          <w:sz w:val="22"/>
          <w:szCs w:val="22"/>
        </w:rPr>
        <w:t xml:space="preserve"> Histories, II,3.  (quoted from perseus.edu)</w:t>
      </w:r>
    </w:p>
  </w:footnote>
  <w:footnote w:id="136">
    <w:p w14:paraId="2D1C36EA" w14:textId="77777777" w:rsidR="002B7545" w:rsidRPr="00117B4A" w:rsidRDefault="002B7545" w:rsidP="002B7545">
      <w:pPr>
        <w:pStyle w:val="FootnoteText"/>
        <w:spacing w:after="120"/>
        <w:rPr>
          <w:sz w:val="22"/>
          <w:szCs w:val="22"/>
        </w:rPr>
      </w:pPr>
      <w:r w:rsidRPr="00117B4A">
        <w:rPr>
          <w:rStyle w:val="FootnoteReference"/>
          <w:sz w:val="22"/>
          <w:szCs w:val="22"/>
        </w:rPr>
        <w:footnoteRef/>
      </w:r>
      <w:r w:rsidRPr="00117B4A">
        <w:rPr>
          <w:sz w:val="22"/>
          <w:szCs w:val="22"/>
        </w:rPr>
        <w:t xml:space="preserve"> Young, 2005, p. 25, notes a canopy over Praxiteles famous statue at Knidos, so the need to keep Aphrodite dry (despite Her marine origin) is perhaps somehow traditional.</w:t>
      </w:r>
    </w:p>
  </w:footnote>
  <w:footnote w:id="137">
    <w:p w14:paraId="2E736927" w14:textId="77777777" w:rsidR="002B7545" w:rsidRPr="002B7545" w:rsidRDefault="002B7545" w:rsidP="002B7545">
      <w:pPr>
        <w:pStyle w:val="FootnoteText"/>
        <w:spacing w:after="120"/>
        <w:rPr>
          <w:sz w:val="22"/>
          <w:szCs w:val="22"/>
        </w:rPr>
      </w:pPr>
      <w:r w:rsidRPr="00117B4A">
        <w:rPr>
          <w:rStyle w:val="FootnoteReference"/>
          <w:sz w:val="22"/>
          <w:szCs w:val="22"/>
        </w:rPr>
        <w:footnoteRef/>
      </w:r>
      <w:r w:rsidRPr="002B7545">
        <w:rPr>
          <w:sz w:val="22"/>
          <w:szCs w:val="22"/>
        </w:rPr>
        <w:t xml:space="preserve"> Flourentzos, 2011, p. 176, fig. 1.</w:t>
      </w:r>
    </w:p>
  </w:footnote>
  <w:footnote w:id="138">
    <w:p w14:paraId="2169E0A7"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Picture source: https://withcunningandcommand.com/2024/05/26/foam-born-aphrodite/</w:t>
      </w:r>
    </w:p>
  </w:footnote>
  <w:footnote w:id="139">
    <w:p w14:paraId="3EFCDCBB" w14:textId="77777777" w:rsidR="002B7545" w:rsidRPr="00117B4A" w:rsidRDefault="002B7545" w:rsidP="002B7545">
      <w:pPr>
        <w:pStyle w:val="FootnoteText"/>
        <w:spacing w:after="120"/>
        <w:rPr>
          <w:sz w:val="22"/>
          <w:szCs w:val="22"/>
        </w:rPr>
      </w:pPr>
      <w:r w:rsidRPr="00117B4A">
        <w:rPr>
          <w:rStyle w:val="FootnoteReference"/>
          <w:sz w:val="22"/>
          <w:szCs w:val="22"/>
        </w:rPr>
        <w:footnoteRef/>
      </w:r>
      <w:r w:rsidRPr="00117B4A">
        <w:rPr>
          <w:sz w:val="22"/>
          <w:szCs w:val="22"/>
        </w:rPr>
        <w:t xml:space="preserve"> Steel, 2004, p. 206.</w:t>
      </w:r>
    </w:p>
  </w:footnote>
  <w:footnote w:id="140">
    <w:p w14:paraId="05ACB84C" w14:textId="77777777" w:rsidR="002B7545" w:rsidRPr="00117B4A" w:rsidRDefault="002B7545" w:rsidP="002B7545">
      <w:pPr>
        <w:pStyle w:val="FootnoteText"/>
        <w:spacing w:after="120"/>
        <w:rPr>
          <w:sz w:val="22"/>
          <w:szCs w:val="22"/>
        </w:rPr>
      </w:pPr>
      <w:r w:rsidRPr="00117B4A">
        <w:rPr>
          <w:rStyle w:val="FootnoteReference"/>
          <w:sz w:val="22"/>
          <w:szCs w:val="22"/>
        </w:rPr>
        <w:footnoteRef/>
      </w:r>
      <w:r w:rsidRPr="00117B4A">
        <w:rPr>
          <w:sz w:val="22"/>
          <w:szCs w:val="22"/>
        </w:rPr>
        <w:t xml:space="preserve"> The Bible has sundry references to this theme, best-known is Exodus 20:4–5, actually more focused on the supposed sin of ‘worshipping’ such images. Deuteronomy 4:12, 15–18 is more subtle, implying </w:t>
      </w:r>
      <w:proofErr w:type="spellStart"/>
      <w:r w:rsidRPr="00117B4A">
        <w:rPr>
          <w:sz w:val="22"/>
          <w:szCs w:val="22"/>
        </w:rPr>
        <w:t>Jahweh</w:t>
      </w:r>
      <w:proofErr w:type="spellEnd"/>
      <w:r w:rsidRPr="00117B4A">
        <w:rPr>
          <w:sz w:val="22"/>
          <w:szCs w:val="22"/>
        </w:rPr>
        <w:t xml:space="preserve"> not representable by any physical form. This writer</w:t>
      </w:r>
      <w:r>
        <w:rPr>
          <w:sz w:val="22"/>
          <w:szCs w:val="22"/>
        </w:rPr>
        <w:t xml:space="preserve"> argued </w:t>
      </w:r>
      <w:r w:rsidRPr="00117B4A">
        <w:rPr>
          <w:sz w:val="22"/>
          <w:szCs w:val="22"/>
        </w:rPr>
        <w:t>the falsity of their notion of ‘idols’ in the previous ‘object analysis’ essay.</w:t>
      </w:r>
    </w:p>
  </w:footnote>
  <w:footnote w:id="141">
    <w:p w14:paraId="4E26DE3A" w14:textId="77777777" w:rsidR="002B7545" w:rsidRPr="00B96BEE" w:rsidRDefault="002B7545" w:rsidP="002B7545">
      <w:pPr>
        <w:pStyle w:val="FootnoteText"/>
        <w:rPr>
          <w:sz w:val="22"/>
          <w:szCs w:val="22"/>
        </w:rPr>
      </w:pPr>
      <w:r w:rsidRPr="00B96BEE">
        <w:rPr>
          <w:rStyle w:val="FootnoteReference"/>
          <w:sz w:val="22"/>
          <w:szCs w:val="22"/>
        </w:rPr>
        <w:footnoteRef/>
      </w:r>
      <w:r w:rsidRPr="00B96BEE">
        <w:rPr>
          <w:sz w:val="22"/>
          <w:szCs w:val="22"/>
        </w:rPr>
        <w:t xml:space="preserve"> Doak, 2015, p. 1, discusses this fundamental paradox.</w:t>
      </w:r>
    </w:p>
  </w:footnote>
  <w:footnote w:id="142">
    <w:p w14:paraId="06372D6D" w14:textId="77777777" w:rsidR="00B92DAB" w:rsidRPr="00117B4A" w:rsidRDefault="00B92DAB" w:rsidP="00117B4A">
      <w:pPr>
        <w:pStyle w:val="FootnoteText"/>
        <w:spacing w:after="120"/>
        <w:rPr>
          <w:sz w:val="22"/>
          <w:szCs w:val="22"/>
          <w:lang w:val="fr-FR"/>
        </w:rPr>
      </w:pPr>
      <w:r w:rsidRPr="00117B4A">
        <w:rPr>
          <w:rStyle w:val="FootnoteReference"/>
          <w:sz w:val="22"/>
          <w:szCs w:val="22"/>
        </w:rPr>
        <w:footnoteRef/>
      </w:r>
      <w:r w:rsidRPr="00117B4A">
        <w:rPr>
          <w:sz w:val="22"/>
          <w:szCs w:val="22"/>
          <w:lang w:val="fr-FR"/>
        </w:rPr>
        <w:t xml:space="preserve"> Image source: https://suppressed-histories.teachable.com/courses/1234325/lectures/34664163 </w:t>
      </w:r>
    </w:p>
  </w:footnote>
  <w:footnote w:id="143">
    <w:p w14:paraId="0DD669DF"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Flourentzos, 2011, p. 176, fig. 1.</w:t>
      </w:r>
    </w:p>
  </w:footnote>
  <w:footnote w:id="144">
    <w:p w14:paraId="75A8371F" w14:textId="77777777" w:rsidR="00B92DAB" w:rsidRPr="00117B4A" w:rsidRDefault="00B92DAB" w:rsidP="00117B4A">
      <w:pPr>
        <w:pStyle w:val="FootnoteText"/>
        <w:spacing w:after="120"/>
        <w:rPr>
          <w:sz w:val="22"/>
          <w:szCs w:val="22"/>
        </w:rPr>
      </w:pPr>
      <w:r w:rsidRPr="00117B4A">
        <w:rPr>
          <w:rStyle w:val="FootnoteReference"/>
          <w:sz w:val="22"/>
          <w:szCs w:val="22"/>
        </w:rPr>
        <w:footnoteRef/>
      </w:r>
      <w:r w:rsidRPr="00117B4A">
        <w:rPr>
          <w:sz w:val="22"/>
          <w:szCs w:val="22"/>
        </w:rPr>
        <w:t xml:space="preserve"> Later appropriated by Islam.</w:t>
      </w:r>
    </w:p>
  </w:footnote>
  <w:footnote w:id="145">
    <w:p w14:paraId="077A5BDE" w14:textId="0B914CC9" w:rsidR="004E239E" w:rsidRPr="00117B4A" w:rsidRDefault="004E239E"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r w:rsidR="00C512C3" w:rsidRPr="00117B4A">
        <w:rPr>
          <w:sz w:val="22"/>
          <w:szCs w:val="22"/>
        </w:rPr>
        <w:t>https://whc.unesco.org/en/list/79/ For this writer, although the various Kato Paphos sites deserve protection, they do not constitute a ‘sacred landscape’.</w:t>
      </w:r>
    </w:p>
  </w:footnote>
  <w:footnote w:id="146">
    <w:p w14:paraId="50D8442D" w14:textId="01246A79" w:rsidR="0061124D" w:rsidRPr="0061124D" w:rsidRDefault="0061124D" w:rsidP="0061124D">
      <w:pPr>
        <w:pStyle w:val="FootnoteText"/>
        <w:spacing w:after="120"/>
        <w:rPr>
          <w:sz w:val="22"/>
          <w:szCs w:val="22"/>
        </w:rPr>
      </w:pPr>
      <w:r>
        <w:rPr>
          <w:rStyle w:val="FootnoteReference"/>
        </w:rPr>
        <w:footnoteRef/>
      </w:r>
      <w:r>
        <w:t xml:space="preserve"> </w:t>
      </w:r>
      <w:r w:rsidRPr="0061124D">
        <w:rPr>
          <w:sz w:val="22"/>
          <w:szCs w:val="22"/>
        </w:rPr>
        <w:t xml:space="preserve">It is perhaps </w:t>
      </w:r>
      <w:r w:rsidRPr="0061124D">
        <w:rPr>
          <w:rFonts w:asciiTheme="minorHAnsi" w:hAnsiTheme="minorHAnsi" w:cstheme="minorHAnsi"/>
          <w:sz w:val="22"/>
          <w:szCs w:val="22"/>
        </w:rPr>
        <w:t>reasonable not to inflict Knossos-style reinforced concrete on the sanctuary,</w:t>
      </w:r>
    </w:p>
  </w:footnote>
  <w:footnote w:id="147">
    <w:p w14:paraId="74024827" w14:textId="4A78D8ED" w:rsidR="00C11923" w:rsidRPr="00117B4A" w:rsidRDefault="00C11923" w:rsidP="00117B4A">
      <w:pPr>
        <w:pStyle w:val="FootnoteText"/>
        <w:spacing w:after="120"/>
        <w:rPr>
          <w:sz w:val="22"/>
          <w:szCs w:val="22"/>
        </w:rPr>
      </w:pPr>
      <w:r w:rsidRPr="00117B4A">
        <w:rPr>
          <w:rStyle w:val="FootnoteReference"/>
          <w:sz w:val="22"/>
          <w:szCs w:val="22"/>
        </w:rPr>
        <w:footnoteRef/>
      </w:r>
      <w:r w:rsidRPr="00117B4A">
        <w:rPr>
          <w:sz w:val="22"/>
          <w:szCs w:val="22"/>
        </w:rPr>
        <w:t xml:space="preserve"> Neyrink, 2017, p. 164. In similar vein, Meskell has criticised </w:t>
      </w:r>
      <w:proofErr w:type="spellStart"/>
      <w:r w:rsidRPr="00117B4A">
        <w:rPr>
          <w:sz w:val="22"/>
          <w:szCs w:val="22"/>
        </w:rPr>
        <w:t>Unesco</w:t>
      </w:r>
      <w:proofErr w:type="spellEnd"/>
      <w:r w:rsidRPr="00117B4A">
        <w:rPr>
          <w:sz w:val="22"/>
          <w:szCs w:val="22"/>
        </w:rPr>
        <w:t xml:space="preserve"> as providing a ‘brand’.(https://news.stanford.edu/stories/2018/11/stanford-scholar-examines-unescos-world-heritage-program)</w:t>
      </w:r>
    </w:p>
  </w:footnote>
  <w:footnote w:id="148">
    <w:p w14:paraId="4842A65D" w14:textId="09342D54" w:rsidR="00C512C3" w:rsidRPr="00117B4A" w:rsidRDefault="00C512C3" w:rsidP="00117B4A">
      <w:pPr>
        <w:pStyle w:val="FootnoteText"/>
        <w:spacing w:after="120"/>
        <w:rPr>
          <w:sz w:val="22"/>
          <w:szCs w:val="22"/>
        </w:rPr>
      </w:pPr>
      <w:r w:rsidRPr="00117B4A">
        <w:rPr>
          <w:rStyle w:val="FootnoteReference"/>
          <w:sz w:val="22"/>
          <w:szCs w:val="22"/>
        </w:rPr>
        <w:footnoteRef/>
      </w:r>
      <w:r w:rsidRPr="00117B4A">
        <w:rPr>
          <w:sz w:val="22"/>
          <w:szCs w:val="22"/>
        </w:rPr>
        <w:t xml:space="preserve"> </w:t>
      </w:r>
      <w:proofErr w:type="spellStart"/>
      <w:r w:rsidR="00D166F6" w:rsidRPr="00117B4A">
        <w:rPr>
          <w:sz w:val="22"/>
          <w:szCs w:val="22"/>
        </w:rPr>
        <w:t>Häussler</w:t>
      </w:r>
      <w:proofErr w:type="spellEnd"/>
      <w:r w:rsidR="00D166F6" w:rsidRPr="00117B4A">
        <w:rPr>
          <w:sz w:val="22"/>
          <w:szCs w:val="22"/>
        </w:rPr>
        <w:t xml:space="preserve"> &amp; Chiai, 2019, </w:t>
      </w:r>
      <w:r w:rsidR="0061124D">
        <w:rPr>
          <w:sz w:val="22"/>
          <w:szCs w:val="22"/>
        </w:rPr>
        <w:t xml:space="preserve">p. 1. </w:t>
      </w:r>
    </w:p>
  </w:footnote>
  <w:footnote w:id="149">
    <w:p w14:paraId="22CA6B80" w14:textId="40865D5E" w:rsidR="000150E8" w:rsidRPr="00117B4A" w:rsidRDefault="000150E8" w:rsidP="00117B4A">
      <w:pPr>
        <w:pStyle w:val="FootnoteText"/>
        <w:spacing w:after="120"/>
        <w:rPr>
          <w:sz w:val="22"/>
          <w:szCs w:val="22"/>
        </w:rPr>
      </w:pPr>
      <w:r w:rsidRPr="00117B4A">
        <w:rPr>
          <w:rStyle w:val="FootnoteReference"/>
          <w:sz w:val="22"/>
          <w:szCs w:val="22"/>
        </w:rPr>
        <w:footnoteRef/>
      </w:r>
      <w:r w:rsidRPr="00117B4A">
        <w:rPr>
          <w:sz w:val="22"/>
          <w:szCs w:val="22"/>
        </w:rPr>
        <w:t xml:space="preserve"> Υπα</w:t>
      </w:r>
      <w:proofErr w:type="spellStart"/>
      <w:r w:rsidRPr="00117B4A">
        <w:rPr>
          <w:sz w:val="22"/>
          <w:szCs w:val="22"/>
        </w:rPr>
        <w:t>το</w:t>
      </w:r>
      <w:proofErr w:type="spellEnd"/>
      <w:r w:rsidRPr="00117B4A">
        <w:rPr>
          <w:sz w:val="22"/>
          <w:szCs w:val="22"/>
        </w:rPr>
        <w:t xml:space="preserve"> </w:t>
      </w:r>
      <w:proofErr w:type="spellStart"/>
      <w:r w:rsidRPr="00117B4A">
        <w:rPr>
          <w:sz w:val="22"/>
          <w:szCs w:val="22"/>
        </w:rPr>
        <w:t>Συμ</w:t>
      </w:r>
      <w:proofErr w:type="spellEnd"/>
      <w:r w:rsidRPr="00117B4A">
        <w:rPr>
          <w:sz w:val="22"/>
          <w:szCs w:val="22"/>
        </w:rPr>
        <w:t xml:space="preserve">βούλιο </w:t>
      </w:r>
      <w:proofErr w:type="spellStart"/>
      <w:r w:rsidRPr="00117B4A">
        <w:rPr>
          <w:sz w:val="22"/>
          <w:szCs w:val="22"/>
        </w:rPr>
        <w:t>των</w:t>
      </w:r>
      <w:proofErr w:type="spellEnd"/>
      <w:r w:rsidRPr="00117B4A">
        <w:rPr>
          <w:sz w:val="22"/>
          <w:szCs w:val="22"/>
        </w:rPr>
        <w:t xml:space="preserve"> </w:t>
      </w:r>
      <w:proofErr w:type="spellStart"/>
      <w:r w:rsidRPr="00117B4A">
        <w:rPr>
          <w:sz w:val="22"/>
          <w:szCs w:val="22"/>
        </w:rPr>
        <w:t>Ελλήνων</w:t>
      </w:r>
      <w:proofErr w:type="spellEnd"/>
      <w:r w:rsidRPr="00117B4A">
        <w:rPr>
          <w:sz w:val="22"/>
          <w:szCs w:val="22"/>
        </w:rPr>
        <w:t xml:space="preserve"> </w:t>
      </w:r>
      <w:proofErr w:type="spellStart"/>
      <w:r w:rsidRPr="00117B4A">
        <w:rPr>
          <w:sz w:val="22"/>
          <w:szCs w:val="22"/>
        </w:rPr>
        <w:t>Εθνικών</w:t>
      </w:r>
      <w:proofErr w:type="spellEnd"/>
      <w:r w:rsidR="0061124D">
        <w:rPr>
          <w:sz w:val="22"/>
          <w:szCs w:val="22"/>
        </w:rPr>
        <w:t xml:space="preserve">, </w:t>
      </w:r>
      <w:r w:rsidR="0061124D" w:rsidRPr="0061124D">
        <w:rPr>
          <w:sz w:val="22"/>
          <w:szCs w:val="22"/>
        </w:rPr>
        <w:t>Supreme Council of Ethnic Hellenes</w:t>
      </w:r>
      <w:r w:rsidR="0061124D">
        <w:rPr>
          <w:sz w:val="22"/>
          <w:szCs w:val="22"/>
        </w:rPr>
        <w:t>.</w:t>
      </w:r>
    </w:p>
  </w:footnote>
  <w:footnote w:id="150">
    <w:p w14:paraId="1036A4D3" w14:textId="4BE54220" w:rsidR="000150E8" w:rsidRPr="00117B4A" w:rsidRDefault="000150E8" w:rsidP="00117B4A">
      <w:pPr>
        <w:pStyle w:val="FootnoteText"/>
        <w:spacing w:after="120"/>
        <w:rPr>
          <w:sz w:val="22"/>
          <w:szCs w:val="22"/>
        </w:rPr>
      </w:pPr>
      <w:r w:rsidRPr="00117B4A">
        <w:rPr>
          <w:rStyle w:val="FootnoteReference"/>
          <w:sz w:val="22"/>
          <w:szCs w:val="22"/>
        </w:rPr>
        <w:footnoteRef/>
      </w:r>
      <w:r w:rsidRPr="00117B4A">
        <w:rPr>
          <w:sz w:val="22"/>
          <w:szCs w:val="22"/>
        </w:rPr>
        <w:t xml:space="preserve"> https://newscyprus.eu/en/news/v-xrame-zevsa-na-kipre-sostoialas-ceremoniia-brakosocetaniia-po-iazyceskomu-obriadu</w:t>
      </w:r>
    </w:p>
  </w:footnote>
  <w:footnote w:id="151">
    <w:p w14:paraId="39619B30" w14:textId="0124664A" w:rsidR="00CC1847" w:rsidRPr="00117B4A" w:rsidRDefault="00CC1847" w:rsidP="00117B4A">
      <w:pPr>
        <w:pStyle w:val="FootnoteText"/>
        <w:spacing w:after="120"/>
        <w:rPr>
          <w:sz w:val="22"/>
          <w:szCs w:val="22"/>
        </w:rPr>
      </w:pPr>
      <w:r w:rsidRPr="00117B4A">
        <w:rPr>
          <w:rStyle w:val="FootnoteReference"/>
          <w:sz w:val="22"/>
          <w:szCs w:val="22"/>
        </w:rPr>
        <w:footnoteRef/>
      </w:r>
      <w:r w:rsidRPr="00117B4A">
        <w:rPr>
          <w:sz w:val="22"/>
          <w:szCs w:val="22"/>
        </w:rPr>
        <w:t xml:space="preserve"> This writer’s neologism for the 4S - sun, sand,</w:t>
      </w:r>
      <w:r w:rsidR="002D1368">
        <w:rPr>
          <w:sz w:val="22"/>
          <w:szCs w:val="22"/>
        </w:rPr>
        <w:t xml:space="preserve"> </w:t>
      </w:r>
      <w:r w:rsidRPr="00117B4A">
        <w:rPr>
          <w:sz w:val="22"/>
          <w:szCs w:val="22"/>
        </w:rPr>
        <w:t>sea, sex.</w:t>
      </w:r>
      <w:r w:rsidR="005C184E">
        <w:rPr>
          <w:sz w:val="22"/>
          <w:szCs w:val="22"/>
        </w:rPr>
        <w:t xml:space="preserve"> </w:t>
      </w:r>
      <w:proofErr w:type="spellStart"/>
      <w:r w:rsidR="005C184E" w:rsidRPr="005C184E">
        <w:rPr>
          <w:sz w:val="22"/>
          <w:szCs w:val="22"/>
        </w:rPr>
        <w:t>Achilleos</w:t>
      </w:r>
      <w:proofErr w:type="spellEnd"/>
      <w:r w:rsidR="005C184E" w:rsidRPr="005C184E">
        <w:rPr>
          <w:sz w:val="22"/>
          <w:szCs w:val="22"/>
        </w:rPr>
        <w:t>-Sarll</w:t>
      </w:r>
      <w:r w:rsidR="005C184E">
        <w:rPr>
          <w:sz w:val="22"/>
          <w:szCs w:val="22"/>
        </w:rPr>
        <w:t xml:space="preserve"> &amp;</w:t>
      </w:r>
      <w:r w:rsidR="005C184E" w:rsidRPr="005C184E">
        <w:rPr>
          <w:sz w:val="22"/>
          <w:szCs w:val="22"/>
        </w:rPr>
        <w:t xml:space="preserve"> Pratt,</w:t>
      </w:r>
      <w:r w:rsidR="005C184E">
        <w:rPr>
          <w:sz w:val="22"/>
          <w:szCs w:val="22"/>
        </w:rPr>
        <w:t xml:space="preserve"> 2025, discuss the more unpleasant side of this</w:t>
      </w:r>
      <w:r w:rsidR="001D0CDE">
        <w:rPr>
          <w:sz w:val="22"/>
          <w:szCs w:val="22"/>
        </w:rPr>
        <w:t xml:space="preserve"> phenomenon. </w:t>
      </w:r>
      <w:r w:rsidR="001D0CDE" w:rsidRPr="00E653DB">
        <w:rPr>
          <w:sz w:val="22"/>
          <w:szCs w:val="22"/>
        </w:rPr>
        <w:t xml:space="preserve">Koutra, </w:t>
      </w:r>
      <w:proofErr w:type="spellStart"/>
      <w:r w:rsidR="001D0CDE" w:rsidRPr="00E653DB">
        <w:rPr>
          <w:sz w:val="22"/>
          <w:szCs w:val="22"/>
        </w:rPr>
        <w:t>Karyopouli</w:t>
      </w:r>
      <w:proofErr w:type="spellEnd"/>
      <w:r w:rsidR="001D0CDE" w:rsidRPr="00E653DB">
        <w:rPr>
          <w:sz w:val="22"/>
          <w:szCs w:val="22"/>
        </w:rPr>
        <w:t>, 2013, call it 3Ss, omitting the last</w:t>
      </w:r>
      <w:r w:rsidR="005C184E" w:rsidRPr="00E653DB">
        <w:rPr>
          <w:sz w:val="22"/>
          <w:szCs w:val="22"/>
        </w:rPr>
        <w:t>.</w:t>
      </w:r>
    </w:p>
  </w:footnote>
  <w:footnote w:id="152">
    <w:p w14:paraId="78951964" w14:textId="6655AD6A" w:rsidR="00CC1847" w:rsidRPr="00117B4A" w:rsidRDefault="00CC1847" w:rsidP="00117B4A">
      <w:pPr>
        <w:pStyle w:val="FootnoteText"/>
        <w:spacing w:after="120"/>
        <w:rPr>
          <w:sz w:val="22"/>
          <w:szCs w:val="22"/>
        </w:rPr>
      </w:pPr>
      <w:r w:rsidRPr="00117B4A">
        <w:rPr>
          <w:rStyle w:val="FootnoteReference"/>
          <w:sz w:val="22"/>
          <w:szCs w:val="22"/>
        </w:rPr>
        <w:footnoteRef/>
      </w:r>
      <w:r w:rsidRPr="00117B4A">
        <w:rPr>
          <w:sz w:val="22"/>
          <w:szCs w:val="22"/>
        </w:rPr>
        <w:t xml:space="preserve"> Morris, Papantoniou and </w:t>
      </w:r>
      <w:proofErr w:type="spellStart"/>
      <w:r w:rsidRPr="00117B4A">
        <w:rPr>
          <w:sz w:val="22"/>
          <w:szCs w:val="22"/>
        </w:rPr>
        <w:t>Vionis</w:t>
      </w:r>
      <w:proofErr w:type="spellEnd"/>
      <w:r w:rsidRPr="00117B4A">
        <w:rPr>
          <w:sz w:val="22"/>
          <w:szCs w:val="22"/>
        </w:rPr>
        <w:t xml:space="preserve">, 2022, p.3.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DAB"/>
    <w:rsid w:val="000021B8"/>
    <w:rsid w:val="00014F76"/>
    <w:rsid w:val="00014FB8"/>
    <w:rsid w:val="000150E8"/>
    <w:rsid w:val="00020CDC"/>
    <w:rsid w:val="00026799"/>
    <w:rsid w:val="00053F42"/>
    <w:rsid w:val="0007206C"/>
    <w:rsid w:val="00091758"/>
    <w:rsid w:val="000A179B"/>
    <w:rsid w:val="000B0590"/>
    <w:rsid w:val="000C643F"/>
    <w:rsid w:val="000D0A56"/>
    <w:rsid w:val="000D4BFB"/>
    <w:rsid w:val="001154DD"/>
    <w:rsid w:val="00117B4A"/>
    <w:rsid w:val="0013716D"/>
    <w:rsid w:val="00173F8B"/>
    <w:rsid w:val="001768BB"/>
    <w:rsid w:val="00184B64"/>
    <w:rsid w:val="00197C6D"/>
    <w:rsid w:val="001D0CDE"/>
    <w:rsid w:val="001D1746"/>
    <w:rsid w:val="0021108B"/>
    <w:rsid w:val="00237EFA"/>
    <w:rsid w:val="00240C74"/>
    <w:rsid w:val="00264E66"/>
    <w:rsid w:val="0028500B"/>
    <w:rsid w:val="00292BBC"/>
    <w:rsid w:val="00294C5F"/>
    <w:rsid w:val="002A3C04"/>
    <w:rsid w:val="002B50A7"/>
    <w:rsid w:val="002B7545"/>
    <w:rsid w:val="002D1368"/>
    <w:rsid w:val="002D4398"/>
    <w:rsid w:val="002D647A"/>
    <w:rsid w:val="002F2364"/>
    <w:rsid w:val="00302B16"/>
    <w:rsid w:val="00343E9B"/>
    <w:rsid w:val="003677E1"/>
    <w:rsid w:val="00370591"/>
    <w:rsid w:val="003873CE"/>
    <w:rsid w:val="00391128"/>
    <w:rsid w:val="00391FC7"/>
    <w:rsid w:val="003A298F"/>
    <w:rsid w:val="003B3A27"/>
    <w:rsid w:val="003D0B63"/>
    <w:rsid w:val="003D4FF7"/>
    <w:rsid w:val="00400407"/>
    <w:rsid w:val="00401074"/>
    <w:rsid w:val="0040205E"/>
    <w:rsid w:val="00404C7D"/>
    <w:rsid w:val="00441F9B"/>
    <w:rsid w:val="004463B2"/>
    <w:rsid w:val="00455156"/>
    <w:rsid w:val="00491649"/>
    <w:rsid w:val="00491D81"/>
    <w:rsid w:val="004C200F"/>
    <w:rsid w:val="004D0FDF"/>
    <w:rsid w:val="004E239E"/>
    <w:rsid w:val="00542AFB"/>
    <w:rsid w:val="0055615E"/>
    <w:rsid w:val="00561676"/>
    <w:rsid w:val="0058307F"/>
    <w:rsid w:val="005A2BD3"/>
    <w:rsid w:val="005B3983"/>
    <w:rsid w:val="005C184E"/>
    <w:rsid w:val="0061124D"/>
    <w:rsid w:val="00611F1F"/>
    <w:rsid w:val="00682D38"/>
    <w:rsid w:val="00692809"/>
    <w:rsid w:val="00697415"/>
    <w:rsid w:val="006A36D3"/>
    <w:rsid w:val="006B5EF4"/>
    <w:rsid w:val="006C34F3"/>
    <w:rsid w:val="006C7D03"/>
    <w:rsid w:val="006E50F6"/>
    <w:rsid w:val="00731402"/>
    <w:rsid w:val="00737D79"/>
    <w:rsid w:val="00737E6B"/>
    <w:rsid w:val="0074186E"/>
    <w:rsid w:val="00752A93"/>
    <w:rsid w:val="00755A83"/>
    <w:rsid w:val="00761DBB"/>
    <w:rsid w:val="00795481"/>
    <w:rsid w:val="00797208"/>
    <w:rsid w:val="00797E92"/>
    <w:rsid w:val="007A4609"/>
    <w:rsid w:val="007B4CEA"/>
    <w:rsid w:val="007B5883"/>
    <w:rsid w:val="007C010C"/>
    <w:rsid w:val="007C369A"/>
    <w:rsid w:val="007F7936"/>
    <w:rsid w:val="0080302B"/>
    <w:rsid w:val="00820FA0"/>
    <w:rsid w:val="008264A4"/>
    <w:rsid w:val="00835651"/>
    <w:rsid w:val="00836BA6"/>
    <w:rsid w:val="0084318D"/>
    <w:rsid w:val="008726AE"/>
    <w:rsid w:val="00876942"/>
    <w:rsid w:val="008A1AA3"/>
    <w:rsid w:val="008A5E95"/>
    <w:rsid w:val="008B2C5B"/>
    <w:rsid w:val="008C27E9"/>
    <w:rsid w:val="00902E94"/>
    <w:rsid w:val="009058E8"/>
    <w:rsid w:val="00922EDD"/>
    <w:rsid w:val="00923060"/>
    <w:rsid w:val="0093766F"/>
    <w:rsid w:val="00944B8C"/>
    <w:rsid w:val="009515BB"/>
    <w:rsid w:val="009554FB"/>
    <w:rsid w:val="00966FCA"/>
    <w:rsid w:val="00990941"/>
    <w:rsid w:val="009A78E5"/>
    <w:rsid w:val="009C5D66"/>
    <w:rsid w:val="009E1209"/>
    <w:rsid w:val="009E436D"/>
    <w:rsid w:val="00A10154"/>
    <w:rsid w:val="00A137E1"/>
    <w:rsid w:val="00A37224"/>
    <w:rsid w:val="00A40A97"/>
    <w:rsid w:val="00A6010B"/>
    <w:rsid w:val="00A64DCF"/>
    <w:rsid w:val="00A6594F"/>
    <w:rsid w:val="00A71437"/>
    <w:rsid w:val="00A77EA0"/>
    <w:rsid w:val="00A87A21"/>
    <w:rsid w:val="00AB0D38"/>
    <w:rsid w:val="00AC0F01"/>
    <w:rsid w:val="00AC2C96"/>
    <w:rsid w:val="00AD1468"/>
    <w:rsid w:val="00AD75DF"/>
    <w:rsid w:val="00AE4E01"/>
    <w:rsid w:val="00AF046B"/>
    <w:rsid w:val="00AF11D7"/>
    <w:rsid w:val="00AF137F"/>
    <w:rsid w:val="00AF3E2F"/>
    <w:rsid w:val="00B12BBE"/>
    <w:rsid w:val="00B91E35"/>
    <w:rsid w:val="00B92DAB"/>
    <w:rsid w:val="00B9379D"/>
    <w:rsid w:val="00B96BEE"/>
    <w:rsid w:val="00B97BDA"/>
    <w:rsid w:val="00C11923"/>
    <w:rsid w:val="00C1237B"/>
    <w:rsid w:val="00C12E0C"/>
    <w:rsid w:val="00C16251"/>
    <w:rsid w:val="00C47BD5"/>
    <w:rsid w:val="00C512C3"/>
    <w:rsid w:val="00C574AD"/>
    <w:rsid w:val="00CA4D6C"/>
    <w:rsid w:val="00CC1847"/>
    <w:rsid w:val="00CD259E"/>
    <w:rsid w:val="00CD5E03"/>
    <w:rsid w:val="00CD6EC5"/>
    <w:rsid w:val="00CF2A59"/>
    <w:rsid w:val="00D01D9C"/>
    <w:rsid w:val="00D041D2"/>
    <w:rsid w:val="00D166F6"/>
    <w:rsid w:val="00D16C71"/>
    <w:rsid w:val="00D74CCB"/>
    <w:rsid w:val="00D80F7C"/>
    <w:rsid w:val="00D80FFE"/>
    <w:rsid w:val="00DA5ED1"/>
    <w:rsid w:val="00DE7ADE"/>
    <w:rsid w:val="00E45A3B"/>
    <w:rsid w:val="00E653DB"/>
    <w:rsid w:val="00E67528"/>
    <w:rsid w:val="00E933E6"/>
    <w:rsid w:val="00E957AC"/>
    <w:rsid w:val="00EA1B3C"/>
    <w:rsid w:val="00EA3DBC"/>
    <w:rsid w:val="00EA71A1"/>
    <w:rsid w:val="00EB7FC7"/>
    <w:rsid w:val="00EC189A"/>
    <w:rsid w:val="00EE46A1"/>
    <w:rsid w:val="00EE6674"/>
    <w:rsid w:val="00F135D8"/>
    <w:rsid w:val="00F22994"/>
    <w:rsid w:val="00F4257A"/>
    <w:rsid w:val="00F46BA4"/>
    <w:rsid w:val="00F60635"/>
    <w:rsid w:val="00F615BA"/>
    <w:rsid w:val="00F86252"/>
    <w:rsid w:val="00F97B0F"/>
    <w:rsid w:val="00FA56B9"/>
    <w:rsid w:val="00FB738C"/>
    <w:rsid w:val="00FC3E06"/>
    <w:rsid w:val="00FC71A3"/>
    <w:rsid w:val="00FD0648"/>
    <w:rsid w:val="00FE0FB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3F4366"/>
  <w15:chartTrackingRefBased/>
  <w15:docId w15:val="{1CE7CDA0-6BBD-4D3E-BC5B-60773F681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FootnoteText"/>
    <w:qFormat/>
    <w:rsid w:val="00B92DAB"/>
    <w:pPr>
      <w:spacing w:after="120" w:line="240" w:lineRule="auto"/>
    </w:pPr>
    <w:rPr>
      <w:rFonts w:ascii="Calibri" w:hAnsi="Calibri"/>
    </w:rPr>
  </w:style>
  <w:style w:type="paragraph" w:styleId="Heading1">
    <w:name w:val="heading 1"/>
    <w:basedOn w:val="Normal"/>
    <w:next w:val="Normal"/>
    <w:link w:val="Heading1Char"/>
    <w:uiPriority w:val="9"/>
    <w:qFormat/>
    <w:rsid w:val="00B92D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2D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92DA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2DA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92DA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92D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92D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92DA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92DA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5615E"/>
    <w:pPr>
      <w:spacing w:after="0"/>
    </w:pPr>
    <w:rPr>
      <w:sz w:val="20"/>
      <w:szCs w:val="20"/>
    </w:rPr>
  </w:style>
  <w:style w:type="character" w:customStyle="1" w:styleId="FootnoteTextChar">
    <w:name w:val="Footnote Text Char"/>
    <w:basedOn w:val="DefaultParagraphFont"/>
    <w:link w:val="FootnoteText"/>
    <w:uiPriority w:val="99"/>
    <w:rsid w:val="0055615E"/>
    <w:rPr>
      <w:rFonts w:ascii="Calibri" w:hAnsi="Calibri"/>
      <w:sz w:val="20"/>
      <w:szCs w:val="20"/>
    </w:rPr>
  </w:style>
  <w:style w:type="character" w:customStyle="1" w:styleId="Heading1Char">
    <w:name w:val="Heading 1 Char"/>
    <w:basedOn w:val="DefaultParagraphFont"/>
    <w:link w:val="Heading1"/>
    <w:uiPriority w:val="9"/>
    <w:rsid w:val="00B92D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2D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92D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2D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2D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2D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D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D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DAB"/>
    <w:rPr>
      <w:rFonts w:eastAsiaTheme="majorEastAsia" w:cstheme="majorBidi"/>
      <w:color w:val="272727" w:themeColor="text1" w:themeTint="D8"/>
    </w:rPr>
  </w:style>
  <w:style w:type="paragraph" w:styleId="Title">
    <w:name w:val="Title"/>
    <w:basedOn w:val="Normal"/>
    <w:next w:val="Normal"/>
    <w:link w:val="TitleChar"/>
    <w:uiPriority w:val="10"/>
    <w:qFormat/>
    <w:rsid w:val="00B92D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D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D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D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D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2DAB"/>
    <w:rPr>
      <w:rFonts w:ascii="Calibri" w:hAnsi="Calibri"/>
      <w:i/>
      <w:iCs/>
      <w:color w:val="404040" w:themeColor="text1" w:themeTint="BF"/>
    </w:rPr>
  </w:style>
  <w:style w:type="paragraph" w:styleId="ListParagraph">
    <w:name w:val="List Paragraph"/>
    <w:basedOn w:val="Normal"/>
    <w:uiPriority w:val="34"/>
    <w:qFormat/>
    <w:rsid w:val="00B92DAB"/>
    <w:pPr>
      <w:ind w:left="720"/>
      <w:contextualSpacing/>
    </w:pPr>
  </w:style>
  <w:style w:type="character" w:styleId="IntenseEmphasis">
    <w:name w:val="Intense Emphasis"/>
    <w:basedOn w:val="DefaultParagraphFont"/>
    <w:uiPriority w:val="21"/>
    <w:qFormat/>
    <w:rsid w:val="00B92DAB"/>
    <w:rPr>
      <w:i/>
      <w:iCs/>
      <w:color w:val="2F5496" w:themeColor="accent1" w:themeShade="BF"/>
    </w:rPr>
  </w:style>
  <w:style w:type="paragraph" w:styleId="IntenseQuote">
    <w:name w:val="Intense Quote"/>
    <w:basedOn w:val="Normal"/>
    <w:next w:val="Normal"/>
    <w:link w:val="IntenseQuoteChar"/>
    <w:uiPriority w:val="30"/>
    <w:qFormat/>
    <w:rsid w:val="00B92D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2DAB"/>
    <w:rPr>
      <w:rFonts w:ascii="Calibri" w:hAnsi="Calibri"/>
      <w:i/>
      <w:iCs/>
      <w:color w:val="2F5496" w:themeColor="accent1" w:themeShade="BF"/>
    </w:rPr>
  </w:style>
  <w:style w:type="character" w:styleId="IntenseReference">
    <w:name w:val="Intense Reference"/>
    <w:basedOn w:val="DefaultParagraphFont"/>
    <w:uiPriority w:val="32"/>
    <w:qFormat/>
    <w:rsid w:val="00B92DAB"/>
    <w:rPr>
      <w:b/>
      <w:bCs/>
      <w:smallCaps/>
      <w:color w:val="2F5496" w:themeColor="accent1" w:themeShade="BF"/>
      <w:spacing w:val="5"/>
    </w:rPr>
  </w:style>
  <w:style w:type="character" w:styleId="FootnoteReference">
    <w:name w:val="footnote reference"/>
    <w:basedOn w:val="DefaultParagraphFont"/>
    <w:uiPriority w:val="99"/>
    <w:semiHidden/>
    <w:unhideWhenUsed/>
    <w:rsid w:val="00B92DAB"/>
    <w:rPr>
      <w:vertAlign w:val="superscript"/>
    </w:rPr>
  </w:style>
  <w:style w:type="character" w:styleId="Hyperlink">
    <w:name w:val="Hyperlink"/>
    <w:basedOn w:val="DefaultParagraphFont"/>
    <w:uiPriority w:val="99"/>
    <w:unhideWhenUsed/>
    <w:rsid w:val="00B92DAB"/>
    <w:rPr>
      <w:color w:val="0563C1" w:themeColor="hyperlink"/>
      <w:u w:val="single"/>
    </w:rPr>
  </w:style>
  <w:style w:type="character" w:styleId="UnresolvedMention">
    <w:name w:val="Unresolved Mention"/>
    <w:basedOn w:val="DefaultParagraphFont"/>
    <w:uiPriority w:val="99"/>
    <w:semiHidden/>
    <w:unhideWhenUsed/>
    <w:rsid w:val="00AB0D38"/>
    <w:rPr>
      <w:color w:val="605E5C"/>
      <w:shd w:val="clear" w:color="auto" w:fill="E1DFDD"/>
    </w:rPr>
  </w:style>
  <w:style w:type="character" w:styleId="FollowedHyperlink">
    <w:name w:val="FollowedHyperlink"/>
    <w:basedOn w:val="DefaultParagraphFont"/>
    <w:uiPriority w:val="99"/>
    <w:semiHidden/>
    <w:unhideWhenUsed/>
    <w:rsid w:val="002D647A"/>
    <w:rPr>
      <w:color w:val="954F72" w:themeColor="followedHyperlink"/>
      <w:u w:val="single"/>
    </w:rPr>
  </w:style>
  <w:style w:type="paragraph" w:styleId="Header">
    <w:name w:val="header"/>
    <w:basedOn w:val="Normal"/>
    <w:link w:val="HeaderChar"/>
    <w:uiPriority w:val="99"/>
    <w:unhideWhenUsed/>
    <w:rsid w:val="00117B4A"/>
    <w:pPr>
      <w:tabs>
        <w:tab w:val="center" w:pos="4513"/>
        <w:tab w:val="right" w:pos="9026"/>
      </w:tabs>
      <w:spacing w:after="0"/>
    </w:pPr>
  </w:style>
  <w:style w:type="character" w:customStyle="1" w:styleId="HeaderChar">
    <w:name w:val="Header Char"/>
    <w:basedOn w:val="DefaultParagraphFont"/>
    <w:link w:val="Header"/>
    <w:uiPriority w:val="99"/>
    <w:rsid w:val="00117B4A"/>
    <w:rPr>
      <w:rFonts w:ascii="Calibri" w:hAnsi="Calibri"/>
    </w:rPr>
  </w:style>
  <w:style w:type="paragraph" w:styleId="Footer">
    <w:name w:val="footer"/>
    <w:basedOn w:val="Normal"/>
    <w:link w:val="FooterChar"/>
    <w:uiPriority w:val="99"/>
    <w:unhideWhenUsed/>
    <w:rsid w:val="00117B4A"/>
    <w:pPr>
      <w:tabs>
        <w:tab w:val="center" w:pos="4513"/>
        <w:tab w:val="right" w:pos="9026"/>
      </w:tabs>
      <w:spacing w:after="0"/>
    </w:pPr>
  </w:style>
  <w:style w:type="character" w:customStyle="1" w:styleId="FooterChar">
    <w:name w:val="Footer Char"/>
    <w:basedOn w:val="DefaultParagraphFont"/>
    <w:link w:val="Footer"/>
    <w:uiPriority w:val="99"/>
    <w:rsid w:val="00117B4A"/>
    <w:rPr>
      <w:rFonts w:ascii="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s://cronfa.swan.ac.uk/Record/cronfa39055" TargetMode="External"/><Relationship Id="rId3" Type="http://schemas.openxmlformats.org/officeDocument/2006/relationships/webSettings" Target="webSettings.xml"/><Relationship Id="rId21" Type="http://schemas.openxmlformats.org/officeDocument/2006/relationships/hyperlink" Target="https://withcunningandcommand.com/2024/05/26/foam-born-aphrodite/" TargetMode="Externa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hyperlink" Target="http://exchanges.warwick.ac.uk/index.php/exchanges/article/view/67"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yperlink" Target="https://www.visitcyprus.com/wp-content/uploads/2016/05/Petra_tou_Romiou_afigisi_en.pdf"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ucy.ac.cy/pulp/the-project/"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digitalguides.com.cy/en/antiquities/qr-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0B7316B-B239-4490-97DA-65FBBB94C413}">
  <we:reference id="8c1c3d44-57e9-40d7-86e4-4adf88fea1dd" version="3.0.0.0" store="EXCatalog" storeType="EXCatalog"/>
  <we:alternateReferences>
    <we:reference id="WA200007520" version="3.0.0.0" store="en-US" storeType="OMEX"/>
  </we:alternateReferences>
  <we:properties>
    <we:property name="currentStyle" value="{&quot;id&quot;:&quot;4355&quot;,&quot;styleType&quot;:&quot;refworks&quot;,&quot;name&quot;:&quot;APA 6th - No Title Casing Applied, New DOI - American Psychological Association, 6th Edition&quot;,&quot;isInstitutional&quot;:false,&quot;citeStyle&quot;:&quot;INTEXT_ONLY&quot;,&quot;isSorted&quot;:tru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69</TotalTime>
  <Pages>28</Pages>
  <Words>5238</Words>
  <Characters>29857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Maychild (2310535)</dc:creator>
  <cp:keywords/>
  <dc:description/>
  <cp:lastModifiedBy>Rufus Maychild (2310535)</cp:lastModifiedBy>
  <cp:revision>8</cp:revision>
  <cp:lastPrinted>2026-01-09T12:06:00Z</cp:lastPrinted>
  <dcterms:created xsi:type="dcterms:W3CDTF">2026-01-26T12:59:00Z</dcterms:created>
  <dcterms:modified xsi:type="dcterms:W3CDTF">2026-01-28T10:01:00Z</dcterms:modified>
</cp:coreProperties>
</file>